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jakiteko zein eragin izan dezakeen Europako Banku Zentralak interes tasak igotzeak legegintzaldi honetan zehar egindako zor-jaulkipenetan eta mailegu-kontratazioetan eta Nafarroak aurre egin behar dion 240 milioi euroko amortizazioan.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erantzun dezan Legebiltzarraren hurrengo Osoko Bilkuran.</w:t>
      </w:r>
    </w:p>
    <w:p>
      <w:pPr>
        <w:pStyle w:val="0"/>
        <w:suppressAutoHyphens w:val="false"/>
        <w:rPr>
          <w:rStyle w:val="1"/>
        </w:rPr>
      </w:pPr>
      <w:r>
        <w:rPr>
          <w:rStyle w:val="1"/>
        </w:rPr>
        <w:t xml:space="preserve">Azken aste hauetan, zenbait informazio ateratzen ari dira prentsa espezializatuko hedabideetan finantza-entitateek eta kalifikazio-agentziek egindako analisi batzuei buruz; analisi horiek guztiak bat datoz esaterakoan 2018. urtearen amaieran edo 2019. urtearen hasieran Europako Banku Zentralak interes-tipoak igoko dituela.</w:t>
      </w:r>
    </w:p>
    <w:p>
      <w:pPr>
        <w:pStyle w:val="0"/>
        <w:suppressAutoHyphens w:val="false"/>
        <w:rPr>
          <w:rStyle w:val="1"/>
        </w:rPr>
      </w:pPr>
      <w:r>
        <w:rPr>
          <w:rStyle w:val="1"/>
        </w:rPr>
        <w:t xml:space="preserve">Zenbateko eragina izanen luke inguruabar horrek legegintzaldi honetan zehar egindako zor-jaulkipenetan eta mailegu-kontratazioetan, eta zein puntutaraino baldintzatuko lukete interes-tasen igoera horiek aurtengo amortizaziorako dagoen estrategia, ekainean eta urrian Nafarroak 2040 milioi euro amortizatu behar baititu?</w:t>
      </w:r>
    </w:p>
    <w:p>
      <w:pPr>
        <w:pStyle w:val="0"/>
        <w:suppressAutoHyphens w:val="false"/>
        <w:rPr>
          <w:rStyle w:val="1"/>
        </w:rPr>
      </w:pPr>
      <w:r>
        <w:rPr>
          <w:rStyle w:val="1"/>
        </w:rPr>
        <w:t xml:space="preserve">Iruñean, 2018ko otsailaren 8an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