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berotegi efektuko gasen murrizketaren bilakaerari buruzkoa, murrizketa hori S3-Espezializazio Adimendunerako Estrategiaren barruko oparotasunaren, bizi-kalitatearen eta jasangarritasunaren sei helburu nagusietan jaso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2016ko azaroan aurkeztu zituen Nafarroako Espezializazio Adimendunaren Estrategiaren (S3) 24 erronkak, sei arlo ekonomiko lehenetsiei loturik; besteak beste, ingurumenaren eta osasunaren arloko gaiak.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Hartara, sei adierazle ezarri ziren, oparotasunaren, bizi-kalitatearen eta jasangarritasunaren arloko helburu handiak gainbegiratuko ziren, horietako bat izaki berotegi-efektuko gasen emisioak % 40 murriztea 1990eko balioekin alderatuta –garai hartan eskuragarri zegoen datua % 22,8koa zen–, eta S3an 2020rako helburu gisa ezarrita % -20; esan bezala, 40 puntu gutxiago.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berotegi efektuko gasen murrizketaren bilakaerari buruz, murrizketa hori S3-Espezializazio Adimendunerako Estrategiaren barruko oparotasunaren, bizi-kalitatearen eta jasangarritasunaren sei helburu nagusietan jaso baitzen?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