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intervenciones realizadas por la Oficina de Vida Independiente en 2017,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¿Cuál es el número de intervenciones realizadas por la Oficina de Vida Independiente en 2017 y en qué han consistido las mismas?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p>
      <w:pPr>
        <w:pStyle w:val="0"/>
        <w:suppressAutoHyphens w:val="false"/>
        <w:rPr>
          <w:rStyle w:val="1"/>
        </w:rPr>
      </w:pPr>
      <w:r>
        <w:rPr>
          <w:rStyle w:val="1"/>
        </w:rPr>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