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abril de 2018,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Proponer como miembros del Consejo de Administración de Corporación Pública Empresarial de Navarra, S.L.U., por elección del Parlamento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D.ª María Carmen Segura Moreno.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D. Koldo Amezketa Díaz.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D. Javier Onieva Larrea.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Dar traslado del presente Acuerdo al Gobierno de Navarra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