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apirilaren 12an egindako Osoko Bilkuran, Emakumeen kontrako indarkeriari aurre egiteko apirilaren 10eko 14/2015 Foru Legea aldatzeko Foru Legea onetsi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146.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Foru Legea, Emakumeen kontrako indarkeriari aurre egiteko apirilaren 10eko 14/2015 Foru Legea aldatzekoa.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HITZAURREA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eta adingabeen sexu-esplotaziorako trafikoa giza eskubideen urratze handienetako bat da; halaber, esklabotza modernoaren modu bat eta emakumeen kontrako indarkeriaren alderdi mikatzenetako bat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Harekin errotik amaitzeko, ikuspegi orokor batetik begiratu behar zaio, hura muturreko indarkeriatzat joz, zeinak ageriko lotura baitu prostituzioarekin; izan ere, prostituzioa da emakumeen trafikoaren helburu nagusia.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prostituzioa delituzko jarduera bat da, emakumeak salerosketan erabiltzen dituena, haien duintasuna urratuz eta giza eskubideak kinka larrian jarriz.</w:t>
      </w:r>
    </w:p>
    <w:p>
      <w:pPr>
        <w:pStyle w:val="0"/>
        <w:suppressAutoHyphens w:val="false"/>
        <w:rPr>
          <w:rStyle w:val="1"/>
          <w:u w:val="single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Emakumeen kontrako indarkeriari aurre egiteko apirilaren 10eko 14/2015 Foru Legearen aldaketa.</w:t>
      </w:r>
      <w:r>
        <w:rPr>
          <w:rStyle w:val="1"/>
          <w:u w:val="singl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Bat. 3.</w:t>
      </w:r>
      <w:r>
        <w:rPr>
          <w:rStyle w:val="1"/>
        </w:rPr>
        <w:t xml:space="preserve"> artikuluaren 2. apartatuaren e) letrari testu berria ematen zaio. Emakumeen kontrako “indarkeriaren definizioa eta motak.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“e) Prostituzioa edo/eta sexu-esplotazioa: Beste pertsona batzuekin sexu-harremanak diru truke edukitzea. Finantza-onurak edo bestelakoak lortzea beste baten prostituzioaren esplotazioaren bidez (horren barnean, ekintza pornografikoak edo material pornografikoak egitea), baita haren adostasunarekin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Bi. </w:t>
      </w:r>
      <w:r>
        <w:rPr>
          <w:rStyle w:val="1"/>
        </w:rPr>
        <w:t xml:space="preserve">18. artikulua aldatzea. Hedabideen esparruko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“3. Nafarroako Foru Komunitateko administrazioek ez dute publizitate instituzionaleko espaziorik txertatuko prostituzio-iragarkiak jasotzen dituzten titulartasun pribatuko hedabideetan eta/edo emakumeen irudiarekin lotutako eduki iraingarriak ateratzen dituzten eta, horrenbestez, emakumeen duintasunaren aurka egin, haiek arinkeriaz tratatu edo haien aurkako indarkeriara bultzatzen duten hedabideetan.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Foru Komunitateko administrazioek ez dute onartuko diru-laguntzetarako eskaerarik ez eta zuzeneko diru-laguntzarik ere, horien hartzaile izatekoak diren titulartasun pribatuko hedabideek prostituzio-iragarkiak jaso eta/edo emakumeen irudiarekin lotutako eduki iraingarriak argitaratzen dituztenean eta, horrenbestez, emakumeen duintasunaren aurka egin, haiek arinkeriaz tratatu edo haien aurkako indarkeriara bultzatzen dutenean”.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xedapenetan lehena.</w:t>
      </w:r>
      <w:r>
        <w:rPr>
          <w:rStyle w:val="1"/>
        </w:rPr>
        <w:t xml:space="preserve"> Araugintzarako gaikuntza.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lege-aldaketa honen garapen eta aplikaziorako beharrezkoak diren xedapen guztiak emanen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xedapenetan bigarrena.</w:t>
      </w:r>
      <w:r>
        <w:rPr>
          <w:rStyle w:val="1"/>
        </w:rPr>
        <w:t xml:space="preserve"> Indarra hartzea.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argitaratu eta biharamunean hartuko du indarra, aurreikusten dituen ondorioekin.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