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Hondarribiko udalekuetako ipar hegalean 2009an egindako erreformari buruzkoa. Galdera 2018ko martxoaren 16ko 33. Nafarroako Parlamentuko Aldizkari Ofizialean argitaratu zen.</w:t>
      </w:r>
    </w:p>
    <w:p>
      <w:pPr>
        <w:pStyle w:val="0"/>
        <w:suppressAutoHyphens w:val="false"/>
        <w:rPr>
          <w:rStyle w:val="1"/>
        </w:rPr>
      </w:pPr>
      <w:r>
        <w:rPr>
          <w:rStyle w:val="1"/>
        </w:rPr>
        <w:t xml:space="preserve">Iruñean, 2018ko apirilaren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parlamentari Maiorga Ramírez Erro jaunak idatziz erantzuteko galdera bat aurkeztu du (9-18/PES00075) –2018ko martxoaren 8ko 1238. erregistroko zenbakia du– Hondarribiko udalekuetako ipar hegalean 2009an egindako erreformari buruz. Honen bidez, Patronatuko buru Javier Miranda Errok, Ogasuneko eta Finantza Politikako Departamentuak eskatuta, igorritako informazioa helarazten dizu Nafarroako Gobernuko Ogasuneko eta Finantza Politikako kontseilariak:</w:t>
      </w:r>
    </w:p>
    <w:p>
      <w:pPr>
        <w:pStyle w:val="0"/>
        <w:suppressAutoHyphens w:val="false"/>
        <w:rPr>
          <w:rStyle w:val="1"/>
        </w:rPr>
      </w:pPr>
      <w:r>
        <w:rPr>
          <w:rStyle w:val="1"/>
        </w:rPr>
        <w:t xml:space="preserve">2018ko apirilaren 6an eta 11n, Nafarroako Gobernuko Ogasuneko eta Finantza Politikako Departamentuko Idazkaritza Tekniko Nagusitik heldutako bi informazio-errekerimendu jaso dira, bera baita Nafarroako Kutxa Banku Fundazioaren gaineko babesletza-eginkizunak betetzen dituena.</w:t>
      </w:r>
    </w:p>
    <w:p>
      <w:pPr>
        <w:pStyle w:val="0"/>
        <w:suppressAutoHyphens w:val="false"/>
        <w:rPr>
          <w:rStyle w:val="1"/>
        </w:rPr>
      </w:pPr>
      <w:r>
        <w:rPr>
          <w:rStyle w:val="1"/>
        </w:rPr>
        <w:t xml:space="preserve">Bi dokumentuetan berariaz aipatzen da, gaikuntza-arau gisa, Fundazioaren Estatutuen 52.2 artikulua, zeinak aurreikusten baitu Babesletzak Fundazioari bere babesletza-eginkizuna betetzeko beharrezkotzat jotzen duen informazio guztia eskatu ahalko diola.</w:t>
      </w:r>
    </w:p>
    <w:p>
      <w:pPr>
        <w:pStyle w:val="0"/>
        <w:suppressAutoHyphens w:val="false"/>
        <w:rPr>
          <w:rStyle w:val="1"/>
        </w:rPr>
      </w:pPr>
      <w:r>
        <w:rPr>
          <w:rStyle w:val="1"/>
        </w:rPr>
        <w:t xml:space="preserve">Arau hori dela eta, bi informazio-errekerimenduei erantzun behar diegu; izan ere, horien bitartez eskatzen da Babesletzari igortzeko errekerimendu horiekin bat Nafarroako Gobernuari zuzendutako hiru galdera parlamentarioetan eskatutako informazioa.</w:t>
      </w:r>
    </w:p>
    <w:p>
      <w:pPr>
        <w:pStyle w:val="0"/>
        <w:suppressAutoHyphens w:val="false"/>
        <w:rPr>
          <w:rStyle w:val="1"/>
        </w:rPr>
      </w:pPr>
      <w:r>
        <w:rPr>
          <w:rStyle w:val="1"/>
        </w:rPr>
        <w:t xml:space="preserve">(PES 75 galderari dagokion informazioa baizik ez dugu kopiatu)</w:t>
      </w:r>
    </w:p>
    <w:p>
      <w:pPr>
        <w:pStyle w:val="0"/>
        <w:suppressAutoHyphens w:val="false"/>
        <w:rPr>
          <w:rStyle w:val="1"/>
        </w:rPr>
      </w:pPr>
      <w:r>
        <w:rPr>
          <w:rStyle w:val="1"/>
        </w:rPr>
        <w:t xml:space="preserve">9-18/PES-00075 galdera (lehenengo errekerimendua), Hondarribiko udalekuetako ipar hegalean 2009an egindako erreformari buruzkoa:</w:t>
      </w:r>
    </w:p>
    <w:p>
      <w:pPr>
        <w:pStyle w:val="0"/>
        <w:suppressAutoHyphens w:val="false"/>
        <w:rPr>
          <w:rStyle w:val="1"/>
          <w:shadow w:val="true"/>
        </w:rPr>
      </w:pPr>
      <w:r>
        <w:rPr>
          <w:rStyle w:val="1"/>
          <w:shadow w:val="true"/>
        </w:rPr>
        <w:t xml:space="preserve">Lehena: Erreforma hori justifikatzen duen dokumentazioa.</w:t>
      </w:r>
    </w:p>
    <w:p>
      <w:pPr>
        <w:pStyle w:val="0"/>
        <w:suppressAutoHyphens w:val="false"/>
        <w:rPr>
          <w:rStyle w:val="1"/>
        </w:rPr>
      </w:pPr>
      <w:r>
        <w:rPr>
          <w:rStyle w:val="1"/>
        </w:rPr>
        <w:t xml:space="preserve">Honekin batera, I. eranskin moduan, gaur egun Fundazioaren artxiboetan erreformari buruz dagoen informazioa bidaltzen dizut.</w:t>
      </w:r>
    </w:p>
    <w:p>
      <w:pPr>
        <w:pStyle w:val="0"/>
        <w:suppressAutoHyphens w:val="false"/>
        <w:rPr>
          <w:rStyle w:val="1"/>
          <w:shadow w:val="true"/>
        </w:rPr>
      </w:pPr>
      <w:r>
        <w:rPr>
          <w:rStyle w:val="1"/>
          <w:shadow w:val="true"/>
        </w:rPr>
        <w:t xml:space="preserve">Bigarrena: Erreforma egiteko agindua eman zen unean espazio horretarako aurreikusitako erabilera.</w:t>
      </w:r>
    </w:p>
    <w:p>
      <w:pPr>
        <w:pStyle w:val="0"/>
        <w:suppressAutoHyphens w:val="false"/>
        <w:rPr>
          <w:rStyle w:val="1"/>
        </w:rPr>
      </w:pPr>
      <w:r>
        <w:rPr>
          <w:rStyle w:val="1"/>
        </w:rPr>
        <w:t xml:space="preserve">Fundazioan dauden artxiboak eta Nafarroako Aurrezki Kutxa eta Bahitura Etxearen Administrazio Kontseiluaren (CAN) eta Nafarroako Aurrezki Kutxa eta Bahitura Etxearen Obra Sozialaren Fundazioaren Patronatuaren (FOSCAN) 2008ko, 2009ko eta 2010eko aktak kontsultatuta, ez dakigu zein erabilera aurreikusi ziren espazio horretarako, erreforma egitea agindu zen unean.</w:t>
      </w:r>
    </w:p>
    <w:p>
      <w:pPr>
        <w:pStyle w:val="0"/>
        <w:suppressAutoHyphens w:val="false"/>
        <w:rPr>
          <w:rStyle w:val="1"/>
        </w:rPr>
      </w:pPr>
      <w:r>
        <w:rPr>
          <w:rStyle w:val="1"/>
        </w:rPr>
        <w:t xml:space="preserve">Babesletzari 2018ko otsailaren 6an emandako erantzunean informatu genuen bezala, Fundazioan ez dago jasota erreforma horren ondotik espazio horri inongo erabilerarik eman izana, 2016ra arte. Data horretatik aurrera, eremu hori noizean behin prestatu izan da udalekuetan egiten diren jarduketa batzuetarako espazio osagarri gisa.</w:t>
      </w:r>
    </w:p>
    <w:p>
      <w:pPr>
        <w:pStyle w:val="0"/>
        <w:suppressAutoHyphens w:val="false"/>
        <w:rPr>
          <w:rStyle w:val="1"/>
          <w:shadow w:val="true"/>
        </w:rPr>
      </w:pPr>
      <w:r>
        <w:rPr>
          <w:rStyle w:val="1"/>
          <w:shadow w:val="true"/>
        </w:rPr>
        <w:t xml:space="preserve">Hirugarrena: Erabaki hori zer organok hartu zuen eta organo hori nork osatzen duen.</w:t>
      </w:r>
    </w:p>
    <w:p>
      <w:pPr>
        <w:pStyle w:val="0"/>
        <w:suppressAutoHyphens w:val="false"/>
        <w:rPr>
          <w:rStyle w:val="1"/>
        </w:rPr>
      </w:pPr>
      <w:r>
        <w:rPr>
          <w:rStyle w:val="1"/>
        </w:rPr>
        <w:t xml:space="preserve">Fundazioan dauden artxiboak eta CANen Administrazio Kontseiluaren FOSCANen Patronatuaren 2008ko, 2009ko eta 2010eko aktak kontsultatuta, ezin da zehaztasunez baieztatu zein organok erabaki zuen erreforma hori egitea.</w:t>
      </w:r>
    </w:p>
    <w:p>
      <w:pPr>
        <w:pStyle w:val="0"/>
        <w:suppressAutoHyphens w:val="false"/>
        <w:rPr>
          <w:rStyle w:val="1"/>
          <w:shadow w:val="true"/>
        </w:rPr>
      </w:pPr>
      <w:r>
        <w:rPr>
          <w:rStyle w:val="1"/>
          <w:shadow w:val="true"/>
        </w:rPr>
        <w:t xml:space="preserve">Laugarrena: Erreforma horren hasierako aurrekontua.</w:t>
      </w:r>
    </w:p>
    <w:p>
      <w:pPr>
        <w:pStyle w:val="0"/>
        <w:suppressAutoHyphens w:val="false"/>
        <w:rPr>
          <w:rStyle w:val="1"/>
        </w:rPr>
      </w:pPr>
      <w:r>
        <w:rPr>
          <w:rStyle w:val="1"/>
        </w:rPr>
        <w:t xml:space="preserve">Fundazioan dauden artxiboak eta CANen Administrazio Kontseiluaren FOSCANen Patronatuaren 2008ko, 2009ko eta 2010eko aktak kontsultatuta, ez dugu inongo akordio, txosten edo dokumenturik aurkitu zehaztasunez informatzeko erreforma horretarako aurreikusitako hasierako aurrekontuari buruz.</w:t>
      </w:r>
    </w:p>
    <w:p>
      <w:pPr>
        <w:pStyle w:val="0"/>
        <w:suppressAutoHyphens w:val="false"/>
        <w:rPr>
          <w:rStyle w:val="1"/>
          <w:shadow w:val="true"/>
        </w:rPr>
      </w:pPr>
      <w:r>
        <w:rPr>
          <w:rStyle w:val="1"/>
          <w:shadow w:val="true"/>
        </w:rPr>
        <w:t xml:space="preserve">Bosgarrena: Erreforma horretan guztira egindako gastua.</w:t>
      </w:r>
    </w:p>
    <w:p>
      <w:pPr>
        <w:pStyle w:val="0"/>
        <w:suppressAutoHyphens w:val="false"/>
        <w:rPr>
          <w:rStyle w:val="1"/>
        </w:rPr>
      </w:pPr>
      <w:r>
        <w:rPr>
          <w:rStyle w:val="1"/>
        </w:rPr>
        <w:t xml:space="preserve">Fundazioaren artxiboetan dagoen kontabilitate-informazioari jarraituz, 2009an Hondarribiko udalekuetan egindako erreformaren guztizko gastua 764.087,63 eurokoa izan zen.</w:t>
      </w:r>
    </w:p>
    <w:p>
      <w:pPr>
        <w:pStyle w:val="0"/>
        <w:suppressAutoHyphens w:val="false"/>
        <w:rPr>
          <w:rStyle w:val="1"/>
          <w:shadow w:val="true"/>
        </w:rPr>
      </w:pPr>
      <w:r>
        <w:rPr>
          <w:rStyle w:val="1"/>
          <w:shadow w:val="true"/>
        </w:rPr>
        <w:t xml:space="preserve">Seigarrena: Erreforma horri buruzko fakturak igortzea.</w:t>
      </w:r>
    </w:p>
    <w:p>
      <w:pPr>
        <w:pStyle w:val="0"/>
        <w:suppressAutoHyphens w:val="false"/>
        <w:rPr>
          <w:rStyle w:val="1"/>
        </w:rPr>
      </w:pPr>
      <w:r>
        <w:rPr>
          <w:rStyle w:val="1"/>
        </w:rPr>
        <w:t xml:space="preserve">Honekin batera, I. eranskinean ere jasota ageri diren fakturak gehitu ditugu, CANi egindakoak, Udalekuetan 2009an zehar egindako erreforma-lanen ordainketari dagozkionak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apirilaren 12an</w:t>
      </w:r>
    </w:p>
    <w:p>
      <w:pPr>
        <w:pStyle w:val="0"/>
        <w:suppressAutoHyphens w:val="false"/>
        <w:rPr>
          <w:rStyle w:val="1"/>
        </w:rPr>
      </w:pPr>
      <w:r>
        <w:rPr>
          <w:rStyle w:val="1"/>
        </w:rPr>
        <w:t xml:space="preserve">Ogasuneko eta Finantza Politikako Ogasuneko eta Finantza Politikako kontseilariak modu digitalean sinatua.</w:t>
      </w:r>
    </w:p>
    <w:p>
      <w:pPr>
        <w:pStyle w:val="0"/>
        <w:suppressAutoHyphens w:val="false"/>
        <w:rPr>
          <w:rStyle w:val="1"/>
        </w:rPr>
      </w:pPr>
      <w:r>
        <w:rPr>
          <w:rStyle w:val="1"/>
        </w:rPr>
        <w:t xml:space="preserve">Mikel Aranburu Urtasun</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