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F0A" w:rsidRDefault="000C5F0A" w:rsidP="006A6379">
      <w:pPr>
        <w:pStyle w:val="EstiloPortada"/>
        <w:spacing w:before="0"/>
        <w:ind w:left="3839" w:right="-57"/>
        <w:rPr>
          <w:rFonts w:ascii="Arial" w:hAnsi="Arial" w:cs="Arial"/>
          <w:color w:val="A6A6A6" w:themeColor="background1" w:themeShade="A6"/>
          <w:sz w:val="44"/>
          <w:szCs w:val="44"/>
        </w:rPr>
      </w:pPr>
      <w:r>
        <w:rPr>
          <w:b w:val="0"/>
          <w:noProof/>
          <w:color w:val="A6A6A6" w:themeColor="background1" w:themeShade="A6"/>
          <w:lang w:val="es-ES" w:eastAsia="es-ES"/>
        </w:rPr>
        <mc:AlternateContent>
          <mc:Choice Requires="wps">
            <w:drawing>
              <wp:anchor distT="0" distB="0" distL="114300" distR="114300" simplePos="0" relativeHeight="251659776" behindDoc="0" locked="0" layoutInCell="1" allowOverlap="1" wp14:anchorId="37CDC507" wp14:editId="6C0C804C">
                <wp:simplePos x="0" y="0"/>
                <wp:positionH relativeFrom="column">
                  <wp:posOffset>-142875</wp:posOffset>
                </wp:positionH>
                <wp:positionV relativeFrom="paragraph">
                  <wp:posOffset>-752475</wp:posOffset>
                </wp:positionV>
                <wp:extent cx="1105535" cy="93726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F46B50" w:rsidRPr="0047739D" w:rsidRDefault="00F46B50" w:rsidP="00AE7658">
                            <w:pPr>
                              <w:spacing w:after="0"/>
                              <w:ind w:firstLine="0"/>
                              <w:jc w:val="center"/>
                              <w:rPr>
                                <w:sz w:val="18"/>
                                <w:szCs w:val="18"/>
                              </w:rPr>
                            </w:pPr>
                            <w:r>
                              <w:rPr>
                                <w:sz w:val="18"/>
                                <w:szCs w:val="18"/>
                              </w:rPr>
                              <w:t>CAMARA DE</w:t>
                            </w:r>
                          </w:p>
                          <w:p w:rsidR="00F46B50" w:rsidRPr="0047739D" w:rsidRDefault="00F46B50" w:rsidP="00AE7658">
                            <w:pPr>
                              <w:spacing w:after="0"/>
                              <w:ind w:firstLine="0"/>
                              <w:jc w:val="center"/>
                              <w:rPr>
                                <w:sz w:val="18"/>
                                <w:szCs w:val="18"/>
                              </w:rPr>
                            </w:pPr>
                            <w:r>
                              <w:rPr>
                                <w:sz w:val="18"/>
                                <w:szCs w:val="18"/>
                              </w:rPr>
                              <w:t>COMPTOS</w:t>
                            </w:r>
                          </w:p>
                          <w:p w:rsidR="00F46B50" w:rsidRPr="0047739D" w:rsidRDefault="00F46B50" w:rsidP="00AE7658">
                            <w:pPr>
                              <w:spacing w:after="0"/>
                              <w:ind w:firstLine="0"/>
                              <w:jc w:val="center"/>
                              <w:rPr>
                                <w:sz w:val="18"/>
                                <w:szCs w:val="18"/>
                              </w:rPr>
                            </w:pPr>
                            <w:r>
                              <w:rPr>
                                <w:sz w:val="18"/>
                                <w:szCs w:val="18"/>
                              </w:rPr>
                              <w:t>DE NAVARRA</w:t>
                            </w:r>
                          </w:p>
                          <w:p w:rsidR="00F46B50" w:rsidRPr="0047739D" w:rsidRDefault="00F46B50" w:rsidP="00AE7658">
                            <w:pPr>
                              <w:spacing w:after="0"/>
                              <w:ind w:firstLine="0"/>
                              <w:jc w:val="center"/>
                              <w:rPr>
                                <w:color w:val="808080"/>
                                <w:sz w:val="18"/>
                                <w:szCs w:val="18"/>
                              </w:rPr>
                            </w:pPr>
                            <w:r>
                              <w:rPr>
                                <w:color w:val="808080"/>
                                <w:sz w:val="18"/>
                                <w:szCs w:val="18"/>
                              </w:rPr>
                              <w:t>NAFARROAKO</w:t>
                            </w:r>
                          </w:p>
                          <w:p w:rsidR="00F46B50" w:rsidRPr="0047739D" w:rsidRDefault="00F46B50" w:rsidP="00AE7658">
                            <w:pPr>
                              <w:spacing w:after="0"/>
                              <w:ind w:firstLine="0"/>
                              <w:jc w:val="center"/>
                              <w:rPr>
                                <w:color w:val="808080"/>
                                <w:sz w:val="18"/>
                                <w:szCs w:val="18"/>
                              </w:rPr>
                            </w:pPr>
                            <w:r>
                              <w:rPr>
                                <w:color w:val="808080"/>
                                <w:sz w:val="18"/>
                                <w:szCs w:val="18"/>
                              </w:rPr>
                              <w:t>KONTUEN</w:t>
                            </w:r>
                          </w:p>
                          <w:p w:rsidR="00F46B50" w:rsidRPr="003A7956" w:rsidRDefault="00F46B50" w:rsidP="00AE7658">
                            <w:pPr>
                              <w:spacing w:after="0"/>
                              <w:ind w:firstLine="0"/>
                              <w:jc w:val="center"/>
                              <w:rPr>
                                <w:color w:val="808080"/>
                                <w:sz w:val="18"/>
                                <w:szCs w:val="18"/>
                              </w:rPr>
                            </w:pPr>
                            <w:r>
                              <w:rPr>
                                <w:color w:val="808080"/>
                                <w:sz w:val="18"/>
                                <w:szCs w:val="18"/>
                              </w:rPr>
                              <w:t>GANBERA</w:t>
                            </w:r>
                          </w:p>
                          <w:p w:rsidR="00F46B50" w:rsidRPr="002C7026" w:rsidRDefault="00F46B50" w:rsidP="000C5F0A">
                            <w:pPr>
                              <w:spacing w:after="0"/>
                              <w:ind w:firstLine="0"/>
                              <w:jc w:val="center"/>
                              <w:rPr>
                                <w:rFonts w:ascii="Trajan" w:hAnsi="Trajan"/>
                                <w:color w:val="808080"/>
                                <w:sz w:val="18"/>
                                <w:szCs w:val="18"/>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1.25pt;margin-top:-59.25pt;width:87.05pt;height:73.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AIX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" stroked="f" strokecolor="white">
                <v:textbox>
                  <w:txbxContent>
                    <w:p w:rsidR="00F46B50" w:rsidRPr="0047739D" w:rsidRDefault="00F46B50" w:rsidP="00AE7658">
                      <w:pPr>
                        <w:spacing w:after="0"/>
                        <w:ind w:firstLine="0"/>
                        <w:jc w:val="center"/>
                        <w:rPr>
                          <w:sz w:val="18"/>
                          <w:szCs w:val="18"/>
                        </w:rPr>
                      </w:pPr>
                      <w:r>
                        <w:rPr>
                          <w:sz w:val="18"/>
                          <w:szCs w:val="18"/>
                        </w:rPr>
                        <w:t>CAMARA DE</w:t>
                      </w:r>
                    </w:p>
                    <w:p w:rsidR="00F46B50" w:rsidRPr="0047739D" w:rsidRDefault="00F46B50" w:rsidP="00AE7658">
                      <w:pPr>
                        <w:spacing w:after="0"/>
                        <w:ind w:firstLine="0"/>
                        <w:jc w:val="center"/>
                        <w:rPr>
                          <w:sz w:val="18"/>
                          <w:szCs w:val="18"/>
                        </w:rPr>
                      </w:pPr>
                      <w:r>
                        <w:rPr>
                          <w:sz w:val="18"/>
                          <w:szCs w:val="18"/>
                        </w:rPr>
                        <w:t>COMPTOS</w:t>
                      </w:r>
                    </w:p>
                    <w:p w:rsidR="00F46B50" w:rsidRPr="0047739D" w:rsidRDefault="00F46B50" w:rsidP="00AE7658">
                      <w:pPr>
                        <w:spacing w:after="0"/>
                        <w:ind w:firstLine="0"/>
                        <w:jc w:val="center"/>
                        <w:rPr>
                          <w:sz w:val="18"/>
                          <w:szCs w:val="18"/>
                        </w:rPr>
                      </w:pPr>
                      <w:r>
                        <w:rPr>
                          <w:sz w:val="18"/>
                          <w:szCs w:val="18"/>
                        </w:rPr>
                        <w:t>DE NAVARRA</w:t>
                      </w:r>
                    </w:p>
                    <w:p w:rsidR="00F46B50" w:rsidRPr="0047739D" w:rsidRDefault="00F46B50" w:rsidP="00AE7658">
                      <w:pPr>
                        <w:spacing w:after="0"/>
                        <w:ind w:firstLine="0"/>
                        <w:jc w:val="center"/>
                        <w:rPr>
                          <w:color w:val="808080"/>
                          <w:sz w:val="18"/>
                          <w:szCs w:val="18"/>
                        </w:rPr>
                      </w:pPr>
                      <w:r>
                        <w:rPr>
                          <w:color w:val="808080"/>
                          <w:sz w:val="18"/>
                          <w:szCs w:val="18"/>
                        </w:rPr>
                        <w:t>NAFARROAKO</w:t>
                      </w:r>
                    </w:p>
                    <w:p w:rsidR="00F46B50" w:rsidRPr="0047739D" w:rsidRDefault="00F46B50" w:rsidP="00AE7658">
                      <w:pPr>
                        <w:spacing w:after="0"/>
                        <w:ind w:firstLine="0"/>
                        <w:jc w:val="center"/>
                        <w:rPr>
                          <w:color w:val="808080"/>
                          <w:sz w:val="18"/>
                          <w:szCs w:val="18"/>
                        </w:rPr>
                      </w:pPr>
                      <w:r>
                        <w:rPr>
                          <w:color w:val="808080"/>
                          <w:sz w:val="18"/>
                          <w:szCs w:val="18"/>
                        </w:rPr>
                        <w:t>KONTUEN</w:t>
                      </w:r>
                    </w:p>
                    <w:p w:rsidR="00F46B50" w:rsidRPr="003A7956" w:rsidRDefault="00F46B50" w:rsidP="00AE7658">
                      <w:pPr>
                        <w:spacing w:after="0"/>
                        <w:ind w:firstLine="0"/>
                        <w:jc w:val="center"/>
                        <w:rPr>
                          <w:color w:val="808080"/>
                          <w:sz w:val="18"/>
                          <w:szCs w:val="18"/>
                        </w:rPr>
                      </w:pPr>
                      <w:r>
                        <w:rPr>
                          <w:color w:val="808080"/>
                          <w:sz w:val="18"/>
                          <w:szCs w:val="18"/>
                        </w:rPr>
                        <w:t>GANBERA</w:t>
                      </w:r>
                    </w:p>
                    <w:p w:rsidR="00F46B50" w:rsidRPr="002C7026" w:rsidRDefault="00F46B50" w:rsidP="000C5F0A">
                      <w:pPr>
                        <w:spacing w:after="0"/>
                        <w:ind w:firstLine="0"/>
                        <w:jc w:val="center"/>
                        <w:rPr>
                          <w:rFonts w:ascii="Trajan" w:hAnsi="Trajan"/>
                          <w:color w:val="808080"/>
                          <w:sz w:val="18"/>
                          <w:szCs w:val="18"/>
                          <w:lang w:val="es-ES"/>
                        </w:rPr>
                      </w:pPr>
                    </w:p>
                  </w:txbxContent>
                </v:textbox>
              </v:shape>
            </w:pict>
          </mc:Fallback>
        </mc:AlternateContent>
      </w:r>
    </w:p>
    <w:p w:rsidR="00D6723C" w:rsidRDefault="00D6723C" w:rsidP="00594EAE">
      <w:pPr>
        <w:pStyle w:val="EstiloPortada"/>
        <w:ind w:left="3261" w:right="-58"/>
        <w:jc w:val="right"/>
        <w:rPr>
          <w:rFonts w:ascii="Arial" w:hAnsi="Arial" w:cs="Arial"/>
          <w:color w:val="A6A6A6" w:themeColor="background1" w:themeShade="A6"/>
          <w:sz w:val="44"/>
          <w:szCs w:val="44"/>
        </w:rPr>
      </w:pPr>
    </w:p>
    <w:p w:rsidR="000C5F0A" w:rsidRDefault="000C5F0A" w:rsidP="000C5F0A">
      <w:pPr>
        <w:pStyle w:val="EstiloPortada"/>
        <w:spacing w:before="0"/>
        <w:ind w:left="0" w:right="-425"/>
        <w:rPr>
          <w:sz w:val="48"/>
          <w:szCs w:val="48"/>
        </w:rPr>
      </w:pPr>
    </w:p>
    <w:p w:rsidR="00447C6F" w:rsidRDefault="000C5F0A" w:rsidP="008F0118">
      <w:pPr>
        <w:pStyle w:val="EstiloPortada"/>
        <w:ind w:left="2552" w:right="-425"/>
        <w:jc w:val="right"/>
        <w:rPr>
          <w:sz w:val="52"/>
          <w:szCs w:val="52"/>
        </w:rPr>
      </w:pPr>
      <w:r>
        <w:rPr>
          <w:sz w:val="52"/>
          <w:szCs w:val="52"/>
        </w:rPr>
        <w:t>Iruñerriko Garraioaren Hiria</w:t>
      </w:r>
    </w:p>
    <w:p w:rsidR="000C5F0A" w:rsidRPr="006E7F19" w:rsidRDefault="00447C6F" w:rsidP="00447C6F">
      <w:pPr>
        <w:pStyle w:val="EstiloPortada"/>
        <w:ind w:left="2694" w:right="-425"/>
        <w:jc w:val="right"/>
        <w:rPr>
          <w:sz w:val="52"/>
          <w:szCs w:val="52"/>
        </w:rPr>
      </w:pPr>
      <w:r>
        <w:rPr>
          <w:sz w:val="52"/>
          <w:szCs w:val="52"/>
        </w:rPr>
        <w:t xml:space="preserve"> </w:t>
      </w:r>
    </w:p>
    <w:p w:rsidR="000C5F0A" w:rsidRPr="006E7F19" w:rsidRDefault="000C5F0A" w:rsidP="00033721">
      <w:pPr>
        <w:pStyle w:val="EstiloPortada"/>
        <w:ind w:left="3261" w:right="-425"/>
        <w:jc w:val="right"/>
        <w:rPr>
          <w:sz w:val="52"/>
          <w:szCs w:val="52"/>
        </w:rPr>
      </w:pPr>
      <w:r>
        <w:rPr>
          <w:sz w:val="52"/>
          <w:szCs w:val="52"/>
        </w:rPr>
        <w:t>(1991-2017)</w:t>
      </w:r>
    </w:p>
    <w:p w:rsidR="000C5F0A" w:rsidRDefault="000C5F0A" w:rsidP="000C5F0A">
      <w:pPr>
        <w:pStyle w:val="texto"/>
        <w:ind w:left="1843" w:right="-142"/>
      </w:pPr>
    </w:p>
    <w:p w:rsidR="000C5F0A" w:rsidRDefault="000C5F0A" w:rsidP="000C5F0A">
      <w:pPr>
        <w:pStyle w:val="texto"/>
      </w:pPr>
      <w:bookmarkStart w:id="0" w:name="_GoBack"/>
      <w:bookmarkEnd w:id="0"/>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Pr="00204979" w:rsidRDefault="000C5F0A" w:rsidP="000C5F0A">
      <w:pPr>
        <w:pStyle w:val="texto"/>
      </w:pPr>
    </w:p>
    <w:p w:rsidR="000C5F0A" w:rsidRDefault="000C5F0A" w:rsidP="000C5F0A">
      <w:pPr>
        <w:pStyle w:val="texto"/>
      </w:pPr>
    </w:p>
    <w:p w:rsidR="000C5F0A" w:rsidRDefault="000C5F0A" w:rsidP="000C5F0A">
      <w:pPr>
        <w:pStyle w:val="texto"/>
      </w:pPr>
    </w:p>
    <w:p w:rsidR="000C5F0A" w:rsidRDefault="000C5F0A" w:rsidP="000C5F0A">
      <w:pPr>
        <w:pStyle w:val="texto"/>
      </w:pPr>
    </w:p>
    <w:p w:rsidR="000C5F0A" w:rsidRDefault="000C5F0A" w:rsidP="000C5F0A">
      <w:pPr>
        <w:pStyle w:val="texto"/>
        <w:ind w:firstLine="0"/>
      </w:pPr>
    </w:p>
    <w:p w:rsidR="000C5F0A" w:rsidRPr="00204979" w:rsidRDefault="000C5F0A" w:rsidP="000C5F0A">
      <w:pPr>
        <w:pStyle w:val="texto"/>
        <w:ind w:firstLine="0"/>
      </w:pPr>
    </w:p>
    <w:p w:rsidR="000C5F0A" w:rsidRDefault="000C5F0A" w:rsidP="000C5F0A">
      <w:pPr>
        <w:pStyle w:val="texto"/>
        <w:ind w:firstLine="0"/>
      </w:pPr>
    </w:p>
    <w:p w:rsidR="000C5F0A" w:rsidRPr="00204979" w:rsidRDefault="000C5F0A" w:rsidP="000C5F0A">
      <w:pPr>
        <w:pStyle w:val="texto"/>
      </w:pPr>
    </w:p>
    <w:p w:rsidR="000C5F0A" w:rsidRPr="000839F5" w:rsidRDefault="00001474" w:rsidP="000C5F0A">
      <w:pPr>
        <w:pStyle w:val="Fechaportada"/>
        <w:rPr>
          <w:sz w:val="30"/>
          <w:szCs w:val="30"/>
        </w:rPr>
      </w:pPr>
      <w:r>
        <w:rPr>
          <w:sz w:val="30"/>
          <w:szCs w:val="30"/>
        </w:rPr>
        <w:t>2018ko ekaina</w:t>
      </w:r>
    </w:p>
    <w:p w:rsidR="000C5F0A" w:rsidRPr="00B52998" w:rsidRDefault="000C5F0A" w:rsidP="000C5F0A">
      <w:pPr>
        <w:pStyle w:val="ndice"/>
        <w:rPr>
          <w:rFonts w:ascii="Times New Roman" w:hAnsi="Times New Roman"/>
          <w:color w:val="auto"/>
        </w:rPr>
        <w:sectPr w:rsidR="000C5F0A" w:rsidRPr="00B52998" w:rsidSect="000C5F0A">
          <w:headerReference w:type="default" r:id="rId9"/>
          <w:footerReference w:type="even" r:id="rId10"/>
          <w:footerReference w:type="default" r:id="rId11"/>
          <w:headerReference w:type="first" r:id="rId12"/>
          <w:footerReference w:type="first" r:id="rId13"/>
          <w:type w:val="oddPage"/>
          <w:pgSz w:w="11907" w:h="16840" w:code="9"/>
          <w:pgMar w:top="2835" w:right="1559" w:bottom="1644" w:left="1559" w:header="369" w:footer="136" w:gutter="0"/>
          <w:pgNumType w:start="1"/>
          <w:cols w:space="720"/>
          <w:titlePg/>
          <w:docGrid w:linePitch="360"/>
        </w:sectPr>
      </w:pPr>
    </w:p>
    <w:p w:rsidR="000C5F0A" w:rsidRDefault="000C5F0A" w:rsidP="000C5F0A">
      <w:pPr>
        <w:pStyle w:val="ndice"/>
      </w:pPr>
      <w:r>
        <w:lastRenderedPageBreak/>
        <w:t>Aurkibidea</w:t>
      </w:r>
    </w:p>
    <w:p w:rsidR="009254D0" w:rsidRDefault="000C5F0A" w:rsidP="000C5F0A">
      <w:pPr>
        <w:pStyle w:val="texto"/>
        <w:ind w:right="-211"/>
        <w:jc w:val="right"/>
        <w:rPr>
          <w:noProof/>
        </w:rPr>
      </w:pPr>
      <w:r>
        <w:tab/>
      </w:r>
      <w:r>
        <w:tab/>
      </w:r>
      <w:r>
        <w:tab/>
      </w:r>
      <w:r>
        <w:tab/>
      </w:r>
      <w:r>
        <w:tab/>
      </w:r>
      <w:r>
        <w:rPr>
          <w:smallCaps/>
          <w:sz w:val="20"/>
          <w:szCs w:val="20"/>
        </w:rPr>
        <w:t>orrialdea</w:t>
      </w:r>
      <w:r>
        <w:t xml:space="preserve"> </w:t>
      </w:r>
      <w:r>
        <w:rPr>
          <w:rFonts w:ascii="Arial Narrow" w:hAnsi="Arial Narrow"/>
          <w:smallCaps/>
          <w:sz w:val="22"/>
          <w:szCs w:val="20"/>
        </w:rPr>
        <w:fldChar w:fldCharType="begin"/>
      </w:r>
      <w:r>
        <w:instrText xml:space="preserve"> TOC \o "1-3" \h \z \t "atitulo1;1;atitulo2;2" </w:instrText>
      </w:r>
      <w:r>
        <w:rPr>
          <w:rFonts w:ascii="Arial Narrow" w:hAnsi="Arial Narrow"/>
          <w:smallCaps/>
          <w:sz w:val="22"/>
          <w:szCs w:val="20"/>
        </w:rPr>
        <w:fldChar w:fldCharType="separate"/>
      </w:r>
    </w:p>
    <w:p w:rsidR="009254D0" w:rsidRDefault="009254D0">
      <w:pPr>
        <w:pStyle w:val="TDC1"/>
        <w:rPr>
          <w:rFonts w:asciiTheme="minorHAnsi" w:eastAsiaTheme="minorEastAsia" w:hAnsiTheme="minorHAnsi" w:cstheme="minorBidi"/>
          <w:smallCaps w:val="0"/>
          <w:noProof/>
          <w:szCs w:val="22"/>
          <w:lang w:val="es-ES" w:eastAsia="es-ES"/>
        </w:rPr>
      </w:pPr>
      <w:hyperlink w:anchor="_Toc519583194" w:history="1">
        <w:r w:rsidRPr="00915CBF">
          <w:rPr>
            <w:rStyle w:val="Hipervnculo"/>
            <w:noProof/>
          </w:rPr>
          <w:t>Laburpen exekutiboa</w:t>
        </w:r>
        <w:r>
          <w:rPr>
            <w:noProof/>
            <w:webHidden/>
          </w:rPr>
          <w:tab/>
        </w:r>
        <w:r>
          <w:rPr>
            <w:noProof/>
            <w:webHidden/>
          </w:rPr>
          <w:fldChar w:fldCharType="begin"/>
        </w:r>
        <w:r>
          <w:rPr>
            <w:noProof/>
            <w:webHidden/>
          </w:rPr>
          <w:instrText xml:space="preserve"> PAGEREF _Toc519583194 \h </w:instrText>
        </w:r>
        <w:r>
          <w:rPr>
            <w:noProof/>
            <w:webHidden/>
          </w:rPr>
        </w:r>
        <w:r>
          <w:rPr>
            <w:noProof/>
            <w:webHidden/>
          </w:rPr>
          <w:fldChar w:fldCharType="separate"/>
        </w:r>
        <w:r>
          <w:rPr>
            <w:noProof/>
            <w:webHidden/>
          </w:rPr>
          <w:t>3</w:t>
        </w:r>
        <w:r>
          <w:rPr>
            <w:noProof/>
            <w:webHidden/>
          </w:rPr>
          <w:fldChar w:fldCharType="end"/>
        </w:r>
      </w:hyperlink>
    </w:p>
    <w:p w:rsidR="009254D0" w:rsidRDefault="009254D0">
      <w:pPr>
        <w:pStyle w:val="TDC1"/>
        <w:rPr>
          <w:rFonts w:asciiTheme="minorHAnsi" w:eastAsiaTheme="minorEastAsia" w:hAnsiTheme="minorHAnsi" w:cstheme="minorBidi"/>
          <w:smallCaps w:val="0"/>
          <w:noProof/>
          <w:szCs w:val="22"/>
          <w:lang w:val="es-ES" w:eastAsia="es-ES"/>
        </w:rPr>
      </w:pPr>
      <w:hyperlink w:anchor="_Toc519583195" w:history="1">
        <w:r w:rsidRPr="00915CBF">
          <w:rPr>
            <w:rStyle w:val="Hipervnculo"/>
            <w:noProof/>
          </w:rPr>
          <w:t>I. Sarrera</w:t>
        </w:r>
        <w:r>
          <w:rPr>
            <w:noProof/>
            <w:webHidden/>
          </w:rPr>
          <w:tab/>
        </w:r>
        <w:r>
          <w:rPr>
            <w:noProof/>
            <w:webHidden/>
          </w:rPr>
          <w:fldChar w:fldCharType="begin"/>
        </w:r>
        <w:r>
          <w:rPr>
            <w:noProof/>
            <w:webHidden/>
          </w:rPr>
          <w:instrText xml:space="preserve"> PAGEREF _Toc519583195 \h </w:instrText>
        </w:r>
        <w:r>
          <w:rPr>
            <w:noProof/>
            <w:webHidden/>
          </w:rPr>
        </w:r>
        <w:r>
          <w:rPr>
            <w:noProof/>
            <w:webHidden/>
          </w:rPr>
          <w:fldChar w:fldCharType="separate"/>
        </w:r>
        <w:r>
          <w:rPr>
            <w:noProof/>
            <w:webHidden/>
          </w:rPr>
          <w:t>7</w:t>
        </w:r>
        <w:r>
          <w:rPr>
            <w:noProof/>
            <w:webHidden/>
          </w:rPr>
          <w:fldChar w:fldCharType="end"/>
        </w:r>
      </w:hyperlink>
    </w:p>
    <w:p w:rsidR="009254D0" w:rsidRDefault="009254D0">
      <w:pPr>
        <w:pStyle w:val="TDC1"/>
        <w:rPr>
          <w:rFonts w:asciiTheme="minorHAnsi" w:eastAsiaTheme="minorEastAsia" w:hAnsiTheme="minorHAnsi" w:cstheme="minorBidi"/>
          <w:smallCaps w:val="0"/>
          <w:noProof/>
          <w:szCs w:val="22"/>
          <w:lang w:val="es-ES" w:eastAsia="es-ES"/>
        </w:rPr>
      </w:pPr>
      <w:hyperlink w:anchor="_Toc519583196" w:history="1">
        <w:r w:rsidRPr="00915CBF">
          <w:rPr>
            <w:rStyle w:val="Hipervnculo"/>
            <w:noProof/>
          </w:rPr>
          <w:t>II. Iruñerriko Garraioaren Hiriaren proiektuaren garapen historikoaren mugarri nagusiak</w:t>
        </w:r>
        <w:r>
          <w:rPr>
            <w:noProof/>
            <w:webHidden/>
          </w:rPr>
          <w:tab/>
        </w:r>
        <w:r>
          <w:rPr>
            <w:noProof/>
            <w:webHidden/>
          </w:rPr>
          <w:fldChar w:fldCharType="begin"/>
        </w:r>
        <w:r>
          <w:rPr>
            <w:noProof/>
            <w:webHidden/>
          </w:rPr>
          <w:instrText xml:space="preserve"> PAGEREF _Toc519583196 \h </w:instrText>
        </w:r>
        <w:r>
          <w:rPr>
            <w:noProof/>
            <w:webHidden/>
          </w:rPr>
        </w:r>
        <w:r>
          <w:rPr>
            <w:noProof/>
            <w:webHidden/>
          </w:rPr>
          <w:fldChar w:fldCharType="separate"/>
        </w:r>
        <w:r>
          <w:rPr>
            <w:noProof/>
            <w:webHidden/>
          </w:rPr>
          <w:t>9</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197" w:history="1">
        <w:r w:rsidRPr="00915CBF">
          <w:rPr>
            <w:rStyle w:val="Hipervnculo"/>
            <w:noProof/>
          </w:rPr>
          <w:t>II.1. Iruñerriko Garraioaren Hiriaren 1. eta 2. faseak.</w:t>
        </w:r>
        <w:r>
          <w:rPr>
            <w:noProof/>
            <w:webHidden/>
          </w:rPr>
          <w:tab/>
        </w:r>
        <w:r>
          <w:rPr>
            <w:noProof/>
            <w:webHidden/>
          </w:rPr>
          <w:fldChar w:fldCharType="begin"/>
        </w:r>
        <w:r>
          <w:rPr>
            <w:noProof/>
            <w:webHidden/>
          </w:rPr>
          <w:instrText xml:space="preserve"> PAGEREF _Toc519583197 \h </w:instrText>
        </w:r>
        <w:r>
          <w:rPr>
            <w:noProof/>
            <w:webHidden/>
          </w:rPr>
        </w:r>
        <w:r>
          <w:rPr>
            <w:noProof/>
            <w:webHidden/>
          </w:rPr>
          <w:fldChar w:fldCharType="separate"/>
        </w:r>
        <w:r>
          <w:rPr>
            <w:noProof/>
            <w:webHidden/>
          </w:rPr>
          <w:t>10</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198" w:history="1">
        <w:r w:rsidRPr="00915CBF">
          <w:rPr>
            <w:rStyle w:val="Hipervnculo"/>
            <w:noProof/>
          </w:rPr>
          <w:t>II.2. Iruñerriko Garraioaren Hiriaren 3. eta 4. faseak.</w:t>
        </w:r>
        <w:r>
          <w:rPr>
            <w:noProof/>
            <w:webHidden/>
          </w:rPr>
          <w:tab/>
        </w:r>
        <w:r>
          <w:rPr>
            <w:noProof/>
            <w:webHidden/>
          </w:rPr>
          <w:fldChar w:fldCharType="begin"/>
        </w:r>
        <w:r>
          <w:rPr>
            <w:noProof/>
            <w:webHidden/>
          </w:rPr>
          <w:instrText xml:space="preserve"> PAGEREF _Toc519583198 \h </w:instrText>
        </w:r>
        <w:r>
          <w:rPr>
            <w:noProof/>
            <w:webHidden/>
          </w:rPr>
        </w:r>
        <w:r>
          <w:rPr>
            <w:noProof/>
            <w:webHidden/>
          </w:rPr>
          <w:fldChar w:fldCharType="separate"/>
        </w:r>
        <w:r>
          <w:rPr>
            <w:noProof/>
            <w:webHidden/>
          </w:rPr>
          <w:t>13</w:t>
        </w:r>
        <w:r>
          <w:rPr>
            <w:noProof/>
            <w:webHidden/>
          </w:rPr>
          <w:fldChar w:fldCharType="end"/>
        </w:r>
      </w:hyperlink>
    </w:p>
    <w:p w:rsidR="009254D0" w:rsidRDefault="009254D0">
      <w:pPr>
        <w:pStyle w:val="TDC1"/>
        <w:rPr>
          <w:rFonts w:asciiTheme="minorHAnsi" w:eastAsiaTheme="minorEastAsia" w:hAnsiTheme="minorHAnsi" w:cstheme="minorBidi"/>
          <w:smallCaps w:val="0"/>
          <w:noProof/>
          <w:szCs w:val="22"/>
          <w:lang w:val="es-ES" w:eastAsia="es-ES"/>
        </w:rPr>
      </w:pPr>
      <w:hyperlink w:anchor="_Toc519583199" w:history="1">
        <w:r w:rsidRPr="00915CBF">
          <w:rPr>
            <w:rStyle w:val="Hipervnculo"/>
            <w:noProof/>
          </w:rPr>
          <w:t>III Helburua, norainokoa eta mugak</w:t>
        </w:r>
        <w:r>
          <w:rPr>
            <w:noProof/>
            <w:webHidden/>
          </w:rPr>
          <w:tab/>
        </w:r>
        <w:r>
          <w:rPr>
            <w:noProof/>
            <w:webHidden/>
          </w:rPr>
          <w:fldChar w:fldCharType="begin"/>
        </w:r>
        <w:r>
          <w:rPr>
            <w:noProof/>
            <w:webHidden/>
          </w:rPr>
          <w:instrText xml:space="preserve"> PAGEREF _Toc519583199 \h </w:instrText>
        </w:r>
        <w:r>
          <w:rPr>
            <w:noProof/>
            <w:webHidden/>
          </w:rPr>
        </w:r>
        <w:r>
          <w:rPr>
            <w:noProof/>
            <w:webHidden/>
          </w:rPr>
          <w:fldChar w:fldCharType="separate"/>
        </w:r>
        <w:r>
          <w:rPr>
            <w:noProof/>
            <w:webHidden/>
          </w:rPr>
          <w:t>21</w:t>
        </w:r>
        <w:r>
          <w:rPr>
            <w:noProof/>
            <w:webHidden/>
          </w:rPr>
          <w:fldChar w:fldCharType="end"/>
        </w:r>
      </w:hyperlink>
    </w:p>
    <w:p w:rsidR="009254D0" w:rsidRDefault="009254D0">
      <w:pPr>
        <w:pStyle w:val="TDC1"/>
        <w:rPr>
          <w:rFonts w:asciiTheme="minorHAnsi" w:eastAsiaTheme="minorEastAsia" w:hAnsiTheme="minorHAnsi" w:cstheme="minorBidi"/>
          <w:smallCaps w:val="0"/>
          <w:noProof/>
          <w:szCs w:val="22"/>
          <w:lang w:val="es-ES" w:eastAsia="es-ES"/>
        </w:rPr>
      </w:pPr>
      <w:hyperlink w:anchor="_Toc519583200" w:history="1">
        <w:r w:rsidRPr="00915CBF">
          <w:rPr>
            <w:rStyle w:val="Hipervnculo"/>
            <w:noProof/>
          </w:rPr>
          <w:t>IV. Ondorioak eta gomendioak</w:t>
        </w:r>
        <w:r>
          <w:rPr>
            <w:noProof/>
            <w:webHidden/>
          </w:rPr>
          <w:tab/>
        </w:r>
        <w:r>
          <w:rPr>
            <w:noProof/>
            <w:webHidden/>
          </w:rPr>
          <w:fldChar w:fldCharType="begin"/>
        </w:r>
        <w:r>
          <w:rPr>
            <w:noProof/>
            <w:webHidden/>
          </w:rPr>
          <w:instrText xml:space="preserve"> PAGEREF _Toc519583200 \h </w:instrText>
        </w:r>
        <w:r>
          <w:rPr>
            <w:noProof/>
            <w:webHidden/>
          </w:rPr>
        </w:r>
        <w:r>
          <w:rPr>
            <w:noProof/>
            <w:webHidden/>
          </w:rPr>
          <w:fldChar w:fldCharType="separate"/>
        </w:r>
        <w:r>
          <w:rPr>
            <w:noProof/>
            <w:webHidden/>
          </w:rPr>
          <w:t>23</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01" w:history="1">
        <w:r w:rsidRPr="00915CBF">
          <w:rPr>
            <w:rStyle w:val="Hipervnculo"/>
            <w:noProof/>
          </w:rPr>
          <w:t>IV.1 Iruñerriko Garraioaren Hiria</w:t>
        </w:r>
        <w:r>
          <w:rPr>
            <w:noProof/>
            <w:webHidden/>
          </w:rPr>
          <w:tab/>
        </w:r>
        <w:r>
          <w:rPr>
            <w:noProof/>
            <w:webHidden/>
          </w:rPr>
          <w:fldChar w:fldCharType="begin"/>
        </w:r>
        <w:r>
          <w:rPr>
            <w:noProof/>
            <w:webHidden/>
          </w:rPr>
          <w:instrText xml:space="preserve"> PAGEREF _Toc519583201 \h </w:instrText>
        </w:r>
        <w:r>
          <w:rPr>
            <w:noProof/>
            <w:webHidden/>
          </w:rPr>
        </w:r>
        <w:r>
          <w:rPr>
            <w:noProof/>
            <w:webHidden/>
          </w:rPr>
          <w:fldChar w:fldCharType="separate"/>
        </w:r>
        <w:r>
          <w:rPr>
            <w:noProof/>
            <w:webHidden/>
          </w:rPr>
          <w:t>23</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02" w:history="1">
        <w:r w:rsidRPr="00915CBF">
          <w:rPr>
            <w:rStyle w:val="Hipervnculo"/>
            <w:noProof/>
          </w:rPr>
          <w:t>IV.2. Garraioaren Hiriaren gaineko udalez gaindiko plan sektorialak</w:t>
        </w:r>
        <w:r>
          <w:rPr>
            <w:noProof/>
            <w:webHidden/>
          </w:rPr>
          <w:tab/>
        </w:r>
        <w:r>
          <w:rPr>
            <w:noProof/>
            <w:webHidden/>
          </w:rPr>
          <w:fldChar w:fldCharType="begin"/>
        </w:r>
        <w:r>
          <w:rPr>
            <w:noProof/>
            <w:webHidden/>
          </w:rPr>
          <w:instrText xml:space="preserve"> PAGEREF _Toc519583202 \h </w:instrText>
        </w:r>
        <w:r>
          <w:rPr>
            <w:noProof/>
            <w:webHidden/>
          </w:rPr>
        </w:r>
        <w:r>
          <w:rPr>
            <w:noProof/>
            <w:webHidden/>
          </w:rPr>
          <w:fldChar w:fldCharType="separate"/>
        </w:r>
        <w:r>
          <w:rPr>
            <w:noProof/>
            <w:webHidden/>
          </w:rPr>
          <w:t>26</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03" w:history="1">
        <w:r w:rsidRPr="00915CBF">
          <w:rPr>
            <w:rStyle w:val="Hipervnculo"/>
            <w:noProof/>
          </w:rPr>
          <w:t>IV.3. Garraioaren Hiriaren lursailak desjabetzeko prozesua</w:t>
        </w:r>
        <w:r>
          <w:rPr>
            <w:noProof/>
            <w:webHidden/>
          </w:rPr>
          <w:tab/>
        </w:r>
        <w:r>
          <w:rPr>
            <w:noProof/>
            <w:webHidden/>
          </w:rPr>
          <w:fldChar w:fldCharType="begin"/>
        </w:r>
        <w:r>
          <w:rPr>
            <w:noProof/>
            <w:webHidden/>
          </w:rPr>
          <w:instrText xml:space="preserve"> PAGEREF _Toc519583203 \h </w:instrText>
        </w:r>
        <w:r>
          <w:rPr>
            <w:noProof/>
            <w:webHidden/>
          </w:rPr>
        </w:r>
        <w:r>
          <w:rPr>
            <w:noProof/>
            <w:webHidden/>
          </w:rPr>
          <w:fldChar w:fldCharType="separate"/>
        </w:r>
        <w:r>
          <w:rPr>
            <w:noProof/>
            <w:webHidden/>
          </w:rPr>
          <w:t>29</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04" w:history="1">
        <w:r w:rsidRPr="00915CBF">
          <w:rPr>
            <w:rStyle w:val="Hipervnculo"/>
            <w:noProof/>
          </w:rPr>
          <w:t>IV.4. Garraioaren Hiriaren kudeaketa-eredua</w:t>
        </w:r>
        <w:r>
          <w:rPr>
            <w:noProof/>
            <w:webHidden/>
          </w:rPr>
          <w:tab/>
        </w:r>
        <w:r>
          <w:rPr>
            <w:noProof/>
            <w:webHidden/>
          </w:rPr>
          <w:fldChar w:fldCharType="begin"/>
        </w:r>
        <w:r>
          <w:rPr>
            <w:noProof/>
            <w:webHidden/>
          </w:rPr>
          <w:instrText xml:space="preserve"> PAGEREF _Toc519583204 \h </w:instrText>
        </w:r>
        <w:r>
          <w:rPr>
            <w:noProof/>
            <w:webHidden/>
          </w:rPr>
        </w:r>
        <w:r>
          <w:rPr>
            <w:noProof/>
            <w:webHidden/>
          </w:rPr>
          <w:fldChar w:fldCharType="separate"/>
        </w:r>
        <w:r>
          <w:rPr>
            <w:noProof/>
            <w:webHidden/>
          </w:rPr>
          <w:t>33</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05" w:history="1">
        <w:r w:rsidRPr="00915CBF">
          <w:rPr>
            <w:rStyle w:val="Hipervnculo"/>
            <w:noProof/>
          </w:rPr>
          <w:t>IV.5. Garraioaren Hiriaren sozietate kudeatzailea</w:t>
        </w:r>
        <w:r>
          <w:rPr>
            <w:noProof/>
            <w:webHidden/>
          </w:rPr>
          <w:tab/>
        </w:r>
        <w:r>
          <w:rPr>
            <w:noProof/>
            <w:webHidden/>
          </w:rPr>
          <w:fldChar w:fldCharType="begin"/>
        </w:r>
        <w:r>
          <w:rPr>
            <w:noProof/>
            <w:webHidden/>
          </w:rPr>
          <w:instrText xml:space="preserve"> PAGEREF _Toc519583205 \h </w:instrText>
        </w:r>
        <w:r>
          <w:rPr>
            <w:noProof/>
            <w:webHidden/>
          </w:rPr>
        </w:r>
        <w:r>
          <w:rPr>
            <w:noProof/>
            <w:webHidden/>
          </w:rPr>
          <w:fldChar w:fldCharType="separate"/>
        </w:r>
        <w:r>
          <w:rPr>
            <w:noProof/>
            <w:webHidden/>
          </w:rPr>
          <w:t>35</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06" w:history="1">
        <w:r w:rsidRPr="00915CBF">
          <w:rPr>
            <w:rStyle w:val="Hipervnculo"/>
            <w:noProof/>
          </w:rPr>
          <w:t>IV.6. Garraioaren Hiriaren urbanizaziorako, ustiatzerako eta merkaturatzerako kontratuak</w:t>
        </w:r>
        <w:r>
          <w:rPr>
            <w:noProof/>
            <w:webHidden/>
          </w:rPr>
          <w:tab/>
        </w:r>
        <w:r>
          <w:rPr>
            <w:noProof/>
            <w:webHidden/>
          </w:rPr>
          <w:fldChar w:fldCharType="begin"/>
        </w:r>
        <w:r>
          <w:rPr>
            <w:noProof/>
            <w:webHidden/>
          </w:rPr>
          <w:instrText xml:space="preserve"> PAGEREF _Toc519583206 \h </w:instrText>
        </w:r>
        <w:r>
          <w:rPr>
            <w:noProof/>
            <w:webHidden/>
          </w:rPr>
        </w:r>
        <w:r>
          <w:rPr>
            <w:noProof/>
            <w:webHidden/>
          </w:rPr>
          <w:fldChar w:fldCharType="separate"/>
        </w:r>
        <w:r>
          <w:rPr>
            <w:noProof/>
            <w:webHidden/>
          </w:rPr>
          <w:t>39</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07" w:history="1">
        <w:r w:rsidRPr="00915CBF">
          <w:rPr>
            <w:rStyle w:val="Hipervnculo"/>
            <w:noProof/>
          </w:rPr>
          <w:t>IV.7. Inbertsioak eta finantzaketa publikoa Garraioaren Hirian</w:t>
        </w:r>
        <w:r>
          <w:rPr>
            <w:noProof/>
            <w:webHidden/>
          </w:rPr>
          <w:tab/>
        </w:r>
        <w:r>
          <w:rPr>
            <w:noProof/>
            <w:webHidden/>
          </w:rPr>
          <w:fldChar w:fldCharType="begin"/>
        </w:r>
        <w:r>
          <w:rPr>
            <w:noProof/>
            <w:webHidden/>
          </w:rPr>
          <w:instrText xml:space="preserve"> PAGEREF _Toc519583207 \h </w:instrText>
        </w:r>
        <w:r>
          <w:rPr>
            <w:noProof/>
            <w:webHidden/>
          </w:rPr>
        </w:r>
        <w:r>
          <w:rPr>
            <w:noProof/>
            <w:webHidden/>
          </w:rPr>
          <w:fldChar w:fldCharType="separate"/>
        </w:r>
        <w:r>
          <w:rPr>
            <w:noProof/>
            <w:webHidden/>
          </w:rPr>
          <w:t>46</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08" w:history="1">
        <w:r w:rsidRPr="00915CBF">
          <w:rPr>
            <w:rStyle w:val="Hipervnculo"/>
            <w:noProof/>
          </w:rPr>
          <w:t>IV.8. Garraioaren Hiriaren 4. fasearen garapena</w:t>
        </w:r>
        <w:r>
          <w:rPr>
            <w:noProof/>
            <w:webHidden/>
          </w:rPr>
          <w:tab/>
        </w:r>
        <w:r>
          <w:rPr>
            <w:noProof/>
            <w:webHidden/>
          </w:rPr>
          <w:fldChar w:fldCharType="begin"/>
        </w:r>
        <w:r>
          <w:rPr>
            <w:noProof/>
            <w:webHidden/>
          </w:rPr>
          <w:instrText xml:space="preserve"> PAGEREF _Toc519583208 \h </w:instrText>
        </w:r>
        <w:r>
          <w:rPr>
            <w:noProof/>
            <w:webHidden/>
          </w:rPr>
        </w:r>
        <w:r>
          <w:rPr>
            <w:noProof/>
            <w:webHidden/>
          </w:rPr>
          <w:fldChar w:fldCharType="separate"/>
        </w:r>
        <w:r>
          <w:rPr>
            <w:noProof/>
            <w:webHidden/>
          </w:rPr>
          <w:t>49</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09" w:history="1">
        <w:r w:rsidRPr="00915CBF">
          <w:rPr>
            <w:rStyle w:val="Hipervnculo"/>
            <w:noProof/>
          </w:rPr>
          <w:t>IV.9. Garraioaren Hiriaren okupazio-maila</w:t>
        </w:r>
        <w:r>
          <w:rPr>
            <w:noProof/>
            <w:webHidden/>
          </w:rPr>
          <w:tab/>
        </w:r>
        <w:r>
          <w:rPr>
            <w:noProof/>
            <w:webHidden/>
          </w:rPr>
          <w:fldChar w:fldCharType="begin"/>
        </w:r>
        <w:r>
          <w:rPr>
            <w:noProof/>
            <w:webHidden/>
          </w:rPr>
          <w:instrText xml:space="preserve"> PAGEREF _Toc519583209 \h </w:instrText>
        </w:r>
        <w:r>
          <w:rPr>
            <w:noProof/>
            <w:webHidden/>
          </w:rPr>
        </w:r>
        <w:r>
          <w:rPr>
            <w:noProof/>
            <w:webHidden/>
          </w:rPr>
          <w:fldChar w:fldCharType="separate"/>
        </w:r>
        <w:r>
          <w:rPr>
            <w:noProof/>
            <w:webHidden/>
          </w:rPr>
          <w:t>50</w:t>
        </w:r>
        <w:r>
          <w:rPr>
            <w:noProof/>
            <w:webHidden/>
          </w:rPr>
          <w:fldChar w:fldCharType="end"/>
        </w:r>
      </w:hyperlink>
    </w:p>
    <w:p w:rsidR="009254D0" w:rsidRDefault="009254D0">
      <w:pPr>
        <w:pStyle w:val="TDC2"/>
        <w:rPr>
          <w:rFonts w:asciiTheme="minorHAnsi" w:eastAsiaTheme="minorEastAsia" w:hAnsiTheme="minorHAnsi" w:cstheme="minorBidi"/>
          <w:noProof/>
          <w:szCs w:val="22"/>
          <w:lang w:val="es-ES" w:eastAsia="es-ES"/>
        </w:rPr>
      </w:pPr>
      <w:hyperlink w:anchor="_Toc519583210" w:history="1">
        <w:r w:rsidRPr="00915CBF">
          <w:rPr>
            <w:rStyle w:val="Hipervnculo"/>
            <w:noProof/>
          </w:rPr>
          <w:t>IV.10. Gomendioak</w:t>
        </w:r>
        <w:r>
          <w:rPr>
            <w:noProof/>
            <w:webHidden/>
          </w:rPr>
          <w:tab/>
        </w:r>
        <w:r>
          <w:rPr>
            <w:noProof/>
            <w:webHidden/>
          </w:rPr>
          <w:fldChar w:fldCharType="begin"/>
        </w:r>
        <w:r>
          <w:rPr>
            <w:noProof/>
            <w:webHidden/>
          </w:rPr>
          <w:instrText xml:space="preserve"> PAGEREF _Toc519583210 \h </w:instrText>
        </w:r>
        <w:r>
          <w:rPr>
            <w:noProof/>
            <w:webHidden/>
          </w:rPr>
        </w:r>
        <w:r>
          <w:rPr>
            <w:noProof/>
            <w:webHidden/>
          </w:rPr>
          <w:fldChar w:fldCharType="separate"/>
        </w:r>
        <w:r>
          <w:rPr>
            <w:noProof/>
            <w:webHidden/>
          </w:rPr>
          <w:t>50</w:t>
        </w:r>
        <w:r>
          <w:rPr>
            <w:noProof/>
            <w:webHidden/>
          </w:rPr>
          <w:fldChar w:fldCharType="end"/>
        </w:r>
      </w:hyperlink>
    </w:p>
    <w:p w:rsidR="009254D0" w:rsidRDefault="009254D0">
      <w:pPr>
        <w:pStyle w:val="TDC1"/>
        <w:rPr>
          <w:rFonts w:asciiTheme="minorHAnsi" w:eastAsiaTheme="minorEastAsia" w:hAnsiTheme="minorHAnsi" w:cstheme="minorBidi"/>
          <w:smallCaps w:val="0"/>
          <w:noProof/>
          <w:szCs w:val="22"/>
          <w:lang w:val="es-ES" w:eastAsia="es-ES"/>
        </w:rPr>
      </w:pPr>
      <w:hyperlink w:anchor="_Toc519583211" w:history="1">
        <w:r w:rsidRPr="00915CBF">
          <w:rPr>
            <w:rStyle w:val="Hipervnculo"/>
            <w:noProof/>
          </w:rPr>
          <w:t>BEHIN-BEHINEKO TXOSTENARI AURKEZTUTAKO ALEGAZIOAK</w:t>
        </w:r>
        <w:r>
          <w:rPr>
            <w:noProof/>
            <w:webHidden/>
          </w:rPr>
          <w:tab/>
        </w:r>
        <w:r>
          <w:rPr>
            <w:noProof/>
            <w:webHidden/>
          </w:rPr>
          <w:fldChar w:fldCharType="begin"/>
        </w:r>
        <w:r>
          <w:rPr>
            <w:noProof/>
            <w:webHidden/>
          </w:rPr>
          <w:instrText xml:space="preserve"> PAGEREF _Toc519583211 \h </w:instrText>
        </w:r>
        <w:r>
          <w:rPr>
            <w:noProof/>
            <w:webHidden/>
          </w:rPr>
        </w:r>
        <w:r>
          <w:rPr>
            <w:noProof/>
            <w:webHidden/>
          </w:rPr>
          <w:fldChar w:fldCharType="separate"/>
        </w:r>
        <w:r>
          <w:rPr>
            <w:noProof/>
            <w:webHidden/>
          </w:rPr>
          <w:t>52</w:t>
        </w:r>
        <w:r>
          <w:rPr>
            <w:noProof/>
            <w:webHidden/>
          </w:rPr>
          <w:fldChar w:fldCharType="end"/>
        </w:r>
      </w:hyperlink>
    </w:p>
    <w:p w:rsidR="009254D0" w:rsidRDefault="009254D0">
      <w:pPr>
        <w:pStyle w:val="TDC1"/>
        <w:rPr>
          <w:rFonts w:asciiTheme="minorHAnsi" w:eastAsiaTheme="minorEastAsia" w:hAnsiTheme="minorHAnsi" w:cstheme="minorBidi"/>
          <w:smallCaps w:val="0"/>
          <w:noProof/>
          <w:szCs w:val="22"/>
          <w:lang w:val="es-ES" w:eastAsia="es-ES"/>
        </w:rPr>
      </w:pPr>
      <w:hyperlink w:anchor="_Toc519583212" w:history="1">
        <w:r w:rsidRPr="00915CBF">
          <w:rPr>
            <w:rStyle w:val="Hipervnculo"/>
            <w:noProof/>
          </w:rPr>
          <w:t>Behin-behineko txostenari aurkeztutako alegazioei Kontuen Ganberak emandako erantzuna.</w:t>
        </w:r>
        <w:r>
          <w:rPr>
            <w:noProof/>
            <w:webHidden/>
          </w:rPr>
          <w:tab/>
        </w:r>
        <w:r>
          <w:rPr>
            <w:noProof/>
            <w:webHidden/>
          </w:rPr>
          <w:fldChar w:fldCharType="begin"/>
        </w:r>
        <w:r>
          <w:rPr>
            <w:noProof/>
            <w:webHidden/>
          </w:rPr>
          <w:instrText xml:space="preserve"> PAGEREF _Toc519583212 \h </w:instrText>
        </w:r>
        <w:r>
          <w:rPr>
            <w:noProof/>
            <w:webHidden/>
          </w:rPr>
        </w:r>
        <w:r>
          <w:rPr>
            <w:noProof/>
            <w:webHidden/>
          </w:rPr>
          <w:fldChar w:fldCharType="separate"/>
        </w:r>
        <w:r>
          <w:rPr>
            <w:noProof/>
            <w:webHidden/>
          </w:rPr>
          <w:t>57</w:t>
        </w:r>
        <w:r>
          <w:rPr>
            <w:noProof/>
            <w:webHidden/>
          </w:rPr>
          <w:fldChar w:fldCharType="end"/>
        </w:r>
      </w:hyperlink>
    </w:p>
    <w:p w:rsidR="000C5F0A" w:rsidRDefault="000C5F0A" w:rsidP="000C5F0A">
      <w:pPr>
        <w:pStyle w:val="texto"/>
      </w:pPr>
      <w:r>
        <w:fldChar w:fldCharType="end"/>
      </w:r>
    </w:p>
    <w:p w:rsidR="000C5F0A" w:rsidRDefault="00966604" w:rsidP="000C5F0A">
      <w:pPr>
        <w:pStyle w:val="texto"/>
        <w:ind w:firstLine="0"/>
        <w:sectPr w:rsidR="000C5F0A" w:rsidSect="00444344">
          <w:type w:val="oddPage"/>
          <w:pgSz w:w="11907" w:h="16840" w:code="9"/>
          <w:pgMar w:top="2109" w:right="1559" w:bottom="1644" w:left="1559" w:header="369" w:footer="402" w:gutter="0"/>
          <w:pgNumType w:start="3"/>
          <w:cols w:space="720"/>
          <w:docGrid w:linePitch="360"/>
        </w:sectPr>
      </w:pPr>
      <w:r>
        <w:t xml:space="preserve"> </w:t>
      </w:r>
    </w:p>
    <w:p w:rsidR="00691F57" w:rsidRDefault="00691F57" w:rsidP="003616B8">
      <w:pPr>
        <w:pStyle w:val="atitulo1"/>
      </w:pPr>
      <w:bookmarkStart w:id="1" w:name="_Toc303592528"/>
      <w:bookmarkStart w:id="2" w:name="_Toc309383711"/>
      <w:bookmarkStart w:id="3" w:name="_Toc339016600"/>
      <w:bookmarkStart w:id="4" w:name="_Toc463350236"/>
      <w:bookmarkStart w:id="5" w:name="_Toc463611381"/>
      <w:bookmarkStart w:id="6" w:name="_Toc503967424"/>
      <w:bookmarkStart w:id="7" w:name="_Toc423419507"/>
      <w:bookmarkStart w:id="8" w:name="_Toc414360531"/>
      <w:bookmarkStart w:id="9" w:name="_Toc480357319"/>
      <w:bookmarkStart w:id="10" w:name="_Toc519583194"/>
      <w:r>
        <w:lastRenderedPageBreak/>
        <w:t>Laburpen exekutiboa</w:t>
      </w:r>
      <w:bookmarkEnd w:id="10"/>
    </w:p>
    <w:p w:rsidR="00691F57" w:rsidRDefault="00605602" w:rsidP="00605602">
      <w:pPr>
        <w:pStyle w:val="texto"/>
        <w:rPr>
          <w:szCs w:val="26"/>
        </w:rPr>
      </w:pPr>
      <w:r>
        <w:t>Iruñerriko Garraioaren Hiria (GH) sortu zen salgaien garraioarekin lotutako jarduera guztiak zentralizatzeko —hasiera batean errepide bidezko garraioaren arlokoak— jarduera hori kontzentratzeko eta Iruñerrian eta Iruñean jarduera horrek dakartzan hiri-arazoak eta arazo logistikoak gutxitzeko.</w:t>
      </w:r>
    </w:p>
    <w:p w:rsidR="00605602" w:rsidRDefault="008A51FB" w:rsidP="00605602">
      <w:pPr>
        <w:pStyle w:val="texto"/>
        <w:rPr>
          <w:szCs w:val="26"/>
        </w:rPr>
      </w:pPr>
      <w:r>
        <w:t>Jatorrian, sektore pribatuaren ekimenez sortu zen —funtsean sektoreko p</w:t>
      </w:r>
      <w:r>
        <w:t>a</w:t>
      </w:r>
      <w:r>
        <w:t>tronalen ekimenez—, baina gero, 1993tik, Nafarroako Gobernuak hartu zuen proiektuaren exekuzioaren eta finantzaketaren lidergoa.</w:t>
      </w:r>
    </w:p>
    <w:p w:rsidR="00E7275C" w:rsidRDefault="00605602" w:rsidP="00E7275C">
      <w:pPr>
        <w:pStyle w:val="texto"/>
        <w:rPr>
          <w:szCs w:val="26"/>
        </w:rPr>
      </w:pPr>
      <w:r>
        <w:t>Proiektua XX. mendeko 90eko hamarkadaren hasieran diseinatu zen, eta 608.363 m</w:t>
      </w:r>
      <w:r>
        <w:rPr>
          <w:vertAlign w:val="superscript"/>
        </w:rPr>
        <w:t>2</w:t>
      </w:r>
      <w:r>
        <w:t>-ko azalera hartzen zuen; gero, azalera hori handitu zen, guztira 1,62 milioi m</w:t>
      </w:r>
      <w:r>
        <w:rPr>
          <w:vertAlign w:val="superscript"/>
        </w:rPr>
        <w:t xml:space="preserve">2 </w:t>
      </w:r>
      <w:r>
        <w:t>hartzeraino. Ondoz ondoko fasetan garatzen joan da —lau, gu</w:t>
      </w:r>
      <w:r>
        <w:t>z</w:t>
      </w:r>
      <w:r>
        <w:t xml:space="preserve">tira—, eta gaur egun horietako azkena, 4. fasea, egituratzeko edo birdefinitzeko fasean gaude. </w:t>
      </w:r>
    </w:p>
    <w:p w:rsidR="003E4481" w:rsidRDefault="003E4481" w:rsidP="00605602">
      <w:pPr>
        <w:pStyle w:val="texto"/>
        <w:rPr>
          <w:szCs w:val="26"/>
        </w:rPr>
      </w:pPr>
      <w:r>
        <w:t>GHaren proiektua, hasiera batean, errepide bidezko salgaien garraiora mug</w:t>
      </w:r>
      <w:r>
        <w:t>a</w:t>
      </w:r>
      <w:r>
        <w:t>tuta dago; gero, hura zabaltzeko udalez gaindiko plan sektorialean, trenbide s</w:t>
      </w:r>
      <w:r>
        <w:t>a</w:t>
      </w:r>
      <w:r>
        <w:t>rearekin zuzenean konektatzea aurreikusten da. Aukera hori azkenean bazter utzi zen, gutxienez ere epe ertainean, lurraren arrazoi teknikoengatik eta egiazko eskariaren bolumenari buruz dauden zalantzengatik.</w:t>
      </w:r>
    </w:p>
    <w:p w:rsidR="00CE2377" w:rsidRDefault="00CE2377" w:rsidP="00CE2377">
      <w:pPr>
        <w:pStyle w:val="texto"/>
        <w:rPr>
          <w:szCs w:val="26"/>
        </w:rPr>
      </w:pPr>
      <w:r>
        <w:t>Aztertutako dokumentazioan ez dago inongo azterlanik jasota, GHko 1. eta 2. faseei dagokienez, azpiegitura horrekin ase nahi diren beharrizanei buruz, ez eta haren bideragarritasun ekonomiko eta sozialari buruz ere; zabalkuntzarako, alegia, 3. eta 4. faseetarako, berriz, azterlan horiek egin ziren.</w:t>
      </w:r>
    </w:p>
    <w:p w:rsidR="00131FA5" w:rsidRDefault="00131FA5" w:rsidP="00605602">
      <w:pPr>
        <w:pStyle w:val="texto"/>
        <w:rPr>
          <w:szCs w:val="26"/>
        </w:rPr>
      </w:pPr>
      <w:r>
        <w:t>Zehaztapenerako eta hirigintza-antolamendurako, Nafarroako Gobernuak udalez gaindiko bi plan sektorial onetsi zituen, proiektuaren onura publikoari, interes sozialari eta udalez gaindiko izaerari erreparatuta. Udalez gaindiko plan sektorial horiek GHaren sozietate kudeatzailearen ekimenez izapidetu ziren.</w:t>
      </w:r>
    </w:p>
    <w:p w:rsidR="00C5786E" w:rsidRDefault="00C5786E" w:rsidP="00C5786E">
      <w:pPr>
        <w:pStyle w:val="texto"/>
        <w:tabs>
          <w:tab w:val="clear" w:pos="2835"/>
          <w:tab w:val="clear" w:pos="3969"/>
          <w:tab w:val="clear" w:pos="5103"/>
          <w:tab w:val="clear" w:pos="6237"/>
          <w:tab w:val="clear" w:pos="7371"/>
        </w:tabs>
        <w:rPr>
          <w:szCs w:val="26"/>
        </w:rPr>
      </w:pPr>
      <w:r>
        <w:t>GHaren lurren desjabetze-prozesua luzea eta konplexua izan da, eta judizi</w:t>
      </w:r>
      <w:r>
        <w:t>a</w:t>
      </w:r>
      <w:r>
        <w:t>lizatze ugari nozitu ditu. Horrek guztiak, azkenean, eragin handia izan du b</w:t>
      </w:r>
      <w:r>
        <w:t>a</w:t>
      </w:r>
      <w:r>
        <w:t>liabide publikoetan. Hartara, adiskidetasunezko akordiorik ia batere ez da izan jabeekin; hori dela eta, Desjabetzearen Epaimahaira jo behar izan da. Alabaina, horren ebazpenen aurkako errekurtsoak aurkeztu dira —bai jabeek, bai Naf</w:t>
      </w:r>
      <w:r>
        <w:t>a</w:t>
      </w:r>
      <w:r>
        <w:t>rroako Gobernuak, bai biek ere— Nafarroako Auzitegi Nagusian eta, azkenean, kasazioan, Auzitegi Gorenean.</w:t>
      </w:r>
    </w:p>
    <w:p w:rsidR="00131FA5" w:rsidRDefault="00C5786E" w:rsidP="00C5786E">
      <w:pPr>
        <w:pStyle w:val="texto"/>
        <w:rPr>
          <w:szCs w:val="26"/>
        </w:rPr>
      </w:pPr>
      <w:r>
        <w:t>GHaren desjabetze guztiak urgentziako prozeduraz egin dira, eta haien gu</w:t>
      </w:r>
      <w:r>
        <w:t>z</w:t>
      </w:r>
      <w:r>
        <w:t>tizko kostua 91,89 milioi eurokoa izan da, prezio zuzena, afekzio-saria eta g</w:t>
      </w:r>
      <w:r>
        <w:t>e</w:t>
      </w:r>
      <w:r>
        <w:t>roratzearen legezko interesak —25,15 milioi euro— barne. Desjabetzeen ze</w:t>
      </w:r>
      <w:r>
        <w:t>n</w:t>
      </w:r>
      <w:r>
        <w:t>batekoa Nafarroako Gobernuak ordaindu du guztiz GHaren sozietate kudeatza</w:t>
      </w:r>
      <w:r>
        <w:t>i</w:t>
      </w:r>
      <w:r>
        <w:t xml:space="preserve">learen bitartez; azken hori desjabetutako lurren entitate onuraduntzat aitortuta dago. </w:t>
      </w:r>
    </w:p>
    <w:p w:rsidR="0051390D" w:rsidRDefault="00CA52FB" w:rsidP="003C1A22">
      <w:pPr>
        <w:pStyle w:val="texto"/>
        <w:rPr>
          <w:szCs w:val="26"/>
        </w:rPr>
      </w:pPr>
      <w:r>
        <w:lastRenderedPageBreak/>
        <w:t>Nabarmentzekoa da alde handia egon dela desjabetutako lurraren m</w:t>
      </w:r>
      <w:r>
        <w:rPr>
          <w:vertAlign w:val="superscript"/>
        </w:rPr>
        <w:t>2</w:t>
      </w:r>
      <w:r>
        <w:t xml:space="preserve"> bako</w:t>
      </w:r>
      <w:r>
        <w:t>i</w:t>
      </w:r>
      <w:r>
        <w:t>tzeko —lurrek oso antzeko izaera dute— GHaren lehenengo bi faseetan eta a</w:t>
      </w:r>
      <w:r>
        <w:t>z</w:t>
      </w:r>
      <w:r>
        <w:t>keneko bietan; hartara, 1. eta 2. faseetarako, azkenean ordaindutako prezioa (2002ko epaien arabera) 12,04 eta 19,62 euro/m</w:t>
      </w:r>
      <w:r>
        <w:rPr>
          <w:vertAlign w:val="superscript"/>
        </w:rPr>
        <w:t>2</w:t>
      </w:r>
      <w:r>
        <w:t xml:space="preserve"> bitartekoa izan da; 3. eta 4. faseetan, ordea, tarte hori (2015eko epaien arabera) 53,06 eta 57,09 euro/m</w:t>
      </w:r>
      <w:r>
        <w:rPr>
          <w:vertAlign w:val="superscript"/>
        </w:rPr>
        <w:t>2</w:t>
      </w:r>
      <w:r>
        <w:t xml:space="preserve"> b</w:t>
      </w:r>
      <w:r>
        <w:t>i</w:t>
      </w:r>
      <w:r>
        <w:t>tartekoa izan da. Zenbateko horiei afekzio-saria eta legezkoak diren berand</w:t>
      </w:r>
      <w:r>
        <w:t>u</w:t>
      </w:r>
      <w:r>
        <w:t xml:space="preserve">tze-interesak gehitu behar zaizkie.   </w:t>
      </w:r>
    </w:p>
    <w:p w:rsidR="0051390D" w:rsidRDefault="00CA52FB" w:rsidP="0051390D">
      <w:pPr>
        <w:pStyle w:val="texto"/>
        <w:tabs>
          <w:tab w:val="clear" w:pos="2835"/>
          <w:tab w:val="clear" w:pos="3969"/>
          <w:tab w:val="clear" w:pos="5103"/>
          <w:tab w:val="clear" w:pos="6237"/>
          <w:tab w:val="clear" w:pos="7371"/>
        </w:tabs>
        <w:rPr>
          <w:szCs w:val="26"/>
        </w:rPr>
      </w:pPr>
      <w:r>
        <w:t>Halaber, azkeneko bi faseetan, Administrazioak bere prezio-orrian finkat</w:t>
      </w:r>
      <w:r>
        <w:t>u</w:t>
      </w:r>
      <w:r>
        <w:t>tako hasierako prezioaren —11,02 euro/m</w:t>
      </w:r>
      <w:r>
        <w:rPr>
          <w:vertAlign w:val="superscript"/>
        </w:rPr>
        <w:t>2</w:t>
      </w:r>
      <w:r>
        <w:t>— eta azkenean ordaindutakoaren —53,06 eta 57,09 euro/m</w:t>
      </w:r>
      <w:r>
        <w:rPr>
          <w:vertAlign w:val="superscript"/>
        </w:rPr>
        <w:t>2</w:t>
      </w:r>
      <w:r>
        <w:t xml:space="preserve"> bitarte—  artean dagoen aldea nabarmendu behar da. Azken zenbateko horiek bat datoz jabeek beren prezio-orrian eskatzen zituzt</w:t>
      </w:r>
      <w:r>
        <w:t>e</w:t>
      </w:r>
      <w:r>
        <w:t>nekin.</w:t>
      </w:r>
    </w:p>
    <w:p w:rsidR="0008294C" w:rsidRDefault="0008294C" w:rsidP="0051390D">
      <w:pPr>
        <w:pStyle w:val="texto"/>
        <w:tabs>
          <w:tab w:val="clear" w:pos="2835"/>
          <w:tab w:val="clear" w:pos="3969"/>
          <w:tab w:val="clear" w:pos="5103"/>
          <w:tab w:val="clear" w:pos="6237"/>
          <w:tab w:val="clear" w:pos="7371"/>
        </w:tabs>
        <w:rPr>
          <w:szCs w:val="26"/>
        </w:rPr>
      </w:pPr>
      <w:r>
        <w:t>Aurreko desjabetzeez gainera, Nafarroako Gobernuak zuzenean egin eta f</w:t>
      </w:r>
      <w:r>
        <w:t>i</w:t>
      </w:r>
      <w:r>
        <w:t>nantzatu ditu, GHaren eremu fisikoaz kanpo, azpiegituren multzo bat, zeinak beharrezkotzat jo baitira hari behar dituen zerbitzu publikoak emateko; halaber, GHaren beraren barruan aduanetarako eraikin baten eraikitzea jaso da. Inbe</w:t>
      </w:r>
      <w:r>
        <w:t>r</w:t>
      </w:r>
      <w:r>
        <w:t>tsio horiek 11,11 milioi euroko gastua ekarri dute guztira.</w:t>
      </w:r>
    </w:p>
    <w:p w:rsidR="00F93698" w:rsidRPr="004D22FC" w:rsidRDefault="0008294C" w:rsidP="00F93698">
      <w:pPr>
        <w:pStyle w:val="texto"/>
        <w:tabs>
          <w:tab w:val="clear" w:pos="2835"/>
          <w:tab w:val="clear" w:pos="3969"/>
          <w:tab w:val="clear" w:pos="5103"/>
          <w:tab w:val="clear" w:pos="6237"/>
          <w:tab w:val="clear" w:pos="7371"/>
        </w:tabs>
        <w:rPr>
          <w:spacing w:val="4"/>
          <w:szCs w:val="26"/>
        </w:rPr>
      </w:pPr>
      <w:r>
        <w:t>GHan ezarri den kudeaketa-eredua sozietate kudeatzailean oinarrituta dago —hasiera batean pribatua izan zen, baina 1995etik aurrera  publikoa da— ze</w:t>
      </w:r>
      <w:r>
        <w:t>i</w:t>
      </w:r>
      <w:r>
        <w:t>nak ustiaketa pribatuko zerbitzu publiko bat emanen baitu emakidadun edo a</w:t>
      </w:r>
      <w:r>
        <w:t>d</w:t>
      </w:r>
      <w:r>
        <w:t>judikazio-hartzaile baten bitartez. Hori hautatzeko, bi lehiaketa publiko egin ziren —bata 1. eta 2. faseetarako eta bestea 3. faserako—, eta eskaintzaile b</w:t>
      </w:r>
      <w:r>
        <w:t>e</w:t>
      </w:r>
      <w:r>
        <w:t>rari adjudikatu zitzaizkion —aldi baterako enpresa-elkarte bat, SANCOk eta Construcciones GMk eratua— zeina bi hautapen-prozesutan aurkeztu den bak</w:t>
      </w:r>
      <w:r>
        <w:t>a</w:t>
      </w:r>
      <w:r>
        <w:t xml:space="preserve">rra baita. </w:t>
      </w:r>
    </w:p>
    <w:p w:rsidR="00313169" w:rsidRPr="00313169" w:rsidRDefault="0008294C" w:rsidP="00A934BF">
      <w:pPr>
        <w:pStyle w:val="texto"/>
        <w:tabs>
          <w:tab w:val="clear" w:pos="2835"/>
          <w:tab w:val="clear" w:pos="3969"/>
          <w:tab w:val="clear" w:pos="5103"/>
          <w:tab w:val="clear" w:pos="6237"/>
          <w:tab w:val="clear" w:pos="7371"/>
        </w:tabs>
        <w:rPr>
          <w:szCs w:val="26"/>
        </w:rPr>
      </w:pPr>
      <w:r>
        <w:t>Adjudikazio-hartzaile horrek, bere arrisku eta menturara, bere gain hartzen ditu urbanizazio-lanak eta nabeak zein eraikinak egitekoak, bai eta GHaren merkaturatzea bera ere, eta operazio horiek “giltza eskura” erakotzat kalifik</w:t>
      </w:r>
      <w:r>
        <w:t>a</w:t>
      </w:r>
      <w:r>
        <w:t>tzen dira; lan horiek egiteko, sozietate kudeatzaileak lurrak uzten ditu aipat</w:t>
      </w:r>
      <w:r>
        <w:t>u</w:t>
      </w:r>
      <w:r>
        <w:t>tako aldi baterako enpresa-elkartearen esku, azalera-eskubide bat eratzearen b</w:t>
      </w:r>
      <w:r>
        <w:t>i</w:t>
      </w:r>
      <w:r>
        <w:t>dez; azalera-eskubide horren indarraldia, 1. eta 2. faseen kasuan, 2003ko abe</w:t>
      </w:r>
      <w:r>
        <w:t>n</w:t>
      </w:r>
      <w:r>
        <w:t>dura bitartekoa izan zen, eta 3. fasearen kasuan, 2021eko abendura arte hartzen du. Eskura dagoen informazioaren arabera, aldi baterako enpresa-elkarteak egindako inbertsioak 87,50 milioi eurokoak dira; horietatik, ehuneko 40 urb</w:t>
      </w:r>
      <w:r>
        <w:t>a</w:t>
      </w:r>
      <w:r>
        <w:t>nizazio-gastuei dagozkie eta gainerako ehuneko 60a, berriz, nabeak eraik</w:t>
      </w:r>
      <w:r>
        <w:t>i</w:t>
      </w:r>
      <w:r>
        <w:t>tzeari.</w:t>
      </w:r>
    </w:p>
    <w:p w:rsidR="00FE2CB8" w:rsidRDefault="00FE2CB8" w:rsidP="00FE2CB8">
      <w:pPr>
        <w:pStyle w:val="texto"/>
        <w:tabs>
          <w:tab w:val="clear" w:pos="2835"/>
          <w:tab w:val="clear" w:pos="3969"/>
          <w:tab w:val="clear" w:pos="5103"/>
          <w:tab w:val="clear" w:pos="6237"/>
          <w:tab w:val="clear" w:pos="7371"/>
        </w:tabs>
        <w:rPr>
          <w:szCs w:val="26"/>
        </w:rPr>
      </w:pPr>
      <w:r>
        <w:t>GHaren sozietate kudeatzaileari buruz esan behar dugu ezen, hasieratik gaur arte, zenbait izen desberdin eta kapital sozialaren jabe desberdin izan dituela. Izan ere, 1991n, Terminal de Transportes de la Comarca de Pamplona SA soz</w:t>
      </w:r>
      <w:r>
        <w:t>i</w:t>
      </w:r>
      <w:r>
        <w:t xml:space="preserve">etatea eratu zen. Sozietate horrek, lehenengo etapa batean —1995era arte— ez zuen parte-hartze publikorik izan kapitalean, eta jabetza horren ehuneko ehun </w:t>
      </w:r>
      <w:r>
        <w:lastRenderedPageBreak/>
        <w:t>honako entitate hauena zen: Anet, Tradisna, Nafarroako Merkataritza eta Indu</w:t>
      </w:r>
      <w:r>
        <w:t>s</w:t>
      </w:r>
      <w:r>
        <w:t>tria Ganbera eta Audenasa. Pixkanaka, aurreko bazkide pribatuak aurkeztu ez ziren kapital-gehikuntzen bidez, Administrazioaren presentziak gehiengo n</w:t>
      </w:r>
      <w:r>
        <w:t>a</w:t>
      </w:r>
      <w:r>
        <w:t>barmena hartzen joan zen; azkenean, kapital sozialaren ehuneko ehun eduk</w:t>
      </w:r>
      <w:r>
        <w:t>i</w:t>
      </w:r>
      <w:r>
        <w:t xml:space="preserve">tzera iritsi zen. </w:t>
      </w:r>
    </w:p>
    <w:p w:rsidR="009231D2" w:rsidRDefault="00DC17D9" w:rsidP="009231D2">
      <w:pPr>
        <w:pStyle w:val="texto"/>
        <w:tabs>
          <w:tab w:val="clear" w:pos="2835"/>
          <w:tab w:val="clear" w:pos="3969"/>
          <w:tab w:val="clear" w:pos="5103"/>
          <w:tab w:val="clear" w:pos="6237"/>
          <w:tab w:val="clear" w:pos="7371"/>
        </w:tabs>
        <w:rPr>
          <w:szCs w:val="26"/>
        </w:rPr>
      </w:pPr>
      <w:r>
        <w:t>1997an, aipatutako Terminal de Transportes de la Comarca de Pamplona SA sozietateak izena aldatu zuen, eta “Ciudad del Transporte de Pamplona SA” izena hartu zuen. (aurrerantzean, IGH SA). Izen horri 2011ra arte eutsi z</w:t>
      </w:r>
      <w:r>
        <w:t>i</w:t>
      </w:r>
      <w:r>
        <w:t>tzaion; izan ere, urte horretan, xurgatze bidez bat egiteko operazio baten bita</w:t>
      </w:r>
      <w:r>
        <w:t>r</w:t>
      </w:r>
      <w:r>
        <w:t>tez, Garraioaren Hiriak Agencia Navarra del Transporte y Logística SA xurgatu zuen, eta sozietate berriak “Agencia Navarra del Transporte y la Logística SAU” (ANL) izena hartu zuen; gero, 2014an, azken sozietate hori Navarra de Suelo y Vivienda SAUk (Nasuvinsa) xurgatu zuen.</w:t>
      </w:r>
    </w:p>
    <w:p w:rsidR="009231D2" w:rsidRDefault="00FE2CB8" w:rsidP="009231D2">
      <w:pPr>
        <w:pStyle w:val="texto"/>
        <w:tabs>
          <w:tab w:val="clear" w:pos="2835"/>
          <w:tab w:val="clear" w:pos="3969"/>
          <w:tab w:val="clear" w:pos="5103"/>
          <w:tab w:val="clear" w:pos="6237"/>
          <w:tab w:val="clear" w:pos="7371"/>
        </w:tabs>
        <w:rPr>
          <w:szCs w:val="26"/>
        </w:rPr>
      </w:pPr>
      <w:r>
        <w:t>GHaren sozietate kudeatzaileak garatzen dituen eginkizunak honela laburbil daitezke: GHa garatzeko udalez gaindiko plan sektorialen sustapena; GHa eg</w:t>
      </w:r>
      <w:r>
        <w:t>i</w:t>
      </w:r>
      <w:r>
        <w:t>teko eta garatzeko bi adjudikazio-lehiaketen deialdia eta izapidetzea; urbaniz</w:t>
      </w:r>
      <w:r>
        <w:t>a</w:t>
      </w:r>
      <w:r>
        <w:t>zio-lanak kontrolatzea eta merkaturatze- eta ustiatze-fasearen kontrola eta j</w:t>
      </w:r>
      <w:r>
        <w:t>a</w:t>
      </w:r>
      <w:r>
        <w:t xml:space="preserve">rraipena. </w:t>
      </w:r>
    </w:p>
    <w:p w:rsidR="00FE2CB8" w:rsidRPr="00E56FD3" w:rsidRDefault="00FE2CB8" w:rsidP="009231D2">
      <w:pPr>
        <w:pStyle w:val="texto"/>
        <w:tabs>
          <w:tab w:val="clear" w:pos="2835"/>
          <w:tab w:val="clear" w:pos="3969"/>
          <w:tab w:val="clear" w:pos="5103"/>
          <w:tab w:val="clear" w:pos="6237"/>
          <w:tab w:val="clear" w:pos="7371"/>
        </w:tabs>
        <w:rPr>
          <w:szCs w:val="26"/>
        </w:rPr>
      </w:pPr>
      <w:r>
        <w:t>Aldi baterako enpresa-elkartearekin sinatutako kontratuei jarraituz, azken horrek egiten duen salmenta bakoitzetik sozietate kudeatzaileak salmenta-prezioaren gaineko portzentaje bat jasotzen du; portzentaje horrek ez du pr</w:t>
      </w:r>
      <w:r>
        <w:t>e</w:t>
      </w:r>
      <w:r>
        <w:t>zioa handitzen. 2017ko abenduaren 31ra arte, guztira 10,64 milioi euro jaso ditu guztira.</w:t>
      </w:r>
    </w:p>
    <w:p w:rsidR="00304C3A" w:rsidRDefault="00F650A3" w:rsidP="00304C3A">
      <w:pPr>
        <w:pStyle w:val="texto"/>
        <w:tabs>
          <w:tab w:val="clear" w:pos="2835"/>
          <w:tab w:val="clear" w:pos="3969"/>
          <w:tab w:val="clear" w:pos="5103"/>
          <w:tab w:val="clear" w:pos="6237"/>
          <w:tab w:val="clear" w:pos="7371"/>
        </w:tabs>
        <w:rPr>
          <w:szCs w:val="26"/>
        </w:rPr>
      </w:pPr>
      <w:r>
        <w:t>Gainera, 3. faserako, sozietate kudeatzaileak, aldi baterako enpresa-elkartearekin sinatutako adjudikazio-kontratuari jarraituz, azken horretatik 15 milioi euroko kanona jasoko luke guztira; kanon hori urtero-urtero sortuko da, 1,5 milioi euroko zenbatekoarekin, eta hamar urte iraunen du —hau da, 2015era arte—. Hala eta guztiz ere, 2017ko abenduaren 31n, sortutako kanona (BEZa barne) 19,58 milioikoa da; zenbateko horretatik, 8,79 milioi kobratzeko daude oraindik, horren barne dela ehuneko bosteko urteko interes nominala.</w:t>
      </w:r>
    </w:p>
    <w:p w:rsidR="00304C3A" w:rsidRDefault="00304C3A" w:rsidP="00FE2CB8">
      <w:pPr>
        <w:pStyle w:val="texto"/>
        <w:tabs>
          <w:tab w:val="clear" w:pos="2835"/>
          <w:tab w:val="clear" w:pos="3969"/>
          <w:tab w:val="clear" w:pos="5103"/>
          <w:tab w:val="clear" w:pos="6237"/>
          <w:tab w:val="clear" w:pos="7371"/>
        </w:tabs>
        <w:rPr>
          <w:szCs w:val="26"/>
        </w:rPr>
      </w:pPr>
      <w:r>
        <w:t>GHaren proiektuak, izaera eta tamaina hori duen edozein azpiegiturak b</w:t>
      </w:r>
      <w:r>
        <w:t>e</w:t>
      </w:r>
      <w:r>
        <w:t>zala, funtzionamendu-epe luzea izatea eskatzen du haren errentagarritasun ek</w:t>
      </w:r>
      <w:r>
        <w:t>o</w:t>
      </w:r>
      <w:r>
        <w:t>nomiko eta sozialari buruzko eta egindako inbertsioaren itzulketari buruzko ondorioak ateratzeko; gaur egun, oraindik ere ezin da esan proiektu hori behin betiko egituraturik dagoenik; eta kudeaketari dagokionez, oraindik ere ez da denbora-tarte nahikorik igaro. Horrenbestez, ezin dugu gai horiei buruzko ir</w:t>
      </w:r>
      <w:r>
        <w:t>i</w:t>
      </w:r>
      <w:r>
        <w:t>tzirik eman. Hala eta guztiz ere,  2017ko abenduaren 31n, honako alderdi hauek nabarmendu ditzakegu:</w:t>
      </w:r>
    </w:p>
    <w:p w:rsidR="0027035B" w:rsidRDefault="008A3217" w:rsidP="008A321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GHan egindako inbertsio publikoak 113,29 milioi eurokoak izan dira; ze</w:t>
      </w:r>
      <w:r>
        <w:t>n</w:t>
      </w:r>
      <w:r>
        <w:t xml:space="preserve">bateko horretatik, ehuneko 81 lurren desjabetzeak finantzatzeko erabili dira; </w:t>
      </w:r>
      <w:r>
        <w:lastRenderedPageBreak/>
        <w:t>ehuneko 10 Nafarroako Gobernuak zuzenean egindako kanpoko azpiegiturei dagokie; ehuneko sei GHaren barruan sozietate kudeatzaileak eskuratutako h</w:t>
      </w:r>
      <w:r>
        <w:t>i</w:t>
      </w:r>
      <w:r>
        <w:t>giezinei dagokie (eraikinak eta ibilgailu astunetarako aparkaleku bat), eta ga</w:t>
      </w:r>
      <w:r>
        <w:t>i</w:t>
      </w:r>
      <w:r>
        <w:t>nerakoa, funtsean sistema orokorretan egindako beste inbertsio batzuei dag</w:t>
      </w:r>
      <w:r>
        <w:t>o</w:t>
      </w:r>
      <w:r>
        <w:t>kie.</w:t>
      </w:r>
    </w:p>
    <w:p w:rsidR="0027035B" w:rsidRPr="008A3217" w:rsidRDefault="008A3217" w:rsidP="008A321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GHak lortutako finantzaketa 105,18 milioi eurokoa izan da. Guztizko ze</w:t>
      </w:r>
      <w:r>
        <w:t>n</w:t>
      </w:r>
      <w:r>
        <w:t>bateko horretatik, ehuneko 54 Nafarroako Gobernuak emandako diru-laguntzetatik etorri da; ehuneko 29 sozietate kudeatzailearen merkataritza-jardueratik etorri da, eta ehuneko 17, azkenik, Nafarroako Gobernuak ordaind</w:t>
      </w:r>
      <w:r>
        <w:t>u</w:t>
      </w:r>
      <w:r>
        <w:t xml:space="preserve">tako kapital-gehikuntzetatik eta sozietate kudeatzailearen bazkide bakarraren ekarpenetatik (NEKP). </w:t>
      </w:r>
    </w:p>
    <w:p w:rsidR="008A3217" w:rsidRDefault="008A3217" w:rsidP="008A321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4. faseari dagokionez, baztertu egin da, gutxienez ere epe ertainean, tre</w:t>
      </w:r>
      <w:r>
        <w:t>n</w:t>
      </w:r>
      <w:r>
        <w:t>bide-sarearekiko zuzeneko konexioa. Gaur egun, udalez gaindiko plan sektori</w:t>
      </w:r>
      <w:r>
        <w:t>a</w:t>
      </w:r>
      <w:r>
        <w:t>laren aldaketa bat izapidetzen ari da, zeinak bideratuko baititu hartan baime</w:t>
      </w:r>
      <w:r>
        <w:t>n</w:t>
      </w:r>
      <w:r>
        <w:t>dutako erabilerak zabaltzea, erabilera industrialak jasotzeko.</w:t>
      </w:r>
    </w:p>
    <w:p w:rsidR="000871E6" w:rsidRDefault="008A3217" w:rsidP="008A321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Okupazio maila. GHaren 1. eta 2. faseak guztiz beteta daude; 3.ean eh</w:t>
      </w:r>
      <w:r>
        <w:t>u</w:t>
      </w:r>
      <w:r>
        <w:t>neko 54 dago beteta; 4. fasea, berriz, egituratzen ari da.</w:t>
      </w:r>
    </w:p>
    <w:p w:rsidR="00387906" w:rsidRDefault="00387906" w:rsidP="00AA1B2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Gainera, azpiegitura horren eraikuntzak eta kudeaketak honako baldintza hauek izan ditu:</w:t>
      </w:r>
    </w:p>
    <w:p w:rsidR="00387906" w:rsidRPr="00700BE1" w:rsidRDefault="00AA1B2D" w:rsidP="00AA1B2D">
      <w:pPr>
        <w:pStyle w:val="texto"/>
        <w:tabs>
          <w:tab w:val="clear" w:pos="2835"/>
          <w:tab w:val="clear" w:pos="3969"/>
          <w:tab w:val="clear" w:pos="5103"/>
          <w:tab w:val="clear" w:pos="6237"/>
          <w:tab w:val="clear" w:pos="7371"/>
        </w:tabs>
        <w:rPr>
          <w:spacing w:val="4"/>
          <w:szCs w:val="26"/>
        </w:rPr>
      </w:pPr>
      <w:r>
        <w:t>a) Definizio-, sorkuntza- eta eraikuntza-prozesu luzea, ia 30 urtekoa; gaur egun, behin betiko egitura emateko zain dago.</w:t>
      </w:r>
    </w:p>
    <w:p w:rsidR="009E2B01" w:rsidRDefault="009E2B01" w:rsidP="009E2B01">
      <w:pPr>
        <w:pStyle w:val="texto"/>
        <w:tabs>
          <w:tab w:val="clear" w:pos="2835"/>
          <w:tab w:val="clear" w:pos="3969"/>
          <w:tab w:val="clear" w:pos="5103"/>
          <w:tab w:val="clear" w:pos="6237"/>
          <w:tab w:val="clear" w:pos="7371"/>
        </w:tabs>
        <w:rPr>
          <w:szCs w:val="26"/>
        </w:rPr>
      </w:pPr>
      <w:r>
        <w:t>b) GHaren zabalkuntza diseinatu eta kudeatu zen hipotesi baikor batzuk a</w:t>
      </w:r>
      <w:r>
        <w:t>u</w:t>
      </w:r>
      <w:r>
        <w:t>rreikusiz —aurreko faseetan ikusitako okupazio-maila altua ikusita—, eta ex</w:t>
      </w:r>
      <w:r>
        <w:t>e</w:t>
      </w:r>
      <w:r>
        <w:t>kuzio materialaren hasiera —2007. urtea— bat etorri zen krisi ekonomikoari buruzko lehenengo adierazleekin. Egoera horrek eragin garrantzitsua izan du lur horiek merkaturatzeko garaian.</w:t>
      </w:r>
    </w:p>
    <w:p w:rsidR="00387906" w:rsidRDefault="009E2B01" w:rsidP="00AA1B2D">
      <w:pPr>
        <w:pStyle w:val="texto"/>
        <w:tabs>
          <w:tab w:val="clear" w:pos="2835"/>
          <w:tab w:val="clear" w:pos="3969"/>
          <w:tab w:val="clear" w:pos="5103"/>
          <w:tab w:val="clear" w:pos="6237"/>
          <w:tab w:val="clear" w:pos="7371"/>
        </w:tabs>
        <w:rPr>
          <w:szCs w:val="26"/>
        </w:rPr>
      </w:pPr>
      <w:r>
        <w:t>c) Lurren desjabetzearen ordainketak baliabide publikoak direla-eta ekarri duen kostu handia.</w:t>
      </w:r>
    </w:p>
    <w:p w:rsidR="00387906" w:rsidRPr="00BB36CE" w:rsidRDefault="009E2B01" w:rsidP="00AA1B2D">
      <w:pPr>
        <w:pStyle w:val="texto"/>
        <w:tabs>
          <w:tab w:val="clear" w:pos="2835"/>
          <w:tab w:val="clear" w:pos="3969"/>
          <w:tab w:val="clear" w:pos="5103"/>
          <w:tab w:val="clear" w:pos="6237"/>
          <w:tab w:val="clear" w:pos="7371"/>
        </w:tabs>
        <w:rPr>
          <w:szCs w:val="26"/>
        </w:rPr>
      </w:pPr>
      <w:r>
        <w:t>d) GHaren urbanizazio-lanak eta ustiatzea egiteko bi hautapen-prozesuak z</w:t>
      </w:r>
      <w:r>
        <w:t>a</w:t>
      </w:r>
      <w:r>
        <w:t>bal publizitatu ziren arren —bereziki, bigarrena—, eskaintzaile bakarra au</w:t>
      </w:r>
      <w:r>
        <w:t>r</w:t>
      </w:r>
      <w:r>
        <w:t xml:space="preserve">keztu zen bietan, eta berari adjudikatu zitzaizkion. </w:t>
      </w:r>
    </w:p>
    <w:p w:rsidR="00605602" w:rsidRPr="00387906" w:rsidRDefault="007677A7" w:rsidP="00605602">
      <w:pPr>
        <w:pStyle w:val="texto"/>
        <w:rPr>
          <w:szCs w:val="26"/>
        </w:rPr>
      </w:pPr>
      <w:r>
        <w:t>Azkenik, honako arlo hauetan aplikatzekoa den araudiaren betetzeari b</w:t>
      </w:r>
      <w:r>
        <w:t>u</w:t>
      </w:r>
      <w:r>
        <w:t>ruzko azterketa bat egin dugu: udalez gaindiko plan sektorialen edukia eta iz</w:t>
      </w:r>
      <w:r>
        <w:t>a</w:t>
      </w:r>
      <w:r>
        <w:t>pidetzea, obren kontratazioa eta adjudikatutako laguntzak, desjabetze-espedienteak eta lurzatien salmenta-espedienteak. Ondorio gisa, esan dezakegu aztertutako operazioak bat etorri direla, oro har, haiei buruzko arauekin.</w:t>
      </w:r>
    </w:p>
    <w:p w:rsidR="003616B8" w:rsidRPr="003616B8" w:rsidRDefault="003616B8" w:rsidP="003616B8">
      <w:pPr>
        <w:pStyle w:val="atitulo1"/>
      </w:pPr>
      <w:bookmarkStart w:id="11" w:name="_Toc519583195"/>
      <w:r>
        <w:lastRenderedPageBreak/>
        <w:t>I. Sarrera</w:t>
      </w:r>
      <w:bookmarkEnd w:id="1"/>
      <w:bookmarkEnd w:id="2"/>
      <w:bookmarkEnd w:id="3"/>
      <w:bookmarkEnd w:id="4"/>
      <w:bookmarkEnd w:id="5"/>
      <w:bookmarkEnd w:id="6"/>
      <w:bookmarkEnd w:id="11"/>
      <w:r>
        <w:t xml:space="preserve"> </w:t>
      </w:r>
    </w:p>
    <w:p w:rsidR="00D6723C" w:rsidRPr="004D22FC" w:rsidRDefault="00C443C5" w:rsidP="00D6723C">
      <w:pPr>
        <w:pStyle w:val="texto"/>
        <w:rPr>
          <w:szCs w:val="26"/>
        </w:rPr>
      </w:pPr>
      <w:bookmarkStart w:id="12" w:name="_Toc480357318"/>
      <w:r>
        <w:t>Podemos-Ahal Dugu talde parlamentarioak eskatuta, Nafarroako Parlame</w:t>
      </w:r>
      <w:r>
        <w:t>n</w:t>
      </w:r>
      <w:r>
        <w:t>tuko Eledunen Batzarrak 2017ko otsailean erabaki zuen Kontuen Ganberari fi</w:t>
      </w:r>
      <w:r>
        <w:t>s</w:t>
      </w:r>
      <w:r>
        <w:t xml:space="preserve">kalizazio txosten bat eskatzea “Iruñerriko Garraioaren Hiria” proiektuari buruz. </w:t>
      </w:r>
    </w:p>
    <w:p w:rsidR="00D6723C" w:rsidRPr="00D27A0C" w:rsidRDefault="00C443C5" w:rsidP="00D6723C">
      <w:pPr>
        <w:pStyle w:val="texto"/>
        <w:rPr>
          <w:szCs w:val="26"/>
        </w:rPr>
      </w:pPr>
      <w:r>
        <w:t>Talde parlamentario horren eskarian honako hau jaso zen berariaz:</w:t>
      </w:r>
    </w:p>
    <w:p w:rsidR="00D6723C" w:rsidRPr="00447C6F" w:rsidRDefault="00D6723C" w:rsidP="00D6723C">
      <w:pPr>
        <w:pStyle w:val="texto"/>
        <w:rPr>
          <w:i/>
          <w:sz w:val="22"/>
          <w:szCs w:val="22"/>
        </w:rPr>
      </w:pPr>
      <w:r>
        <w:rPr>
          <w:i/>
          <w:sz w:val="22"/>
          <w:szCs w:val="22"/>
        </w:rPr>
        <w:t>“Garraioaren Hiriaren proiektuari buruzko auditoria txosten bat egitea, zeinak hartuko baitu hasieran planteatu zenetik gaur arte egin den guztiaren (lau faseak) azterketa bat, proiektu horren kontuen egoeran eragina eduki ahal duten alderdi finantzario, juridiko, h</w:t>
      </w:r>
      <w:r>
        <w:rPr>
          <w:i/>
          <w:sz w:val="22"/>
          <w:szCs w:val="22"/>
        </w:rPr>
        <w:t>i</w:t>
      </w:r>
      <w:r>
        <w:rPr>
          <w:i/>
          <w:sz w:val="22"/>
          <w:szCs w:val="22"/>
        </w:rPr>
        <w:t>giezinetakoak eta bestelakoak hartuz, bai eta Nasuvinsa enpresak proiektu horretan egin d</w:t>
      </w:r>
      <w:r>
        <w:rPr>
          <w:i/>
          <w:sz w:val="22"/>
          <w:szCs w:val="22"/>
        </w:rPr>
        <w:t>i</w:t>
      </w:r>
      <w:r>
        <w:rPr>
          <w:i/>
          <w:sz w:val="22"/>
          <w:szCs w:val="22"/>
        </w:rPr>
        <w:t>tuen operazioak ere.”</w:t>
      </w:r>
    </w:p>
    <w:p w:rsidR="00C443C5" w:rsidRPr="00AC2ADD" w:rsidRDefault="00C443C5" w:rsidP="00C443C5">
      <w:pPr>
        <w:pStyle w:val="texto"/>
        <w:rPr>
          <w:szCs w:val="26"/>
        </w:rPr>
      </w:pPr>
      <w:r>
        <w:t>Nafarroako Kontuen Ganbera arautzen duen abenduaren 20ko 19/1984 Foru Legeari jarraituz eta aurreko eskari hori kontuan hartuta, lan hori, Iruñerriko Garraioaren Hiriari (aurrerantzean, GH) buruzko fiskalizazioa, Kontuen Ganb</w:t>
      </w:r>
      <w:r>
        <w:t>e</w:t>
      </w:r>
      <w:r>
        <w:t>raren 2017ko ekitaldirako jarduketa programan sartu zen.</w:t>
      </w:r>
    </w:p>
    <w:p w:rsidR="00330B8D" w:rsidRDefault="003616B8" w:rsidP="00D6723C">
      <w:pPr>
        <w:pStyle w:val="texto"/>
        <w:rPr>
          <w:szCs w:val="26"/>
        </w:rPr>
      </w:pPr>
      <w:r>
        <w:t>Gure lanaren denbora-eremua, funtsean, 1991ean hasten da —ekitaldi horr</w:t>
      </w:r>
      <w:r>
        <w:t>e</w:t>
      </w:r>
      <w:r>
        <w:t>tan onetsi zuen Nafarroako Gobernuak Garraioaren Hiriaren udalez gaindiko plan sektoriala— eta 2017ko abenduan amaitzen da. Denbora-tarte horretan, moneta-zenbatekoetan pezetak zein euroak erabili izan dira; halere, txostenaren testuan, guztiak eurotan eman ditugu.</w:t>
      </w:r>
    </w:p>
    <w:p w:rsidR="00B90CEE" w:rsidRPr="001D4564" w:rsidRDefault="003616B8" w:rsidP="00DE0937">
      <w:pPr>
        <w:pStyle w:val="texto"/>
        <w:rPr>
          <w:szCs w:val="26"/>
        </w:rPr>
      </w:pPr>
      <w:r>
        <w:t>Zehaztu beharra dago jarduketa hori egin dugula soilik Garraioaren Hiriaren proiektuaren kudeaketa ekonomiko-finantzarioa kontrolatzearen ikuspuntutik, honako hauek ardatz hartuz: erabilitako hirigintza-planeamenduko tresnen a</w:t>
      </w:r>
      <w:r>
        <w:t>z</w:t>
      </w:r>
      <w:r>
        <w:t>terketa eta planeamendu horren kudeaketa, haren egungo egoeraren egiaztapena eta funts publikoetan dauzkan eragin finantzarioak. Horrenbestez, ez dugu e</w:t>
      </w:r>
      <w:r>
        <w:t>s</w:t>
      </w:r>
      <w:r>
        <w:t>pedienteei buruzko kalifikazio juridikorik egin —bereziki lurren desjabetzeen arloan—; izan ere, organo jurisdikzionalek jada beren irizpenak eman izan d</w:t>
      </w:r>
      <w:r>
        <w:t>i</w:t>
      </w:r>
      <w:r>
        <w:t xml:space="preserve">tuzte haiei buruz. </w:t>
      </w:r>
    </w:p>
    <w:p w:rsidR="003616B8" w:rsidRPr="00700BE1" w:rsidRDefault="003616B8" w:rsidP="003616B8">
      <w:pPr>
        <w:pStyle w:val="texto"/>
        <w:tabs>
          <w:tab w:val="clear" w:pos="2835"/>
          <w:tab w:val="clear" w:pos="3969"/>
          <w:tab w:val="clear" w:pos="5103"/>
          <w:tab w:val="clear" w:pos="6237"/>
          <w:tab w:val="clear" w:pos="7371"/>
        </w:tabs>
        <w:rPr>
          <w:szCs w:val="26"/>
        </w:rPr>
      </w:pPr>
      <w:r>
        <w:t>Txostenak, laburpen exekutiboaz gainera, lau atal dauzka, sarrera hau barne. Bigarrenean, Iruñerriko Garraioaren Hiriaren proiektuaren garapenari eta ex</w:t>
      </w:r>
      <w:r>
        <w:t>e</w:t>
      </w:r>
      <w:r>
        <w:t>kuzioari buruzko egitate nagusien deskribapen kronologikoa ematen dugu; h</w:t>
      </w:r>
      <w:r>
        <w:t>i</w:t>
      </w:r>
      <w:r>
        <w:t>rugarrenean, Ganbera honek egindako lanaren helburuak, norainokoa eta m</w:t>
      </w:r>
      <w:r>
        <w:t>u</w:t>
      </w:r>
      <w:r>
        <w:t>gak deskribatzen ditugu. Laugarrenean, azkenekoan, gure lanean lortutako o</w:t>
      </w:r>
      <w:r>
        <w:t>n</w:t>
      </w:r>
      <w:r>
        <w:t xml:space="preserve">dorio nagusiak azaltzen ditugu, bai eta emandako gomendioak ere. </w:t>
      </w:r>
    </w:p>
    <w:p w:rsidR="00447C6F" w:rsidRDefault="00447C6F" w:rsidP="003616B8">
      <w:pPr>
        <w:pStyle w:val="texto"/>
        <w:tabs>
          <w:tab w:val="clear" w:pos="2835"/>
          <w:tab w:val="clear" w:pos="3969"/>
          <w:tab w:val="clear" w:pos="5103"/>
          <w:tab w:val="clear" w:pos="6237"/>
          <w:tab w:val="clear" w:pos="7371"/>
        </w:tabs>
        <w:rPr>
          <w:szCs w:val="26"/>
        </w:rPr>
      </w:pPr>
    </w:p>
    <w:p w:rsidR="003616B8" w:rsidRDefault="003616B8" w:rsidP="003616B8">
      <w:pPr>
        <w:pStyle w:val="texto"/>
        <w:tabs>
          <w:tab w:val="clear" w:pos="2835"/>
          <w:tab w:val="clear" w:pos="3969"/>
          <w:tab w:val="clear" w:pos="5103"/>
          <w:tab w:val="clear" w:pos="6237"/>
          <w:tab w:val="clear" w:pos="7371"/>
        </w:tabs>
        <w:rPr>
          <w:szCs w:val="26"/>
        </w:rPr>
      </w:pPr>
      <w:r>
        <w:t>Azterketa lana 2017ko eta 2018ko bost hilabetetan egin dira. Auditoriako teknikari batek, legelari batek eta auditore batek osatutako lantaldeak egin zuen, Kontuen Ganberako zerbitzu informatiko eta administratiboen laguntz</w:t>
      </w:r>
      <w:r>
        <w:t>a</w:t>
      </w:r>
      <w:r>
        <w:t xml:space="preserve">rekin. </w:t>
      </w:r>
    </w:p>
    <w:p w:rsidR="004E0E3A" w:rsidRPr="00F46B50" w:rsidRDefault="004E0E3A" w:rsidP="003616B8">
      <w:pPr>
        <w:pStyle w:val="texto"/>
        <w:tabs>
          <w:tab w:val="clear" w:pos="2835"/>
          <w:tab w:val="clear" w:pos="3969"/>
          <w:tab w:val="clear" w:pos="5103"/>
          <w:tab w:val="clear" w:pos="6237"/>
          <w:tab w:val="clear" w:pos="7371"/>
        </w:tabs>
        <w:rPr>
          <w:szCs w:val="26"/>
        </w:rPr>
      </w:pPr>
      <w:r>
        <w:lastRenderedPageBreak/>
        <w:t>Jarduketa honen emaitzak helarazi zitzaizkien Nafarroako Gobernuko Gar</w:t>
      </w:r>
      <w:r>
        <w:t>a</w:t>
      </w:r>
      <w:r>
        <w:t>pen Ekonomikorako kontseilariari, Landa Garapeneko, Ingurumeneko eta Toki Administrazioko kontseilariari, Nasuvinsa Sozietateko zuzendari kudeatza</w:t>
      </w:r>
      <w:r>
        <w:t>i</w:t>
      </w:r>
      <w:r>
        <w:t>leari, SANCO-GM aldi baterako enpresa-elkarteko gerenteari eta Nafarroako Gobernuko Sustapeneko kontseilari ohiari, kasua bazen, egokitzat jotzen zitu</w:t>
      </w:r>
      <w:r>
        <w:t>z</w:t>
      </w:r>
      <w:r>
        <w:t>ten alegazioak aurkezteko, Nafarroako Kontuen Ganberari buruzko 19/1984 Foru Legeko 11.2 artikuluan aurreikusitakoari jarraituz. Epea iraganda, honako hauek aurkeztu dituzte alegazioak: José María Aierdi Fernández de Barrena jauna —Nasuvinsa— Luis Zarraluqui Ortigosa jauna —Nafarroako Gobernuko Sustapeneko kontseilari ohia— eta Angel María García Clavijo jauna —SANCO-GM aldi baterako enpresa-elkartea ordezkatuz—.</w:t>
      </w:r>
    </w:p>
    <w:p w:rsidR="003616B8" w:rsidRDefault="003616B8" w:rsidP="003616B8">
      <w:pPr>
        <w:pStyle w:val="texto"/>
        <w:tabs>
          <w:tab w:val="clear" w:pos="2835"/>
          <w:tab w:val="clear" w:pos="3969"/>
          <w:tab w:val="clear" w:pos="5103"/>
          <w:tab w:val="clear" w:pos="6237"/>
          <w:tab w:val="clear" w:pos="7371"/>
        </w:tabs>
        <w:rPr>
          <w:szCs w:val="26"/>
        </w:rPr>
      </w:pPr>
      <w:r>
        <w:t xml:space="preserve">Eskerrak eman nahi dizkiegu Nasuvinsa enpresako langileei, lan hau egitean emandako laguntzarengatik. </w:t>
      </w:r>
    </w:p>
    <w:p w:rsidR="00BD5527" w:rsidRDefault="00BD5527">
      <w:pPr>
        <w:spacing w:after="0"/>
        <w:ind w:firstLine="0"/>
        <w:jc w:val="left"/>
      </w:pPr>
      <w:bookmarkStart w:id="13" w:name="_Toc503967425"/>
      <w:bookmarkStart w:id="14" w:name="_Toc468085242"/>
      <w:bookmarkStart w:id="15" w:name="_Toc468085591"/>
      <w:bookmarkStart w:id="16" w:name="_Toc468085904"/>
      <w:bookmarkStart w:id="17" w:name="_Toc468085970"/>
      <w:bookmarkStart w:id="18" w:name="_Toc468086028"/>
      <w:bookmarkStart w:id="19" w:name="_Toc468087830"/>
      <w:bookmarkStart w:id="20" w:name="_Toc469726194"/>
      <w:bookmarkStart w:id="21" w:name="_Toc287259145"/>
      <w:bookmarkStart w:id="22" w:name="_Toc477161311"/>
      <w:bookmarkStart w:id="23" w:name="_Toc503967427"/>
      <w:bookmarkEnd w:id="12"/>
      <w:r>
        <w:br w:type="page"/>
      </w:r>
    </w:p>
    <w:p w:rsidR="003616B8" w:rsidRDefault="003616B8" w:rsidP="003616B8">
      <w:pPr>
        <w:pStyle w:val="atitulo1"/>
      </w:pPr>
      <w:bookmarkStart w:id="24" w:name="_Toc519583196"/>
      <w:r>
        <w:lastRenderedPageBreak/>
        <w:t>II. Iruñerriko Garraioaren Hiriaren proiektuaren garapen historikoaren mugarri nagusiak</w:t>
      </w:r>
      <w:bookmarkEnd w:id="13"/>
      <w:bookmarkEnd w:id="24"/>
    </w:p>
    <w:p w:rsidR="001E462B" w:rsidRDefault="001E462B" w:rsidP="001E462B">
      <w:pPr>
        <w:pStyle w:val="texto"/>
        <w:tabs>
          <w:tab w:val="clear" w:pos="2835"/>
          <w:tab w:val="clear" w:pos="3969"/>
          <w:tab w:val="clear" w:pos="5103"/>
          <w:tab w:val="clear" w:pos="6237"/>
          <w:tab w:val="clear" w:pos="7371"/>
        </w:tabs>
      </w:pPr>
      <w:bookmarkStart w:id="25" w:name="_Toc503967426"/>
      <w:r>
        <w:t xml:space="preserve">“Europlatforms” Europako elkarteari jarraituz, honela definitzen da garraio-gune edo -hiri bat: </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t>“</w:t>
      </w:r>
      <w:r>
        <w:rPr>
          <w:i/>
        </w:rPr>
        <w:t>Eremu mugatu bat da, zeinean garraioarekin, logistikarekin eta salgaien banaketarekin lotutako jarduera guztiak baitaude, bai nazioko, bai nazioarteko joan-etorrietarako; bertan garraioaren sektoreko enpresa batek baino gehi</w:t>
      </w:r>
      <w:r>
        <w:rPr>
          <w:i/>
        </w:rPr>
        <w:t>a</w:t>
      </w:r>
      <w:r>
        <w:rPr>
          <w:i/>
        </w:rPr>
        <w:t>gok esku hartu dezake.</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rPr>
          <w:i/>
          <w:sz w:val="22"/>
          <w:szCs w:val="22"/>
        </w:rPr>
        <w:t>Bertan egin diren eraikin zein nabeen (biltegiak, zama-lan handietarako guneak, biltegi-eremuak, bulegoak, aparkalekuak eta abar) bai jabeak, bai errentatzaileak ere izan daitezke eragile horiek.</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rPr>
          <w:i/>
          <w:sz w:val="22"/>
          <w:szCs w:val="22"/>
        </w:rPr>
        <w:t>Gainera, lehia askearen arauei egokitzeko, garraio-gune edo -hiri batek aukera eman b</w:t>
      </w:r>
      <w:r>
        <w:rPr>
          <w:i/>
          <w:sz w:val="22"/>
          <w:szCs w:val="22"/>
        </w:rPr>
        <w:t>e</w:t>
      </w:r>
      <w:r>
        <w:rPr>
          <w:i/>
          <w:sz w:val="22"/>
          <w:szCs w:val="22"/>
        </w:rPr>
        <w:t>har du arestian aipatutako jarduerak garatzen dituzten enpresa guztiek sarbidea izateko, eta, gainera, arestian aipatutako operazio guztiak aurrera eramateko erraztasun publiko guztiak eduki behar ditu.</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rPr>
          <w:i/>
          <w:sz w:val="22"/>
          <w:szCs w:val="22"/>
        </w:rPr>
        <w:t>Aukerarik badago, erabiltzaileei begira, pertsonentzako zerbitzua eta ekipamenduak eduki beharko ditu.</w:t>
      </w:r>
    </w:p>
    <w:p w:rsidR="001E462B" w:rsidRPr="001E462B" w:rsidRDefault="001E462B" w:rsidP="001E462B">
      <w:pPr>
        <w:pStyle w:val="texto"/>
        <w:tabs>
          <w:tab w:val="clear" w:pos="2835"/>
          <w:tab w:val="clear" w:pos="3969"/>
          <w:tab w:val="clear" w:pos="5103"/>
          <w:tab w:val="clear" w:pos="6237"/>
          <w:tab w:val="clear" w:pos="7371"/>
        </w:tabs>
        <w:rPr>
          <w:i/>
          <w:sz w:val="22"/>
          <w:szCs w:val="22"/>
        </w:rPr>
      </w:pPr>
      <w:r>
        <w:rPr>
          <w:i/>
          <w:sz w:val="22"/>
          <w:szCs w:val="22"/>
        </w:rPr>
        <w:t>Salgaiak erabiltzeko garraio intermodala indartzeko, garraio-gune edo -hiri bat garraio-modu anitzetarako pentsatuta egon daiteke (errepidekoa, trenbidekoa, itsaso bidezkoa, ibai bidezkoa eta aire bidezkoa).</w:t>
      </w:r>
    </w:p>
    <w:p w:rsidR="001E462B" w:rsidRDefault="001E462B" w:rsidP="001E462B">
      <w:pPr>
        <w:pStyle w:val="texto"/>
        <w:tabs>
          <w:tab w:val="clear" w:pos="2835"/>
          <w:tab w:val="clear" w:pos="3969"/>
          <w:tab w:val="clear" w:pos="5103"/>
          <w:tab w:val="clear" w:pos="6237"/>
          <w:tab w:val="clear" w:pos="7371"/>
        </w:tabs>
      </w:pPr>
      <w:r>
        <w:rPr>
          <w:i/>
        </w:rPr>
        <w:t>Azkenik, ezinbestekoa da garraio-gune edo -hiri bat organismo kudeatzaile publiko zein pribatu bakarrak kudeatzea.”</w:t>
      </w:r>
    </w:p>
    <w:p w:rsidR="001E462B" w:rsidRDefault="003C5760" w:rsidP="003C5760">
      <w:pPr>
        <w:pStyle w:val="texto"/>
        <w:tabs>
          <w:tab w:val="clear" w:pos="2835"/>
          <w:tab w:val="clear" w:pos="3969"/>
          <w:tab w:val="clear" w:pos="5103"/>
          <w:tab w:val="clear" w:pos="6237"/>
          <w:tab w:val="clear" w:pos="7371"/>
        </w:tabs>
      </w:pPr>
      <w:r>
        <w:t>Hasiera batean, zentro horiek, salgaien garraiobide bakar batera bideratua zeuden; gero, “bigarren belaunaldiko” plataforma logistikoak sortu ziren, edo intermodalitatean eta multimodalitatean integratutako multzoak; hau da, ze</w:t>
      </w:r>
      <w:r>
        <w:t>n</w:t>
      </w:r>
      <w:r>
        <w:t>bait garraiobideren interkonexioa barne hartzen dutenak. Azken urteetan, “h</w:t>
      </w:r>
      <w:r>
        <w:t>i</w:t>
      </w:r>
      <w:r>
        <w:t>rugarren belaunaldiko” arlo logistikoen eredua garatzen ari da, zeinetan g</w:t>
      </w:r>
      <w:r>
        <w:t>a</w:t>
      </w:r>
      <w:r>
        <w:t>rraio-guneen funtzio tradizionalak zabaltzen ari baitira, industria- eta merkat</w:t>
      </w:r>
      <w:r>
        <w:t>a</w:t>
      </w:r>
      <w:r>
        <w:t>ritza-jardueretarako guneekin: “jarduera ekonomikoen multzoak” deitzen dir</w:t>
      </w:r>
      <w:r>
        <w:t>e</w:t>
      </w:r>
      <w:r>
        <w:t>nak eratzen dituzte.</w:t>
      </w:r>
    </w:p>
    <w:p w:rsidR="00C6696A" w:rsidRDefault="00C6696A" w:rsidP="00377ADC">
      <w:pPr>
        <w:pStyle w:val="texto"/>
        <w:tabs>
          <w:tab w:val="clear" w:pos="2835"/>
          <w:tab w:val="clear" w:pos="3969"/>
          <w:tab w:val="clear" w:pos="5103"/>
          <w:tab w:val="clear" w:pos="6237"/>
          <w:tab w:val="clear" w:pos="7371"/>
        </w:tabs>
      </w:pPr>
      <w:r>
        <w:t>Iruñerriko Garraioaren Hiriaren proiektua ondoz ondoko lau fasetan garatzen joan da; ondoren deskribatzen ditugu kronologikoki haren gertaera garrantz</w:t>
      </w:r>
      <w:r>
        <w:t>i</w:t>
      </w:r>
      <w:r>
        <w:t>tsuenak.</w:t>
      </w:r>
    </w:p>
    <w:p w:rsidR="00BD1386" w:rsidRDefault="00BD1386">
      <w:pPr>
        <w:spacing w:after="0"/>
        <w:ind w:firstLine="0"/>
        <w:jc w:val="left"/>
        <w:rPr>
          <w:rFonts w:ascii="Arial" w:hAnsi="Arial"/>
          <w:bCs/>
          <w:iCs/>
          <w:color w:val="000000"/>
          <w:spacing w:val="10"/>
          <w:kern w:val="28"/>
          <w:sz w:val="25"/>
          <w:szCs w:val="26"/>
        </w:rPr>
      </w:pPr>
      <w:r>
        <w:br w:type="page"/>
      </w:r>
    </w:p>
    <w:p w:rsidR="00B42C7A" w:rsidRDefault="003616B8" w:rsidP="00B42C7A">
      <w:pPr>
        <w:pStyle w:val="atitulo2"/>
      </w:pPr>
      <w:bookmarkStart w:id="26" w:name="_Toc519583197"/>
      <w:r>
        <w:lastRenderedPageBreak/>
        <w:t>II.1. Iruñerriko Garraioaren Hiriaren 1. eta 2. faseak.</w:t>
      </w:r>
      <w:bookmarkEnd w:id="26"/>
      <w:r>
        <w:t xml:space="preserve"> </w:t>
      </w:r>
      <w:bookmarkEnd w:id="25"/>
    </w:p>
    <w:p w:rsidR="00442A29" w:rsidRPr="00447C6F" w:rsidRDefault="00442A29" w:rsidP="00B42C7A">
      <w:pPr>
        <w:pStyle w:val="texto"/>
        <w:tabs>
          <w:tab w:val="clear" w:pos="2835"/>
          <w:tab w:val="clear" w:pos="3969"/>
          <w:tab w:val="clear" w:pos="5103"/>
          <w:tab w:val="clear" w:pos="6237"/>
          <w:tab w:val="clear" w:pos="7371"/>
        </w:tabs>
        <w:rPr>
          <w:rFonts w:ascii="Times New (W1)" w:hAnsi="Times New (W1)"/>
          <w:b/>
          <w:szCs w:val="26"/>
        </w:rPr>
      </w:pPr>
      <w:r>
        <w:rPr>
          <w:rFonts w:ascii="Times New (W1)" w:hAnsi="Times New (W1)"/>
          <w:b/>
          <w:szCs w:val="26"/>
        </w:rPr>
        <w:t>1985etik 1990era</w:t>
      </w:r>
    </w:p>
    <w:p w:rsidR="00442A29" w:rsidRPr="00A9150B" w:rsidRDefault="00442A29"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Aldi horretan, aztertutako informaziotik ondoriozta daitekeen bezala, azp</w:t>
      </w:r>
      <w:r>
        <w:t>i</w:t>
      </w:r>
      <w:r>
        <w:t>egitura hori eta haren ezaugarriak direla-eta bisitak, txostenak eta azterlanak egiten dira. Nabarmentzekoa da 1989an batzorde bat sortu zela haren sorrera bultzatzeko; hartan parte hartu zuten Nafarroako Gobernuak berak, Nafarroako garraiolarien elkarteek —Nafarroako Errepideko Garraioko eta Logistikako Enpresaburuen Elkarteak (Anet) eta Salgaien Garraio Diskrezionalaren, Aut</w:t>
      </w:r>
      <w:r>
        <w:t>o</w:t>
      </w:r>
      <w:r>
        <w:t>patronoen eta Enpresa Txiki eta Ertainen Elkarteak (Tradisna)—, Nafarroako Merkataritza eta Industria Ganberak eta Audenasak.</w:t>
      </w:r>
    </w:p>
    <w:p w:rsidR="00442A29" w:rsidRPr="00A9150B" w:rsidRDefault="00442A29"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Erabaki zen GHa Imarkoaingo udal barrutian kokatzea (Noain-Elortzibarko Udala).</w:t>
      </w:r>
    </w:p>
    <w:p w:rsidR="00442A29" w:rsidRPr="00447C6F" w:rsidRDefault="00442A29" w:rsidP="003616B8">
      <w:pPr>
        <w:pStyle w:val="texto"/>
        <w:tabs>
          <w:tab w:val="clear" w:pos="2835"/>
          <w:tab w:val="clear" w:pos="3969"/>
          <w:tab w:val="clear" w:pos="5103"/>
          <w:tab w:val="clear" w:pos="6237"/>
          <w:tab w:val="clear" w:pos="7371"/>
        </w:tabs>
        <w:rPr>
          <w:rFonts w:ascii="Times New (W1)" w:hAnsi="Times New (W1)"/>
          <w:b/>
          <w:szCs w:val="26"/>
        </w:rPr>
      </w:pPr>
      <w:r>
        <w:rPr>
          <w:rFonts w:ascii="Times New (W1)" w:hAnsi="Times New (W1)"/>
          <w:b/>
          <w:szCs w:val="26"/>
        </w:rPr>
        <w:t>1991</w:t>
      </w:r>
    </w:p>
    <w:p w:rsidR="00B817E2" w:rsidRPr="00B05F68" w:rsidRDefault="00423D68" w:rsidP="00B05F6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Batzorde horren ondorioen emaitza gisa, “Terminal de Transportes de la Comarca de Pamplona SA (TTCP SA)” sortu zuten Anetek, Tradisnak, Naf</w:t>
      </w:r>
      <w:r>
        <w:t>a</w:t>
      </w:r>
      <w:r>
        <w:t>rroako Merkataritza eta Industria Ganberak eta Audenasak, aipatutako bazk</w:t>
      </w:r>
      <w:r>
        <w:t>i</w:t>
      </w:r>
      <w:r>
        <w:t>deek zati berdinetan izenpetutako 60.101 euroko kapitalarekin.</w:t>
      </w:r>
    </w:p>
    <w:p w:rsidR="00A12E16" w:rsidRPr="00A9150B" w:rsidRDefault="00044A42"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TTCP SA enpresaren ekimenez —sustatzaile gisa jardun zuen—, Iruñ</w:t>
      </w:r>
      <w:r>
        <w:t>e</w:t>
      </w:r>
      <w:r>
        <w:t>rriko Garraio Terminalaren udalez gaindiko plan sektoriala idatzi eta izapidetu zen, horretarako 600.000 m</w:t>
      </w:r>
      <w:r>
        <w:rPr>
          <w:vertAlign w:val="superscript"/>
        </w:rPr>
        <w:t>2</w:t>
      </w:r>
      <w:r>
        <w:t xml:space="preserve"> inguruko azalera bat antolatuz. Nafarroako Gobe</w:t>
      </w:r>
      <w:r>
        <w:t>r</w:t>
      </w:r>
      <w:r>
        <w:t>nuak 1991ko abenduaren 23an hartutako erabakiaz eman zitzaion behin betiko onespena, eta onura publikokoa, interes sozialekoa eta udalez gaindiko izaer</w:t>
      </w:r>
      <w:r>
        <w:t>a</w:t>
      </w:r>
      <w:r>
        <w:t>koa zela deklaratu zen.</w:t>
      </w:r>
    </w:p>
    <w:p w:rsidR="00442A29" w:rsidRPr="00BD1386" w:rsidRDefault="00951BD0" w:rsidP="003616B8">
      <w:pPr>
        <w:pStyle w:val="texto"/>
        <w:tabs>
          <w:tab w:val="clear" w:pos="2835"/>
          <w:tab w:val="clear" w:pos="3969"/>
          <w:tab w:val="clear" w:pos="5103"/>
          <w:tab w:val="clear" w:pos="6237"/>
          <w:tab w:val="clear" w:pos="7371"/>
        </w:tabs>
        <w:rPr>
          <w:rFonts w:ascii="Times New (W1)" w:hAnsi="Times New (W1)"/>
          <w:sz w:val="22"/>
          <w:szCs w:val="22"/>
        </w:rPr>
      </w:pPr>
      <w:r>
        <w:t xml:space="preserve">Planaren helburua da </w:t>
      </w:r>
      <w:r>
        <w:rPr>
          <w:i/>
        </w:rPr>
        <w:t>“Salgaien errepideko garraioarekin lotutako jarduera guztiak zentralizatzea, garraioa eta zamaketa-jarduera guztiak eremu mugatu batean kontzentratuz, hartara, jarduera hori Iruñerrian garatzen den tokietan gertatzen diren hiri-arazoak eta arazo logistikoak gutxituz”.</w:t>
      </w:r>
    </w:p>
    <w:p w:rsidR="00146A60" w:rsidRDefault="00951BD0" w:rsidP="00951BD0">
      <w:pPr>
        <w:pStyle w:val="texto"/>
        <w:tabs>
          <w:tab w:val="clear" w:pos="2835"/>
          <w:tab w:val="clear" w:pos="3969"/>
          <w:tab w:val="clear" w:pos="5103"/>
          <w:tab w:val="clear" w:pos="6237"/>
          <w:tab w:val="clear" w:pos="7371"/>
        </w:tabs>
      </w:pPr>
      <w:r>
        <w:t>Udalez gaindiko plan sektorialak Garraioaren Hiria garatzen du 388.655 m</w:t>
      </w:r>
      <w:r>
        <w:rPr>
          <w:vertAlign w:val="superscript"/>
        </w:rPr>
        <w:t>2</w:t>
      </w:r>
      <w:r>
        <w:t>-ko azalera batean: 1. fasea da; eta erreserbako-eremutzat kalifikatzen du gain</w:t>
      </w:r>
      <w:r>
        <w:t>e</w:t>
      </w:r>
      <w:r>
        <w:t>rakoa —2. fasea, 219.708 m</w:t>
      </w:r>
      <w:r>
        <w:rPr>
          <w:vertAlign w:val="superscript"/>
        </w:rPr>
        <w:t>2</w:t>
      </w:r>
      <w:r>
        <w:t>—, garraioarekin, biltegiratzearekin edo prest</w:t>
      </w:r>
      <w:r>
        <w:t>a</w:t>
      </w:r>
      <w:r>
        <w:t>kuntzarekin lotutako erabilerei lotuta. Horren antolamendua dagokion hirigi</w:t>
      </w:r>
      <w:r>
        <w:t>n</w:t>
      </w:r>
      <w:r>
        <w:t xml:space="preserve">tza-tresnaren esku uzten du. </w:t>
      </w:r>
    </w:p>
    <w:p w:rsidR="00F66EBF" w:rsidRPr="00447C6F" w:rsidRDefault="00F66EBF" w:rsidP="00F66EBF">
      <w:pPr>
        <w:pStyle w:val="texto"/>
        <w:tabs>
          <w:tab w:val="clear" w:pos="2835"/>
          <w:tab w:val="clear" w:pos="3969"/>
          <w:tab w:val="clear" w:pos="5103"/>
          <w:tab w:val="clear" w:pos="6237"/>
          <w:tab w:val="clear" w:pos="7371"/>
        </w:tabs>
        <w:rPr>
          <w:rFonts w:ascii="Times New (W1)" w:hAnsi="Times New (W1)"/>
          <w:b/>
          <w:szCs w:val="26"/>
        </w:rPr>
      </w:pPr>
      <w:r>
        <w:rPr>
          <w:rFonts w:ascii="Times New (W1)" w:hAnsi="Times New (W1)"/>
          <w:b/>
          <w:szCs w:val="26"/>
        </w:rPr>
        <w:t>1993. eta 1994. urteak</w:t>
      </w:r>
    </w:p>
    <w:p w:rsidR="0057131F" w:rsidRPr="0087560A" w:rsidRDefault="007D14ED" w:rsidP="0087560A">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Hasieratik, aurreikusi zen Nafarroako Gobernuak aktiboki parte hartu b</w:t>
      </w:r>
      <w:r>
        <w:t>e</w:t>
      </w:r>
      <w:r>
        <w:t>har zuela proiektuaren garapenean, exekuzioan eta finantzaketan. Asmo hori jasota utzi zen Nafarroako Gobernuaren eta TTCP SA sozietatearen arteko la</w:t>
      </w:r>
      <w:r>
        <w:t>n</w:t>
      </w:r>
      <w:r>
        <w:t xml:space="preserve">kidetza-hitzarmen batean, 1993ko urriaren 29an sinatutakoan. Honako hauek </w:t>
      </w:r>
      <w:r>
        <w:lastRenderedPageBreak/>
        <w:t>aipa ditzakegu Nafarroako Gobernuak bere gain hartutako konpromisoen a</w:t>
      </w:r>
      <w:r>
        <w:t>r</w:t>
      </w:r>
      <w:r>
        <w:t>tean:</w:t>
      </w:r>
    </w:p>
    <w:p w:rsidR="00D636E4" w:rsidRPr="0052139D" w:rsidRDefault="0052139D" w:rsidP="00E1331F">
      <w:pPr>
        <w:pStyle w:val="texto"/>
        <w:tabs>
          <w:tab w:val="clear" w:pos="2835"/>
          <w:tab w:val="clear" w:pos="3969"/>
          <w:tab w:val="clear" w:pos="5103"/>
          <w:tab w:val="clear" w:pos="6237"/>
          <w:tab w:val="clear" w:pos="7371"/>
        </w:tabs>
        <w:rPr>
          <w:szCs w:val="26"/>
        </w:rPr>
      </w:pPr>
      <w:r>
        <w:t xml:space="preserve">a) Urgentziaren bidetik behar diren lurrak desjabetzea, sozietate sustatzailea deklaratuz desjabetzearen onuradun gisa. </w:t>
      </w:r>
    </w:p>
    <w:p w:rsidR="001E3970" w:rsidRDefault="00E1331F" w:rsidP="004F6231">
      <w:pPr>
        <w:pStyle w:val="texto"/>
        <w:tabs>
          <w:tab w:val="clear" w:pos="2835"/>
          <w:tab w:val="clear" w:pos="3969"/>
          <w:tab w:val="clear" w:pos="5103"/>
          <w:tab w:val="clear" w:pos="6237"/>
          <w:tab w:val="clear" w:pos="7371"/>
        </w:tabs>
        <w:rPr>
          <w:szCs w:val="26"/>
        </w:rPr>
      </w:pPr>
      <w:r>
        <w:t>b) Sozietate sustatzaileari lurrak eskuratzeko kostu osoa finantzatzea. H</w:t>
      </w:r>
      <w:r>
        <w:t>i</w:t>
      </w:r>
      <w:r>
        <w:t>tzarmen hori onesten duen Gobernuaren erabakian, 1993ko urriaren 18an, 1,80 milioi euroko gastu bat jasotzen da 1994ko aurrekonturako, lur horiek finantz</w:t>
      </w:r>
      <w:r>
        <w:t>a</w:t>
      </w:r>
      <w:r>
        <w:t xml:space="preserve">tzeko. </w:t>
      </w:r>
    </w:p>
    <w:p w:rsidR="0057131F" w:rsidRPr="0052139D" w:rsidRDefault="00B00DE2" w:rsidP="0052139D">
      <w:pPr>
        <w:pStyle w:val="texto"/>
        <w:tabs>
          <w:tab w:val="clear" w:pos="2835"/>
          <w:tab w:val="clear" w:pos="3969"/>
          <w:tab w:val="clear" w:pos="5103"/>
          <w:tab w:val="clear" w:pos="6237"/>
          <w:tab w:val="clear" w:pos="7371"/>
        </w:tabs>
        <w:rPr>
          <w:szCs w:val="26"/>
        </w:rPr>
      </w:pPr>
      <w:r>
        <w:t>c) TTCP SA sozietatearen kapitalean sartzea, eta sei hilabeteko epean kap</w:t>
      </w:r>
      <w:r>
        <w:t>i</w:t>
      </w:r>
      <w:r>
        <w:t>tal-gehikuntza bat izenpetzea: gainerako bazkideek duten partaidetza bera iz</w:t>
      </w:r>
      <w:r>
        <w:t>a</w:t>
      </w:r>
      <w:r>
        <w:t>nen du. Klausula hori, ondoren aipatzen den bezala, ez zen hitzez hitz bete.</w:t>
      </w:r>
    </w:p>
    <w:p w:rsidR="0057131F" w:rsidRPr="00DD1C06" w:rsidRDefault="002022DA"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1994ko irailean, bi aldeek aurrekoa aldatzeko hitzarmen bat izenpetu z</w:t>
      </w:r>
      <w:r>
        <w:t>u</w:t>
      </w:r>
      <w:r>
        <w:t>ten, honako baldintza hauekin:</w:t>
      </w:r>
    </w:p>
    <w:p w:rsidR="002022DA" w:rsidRPr="0052139D" w:rsidRDefault="0052139D" w:rsidP="0052139D">
      <w:pPr>
        <w:pStyle w:val="texto"/>
        <w:tabs>
          <w:tab w:val="clear" w:pos="2835"/>
          <w:tab w:val="clear" w:pos="3969"/>
          <w:tab w:val="clear" w:pos="5103"/>
          <w:tab w:val="clear" w:pos="6237"/>
          <w:tab w:val="clear" w:pos="7371"/>
        </w:tabs>
        <w:rPr>
          <w:szCs w:val="26"/>
        </w:rPr>
      </w:pPr>
      <w:r>
        <w:t>a) Desjabetutako lurra eskuratzeko diru-laguntzaren gehieneko zenbatekoa 1,71 milioi eurokoa izanen da.</w:t>
      </w:r>
    </w:p>
    <w:p w:rsidR="00B00DE2" w:rsidRDefault="0052139D" w:rsidP="00B00DE2">
      <w:pPr>
        <w:pStyle w:val="texto"/>
        <w:tabs>
          <w:tab w:val="clear" w:pos="2835"/>
          <w:tab w:val="clear" w:pos="3969"/>
          <w:tab w:val="clear" w:pos="5103"/>
          <w:tab w:val="clear" w:pos="6237"/>
          <w:tab w:val="clear" w:pos="7371"/>
        </w:tabs>
        <w:rPr>
          <w:szCs w:val="26"/>
        </w:rPr>
      </w:pPr>
      <w:r>
        <w:t>b) Nafarroako Gobernuak, Obras Públicas de Navarra SAren bitartez, TTCP SAren kapital sozialean parte hartuko du 240.405 eurorekin; horrek kapital s</w:t>
      </w:r>
      <w:r>
        <w:t>o</w:t>
      </w:r>
      <w:r>
        <w:t>zialaren gehiengo osoa izatea bermatuko dio. Partaidetza hori 1995. urtearen amaieran gauzatu zen egiazki.</w:t>
      </w:r>
    </w:p>
    <w:p w:rsidR="00851363" w:rsidRPr="00DD1C06" w:rsidRDefault="00851363" w:rsidP="00B00DE2">
      <w:pPr>
        <w:pStyle w:val="texto"/>
        <w:tabs>
          <w:tab w:val="clear" w:pos="2835"/>
          <w:tab w:val="clear" w:pos="3969"/>
          <w:tab w:val="clear" w:pos="5103"/>
          <w:tab w:val="clear" w:pos="6237"/>
          <w:tab w:val="clear" w:pos="7371"/>
          <w:tab w:val="num" w:pos="600"/>
        </w:tabs>
        <w:rPr>
          <w:szCs w:val="26"/>
        </w:rPr>
      </w:pPr>
      <w:r>
        <w:t>Hitzarmen horiek aplikatuz, agerian gelditzen da Nafarroako Gobernuak l</w:t>
      </w:r>
      <w:r>
        <w:t>i</w:t>
      </w:r>
      <w:r>
        <w:t>dergoa hartzen duela proiektuaren exekuzioan, bai eta haren finantzaketan ere. Halaber, TTCP SA sozietatearen administrazio kontseiluaren lehendakaritza hartzen du bere gain.</w:t>
      </w:r>
    </w:p>
    <w:p w:rsidR="005660D2" w:rsidRPr="00DD1C06" w:rsidRDefault="005660D2" w:rsidP="00B00DE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Urtarrilaren 17ko 12/1994 Foru Dekretuaren bitartez, urgente deklaratu zen, nahitaezko desjabetzearen eraginetarako, aipatutako udalez gaindiko plan sektorialak ukitutako ondasun eta eskubideen okupazioa.</w:t>
      </w:r>
    </w:p>
    <w:p w:rsidR="005660D2" w:rsidRPr="00DD1C06" w:rsidRDefault="005660D2" w:rsidP="00DD1C06">
      <w:pPr>
        <w:pStyle w:val="texto"/>
        <w:tabs>
          <w:tab w:val="clear" w:pos="2835"/>
          <w:tab w:val="clear" w:pos="3969"/>
          <w:tab w:val="clear" w:pos="5103"/>
          <w:tab w:val="clear" w:pos="6237"/>
          <w:tab w:val="clear" w:pos="7371"/>
          <w:tab w:val="num" w:pos="600"/>
        </w:tabs>
        <w:rPr>
          <w:szCs w:val="26"/>
        </w:rPr>
      </w:pPr>
      <w:r>
        <w:t>Herri Lanetako kontseilariaren otsailaren 28ko 96/1994 Foru Aginduaren b</w:t>
      </w:r>
      <w:r>
        <w:t>i</w:t>
      </w:r>
      <w:r>
        <w:t>tartez, aipatutako ondasun eta eskubideen nahitaezko desjabetzerako prozedura izapidetzen hasi zen.</w:t>
      </w:r>
    </w:p>
    <w:p w:rsidR="00B00DE2" w:rsidRDefault="00572525" w:rsidP="001130EE">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 xml:space="preserve">1994an, TTCP SAk —data horretan sozietate pribatua zenak— erabaki zuen sustatzaileen-eraikitzaileen artean lehiaketa bat egitea Garraioaren Hiria egitea eta garatzea adjudikatzeko, eta kasuko oinarriak onetsi zituen. Oinarri horiek kudeaketa-eredua eta proiektuaren garapena jasotzen dituzte. Lehiaketa, hasiera batean, GHko 1. faseko obretara mugatzen da. </w:t>
      </w:r>
    </w:p>
    <w:p w:rsidR="00BD1386" w:rsidRDefault="00BD1386" w:rsidP="00BD1386">
      <w:pPr>
        <w:pStyle w:val="texto"/>
        <w:tabs>
          <w:tab w:val="clear" w:pos="2835"/>
          <w:tab w:val="clear" w:pos="3969"/>
          <w:tab w:val="clear" w:pos="5103"/>
          <w:tab w:val="clear" w:pos="6237"/>
          <w:tab w:val="clear" w:pos="7371"/>
          <w:tab w:val="left" w:pos="480"/>
          <w:tab w:val="num" w:pos="600"/>
        </w:tabs>
        <w:rPr>
          <w:szCs w:val="26"/>
        </w:rPr>
      </w:pPr>
    </w:p>
    <w:p w:rsidR="00BD1386" w:rsidRPr="001130EE" w:rsidRDefault="00BD1386" w:rsidP="00BD1386">
      <w:pPr>
        <w:pStyle w:val="texto"/>
        <w:tabs>
          <w:tab w:val="clear" w:pos="2835"/>
          <w:tab w:val="clear" w:pos="3969"/>
          <w:tab w:val="clear" w:pos="5103"/>
          <w:tab w:val="clear" w:pos="6237"/>
          <w:tab w:val="clear" w:pos="7371"/>
          <w:tab w:val="left" w:pos="480"/>
          <w:tab w:val="num" w:pos="600"/>
        </w:tabs>
        <w:rPr>
          <w:szCs w:val="26"/>
        </w:rPr>
      </w:pPr>
    </w:p>
    <w:p w:rsidR="00572525" w:rsidRPr="00447C6F" w:rsidRDefault="004F3088" w:rsidP="004F3088">
      <w:pPr>
        <w:pStyle w:val="texto"/>
        <w:tabs>
          <w:tab w:val="clear" w:pos="2835"/>
          <w:tab w:val="clear" w:pos="3969"/>
          <w:tab w:val="clear" w:pos="5103"/>
          <w:tab w:val="clear" w:pos="6237"/>
          <w:tab w:val="clear" w:pos="7371"/>
        </w:tabs>
        <w:rPr>
          <w:rFonts w:ascii="Times New (W1)" w:hAnsi="Times New (W1)"/>
          <w:b/>
          <w:szCs w:val="26"/>
        </w:rPr>
      </w:pPr>
      <w:r>
        <w:rPr>
          <w:rFonts w:ascii="Times New (W1)" w:hAnsi="Times New (W1)"/>
          <w:b/>
          <w:szCs w:val="26"/>
        </w:rPr>
        <w:t>1995etik 1999ra</w:t>
      </w:r>
    </w:p>
    <w:p w:rsidR="007A0126" w:rsidRPr="00986C8C" w:rsidRDefault="007A0126"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pacing w:val="4"/>
          <w:szCs w:val="26"/>
        </w:rPr>
      </w:pPr>
      <w:r>
        <w:lastRenderedPageBreak/>
        <w:t>1995eko azaroan, Herri Lanetako zuzendari nagusiaren 706/1995 Ebazp</w:t>
      </w:r>
      <w:r>
        <w:t>e</w:t>
      </w:r>
      <w:r>
        <w:t>naren bitartez, 141.542 euro jarri eta ordaindu ziren aldez aurretiko gordailuei eta okupazio azkarrari zegozkienak, eta behin betiko okupazio-aktak egin ziren.</w:t>
      </w:r>
    </w:p>
    <w:p w:rsidR="00A0647E" w:rsidRDefault="004B1641" w:rsidP="00DD1C06">
      <w:pPr>
        <w:pStyle w:val="texto"/>
        <w:tabs>
          <w:tab w:val="clear" w:pos="2835"/>
          <w:tab w:val="clear" w:pos="3969"/>
          <w:tab w:val="clear" w:pos="5103"/>
          <w:tab w:val="clear" w:pos="6237"/>
          <w:tab w:val="clear" w:pos="7371"/>
        </w:tabs>
        <w:rPr>
          <w:szCs w:val="26"/>
        </w:rPr>
      </w:pPr>
      <w:r>
        <w:t>Lurren jabeekin adiskidetasunezko akordioak lortu ez zirenez, Nafarroako Desjabetzeen Epaimahaira jo zen; azken horrek, 1997ko azaroko ebazpenaren bidez, 1,77 euro/m</w:t>
      </w:r>
      <w:r>
        <w:rPr>
          <w:vertAlign w:val="superscript"/>
        </w:rPr>
        <w:t>2</w:t>
      </w:r>
      <w:r>
        <w:t>-ko prezioan ezarri zuen balio justua, hau da, afekzio-sariaren ehuneko bost baino gehiago —guztira, 1,86 euro/m</w:t>
      </w:r>
      <w:r>
        <w:rPr>
          <w:vertAlign w:val="superscript"/>
        </w:rPr>
        <w:t>2</w:t>
      </w:r>
      <w:r>
        <w:t xml:space="preserve">— gehi legezko berandutze-interesak. </w:t>
      </w:r>
    </w:p>
    <w:p w:rsidR="00146A60" w:rsidRPr="00DD1C06" w:rsidRDefault="00146A60" w:rsidP="00DD1C06">
      <w:pPr>
        <w:pStyle w:val="texto"/>
        <w:tabs>
          <w:tab w:val="clear" w:pos="2835"/>
          <w:tab w:val="clear" w:pos="3969"/>
          <w:tab w:val="clear" w:pos="5103"/>
          <w:tab w:val="clear" w:pos="6237"/>
          <w:tab w:val="clear" w:pos="7371"/>
        </w:tabs>
        <w:rPr>
          <w:szCs w:val="26"/>
        </w:rPr>
      </w:pPr>
      <w:r>
        <w:t>Ados ez zeuden jabeek ebazpenaren aurkako errekurtsoa aurkeztu zuten De</w:t>
      </w:r>
      <w:r>
        <w:t>s</w:t>
      </w:r>
      <w:r>
        <w:t>jabetzeen Epaimahaian; guztira, bost errekurtso aurkeztu ziren Nafarroako Ju</w:t>
      </w:r>
      <w:r>
        <w:t>s</w:t>
      </w:r>
      <w:r>
        <w:t>tizia Auzitegi Nagusiko Administrazioarekiko Auzien Salan.</w:t>
      </w:r>
    </w:p>
    <w:p w:rsidR="00B00DE2" w:rsidRDefault="004F3088" w:rsidP="00B00DE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TTCP SAren administrazio kontseiluaren 1995eko martxoaren 30eko bi</w:t>
      </w:r>
      <w:r>
        <w:t>l</w:t>
      </w:r>
      <w:r>
        <w:t>kuran hartutako erabakiaren bidez, 1. fasearen aipatutako lehiaketa Sanco eta Construcciones GM enpresek osatutako aldi baterako enpresa-elkarteari adjud</w:t>
      </w:r>
      <w:r>
        <w:t>i</w:t>
      </w:r>
      <w:r>
        <w:t>katu zitzaion, hain zuzen ere aurkeztutako eskaintza bakarrari, eta kasuko ko</w:t>
      </w:r>
      <w:r>
        <w:t>n</w:t>
      </w:r>
      <w:r>
        <w:t>tratua 1995eko ekainaren 23an egin zen. 1999ko maiatzean, kontratu hori a</w:t>
      </w:r>
      <w:r>
        <w:t>l</w:t>
      </w:r>
      <w:r>
        <w:t xml:space="preserve">datu zen, besteak beste GHaren 2. fasearen garapena jasotzeko. </w:t>
      </w:r>
    </w:p>
    <w:p w:rsidR="004F3088" w:rsidRPr="00DD1C06" w:rsidRDefault="004F3088"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Aldi berean, eta kasuko finkak okupatzeko desjabetze-espedientea azka</w:t>
      </w:r>
      <w:r>
        <w:t>r</w:t>
      </w:r>
      <w:r>
        <w:t>tzen zen bitartean, 1. fasearen urbanizazio-proiektua idatzi eta izapidetu zen: Ingurumeneko, Lurraldearen Antolamenduko eta Etxebizitzako kontseilariaren maiatzaren 8ko 398/1996 Foru Aginduaren bidez eman zitzaion behin betiko onespena.</w:t>
      </w:r>
    </w:p>
    <w:p w:rsidR="004F3088" w:rsidRPr="00DD1C06" w:rsidRDefault="006A131F"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1996ko maiatzean, 1. fasearen urbanizazio-lanei ekin zitzaien. 1998an amaitu ziren.</w:t>
      </w:r>
    </w:p>
    <w:p w:rsidR="00423D68" w:rsidRPr="00DD1C06" w:rsidRDefault="00095C35"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1997an, Terminal de Transportes de la Comarca de Pamplona SA soziet</w:t>
      </w:r>
      <w:r>
        <w:t>a</w:t>
      </w:r>
      <w:r>
        <w:t>teak izena aldatu zuen, eta “Ciudad del Transporte de Pamplona SA” izena hartu zuen. (aurrerantzean, IGH SA). Izen horri 2011ra arte eutsi zitzaion; izan ere, urte horretan, xurgatze bidez bat egiteko operazio baten bitartez, Garraio</w:t>
      </w:r>
      <w:r>
        <w:t>a</w:t>
      </w:r>
      <w:r>
        <w:t>ren Hiriak Agencia Navarra del Transporte y Logística SA xurgatu zuen, eta sozietate berriak “Agencia Navarra del Transporte y la Logística SAU” (ANL) izena hartu zuen; gero, 2014an, azken sozietate hori Navarra de Suelo y Viv</w:t>
      </w:r>
      <w:r>
        <w:t>i</w:t>
      </w:r>
      <w:r>
        <w:t>enda SAUk (Nasuvinsa) xurgatu zuen.</w:t>
      </w:r>
    </w:p>
    <w:p w:rsidR="007F6DDA" w:rsidRPr="00DD1C06" w:rsidRDefault="007F6DDA"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Nafarroako Gobernuak, garraio- eta zerbitzu-enpresak GHan instala zitezen bultatzeko, urtarrilaren 27ko 16/1997 Foru Dekretuaren bitartez, inbertsioeng</w:t>
      </w:r>
      <w:r>
        <w:t>a</w:t>
      </w:r>
      <w:r>
        <w:t>tiko kenkarien araubide berezi bat ezarri zuen Garraioaren Hirian 1997an eta 1998an ezarri eta inbertitzea erabakitzen zuten enpresentzat.</w:t>
      </w:r>
    </w:p>
    <w:p w:rsidR="006A131F" w:rsidRPr="006A131F" w:rsidRDefault="006A131F"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rFonts w:ascii="Times New (W1)" w:hAnsi="Times New (W1)"/>
          <w:szCs w:val="26"/>
        </w:rPr>
      </w:pPr>
      <w:r>
        <w:t>Estatuko Administrazio Orokorraren eta Nafarroako Gobernuaren artean akordio bat sinatu zen, GHan aduana izanen zen eraikin bat egon zedin; ond</w:t>
      </w:r>
      <w:r>
        <w:t>o</w:t>
      </w:r>
      <w:r>
        <w:t xml:space="preserve">ren, Nafarroako Gobernuak aipatutako CTP SA sozietateari enkargatu zion </w:t>
      </w:r>
      <w:r>
        <w:lastRenderedPageBreak/>
        <w:t>aduana hori eraikitzea. Obrak aldi baterako enpresa-elkarteak egin zituen. Aduana 2000n hasi zen lanean.</w:t>
      </w:r>
    </w:p>
    <w:p w:rsidR="006A131F" w:rsidRPr="006A131F" w:rsidRDefault="006A131F"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rFonts w:ascii="Times New (W1)" w:hAnsi="Times New (W1)"/>
          <w:szCs w:val="26"/>
        </w:rPr>
      </w:pPr>
      <w:r>
        <w:t>1. fasearen inaugurazioa eta logistikako eta motorraren zentroko enpresen jardueren hasiera 1999ko maiatzean izan zen.</w:t>
      </w:r>
    </w:p>
    <w:p w:rsidR="006A131F" w:rsidRPr="00447C6F" w:rsidRDefault="0085177C" w:rsidP="0085177C">
      <w:pPr>
        <w:pStyle w:val="texto"/>
        <w:tabs>
          <w:tab w:val="clear" w:pos="2835"/>
          <w:tab w:val="clear" w:pos="3969"/>
          <w:tab w:val="clear" w:pos="5103"/>
          <w:tab w:val="clear" w:pos="6237"/>
          <w:tab w:val="clear" w:pos="7371"/>
        </w:tabs>
        <w:rPr>
          <w:rFonts w:ascii="Times New (W1)" w:hAnsi="Times New (W1)"/>
          <w:b/>
          <w:szCs w:val="26"/>
        </w:rPr>
      </w:pPr>
      <w:r>
        <w:rPr>
          <w:rFonts w:ascii="Times New (W1)" w:hAnsi="Times New (W1)"/>
          <w:b/>
          <w:szCs w:val="26"/>
        </w:rPr>
        <w:t>2000tik 2005era</w:t>
      </w:r>
    </w:p>
    <w:p w:rsidR="0085177C" w:rsidRPr="00DD1C06" w:rsidRDefault="0085177C"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1. fasean merkaturatzearen arloan ikusitako arrakastaren aurrean, CTP SAk erabaki zuen udalez gaindiko plan sektorialean aurreikusita zegoen erreserba-eremua erabiltzea Garraioaren Hiriaren 2. fasea egiteko; horretarako, bestelako erabilerak baztertu zituen eta hura garatzeko eta haren balizko zabalkuntzak egiteko hautabideen azterlana idatzi zuen.</w:t>
      </w:r>
    </w:p>
    <w:p w:rsidR="0085177C" w:rsidRPr="004D22FC" w:rsidRDefault="0085177C" w:rsidP="0085177C">
      <w:pPr>
        <w:pStyle w:val="texto"/>
        <w:tabs>
          <w:tab w:val="clear" w:pos="2835"/>
          <w:tab w:val="clear" w:pos="3969"/>
          <w:tab w:val="clear" w:pos="5103"/>
          <w:tab w:val="clear" w:pos="6237"/>
          <w:tab w:val="clear" w:pos="7371"/>
        </w:tabs>
        <w:rPr>
          <w:spacing w:val="4"/>
          <w:szCs w:val="26"/>
        </w:rPr>
      </w:pPr>
      <w:r>
        <w:t>Nafarroa</w:t>
      </w:r>
      <w:bookmarkStart w:id="27" w:name="tm_385745009"/>
      <w:r>
        <w:t>ko</w:t>
      </w:r>
      <w:bookmarkEnd w:id="27"/>
      <w:r>
        <w:t xml:space="preserve"> Gobernuaren 1999ko urriaren 11ko Erabakiaren bidez “Udalez gaindiko Plan Sektorialaren Bigarren Fasearen Garapena” espedientea izapid</w:t>
      </w:r>
      <w:r>
        <w:t>e</w:t>
      </w:r>
      <w:r>
        <w:t>tzen hasi zen; 2000ko maiatzaren 22an eman zitzaion behin betiko onespena. Dokumentu horretan erabilerak ezarritako bi eremuen arabera —zerbitzuak eta nabeak— xehakatu ziren, eta kasuko araudia jaso zen.</w:t>
      </w:r>
    </w:p>
    <w:p w:rsidR="007E1556" w:rsidRPr="00DD1C06" w:rsidRDefault="0085177C" w:rsidP="007A0126">
      <w:pPr>
        <w:pStyle w:val="texto"/>
        <w:tabs>
          <w:tab w:val="clear" w:pos="2835"/>
          <w:tab w:val="clear" w:pos="3969"/>
          <w:tab w:val="clear" w:pos="5103"/>
          <w:tab w:val="clear" w:pos="6237"/>
          <w:tab w:val="clear" w:pos="7371"/>
        </w:tabs>
        <w:rPr>
          <w:szCs w:val="26"/>
        </w:rPr>
      </w:pPr>
      <w:r>
        <w:t>2001eko irailean, urbanizazio-lanei ekin zitzaien: 2005ean amaitu ziren.</w:t>
      </w:r>
    </w:p>
    <w:p w:rsidR="00B00DE2" w:rsidRPr="00FA76C8" w:rsidRDefault="00B00DE2" w:rsidP="00B00DE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2002an zehar, Nafarroako Justizia Auzitegi Nagusiak kasuko epaiak eman zituen, eta horien emaitza kasu guztietan desjabetuen aldekoak izan ziren: De</w:t>
      </w:r>
      <w:r>
        <w:t>s</w:t>
      </w:r>
      <w:r>
        <w:t>jabetzeen Epaimahaiaren ebazpena baliogabe utzi eta Administrazioa zigortu zen lurrengatik balio justuak aplikatzetik ateratako kopuruak ordaintzera, h</w:t>
      </w:r>
      <w:r>
        <w:t>o</w:t>
      </w:r>
      <w:r>
        <w:t>nako prezio-tartearen arabera: 12,64 €/m</w:t>
      </w:r>
      <w:r>
        <w:rPr>
          <w:vertAlign w:val="superscript"/>
        </w:rPr>
        <w:t>2</w:t>
      </w:r>
      <w:r>
        <w:t xml:space="preserve"> eta 20,60 €/m</w:t>
      </w:r>
      <w:r>
        <w:rPr>
          <w:vertAlign w:val="superscript"/>
        </w:rPr>
        <w:t>2</w:t>
      </w:r>
      <w:r>
        <w:t xml:space="preserve"> bitarte —horren ba</w:t>
      </w:r>
      <w:r>
        <w:t>r</w:t>
      </w:r>
      <w:r>
        <w:t>nean zela afekzio-sariaren ehuneko bosta—, gehi kasuko legezko interesak.</w:t>
      </w:r>
    </w:p>
    <w:p w:rsidR="00B00DE2" w:rsidRDefault="00B00DE2" w:rsidP="00B00DE2">
      <w:pPr>
        <w:pStyle w:val="texto"/>
        <w:tabs>
          <w:tab w:val="clear" w:pos="2835"/>
          <w:tab w:val="clear" w:pos="3969"/>
          <w:tab w:val="clear" w:pos="5103"/>
          <w:tab w:val="clear" w:pos="6237"/>
          <w:tab w:val="clear" w:pos="7371"/>
        </w:tabs>
        <w:rPr>
          <w:szCs w:val="26"/>
        </w:rPr>
      </w:pPr>
      <w:r>
        <w:t>Epai horien aurka kasazioan Nafarroako Auzitegi Nagusian errekurtsoak aurkeztu zituzten —2002an eta 2003an— Nafarroako Gobernuak eta CTP SAk. Auzitegi Gorenak salaren erabakia berretsi zuen.</w:t>
      </w:r>
    </w:p>
    <w:p w:rsidR="006B42CD" w:rsidRDefault="006B42CD" w:rsidP="006B42C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2005ean, GHaren 2. fasea inauguratu zen.</w:t>
      </w:r>
    </w:p>
    <w:p w:rsidR="004D22FC" w:rsidRPr="00FA76C8" w:rsidRDefault="004D22FC" w:rsidP="004D22FC">
      <w:pPr>
        <w:pStyle w:val="texto"/>
        <w:tabs>
          <w:tab w:val="clear" w:pos="2835"/>
          <w:tab w:val="clear" w:pos="3969"/>
          <w:tab w:val="clear" w:pos="5103"/>
          <w:tab w:val="clear" w:pos="6237"/>
          <w:tab w:val="clear" w:pos="7371"/>
        </w:tabs>
        <w:spacing w:after="0"/>
        <w:ind w:left="289" w:firstLine="0"/>
        <w:rPr>
          <w:szCs w:val="26"/>
        </w:rPr>
      </w:pPr>
    </w:p>
    <w:p w:rsidR="00C40B00" w:rsidRDefault="00C40B00" w:rsidP="00C40B00">
      <w:pPr>
        <w:pStyle w:val="atitulo2"/>
      </w:pPr>
      <w:bookmarkStart w:id="28" w:name="_Toc519583198"/>
      <w:r>
        <w:t>II.2. Iruñerriko Garraioaren Hiriaren 3. eta 4. faseak.</w:t>
      </w:r>
      <w:bookmarkEnd w:id="28"/>
    </w:p>
    <w:p w:rsidR="00036752" w:rsidRPr="00447C6F" w:rsidRDefault="00BF1C11" w:rsidP="0085177C">
      <w:pPr>
        <w:pStyle w:val="texto"/>
        <w:tabs>
          <w:tab w:val="clear" w:pos="2835"/>
          <w:tab w:val="clear" w:pos="3969"/>
          <w:tab w:val="clear" w:pos="5103"/>
          <w:tab w:val="clear" w:pos="6237"/>
          <w:tab w:val="clear" w:pos="7371"/>
        </w:tabs>
        <w:rPr>
          <w:rFonts w:ascii="Times New (W1)" w:hAnsi="Times New (W1)"/>
          <w:b/>
          <w:szCs w:val="26"/>
        </w:rPr>
      </w:pPr>
      <w:r>
        <w:rPr>
          <w:rFonts w:ascii="Times New (W1)" w:hAnsi="Times New (W1)"/>
          <w:b/>
          <w:szCs w:val="26"/>
        </w:rPr>
        <w:t>1999tik 2004ra</w:t>
      </w:r>
    </w:p>
    <w:p w:rsidR="007B05A8" w:rsidRPr="00AC1E05" w:rsidRDefault="00B85A78" w:rsidP="007B05A8">
      <w:pPr>
        <w:pStyle w:val="texto"/>
        <w:tabs>
          <w:tab w:val="clear" w:pos="2835"/>
          <w:tab w:val="clear" w:pos="3969"/>
          <w:tab w:val="clear" w:pos="5103"/>
          <w:tab w:val="clear" w:pos="6237"/>
          <w:tab w:val="clear" w:pos="7371"/>
        </w:tabs>
        <w:rPr>
          <w:szCs w:val="26"/>
        </w:rPr>
      </w:pPr>
      <w:r>
        <w:t>Garraioaren Hiriaren 1. eta 2. faseen finkatzearen eta okupazio maila altu</w:t>
      </w:r>
      <w:r>
        <w:t>a</w:t>
      </w:r>
      <w:r>
        <w:t>ren ondoren, Iruñerriko Garraioaren Hiria zabaltzeko prozesua hasi zen; hal</w:t>
      </w:r>
      <w:r>
        <w:t>a</w:t>
      </w:r>
      <w:r>
        <w:t xml:space="preserve">ber, detektatu zen GHak muga garrantzitsu bat bazuela, zeren eta garraio-modu bakarrerako pentsatuta baitzegoen, errepide bidezko garraiorako. </w:t>
      </w:r>
    </w:p>
    <w:p w:rsidR="007B05A8" w:rsidRPr="00AC1E05" w:rsidRDefault="007B05A8" w:rsidP="007B05A8">
      <w:pPr>
        <w:pStyle w:val="texto"/>
        <w:tabs>
          <w:tab w:val="clear" w:pos="2835"/>
          <w:tab w:val="clear" w:pos="3969"/>
          <w:tab w:val="clear" w:pos="5103"/>
          <w:tab w:val="clear" w:pos="6237"/>
          <w:tab w:val="clear" w:pos="7371"/>
        </w:tabs>
        <w:rPr>
          <w:szCs w:val="26"/>
        </w:rPr>
      </w:pPr>
      <w:r>
        <w:t xml:space="preserve">Bestalde, 1. eta 2. faseetan instalazio logistikoetarako garatutako eskaintzen tipologia oso antzekoa zen, eta zabaleran 40 eta 50 m bitarte eta luzeran 100 eta 282 m bitarte zuten nabe modularrak aurreikusten zituen, nasak alde bakarrean edo bietan edukitzeko aukerarekin. </w:t>
      </w:r>
    </w:p>
    <w:p w:rsidR="00164F97" w:rsidRDefault="007B05A8" w:rsidP="007B05A8">
      <w:pPr>
        <w:pStyle w:val="texto"/>
        <w:tabs>
          <w:tab w:val="clear" w:pos="2835"/>
          <w:tab w:val="clear" w:pos="3969"/>
          <w:tab w:val="clear" w:pos="5103"/>
          <w:tab w:val="clear" w:pos="6237"/>
          <w:tab w:val="clear" w:pos="7371"/>
        </w:tabs>
        <w:rPr>
          <w:szCs w:val="26"/>
        </w:rPr>
      </w:pPr>
      <w:r>
        <w:lastRenderedPageBreak/>
        <w:t>Eskaintza hori nahiko mugatua zen, zeren eta ez baitzien erantzuten zelai-tamaina handiagoen eskaerei (eraikin isolatuak), ez eta zabaleran 50 m baino gehiagoko nabeak edukitzeko aukerari ere (logistikarako eta biltegiratzerako instalazioen joera da hori). Eskaera horiei erantzuteko, 3. fasean, eraikin isol</w:t>
      </w:r>
      <w:r>
        <w:t>a</w:t>
      </w:r>
      <w:r>
        <w:t>tuetarako lursailak jaso ziren, instalazioen tipologia malgutuz eta baliagarri zeuden azaleren kopurua handitzeko aukera emanez, bai lursailetan, bai nab</w:t>
      </w:r>
      <w:r>
        <w:t>e</w:t>
      </w:r>
      <w:r>
        <w:t>tan; halaber, 1. eta 2. faseetako nabeen antzeko tipologiako nabe modularren eskaintzari eusten zaio.</w:t>
      </w:r>
    </w:p>
    <w:p w:rsidR="001130EE" w:rsidRPr="00AC1E05" w:rsidRDefault="001130EE" w:rsidP="007B05A8">
      <w:pPr>
        <w:pStyle w:val="texto"/>
        <w:tabs>
          <w:tab w:val="clear" w:pos="2835"/>
          <w:tab w:val="clear" w:pos="3969"/>
          <w:tab w:val="clear" w:pos="5103"/>
          <w:tab w:val="clear" w:pos="6237"/>
          <w:tab w:val="clear" w:pos="7371"/>
        </w:tabs>
        <w:rPr>
          <w:szCs w:val="26"/>
        </w:rPr>
      </w:pPr>
      <w:r>
        <w:t>Halaber, GHaren garapenaren lehen faseetan, ez zen berariaz aurreikusten nabeak alokatzeko araudia, eta hori galga bat izan zitekeen enpresen instalazi</w:t>
      </w:r>
      <w:r>
        <w:t>o</w:t>
      </w:r>
      <w:r>
        <w:t>rako. 3. fasean, ustiaketan, berariaz jasotzen zen errentamendu-araubidea.</w:t>
      </w:r>
    </w:p>
    <w:p w:rsidR="00164F97" w:rsidRPr="00AC1E05" w:rsidRDefault="00BF1C11"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1999an, CTP SA sozietateak garraioaren hiria garatzeko hautabideen azte</w:t>
      </w:r>
      <w:r>
        <w:t>r</w:t>
      </w:r>
      <w:r>
        <w:t>lana egin zuen; hartan, funtsean, haren eremu fisikoa zabaltzea eta trenbiderako zein errepiderako plataforma intermodal baten zuzkidura egitea jaso zen, tre</w:t>
      </w:r>
      <w:r>
        <w:t>n</w:t>
      </w:r>
      <w:r>
        <w:t>bide-adar batez RENFEren sarearekin eta Ezkirozko salgaien geltokiarekin l</w:t>
      </w:r>
      <w:r>
        <w:t>o</w:t>
      </w:r>
      <w:r>
        <w:t>tuta.</w:t>
      </w:r>
    </w:p>
    <w:p w:rsidR="00B65FD8" w:rsidRPr="00AC1E05" w:rsidRDefault="00B65FD8"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Abenduaren 10eko 1113/2001 Foru Aginduaren bidez, Nafarroako</w:t>
      </w:r>
      <w:bookmarkStart w:id="29" w:name="tm_385745104"/>
      <w:r>
        <w:t xml:space="preserve"> Gobe</w:t>
      </w:r>
      <w:r>
        <w:t>r</w:t>
      </w:r>
      <w:r>
        <w:t xml:space="preserve">nuaren eta sozietate kudeatzailearen arteko </w:t>
      </w:r>
      <w:bookmarkEnd w:id="29"/>
      <w:r>
        <w:t xml:space="preserve"> lankidetza hitzarmen bat sinatu zen udalez gaindiko  plan sektoriala idazteko. Horretan Garraioaren Hiriaren b</w:t>
      </w:r>
      <w:r>
        <w:t>a</w:t>
      </w:r>
      <w:r>
        <w:t>lizko zabalkuntza aurreikusten da, bai eta dagokion gastua ere.</w:t>
      </w:r>
    </w:p>
    <w:p w:rsidR="000A2B37" w:rsidRPr="00F97E01" w:rsidRDefault="000A2B37" w:rsidP="002C5DB6">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Garraioaren Hiriaren zabalkuntza bi fasetan garatuko da, horietako bako</w:t>
      </w:r>
      <w:r>
        <w:t>i</w:t>
      </w:r>
      <w:r>
        <w:t xml:space="preserve">tza lau urteko exekuzio-aldiarekin eta milioi bat metro koadro baino gehiagoko guztizko zabalerarekin: </w:t>
      </w:r>
    </w:p>
    <w:p w:rsidR="000A2B37" w:rsidRPr="00F97E01" w:rsidRDefault="000A2B37" w:rsidP="000A2B37">
      <w:pPr>
        <w:pStyle w:val="texto"/>
        <w:tabs>
          <w:tab w:val="clear" w:pos="2835"/>
          <w:tab w:val="clear" w:pos="3969"/>
          <w:tab w:val="clear" w:pos="5103"/>
          <w:tab w:val="clear" w:pos="6237"/>
          <w:tab w:val="clear" w:pos="7371"/>
        </w:tabs>
        <w:rPr>
          <w:szCs w:val="26"/>
        </w:rPr>
      </w:pPr>
      <w:r>
        <w:t>a) Lehenengo etapa (edo Garraioaren Hiriaren 3. fasea), egungo Garraioaren Hiriaren ondoan egitekoa, berehalako eskaria asetzera lotuko da, eta hasieran 624.057 m</w:t>
      </w:r>
      <w:r>
        <w:rPr>
          <w:vertAlign w:val="superscript"/>
        </w:rPr>
        <w:t>2</w:t>
      </w:r>
      <w:r>
        <w:t xml:space="preserve">-ko azalera hartzen du. </w:t>
      </w:r>
    </w:p>
    <w:p w:rsidR="000A2B37" w:rsidRPr="00F97E01" w:rsidRDefault="000A2B37" w:rsidP="00C124B2">
      <w:pPr>
        <w:pStyle w:val="texto"/>
        <w:tabs>
          <w:tab w:val="clear" w:pos="2835"/>
          <w:tab w:val="clear" w:pos="3969"/>
          <w:tab w:val="clear" w:pos="5103"/>
          <w:tab w:val="clear" w:pos="6237"/>
          <w:tab w:val="clear" w:pos="7371"/>
        </w:tabs>
        <w:rPr>
          <w:szCs w:val="26"/>
        </w:rPr>
      </w:pPr>
      <w:r>
        <w:t>b) Bigarren etapa (edo Garraioaren Hiriaren 4. fasea) eskariaren bilakaeraren arabera garatuko da eta, batez ere, plataforma intermodala behin betiko gar</w:t>
      </w:r>
      <w:r>
        <w:t>a</w:t>
      </w:r>
      <w:r>
        <w:t>tzearekin, hasiera batean 390.167 m</w:t>
      </w:r>
      <w:r>
        <w:rPr>
          <w:vertAlign w:val="superscript"/>
        </w:rPr>
        <w:t>2</w:t>
      </w:r>
      <w:r>
        <w:t>-ko azalera hartuz. Fase horren funtsezko asmoa da plataforma intermodal bat sortzea, trenbide-adar batez RENFEren s</w:t>
      </w:r>
      <w:r>
        <w:t>a</w:t>
      </w:r>
      <w:r>
        <w:t>rearekin zuzeneko lotura bat eginez.</w:t>
      </w:r>
    </w:p>
    <w:p w:rsidR="0020696B" w:rsidRPr="00F97E01" w:rsidRDefault="0020696B" w:rsidP="0020696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GHaren zabalkuntzarako udalez gaindiko plan sektorialari Nafarroako G</w:t>
      </w:r>
      <w:r>
        <w:t>o</w:t>
      </w:r>
      <w:r>
        <w:t>bernuaren 2004ko uztailaren erabaki batez eman zitzaion behin betiko one</w:t>
      </w:r>
      <w:r>
        <w:t>s</w:t>
      </w:r>
      <w:r>
        <w:t>pena. Onespen horren aldi berean, jarduketaren onura publikoa eta interes s</w:t>
      </w:r>
      <w:r>
        <w:t>o</w:t>
      </w:r>
      <w:r>
        <w:t>ziala deklaratu zen, eta horrek desjabetze-jarduerei hasiera ematea legitimatu zuen.</w:t>
      </w:r>
    </w:p>
    <w:p w:rsidR="0020696B" w:rsidRPr="002C5DB6" w:rsidRDefault="000A2B37" w:rsidP="009C3EC8">
      <w:pPr>
        <w:pStyle w:val="texto"/>
        <w:numPr>
          <w:ilvl w:val="0"/>
          <w:numId w:val="1"/>
        </w:numPr>
        <w:tabs>
          <w:tab w:val="clear" w:pos="502"/>
          <w:tab w:val="clear" w:pos="2835"/>
          <w:tab w:val="clear" w:pos="3969"/>
          <w:tab w:val="clear" w:pos="5103"/>
          <w:tab w:val="clear" w:pos="6237"/>
          <w:tab w:val="clear" w:pos="7371"/>
          <w:tab w:val="left" w:pos="480"/>
          <w:tab w:val="num" w:pos="600"/>
        </w:tabs>
        <w:spacing w:after="200"/>
        <w:ind w:left="0" w:firstLine="289"/>
        <w:rPr>
          <w:szCs w:val="26"/>
        </w:rPr>
      </w:pPr>
      <w:r>
        <w:t>Udalez gaindiko plan sektorialen zabalkuntzaren eta aldaketen emaitza da Garraioaren Hiriaren amaierako zabalera 1,62 milioi m</w:t>
      </w:r>
      <w:r>
        <w:rPr>
          <w:vertAlign w:val="superscript"/>
        </w:rPr>
        <w:t>2</w:t>
      </w:r>
      <w:r>
        <w:t>-koa dela, honako xeh</w:t>
      </w:r>
      <w:r>
        <w:t>e</w:t>
      </w:r>
      <w:r>
        <w:t>tasun hauen arabera:</w:t>
      </w:r>
    </w:p>
    <w:tbl>
      <w:tblPr>
        <w:tblStyle w:val="TableNormal"/>
        <w:tblW w:w="8804"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5699"/>
        <w:gridCol w:w="3105"/>
      </w:tblGrid>
      <w:tr w:rsidR="000A2B37" w:rsidRPr="00DA5BC7" w:rsidTr="009C3EC8">
        <w:trPr>
          <w:trHeight w:hRule="exact" w:val="255"/>
          <w:jc w:val="center"/>
        </w:trPr>
        <w:tc>
          <w:tcPr>
            <w:tcW w:w="5699" w:type="dxa"/>
            <w:tcBorders>
              <w:top w:val="single" w:sz="4" w:space="0" w:color="auto"/>
              <w:bottom w:val="single" w:sz="4" w:space="0" w:color="auto"/>
            </w:tcBorders>
            <w:shd w:val="clear" w:color="auto" w:fill="B8CCE4" w:themeFill="accent1" w:themeFillTint="66"/>
            <w:vAlign w:val="center"/>
          </w:tcPr>
          <w:p w:rsidR="000A2B37" w:rsidRPr="005B3CA8" w:rsidRDefault="000A2B37" w:rsidP="00447C6F">
            <w:pPr>
              <w:spacing w:after="0"/>
              <w:ind w:left="29" w:firstLine="121"/>
              <w:rPr>
                <w:rFonts w:ascii="Arial" w:hAnsi="Arial" w:cs="Arial"/>
                <w:color w:val="000000"/>
                <w:sz w:val="18"/>
                <w:szCs w:val="18"/>
              </w:rPr>
            </w:pPr>
            <w:r>
              <w:rPr>
                <w:rFonts w:ascii="Arial" w:hAnsi="Arial"/>
                <w:color w:val="000000"/>
                <w:sz w:val="18"/>
                <w:szCs w:val="18"/>
              </w:rPr>
              <w:lastRenderedPageBreak/>
              <w:t>Garraioaren Hiriaren faseak</w:t>
            </w:r>
          </w:p>
        </w:tc>
        <w:tc>
          <w:tcPr>
            <w:tcW w:w="3105" w:type="dxa"/>
            <w:tcBorders>
              <w:top w:val="single" w:sz="4" w:space="0" w:color="auto"/>
              <w:bottom w:val="single" w:sz="4" w:space="0" w:color="auto"/>
            </w:tcBorders>
            <w:shd w:val="clear" w:color="auto" w:fill="B8CCE4" w:themeFill="accent1" w:themeFillTint="66"/>
            <w:vAlign w:val="center"/>
          </w:tcPr>
          <w:p w:rsidR="000A2B37" w:rsidRPr="00DA5BC7" w:rsidRDefault="000A2B37" w:rsidP="00447C6F">
            <w:pPr>
              <w:spacing w:after="0"/>
              <w:ind w:left="206" w:right="149" w:firstLine="0"/>
              <w:jc w:val="right"/>
              <w:rPr>
                <w:rFonts w:ascii="Arial" w:hAnsi="Arial" w:cs="Arial"/>
                <w:color w:val="000000"/>
                <w:sz w:val="18"/>
                <w:szCs w:val="18"/>
              </w:rPr>
            </w:pPr>
            <w:r>
              <w:rPr>
                <w:rFonts w:ascii="Arial" w:hAnsi="Arial"/>
                <w:color w:val="000000"/>
                <w:sz w:val="18"/>
                <w:szCs w:val="18"/>
              </w:rPr>
              <w:t>Azalera (m</w:t>
            </w:r>
            <w:r>
              <w:rPr>
                <w:rFonts w:ascii="Arial" w:hAnsi="Arial"/>
                <w:color w:val="000000"/>
                <w:sz w:val="18"/>
                <w:szCs w:val="18"/>
                <w:vertAlign w:val="superscript"/>
              </w:rPr>
              <w:t>2</w:t>
            </w:r>
            <w:r>
              <w:rPr>
                <w:rFonts w:ascii="Arial" w:hAnsi="Arial"/>
                <w:color w:val="000000"/>
                <w:sz w:val="18"/>
                <w:szCs w:val="18"/>
              </w:rPr>
              <w:t>)</w:t>
            </w:r>
          </w:p>
        </w:tc>
      </w:tr>
      <w:tr w:rsidR="000A2B37" w:rsidRPr="008E708D" w:rsidTr="009C3EC8">
        <w:trPr>
          <w:trHeight w:hRule="exact" w:val="255"/>
          <w:jc w:val="center"/>
        </w:trPr>
        <w:tc>
          <w:tcPr>
            <w:tcW w:w="5699" w:type="dxa"/>
            <w:tcBorders>
              <w:top w:val="single" w:sz="4" w:space="0" w:color="auto"/>
              <w:bottom w:val="single" w:sz="2" w:space="0" w:color="auto"/>
            </w:tcBorders>
            <w:vAlign w:val="center"/>
          </w:tcPr>
          <w:p w:rsidR="000A2B37" w:rsidRPr="008E708D" w:rsidRDefault="000A2B37" w:rsidP="00447C6F">
            <w:pPr>
              <w:widowControl/>
              <w:spacing w:after="0"/>
              <w:ind w:left="29" w:firstLine="121"/>
              <w:rPr>
                <w:rFonts w:ascii="Arial Narrow" w:hAnsi="Arial Narrow"/>
                <w:color w:val="000000"/>
                <w:sz w:val="20"/>
                <w:szCs w:val="20"/>
              </w:rPr>
            </w:pPr>
            <w:r>
              <w:rPr>
                <w:rFonts w:ascii="Arial Narrow" w:hAnsi="Arial Narrow"/>
                <w:color w:val="000000"/>
                <w:sz w:val="20"/>
                <w:szCs w:val="20"/>
              </w:rPr>
              <w:t>1. FASEA</w:t>
            </w:r>
          </w:p>
        </w:tc>
        <w:tc>
          <w:tcPr>
            <w:tcW w:w="3105" w:type="dxa"/>
            <w:tcBorders>
              <w:top w:val="single" w:sz="4" w:space="0" w:color="auto"/>
              <w:bottom w:val="single" w:sz="2" w:space="0" w:color="auto"/>
            </w:tcBorders>
            <w:vAlign w:val="center"/>
          </w:tcPr>
          <w:p w:rsidR="000A2B37" w:rsidRPr="008E708D" w:rsidRDefault="000A2B37" w:rsidP="00447C6F">
            <w:pPr>
              <w:widowControl/>
              <w:spacing w:after="0"/>
              <w:ind w:left="206" w:right="149" w:firstLine="0"/>
              <w:jc w:val="right"/>
              <w:rPr>
                <w:rFonts w:ascii="Arial Narrow" w:hAnsi="Arial Narrow"/>
                <w:color w:val="000000"/>
                <w:sz w:val="20"/>
                <w:szCs w:val="20"/>
              </w:rPr>
            </w:pPr>
            <w:r>
              <w:rPr>
                <w:rFonts w:ascii="Arial Narrow" w:hAnsi="Arial Narrow"/>
                <w:color w:val="000000"/>
                <w:sz w:val="20"/>
                <w:szCs w:val="20"/>
              </w:rPr>
              <w:t>388.655</w:t>
            </w:r>
          </w:p>
        </w:tc>
      </w:tr>
      <w:tr w:rsidR="000A2B37" w:rsidRPr="008E708D" w:rsidTr="009C3EC8">
        <w:trPr>
          <w:trHeight w:hRule="exact" w:val="255"/>
          <w:jc w:val="center"/>
        </w:trPr>
        <w:tc>
          <w:tcPr>
            <w:tcW w:w="5699" w:type="dxa"/>
            <w:vAlign w:val="center"/>
          </w:tcPr>
          <w:p w:rsidR="000A2B37" w:rsidRPr="008E708D" w:rsidRDefault="000A2B37" w:rsidP="00447C6F">
            <w:pPr>
              <w:widowControl/>
              <w:spacing w:after="0"/>
              <w:ind w:left="29" w:firstLine="121"/>
              <w:rPr>
                <w:rFonts w:ascii="Arial Narrow" w:hAnsi="Arial Narrow"/>
                <w:color w:val="000000"/>
                <w:sz w:val="20"/>
                <w:szCs w:val="20"/>
              </w:rPr>
            </w:pPr>
            <w:r>
              <w:rPr>
                <w:rFonts w:ascii="Arial Narrow" w:hAnsi="Arial Narrow"/>
                <w:color w:val="000000"/>
                <w:sz w:val="20"/>
                <w:szCs w:val="20"/>
              </w:rPr>
              <w:t>2. fasea</w:t>
            </w:r>
          </w:p>
        </w:tc>
        <w:tc>
          <w:tcPr>
            <w:tcW w:w="3105" w:type="dxa"/>
            <w:vAlign w:val="center"/>
          </w:tcPr>
          <w:p w:rsidR="000A2B37" w:rsidRPr="008E708D" w:rsidRDefault="000A2B37" w:rsidP="00447C6F">
            <w:pPr>
              <w:widowControl/>
              <w:spacing w:after="0"/>
              <w:ind w:left="206" w:right="149" w:firstLine="0"/>
              <w:jc w:val="right"/>
              <w:rPr>
                <w:rFonts w:ascii="Arial Narrow" w:hAnsi="Arial Narrow"/>
                <w:color w:val="000000"/>
                <w:sz w:val="20"/>
                <w:szCs w:val="20"/>
              </w:rPr>
            </w:pPr>
            <w:r>
              <w:rPr>
                <w:rFonts w:ascii="Arial Narrow" w:hAnsi="Arial Narrow"/>
                <w:color w:val="000000"/>
                <w:sz w:val="20"/>
                <w:szCs w:val="20"/>
              </w:rPr>
              <w:t>219.708</w:t>
            </w:r>
          </w:p>
        </w:tc>
      </w:tr>
      <w:tr w:rsidR="000A2B37" w:rsidRPr="008E708D" w:rsidTr="009C3EC8">
        <w:trPr>
          <w:trHeight w:hRule="exact" w:val="255"/>
          <w:jc w:val="center"/>
        </w:trPr>
        <w:tc>
          <w:tcPr>
            <w:tcW w:w="5699" w:type="dxa"/>
            <w:vAlign w:val="center"/>
          </w:tcPr>
          <w:p w:rsidR="000A2B37" w:rsidRPr="008E708D" w:rsidRDefault="000A2B37" w:rsidP="00447C6F">
            <w:pPr>
              <w:widowControl/>
              <w:spacing w:after="0"/>
              <w:ind w:left="29" w:firstLine="121"/>
              <w:rPr>
                <w:rFonts w:ascii="Arial Narrow" w:hAnsi="Arial Narrow"/>
                <w:color w:val="000000"/>
                <w:sz w:val="20"/>
                <w:szCs w:val="20"/>
              </w:rPr>
            </w:pPr>
            <w:r>
              <w:rPr>
                <w:rFonts w:ascii="Arial Narrow" w:hAnsi="Arial Narrow"/>
                <w:color w:val="000000"/>
                <w:sz w:val="20"/>
                <w:szCs w:val="20"/>
              </w:rPr>
              <w:t>3. fasea</w:t>
            </w:r>
          </w:p>
        </w:tc>
        <w:tc>
          <w:tcPr>
            <w:tcW w:w="3105" w:type="dxa"/>
            <w:vAlign w:val="center"/>
          </w:tcPr>
          <w:p w:rsidR="000A2B37" w:rsidRPr="008E708D" w:rsidRDefault="00140D24" w:rsidP="00447C6F">
            <w:pPr>
              <w:widowControl/>
              <w:spacing w:after="0"/>
              <w:ind w:left="206" w:right="149" w:firstLine="0"/>
              <w:jc w:val="right"/>
              <w:rPr>
                <w:rFonts w:ascii="Arial Narrow" w:hAnsi="Arial Narrow"/>
                <w:color w:val="000000"/>
                <w:sz w:val="20"/>
                <w:szCs w:val="20"/>
              </w:rPr>
            </w:pPr>
            <w:r>
              <w:rPr>
                <w:rFonts w:ascii="Arial Narrow" w:hAnsi="Arial Narrow"/>
                <w:color w:val="000000"/>
                <w:sz w:val="20"/>
                <w:szCs w:val="20"/>
              </w:rPr>
              <w:t>632.936</w:t>
            </w:r>
          </w:p>
        </w:tc>
      </w:tr>
      <w:tr w:rsidR="000A2B37" w:rsidRPr="008E708D" w:rsidTr="009C3EC8">
        <w:trPr>
          <w:trHeight w:hRule="exact" w:val="255"/>
          <w:jc w:val="center"/>
        </w:trPr>
        <w:tc>
          <w:tcPr>
            <w:tcW w:w="5699" w:type="dxa"/>
            <w:vAlign w:val="center"/>
          </w:tcPr>
          <w:p w:rsidR="000A2B37" w:rsidRPr="008E708D" w:rsidRDefault="000A2B37" w:rsidP="00447C6F">
            <w:pPr>
              <w:widowControl/>
              <w:spacing w:after="0"/>
              <w:ind w:left="29" w:firstLine="121"/>
              <w:rPr>
                <w:rFonts w:ascii="Arial Narrow" w:hAnsi="Arial Narrow"/>
                <w:color w:val="000000"/>
                <w:sz w:val="20"/>
                <w:szCs w:val="20"/>
              </w:rPr>
            </w:pPr>
            <w:r>
              <w:rPr>
                <w:rFonts w:ascii="Arial Narrow" w:hAnsi="Arial Narrow"/>
                <w:color w:val="000000"/>
                <w:sz w:val="20"/>
                <w:szCs w:val="20"/>
              </w:rPr>
              <w:t>4. fasea</w:t>
            </w:r>
          </w:p>
        </w:tc>
        <w:tc>
          <w:tcPr>
            <w:tcW w:w="3105" w:type="dxa"/>
            <w:vAlign w:val="center"/>
          </w:tcPr>
          <w:p w:rsidR="000A2B37" w:rsidRPr="008E708D" w:rsidRDefault="00140D24" w:rsidP="00447C6F">
            <w:pPr>
              <w:widowControl/>
              <w:spacing w:after="0"/>
              <w:ind w:left="206" w:right="149" w:firstLine="0"/>
              <w:jc w:val="right"/>
              <w:rPr>
                <w:rFonts w:ascii="Arial Narrow" w:hAnsi="Arial Narrow"/>
                <w:color w:val="000000"/>
                <w:sz w:val="20"/>
                <w:szCs w:val="20"/>
              </w:rPr>
            </w:pPr>
            <w:r>
              <w:rPr>
                <w:rFonts w:ascii="Arial Narrow" w:hAnsi="Arial Narrow"/>
                <w:color w:val="000000"/>
                <w:sz w:val="20"/>
                <w:szCs w:val="20"/>
              </w:rPr>
              <w:t>382.738</w:t>
            </w:r>
          </w:p>
        </w:tc>
      </w:tr>
      <w:tr w:rsidR="000A2B37" w:rsidRPr="005B3CA8" w:rsidTr="009C3EC8">
        <w:trPr>
          <w:trHeight w:hRule="exact" w:val="255"/>
          <w:jc w:val="center"/>
        </w:trPr>
        <w:tc>
          <w:tcPr>
            <w:tcW w:w="5699" w:type="dxa"/>
            <w:tcBorders>
              <w:bottom w:val="single" w:sz="4" w:space="0" w:color="auto"/>
            </w:tcBorders>
            <w:shd w:val="clear" w:color="auto" w:fill="B8CCE4" w:themeFill="accent1" w:themeFillTint="66"/>
            <w:vAlign w:val="center"/>
          </w:tcPr>
          <w:p w:rsidR="000A2B37" w:rsidRPr="005B3CA8" w:rsidRDefault="000A2B37" w:rsidP="00447C6F">
            <w:pPr>
              <w:spacing w:after="0"/>
              <w:ind w:left="29" w:firstLine="121"/>
              <w:rPr>
                <w:rFonts w:ascii="Arial" w:hAnsi="Arial" w:cs="Arial"/>
                <w:color w:val="000000"/>
                <w:sz w:val="18"/>
                <w:szCs w:val="18"/>
              </w:rPr>
            </w:pPr>
            <w:r>
              <w:rPr>
                <w:rFonts w:ascii="Arial" w:hAnsi="Arial"/>
                <w:color w:val="000000"/>
                <w:sz w:val="18"/>
                <w:szCs w:val="18"/>
              </w:rPr>
              <w:t>Guztira</w:t>
            </w:r>
          </w:p>
        </w:tc>
        <w:tc>
          <w:tcPr>
            <w:tcW w:w="3105" w:type="dxa"/>
            <w:tcBorders>
              <w:bottom w:val="single" w:sz="4" w:space="0" w:color="auto"/>
            </w:tcBorders>
            <w:shd w:val="clear" w:color="auto" w:fill="B8CCE4" w:themeFill="accent1" w:themeFillTint="66"/>
            <w:vAlign w:val="center"/>
          </w:tcPr>
          <w:p w:rsidR="000A2B37" w:rsidRPr="005B3CA8" w:rsidRDefault="00140D24" w:rsidP="00447C6F">
            <w:pPr>
              <w:spacing w:after="0"/>
              <w:ind w:left="206" w:right="149" w:firstLine="0"/>
              <w:jc w:val="right"/>
              <w:rPr>
                <w:rFonts w:ascii="Arial" w:hAnsi="Arial" w:cs="Arial"/>
                <w:color w:val="000000"/>
                <w:sz w:val="18"/>
                <w:szCs w:val="18"/>
              </w:rPr>
            </w:pPr>
            <w:r>
              <w:rPr>
                <w:rFonts w:ascii="Arial" w:hAnsi="Arial"/>
                <w:color w:val="000000"/>
                <w:sz w:val="18"/>
                <w:szCs w:val="18"/>
              </w:rPr>
              <w:t>1.624.037</w:t>
            </w:r>
          </w:p>
        </w:tc>
      </w:tr>
    </w:tbl>
    <w:p w:rsidR="000A2B37" w:rsidRDefault="000A2B37" w:rsidP="009C3EC8">
      <w:pPr>
        <w:pStyle w:val="texto"/>
        <w:tabs>
          <w:tab w:val="clear" w:pos="2835"/>
          <w:tab w:val="clear" w:pos="3969"/>
          <w:tab w:val="clear" w:pos="5103"/>
          <w:tab w:val="clear" w:pos="6237"/>
          <w:tab w:val="clear" w:pos="7371"/>
        </w:tabs>
        <w:spacing w:after="0"/>
        <w:rPr>
          <w:rFonts w:ascii="Times New (W1)" w:hAnsi="Times New (W1)"/>
          <w:szCs w:val="26"/>
        </w:rPr>
      </w:pPr>
    </w:p>
    <w:p w:rsidR="001618E7" w:rsidRDefault="001618E7" w:rsidP="009C3EC8">
      <w:pPr>
        <w:pStyle w:val="texto"/>
        <w:tabs>
          <w:tab w:val="clear" w:pos="2835"/>
          <w:tab w:val="clear" w:pos="3969"/>
          <w:tab w:val="clear" w:pos="5103"/>
          <w:tab w:val="clear" w:pos="6237"/>
          <w:tab w:val="clear" w:pos="7371"/>
        </w:tabs>
        <w:spacing w:after="240"/>
        <w:rPr>
          <w:szCs w:val="26"/>
        </w:rPr>
      </w:pPr>
      <w:r>
        <w:t>Lortutako informazioarekin bat</w:t>
      </w:r>
      <w:r w:rsidR="003E7006">
        <w:rPr>
          <w:rStyle w:val="Refdenotaalpie"/>
          <w:szCs w:val="26"/>
        </w:rPr>
        <w:footnoteReference w:id="1"/>
      </w:r>
      <w:r>
        <w:t>, honako hau da Espainiako beste zentro l</w:t>
      </w:r>
      <w:r>
        <w:t>o</w:t>
      </w:r>
      <w:r>
        <w:t xml:space="preserve">gistiko batzuek metro koadrotan duten azalera: </w:t>
      </w:r>
    </w:p>
    <w:tbl>
      <w:tblPr>
        <w:tblW w:w="8752" w:type="dxa"/>
        <w:jc w:val="center"/>
        <w:tblCellMar>
          <w:left w:w="70" w:type="dxa"/>
          <w:right w:w="70" w:type="dxa"/>
        </w:tblCellMar>
        <w:tblLook w:val="04A0" w:firstRow="1" w:lastRow="0" w:firstColumn="1" w:lastColumn="0" w:noHBand="0" w:noVBand="1"/>
      </w:tblPr>
      <w:tblGrid>
        <w:gridCol w:w="7020"/>
        <w:gridCol w:w="1732"/>
      </w:tblGrid>
      <w:tr w:rsidR="001618E7" w:rsidRPr="001618E7" w:rsidTr="009C3EC8">
        <w:trPr>
          <w:trHeight w:val="284"/>
          <w:jc w:val="center"/>
        </w:trPr>
        <w:tc>
          <w:tcPr>
            <w:tcW w:w="7020" w:type="dxa"/>
            <w:tcBorders>
              <w:top w:val="single" w:sz="4" w:space="0" w:color="auto"/>
              <w:bottom w:val="single" w:sz="4" w:space="0" w:color="auto"/>
            </w:tcBorders>
            <w:shd w:val="clear" w:color="000000" w:fill="B8CCE4" w:themeFill="accent1" w:themeFillTint="66"/>
            <w:vAlign w:val="center"/>
            <w:hideMark/>
          </w:tcPr>
          <w:p w:rsidR="001618E7" w:rsidRPr="001618E7" w:rsidRDefault="001618E7" w:rsidP="009C3EC8">
            <w:pPr>
              <w:widowControl w:val="0"/>
              <w:spacing w:after="0"/>
              <w:ind w:left="54" w:firstLine="0"/>
              <w:jc w:val="left"/>
              <w:rPr>
                <w:rFonts w:ascii="Arial" w:hAnsi="Arial" w:cs="Arial"/>
                <w:color w:val="000000"/>
                <w:sz w:val="18"/>
                <w:szCs w:val="18"/>
              </w:rPr>
            </w:pPr>
            <w:r>
              <w:rPr>
                <w:rFonts w:ascii="Arial" w:hAnsi="Arial"/>
                <w:color w:val="000000"/>
                <w:sz w:val="18"/>
                <w:szCs w:val="18"/>
              </w:rPr>
              <w:t>Espainiako plataforma logistikoak</w:t>
            </w:r>
          </w:p>
        </w:tc>
        <w:tc>
          <w:tcPr>
            <w:tcW w:w="1732" w:type="dxa"/>
            <w:tcBorders>
              <w:top w:val="single" w:sz="4" w:space="0" w:color="auto"/>
              <w:bottom w:val="single" w:sz="4" w:space="0" w:color="auto"/>
            </w:tcBorders>
            <w:shd w:val="clear" w:color="000000" w:fill="B8CCE4" w:themeFill="accent1" w:themeFillTint="66"/>
            <w:vAlign w:val="center"/>
            <w:hideMark/>
          </w:tcPr>
          <w:p w:rsidR="001618E7" w:rsidRPr="009C3EC8" w:rsidRDefault="001618E7" w:rsidP="009C3EC8">
            <w:pPr>
              <w:widowControl w:val="0"/>
              <w:spacing w:after="0"/>
              <w:ind w:left="284" w:hanging="85"/>
              <w:jc w:val="right"/>
              <w:rPr>
                <w:rFonts w:ascii="Arial Narrow" w:hAnsi="Arial Narrow" w:cs="Arial"/>
                <w:color w:val="000000"/>
              </w:rPr>
            </w:pPr>
            <w:r>
              <w:rPr>
                <w:rFonts w:ascii="Arial Narrow" w:hAnsi="Arial Narrow"/>
                <w:color w:val="000000"/>
              </w:rPr>
              <w:t>Azalera (m</w:t>
            </w:r>
            <w:r>
              <w:rPr>
                <w:rFonts w:ascii="Arial Narrow" w:hAnsi="Arial Narrow"/>
                <w:color w:val="000000"/>
                <w:vertAlign w:val="superscript"/>
              </w:rPr>
              <w:t>2</w:t>
            </w:r>
            <w:r>
              <w:rPr>
                <w:rFonts w:ascii="Arial Narrow" w:hAnsi="Arial Narrow"/>
                <w:color w:val="000000"/>
              </w:rPr>
              <w:t>)</w:t>
            </w:r>
          </w:p>
        </w:tc>
      </w:tr>
      <w:tr w:rsidR="001618E7" w:rsidRPr="001618E7" w:rsidTr="009C3EC8">
        <w:trPr>
          <w:trHeight w:val="284"/>
          <w:jc w:val="center"/>
        </w:trPr>
        <w:tc>
          <w:tcPr>
            <w:tcW w:w="7020" w:type="dxa"/>
            <w:tcBorders>
              <w:top w:val="single" w:sz="4"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rPr>
            </w:pPr>
            <w:r>
              <w:rPr>
                <w:rFonts w:ascii="Arial Narrow" w:hAnsi="Arial Narrow"/>
                <w:color w:val="000000"/>
              </w:rPr>
              <w:t>Gasteizko garraio-zentroa</w:t>
            </w:r>
          </w:p>
        </w:tc>
        <w:tc>
          <w:tcPr>
            <w:tcW w:w="1732" w:type="dxa"/>
            <w:tcBorders>
              <w:top w:val="single" w:sz="4"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rPr>
            </w:pPr>
            <w:r>
              <w:rPr>
                <w:rFonts w:ascii="Arial Narrow" w:hAnsi="Arial Narrow"/>
                <w:color w:val="000000"/>
              </w:rPr>
              <w:t>715.584</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rPr>
            </w:pPr>
            <w:r>
              <w:rPr>
                <w:rFonts w:ascii="Arial Narrow" w:hAnsi="Arial Narrow"/>
                <w:color w:val="000000"/>
              </w:rPr>
              <w:t>Cosladako garraio-zentroa</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rPr>
            </w:pPr>
            <w:r>
              <w:rPr>
                <w:rFonts w:ascii="Arial Narrow" w:hAnsi="Arial Narrow"/>
                <w:color w:val="000000"/>
              </w:rPr>
              <w:t>1.000.000</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rPr>
            </w:pPr>
            <w:r>
              <w:rPr>
                <w:rFonts w:ascii="Arial Narrow" w:hAnsi="Arial Narrow"/>
                <w:color w:val="000000"/>
              </w:rPr>
              <w:t>Valladolideko salgaien zentro integratua</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rPr>
            </w:pPr>
            <w:r>
              <w:rPr>
                <w:rFonts w:ascii="Arial Narrow" w:hAnsi="Arial Narrow"/>
                <w:color w:val="000000"/>
              </w:rPr>
              <w:t>125.316</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rPr>
            </w:pPr>
            <w:r>
              <w:rPr>
                <w:rFonts w:ascii="Arial Narrow" w:hAnsi="Arial Narrow"/>
                <w:color w:val="000000"/>
              </w:rPr>
              <w:t>Sevillako Salgaien Garraioaren Hiria</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rPr>
            </w:pPr>
            <w:r>
              <w:rPr>
                <w:rFonts w:ascii="Arial Narrow" w:hAnsi="Arial Narrow"/>
                <w:color w:val="000000"/>
              </w:rPr>
              <w:t>252.745</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rPr>
            </w:pPr>
            <w:r>
              <w:rPr>
                <w:rFonts w:ascii="Arial Narrow" w:hAnsi="Arial Narrow"/>
                <w:color w:val="000000"/>
              </w:rPr>
              <w:t>Bartzelonako aduana-zergarik gabeko jarduera logistikoetarako eremua</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rPr>
            </w:pPr>
            <w:r>
              <w:rPr>
                <w:rFonts w:ascii="Arial Narrow" w:hAnsi="Arial Narrow"/>
                <w:color w:val="000000"/>
              </w:rPr>
              <w:t>400.000</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rPr>
            </w:pPr>
            <w:r>
              <w:rPr>
                <w:rFonts w:ascii="Arial Narrow" w:hAnsi="Arial Narrow"/>
                <w:color w:val="000000"/>
              </w:rPr>
              <w:t>Vigoko Portuko plataforma logistikoa</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rPr>
            </w:pPr>
            <w:r>
              <w:rPr>
                <w:rFonts w:ascii="Arial Narrow" w:hAnsi="Arial Narrow"/>
                <w:color w:val="000000"/>
              </w:rPr>
              <w:t>4.300.000</w:t>
            </w:r>
          </w:p>
        </w:tc>
      </w:tr>
      <w:tr w:rsidR="001618E7" w:rsidRPr="001618E7" w:rsidTr="009C3EC8">
        <w:trPr>
          <w:trHeight w:val="284"/>
          <w:jc w:val="center"/>
        </w:trPr>
        <w:tc>
          <w:tcPr>
            <w:tcW w:w="7020" w:type="dxa"/>
            <w:tcBorders>
              <w:top w:val="single" w:sz="2" w:space="0" w:color="auto"/>
              <w:bottom w:val="single" w:sz="2" w:space="0" w:color="auto"/>
            </w:tcBorders>
            <w:shd w:val="clear" w:color="auto" w:fill="auto"/>
            <w:noWrap/>
            <w:vAlign w:val="center"/>
            <w:hideMark/>
          </w:tcPr>
          <w:p w:rsidR="001618E7" w:rsidRPr="0020696B" w:rsidRDefault="001618E7" w:rsidP="009C3EC8">
            <w:pPr>
              <w:spacing w:after="0"/>
              <w:ind w:left="54" w:firstLine="0"/>
              <w:jc w:val="left"/>
              <w:rPr>
                <w:rFonts w:ascii="Arial Narrow" w:hAnsi="Arial Narrow"/>
                <w:color w:val="000000"/>
              </w:rPr>
            </w:pPr>
            <w:r>
              <w:rPr>
                <w:rFonts w:ascii="Arial Narrow" w:hAnsi="Arial Narrow"/>
                <w:color w:val="000000"/>
              </w:rPr>
              <w:t xml:space="preserve">Zaragozako plataforma logistikoa (PLAZA) </w:t>
            </w:r>
          </w:p>
        </w:tc>
        <w:tc>
          <w:tcPr>
            <w:tcW w:w="1732" w:type="dxa"/>
            <w:tcBorders>
              <w:top w:val="single" w:sz="2" w:space="0" w:color="auto"/>
              <w:bottom w:val="single" w:sz="2"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rPr>
            </w:pPr>
            <w:r>
              <w:rPr>
                <w:rFonts w:ascii="Arial Narrow" w:hAnsi="Arial Narrow"/>
                <w:color w:val="000000"/>
              </w:rPr>
              <w:t>12.063.674</w:t>
            </w:r>
          </w:p>
        </w:tc>
      </w:tr>
      <w:tr w:rsidR="001618E7" w:rsidRPr="001618E7" w:rsidTr="009C3EC8">
        <w:trPr>
          <w:trHeight w:val="284"/>
          <w:jc w:val="center"/>
        </w:trPr>
        <w:tc>
          <w:tcPr>
            <w:tcW w:w="7020" w:type="dxa"/>
            <w:tcBorders>
              <w:top w:val="single" w:sz="2" w:space="0" w:color="auto"/>
              <w:bottom w:val="single" w:sz="4" w:space="0" w:color="auto"/>
            </w:tcBorders>
            <w:shd w:val="clear" w:color="auto" w:fill="auto"/>
            <w:vAlign w:val="center"/>
            <w:hideMark/>
          </w:tcPr>
          <w:p w:rsidR="001618E7" w:rsidRPr="0020696B" w:rsidRDefault="001618E7" w:rsidP="009C3EC8">
            <w:pPr>
              <w:spacing w:after="0"/>
              <w:ind w:left="54" w:firstLine="0"/>
              <w:jc w:val="left"/>
              <w:rPr>
                <w:rFonts w:ascii="Arial Narrow" w:hAnsi="Arial Narrow"/>
                <w:color w:val="000000"/>
              </w:rPr>
            </w:pPr>
            <w:r>
              <w:rPr>
                <w:rFonts w:ascii="Arial Narrow" w:hAnsi="Arial Narrow"/>
                <w:color w:val="000000"/>
              </w:rPr>
              <w:t>Bartzelonako jardueren eta salgai logistikoen zentro integrala</w:t>
            </w:r>
          </w:p>
        </w:tc>
        <w:tc>
          <w:tcPr>
            <w:tcW w:w="1732" w:type="dxa"/>
            <w:tcBorders>
              <w:top w:val="single" w:sz="2" w:space="0" w:color="auto"/>
              <w:bottom w:val="single" w:sz="4" w:space="0" w:color="auto"/>
            </w:tcBorders>
            <w:shd w:val="clear" w:color="auto" w:fill="auto"/>
            <w:noWrap/>
            <w:vAlign w:val="center"/>
            <w:hideMark/>
          </w:tcPr>
          <w:p w:rsidR="001618E7" w:rsidRPr="009C3EC8" w:rsidRDefault="001618E7" w:rsidP="009C3EC8">
            <w:pPr>
              <w:spacing w:after="0"/>
              <w:ind w:left="206" w:right="20" w:firstLine="0"/>
              <w:jc w:val="right"/>
              <w:rPr>
                <w:rFonts w:ascii="Arial Narrow" w:hAnsi="Arial Narrow"/>
                <w:color w:val="000000"/>
              </w:rPr>
            </w:pPr>
            <w:r>
              <w:rPr>
                <w:rFonts w:ascii="Arial Narrow" w:hAnsi="Arial Narrow"/>
                <w:color w:val="000000"/>
              </w:rPr>
              <w:t>442.000</w:t>
            </w:r>
          </w:p>
        </w:tc>
      </w:tr>
    </w:tbl>
    <w:p w:rsidR="001618E7" w:rsidRPr="00F97E01" w:rsidRDefault="001618E7" w:rsidP="009C3EC8">
      <w:pPr>
        <w:pStyle w:val="texto"/>
        <w:tabs>
          <w:tab w:val="clear" w:pos="2835"/>
          <w:tab w:val="clear" w:pos="3969"/>
          <w:tab w:val="clear" w:pos="5103"/>
          <w:tab w:val="clear" w:pos="6237"/>
          <w:tab w:val="clear" w:pos="7371"/>
        </w:tabs>
        <w:spacing w:after="0"/>
        <w:rPr>
          <w:szCs w:val="26"/>
        </w:rPr>
      </w:pPr>
    </w:p>
    <w:p w:rsidR="0088433B" w:rsidRPr="00447C6F" w:rsidRDefault="00146A60" w:rsidP="0085177C">
      <w:pPr>
        <w:pStyle w:val="texto"/>
        <w:tabs>
          <w:tab w:val="clear" w:pos="2835"/>
          <w:tab w:val="clear" w:pos="3969"/>
          <w:tab w:val="clear" w:pos="5103"/>
          <w:tab w:val="clear" w:pos="6237"/>
          <w:tab w:val="clear" w:pos="7371"/>
        </w:tabs>
        <w:rPr>
          <w:rFonts w:ascii="Times New (W1)" w:hAnsi="Times New (W1)"/>
          <w:b/>
          <w:szCs w:val="26"/>
        </w:rPr>
      </w:pPr>
      <w:r>
        <w:rPr>
          <w:rFonts w:ascii="Times New (W1)" w:hAnsi="Times New (W1)"/>
          <w:b/>
          <w:szCs w:val="26"/>
        </w:rPr>
        <w:t>2005etik 2008ra</w:t>
      </w:r>
    </w:p>
    <w:p w:rsidR="009A637B" w:rsidRPr="00F97E01" w:rsidRDefault="00BD6D28"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Urtarrilaren 24ko</w:t>
      </w:r>
      <w:bookmarkStart w:id="30" w:name="tm_385745013"/>
      <w:r>
        <w:t xml:space="preserve"> 15/2005</w:t>
      </w:r>
      <w:bookmarkEnd w:id="30"/>
      <w:r>
        <w:t xml:space="preserve"> Foru Dekretuaren bidez urgente deklaratu zen, nahitaezko desjabetzearen eraginetarako, Garraioaren Hiria zabaltzeko planak, 3. eta 4. faseei zegokienak, ukitutako ondasun eta eskubideen okupazioa. U</w:t>
      </w:r>
      <w:r>
        <w:t>r</w:t>
      </w:r>
      <w:r>
        <w:t>gentziaren deklarazio horrek berekin zekarren aipatutako planak ukitzen zituen ondasun eta eskubideen okupazioa. CTP SA sozietateak hartu zuen bere gain desjabetzearen onuradunaren izaera.</w:t>
      </w:r>
    </w:p>
    <w:p w:rsidR="009A637B" w:rsidRPr="00F97E01" w:rsidRDefault="005C3D3F" w:rsidP="009A637B">
      <w:pPr>
        <w:pStyle w:val="texto"/>
        <w:tabs>
          <w:tab w:val="clear" w:pos="2835"/>
          <w:tab w:val="clear" w:pos="3969"/>
          <w:tab w:val="clear" w:pos="5103"/>
          <w:tab w:val="clear" w:pos="6237"/>
          <w:tab w:val="clear" w:pos="7371"/>
        </w:tabs>
        <w:rPr>
          <w:szCs w:val="26"/>
        </w:rPr>
      </w:pPr>
      <w:r>
        <w:t>Jabeekin adostasun batera iritsi ez eta 2007ko urtarrilean, Nafarroako Desj</w:t>
      </w:r>
      <w:r>
        <w:t>a</w:t>
      </w:r>
      <w:r>
        <w:t>betzeen Epaimahaiari helarazi zitzaizkion espedientea eta prezio-orriak.</w:t>
      </w:r>
    </w:p>
    <w:p w:rsidR="005C3D3F" w:rsidRPr="00F97E01" w:rsidRDefault="005C3D3F" w:rsidP="009A637B">
      <w:pPr>
        <w:pStyle w:val="texto"/>
        <w:tabs>
          <w:tab w:val="clear" w:pos="2835"/>
          <w:tab w:val="clear" w:pos="3969"/>
          <w:tab w:val="clear" w:pos="5103"/>
          <w:tab w:val="clear" w:pos="6237"/>
          <w:tab w:val="clear" w:pos="7371"/>
        </w:tabs>
        <w:rPr>
          <w:szCs w:val="26"/>
        </w:rPr>
      </w:pPr>
      <w:r>
        <w:t>2008ko apirilaren 30ean, Epaimahaiak 20,01 euro/m</w:t>
      </w:r>
      <w:r>
        <w:rPr>
          <w:vertAlign w:val="superscript"/>
        </w:rPr>
        <w:t>2</w:t>
      </w:r>
      <w:r>
        <w:t>-ko balio justua erabaki zuen, gehi afekzio sariaren ehuneko bost; hau da, 21,01 euro/m</w:t>
      </w:r>
      <w:r>
        <w:rPr>
          <w:vertAlign w:val="superscript"/>
        </w:rPr>
        <w:t>2</w:t>
      </w:r>
      <w:r>
        <w:t>-ko prezioa.</w:t>
      </w:r>
    </w:p>
    <w:p w:rsidR="00BD6D28" w:rsidRDefault="00C11E29"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 xml:space="preserve">2005eko martxoan, CTP SA sozietate publikoak lehiaketarako deialdia egin zuen, hain zuzen ere Garraioaren Hiriaren 3. faseko obrak egiteko eta haien sustapenerako. </w:t>
      </w:r>
      <w:bookmarkStart w:id="31" w:name="tm_385744965"/>
      <w:bookmarkStart w:id="32" w:name="tm_385745032"/>
      <w:r>
        <w:t xml:space="preserve"> </w:t>
      </w:r>
      <w:bookmarkEnd w:id="31"/>
      <w:bookmarkEnd w:id="32"/>
    </w:p>
    <w:p w:rsidR="004D22FC" w:rsidRPr="00BF2CC0" w:rsidRDefault="004D22FC" w:rsidP="004D22FC">
      <w:pPr>
        <w:pStyle w:val="texto"/>
        <w:tabs>
          <w:tab w:val="clear" w:pos="2835"/>
          <w:tab w:val="clear" w:pos="3969"/>
          <w:tab w:val="clear" w:pos="5103"/>
          <w:tab w:val="clear" w:pos="6237"/>
          <w:tab w:val="clear" w:pos="7371"/>
        </w:tabs>
        <w:ind w:left="290" w:firstLine="0"/>
      </w:pPr>
    </w:p>
    <w:p w:rsidR="00BD6D28" w:rsidRPr="00BF2CC0" w:rsidRDefault="00BD6D28" w:rsidP="00BD6D28">
      <w:pPr>
        <w:pStyle w:val="texto"/>
        <w:tabs>
          <w:tab w:val="clear" w:pos="2835"/>
          <w:tab w:val="clear" w:pos="3969"/>
          <w:tab w:val="clear" w:pos="5103"/>
          <w:tab w:val="clear" w:pos="6237"/>
          <w:tab w:val="clear" w:pos="7371"/>
        </w:tabs>
        <w:rPr>
          <w:szCs w:val="26"/>
        </w:rPr>
      </w:pPr>
      <w:r>
        <w:t>CTP SAren administrazio kontseiluaren 2006ko martxoaren 1eko bilkuran hartutako erabakiaren bidez, aipatutako lehiaketa Sanco eta Construcciones GM enpresek osatutako aldi baterako enpresa-elkarteari adjudikatu zitzaion, hain zuzen ere aurkeztutako eskaintza bakarrari, eta kasuko kontratua 2006ko ma</w:t>
      </w:r>
      <w:r>
        <w:t>r</w:t>
      </w:r>
      <w:r>
        <w:lastRenderedPageBreak/>
        <w:t>txoaren 17an egin zen.</w:t>
      </w:r>
      <w:bookmarkStart w:id="33" w:name="tm_385744966"/>
      <w:r>
        <w:t xml:space="preserve"> </w:t>
      </w:r>
      <w:bookmarkEnd w:id="33"/>
      <w:r>
        <w:t>Aldi baterako enpresa-elkarte hori Iruñerriko Garraio</w:t>
      </w:r>
      <w:r>
        <w:t>a</w:t>
      </w:r>
      <w:r>
        <w:t>ren Hiriaren aurreko bi faseak garatu zituen bera da.</w:t>
      </w:r>
    </w:p>
    <w:p w:rsidR="0045572F" w:rsidRPr="00381762" w:rsidRDefault="0045572F" w:rsidP="001319A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2007an, CTP SAk kreditu bat formalizatu zuen hiru finantza-entitaterekin, guztira 13 milioi euroko kopuruarekin; kreditu horren xedea zen 3. fasearen g</w:t>
      </w:r>
      <w:r>
        <w:t>a</w:t>
      </w:r>
      <w:r>
        <w:t xml:space="preserve">rapenetik heldutako inbertsioak partzialki finantzatzea. Kreditu hori 2017an deuseztatu zen. </w:t>
      </w:r>
    </w:p>
    <w:p w:rsidR="00DC3902" w:rsidRPr="00DC3902" w:rsidRDefault="00494AD9" w:rsidP="00BF2CC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2007an, 3. fasearen urbanizazio-lanei ekin zitzaien; obra horiek 2012ko u</w:t>
      </w:r>
      <w:r>
        <w:t>z</w:t>
      </w:r>
      <w:r>
        <w:t xml:space="preserve">tailean amaitu ziren. </w:t>
      </w:r>
    </w:p>
    <w:p w:rsidR="00222057" w:rsidRPr="00447C6F" w:rsidRDefault="00222057" w:rsidP="00222057">
      <w:pPr>
        <w:pStyle w:val="texto"/>
        <w:tabs>
          <w:tab w:val="clear" w:pos="2835"/>
          <w:tab w:val="clear" w:pos="3969"/>
          <w:tab w:val="clear" w:pos="5103"/>
          <w:tab w:val="clear" w:pos="6237"/>
          <w:tab w:val="clear" w:pos="7371"/>
        </w:tabs>
        <w:rPr>
          <w:rFonts w:ascii="Times New (W1)" w:hAnsi="Times New (W1)"/>
          <w:b/>
          <w:szCs w:val="26"/>
        </w:rPr>
      </w:pPr>
      <w:r>
        <w:rPr>
          <w:rFonts w:ascii="Times New (W1)" w:hAnsi="Times New (W1)"/>
          <w:b/>
          <w:szCs w:val="26"/>
        </w:rPr>
        <w:t>2009tik 2017ra</w:t>
      </w:r>
    </w:p>
    <w:p w:rsidR="00D83645" w:rsidRPr="00CC5EB1" w:rsidRDefault="00D83645" w:rsidP="00D83645">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3. faseko lurzatien merkaturatzea 2009an hasi eta 2013an amaitu zen, urte horretan sinatu baitzen azkeneko salerosketa-kontratua.</w:t>
      </w:r>
      <w:bookmarkStart w:id="34" w:name="tm_385745305"/>
      <w:r>
        <w:t xml:space="preserve"> </w:t>
      </w:r>
      <w:bookmarkEnd w:id="34"/>
      <w:r>
        <w:t>Gaur egun, Nasuvinsak lursailen ehuneko 46 dauka, Garraioaren Hiriaren sozietate kudeatzailea baita.</w:t>
      </w:r>
    </w:p>
    <w:p w:rsidR="00222057" w:rsidRPr="00F97E01" w:rsidRDefault="00222057" w:rsidP="0022205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Bai sozietate kudeatzaileak, bai desjabetuek Desjabetzeen Epaimahairen ebazpenaren aurkako errekurtsoak aurkeztu zituzten Nafarroako Justizia Auz</w:t>
      </w:r>
      <w:r>
        <w:t>i</w:t>
      </w:r>
      <w:r>
        <w:t>tegi Nagusiko Administrazioarekiko Auzien Salan. 2009tik 2010era, Sala h</w:t>
      </w:r>
      <w:r>
        <w:t>o</w:t>
      </w:r>
      <w:r>
        <w:t>rrek zenbait epai eman zituen Desjabetzeen Epaimahaiak finkatutako balio ju</w:t>
      </w:r>
      <w:r>
        <w:t>s</w:t>
      </w:r>
      <w:r>
        <w:t>tuaren aurka—20,01 euro/m</w:t>
      </w:r>
      <w:r>
        <w:rPr>
          <w:vertAlign w:val="superscript"/>
        </w:rPr>
        <w:t xml:space="preserve">2 </w:t>
      </w:r>
      <w:r>
        <w:t>gehi ehuneko bosteko afekzio-saria—.</w:t>
      </w:r>
    </w:p>
    <w:p w:rsidR="00222057" w:rsidRPr="00F97E01" w:rsidRDefault="00222057" w:rsidP="00222057">
      <w:pPr>
        <w:pStyle w:val="texto"/>
        <w:tabs>
          <w:tab w:val="clear" w:pos="2835"/>
          <w:tab w:val="clear" w:pos="3969"/>
          <w:tab w:val="clear" w:pos="5103"/>
          <w:tab w:val="clear" w:pos="6237"/>
          <w:tab w:val="clear" w:pos="7371"/>
        </w:tabs>
        <w:rPr>
          <w:szCs w:val="26"/>
        </w:rPr>
      </w:pPr>
      <w:r>
        <w:t>Epai horien aurrean, jabeek kasazio-errekurtsoa aurkeztu zuten Auzitegi G</w:t>
      </w:r>
      <w:r>
        <w:t>o</w:t>
      </w:r>
      <w:r>
        <w:t>renean, zeinak 2012ko amaieran oinarri berri batzuk ezarri baitzituen lursailen balio justua zehazteko; gero, haiek Nafarroako Justizia Auzitegi Nagusira b</w:t>
      </w:r>
      <w:r>
        <w:t>i</w:t>
      </w:r>
      <w:r>
        <w:t>dali zizkion, balio justua zehatz zezan.</w:t>
      </w:r>
    </w:p>
    <w:p w:rsidR="00222057" w:rsidRPr="00F97E01" w:rsidRDefault="00222057" w:rsidP="00222057">
      <w:pPr>
        <w:pStyle w:val="texto"/>
        <w:tabs>
          <w:tab w:val="clear" w:pos="2835"/>
          <w:tab w:val="clear" w:pos="3969"/>
          <w:tab w:val="clear" w:pos="5103"/>
          <w:tab w:val="clear" w:pos="6237"/>
          <w:tab w:val="clear" w:pos="7371"/>
        </w:tabs>
        <w:rPr>
          <w:szCs w:val="26"/>
        </w:rPr>
      </w:pPr>
      <w:r>
        <w:t xml:space="preserve">2015eko martxoan, Nafarroako Justizia Auzitegi Nagusiak </w:t>
      </w:r>
      <w:bookmarkStart w:id="35" w:name="tm_385745136"/>
      <w:r>
        <w:t xml:space="preserve"> </w:t>
      </w:r>
      <w:bookmarkEnd w:id="35"/>
      <w:r>
        <w:t>desjabetzerako balio justu bat zehaztu zuen, afekzio-sariaren ehuneko bostetik gorakoa (metro koadroko 53,06 eta 57,09 euro bitartekoa), gehi hari zegozkion legezko bera</w:t>
      </w:r>
      <w:r>
        <w:t>n</w:t>
      </w:r>
      <w:r>
        <w:t>dutze-interesak.</w:t>
      </w:r>
    </w:p>
    <w:p w:rsidR="00222057" w:rsidRPr="00F97E01" w:rsidRDefault="00222057" w:rsidP="003A5644">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2017ko martxoan, 5/2017 Foru Legea onetsi zen, 25 milioi euroko kreditu berezia ematekoa “Transferentzia arruntak Nasuvinsari. Garraioaren Hiriaren gaineko epaia” partidarako, hain zuzen ere garraioaren hiriko finken balio ju</w:t>
      </w:r>
      <w:r>
        <w:t>s</w:t>
      </w:r>
      <w:r>
        <w:t>tua ezartzeari buruzko epaiei aurre egiteko. Halaber, foru lege horretan Naf</w:t>
      </w:r>
      <w:r>
        <w:t>a</w:t>
      </w:r>
      <w:r>
        <w:t>rroako 2017ko Aurrekontu Orokorrei buruzko 24/2016 Foru Legea aldatu zen, Nasuvinsaren aipatutako partida hori zabalgarritzat jo zedin.</w:t>
      </w:r>
    </w:p>
    <w:p w:rsidR="00494AD9" w:rsidRDefault="00222057" w:rsidP="005D48D7">
      <w:pPr>
        <w:pStyle w:val="texto"/>
        <w:tabs>
          <w:tab w:val="clear" w:pos="2835"/>
          <w:tab w:val="clear" w:pos="3969"/>
          <w:tab w:val="clear" w:pos="5103"/>
          <w:tab w:val="clear" w:pos="6237"/>
          <w:tab w:val="clear" w:pos="7371"/>
        </w:tabs>
        <w:rPr>
          <w:szCs w:val="26"/>
        </w:rPr>
      </w:pPr>
      <w:r>
        <w:t>Nafarroako Gobernuaren 2017ko uztailaren 19ko erabakiaz, partida horren kreditua 26,5 milioi euroan handitu zen.</w:t>
      </w:r>
    </w:p>
    <w:p w:rsidR="004D22FC" w:rsidRPr="00DC3902" w:rsidRDefault="004D22FC" w:rsidP="005D48D7">
      <w:pPr>
        <w:pStyle w:val="texto"/>
        <w:tabs>
          <w:tab w:val="clear" w:pos="2835"/>
          <w:tab w:val="clear" w:pos="3969"/>
          <w:tab w:val="clear" w:pos="5103"/>
          <w:tab w:val="clear" w:pos="6237"/>
          <w:tab w:val="clear" w:pos="7371"/>
        </w:tabs>
        <w:rPr>
          <w:szCs w:val="26"/>
        </w:rPr>
      </w:pPr>
    </w:p>
    <w:p w:rsidR="0022013F" w:rsidRPr="00447C6F" w:rsidRDefault="0022013F" w:rsidP="0022013F">
      <w:pPr>
        <w:pStyle w:val="texto"/>
        <w:tabs>
          <w:tab w:val="clear" w:pos="2835"/>
          <w:tab w:val="clear" w:pos="3969"/>
          <w:tab w:val="clear" w:pos="5103"/>
          <w:tab w:val="clear" w:pos="6237"/>
          <w:tab w:val="clear" w:pos="7371"/>
        </w:tabs>
        <w:rPr>
          <w:rFonts w:ascii="Times New (W1)" w:hAnsi="Times New (W1)"/>
          <w:b/>
          <w:szCs w:val="26"/>
        </w:rPr>
      </w:pPr>
      <w:r>
        <w:rPr>
          <w:rFonts w:ascii="Times New (W1)" w:hAnsi="Times New (W1)"/>
          <w:b/>
          <w:szCs w:val="26"/>
        </w:rPr>
        <w:t>2006tik 2017ra</w:t>
      </w:r>
    </w:p>
    <w:p w:rsidR="00122C42" w:rsidRPr="00122C42" w:rsidRDefault="00122C42" w:rsidP="0022013F">
      <w:pPr>
        <w:pStyle w:val="texto"/>
        <w:tabs>
          <w:tab w:val="clear" w:pos="2835"/>
          <w:tab w:val="clear" w:pos="3969"/>
          <w:tab w:val="clear" w:pos="5103"/>
          <w:tab w:val="clear" w:pos="6237"/>
          <w:tab w:val="clear" w:pos="7371"/>
        </w:tabs>
        <w:rPr>
          <w:szCs w:val="26"/>
        </w:rPr>
      </w:pPr>
      <w:r>
        <w:t xml:space="preserve">Garraioaren Hiriaren </w:t>
      </w:r>
      <w:r>
        <w:rPr>
          <w:b/>
        </w:rPr>
        <w:t>4. faseari</w:t>
      </w:r>
      <w:r>
        <w:t xml:space="preserve"> buruz, honako hau zehaztu behar dugu ber</w:t>
      </w:r>
      <w:r>
        <w:t>a</w:t>
      </w:r>
      <w:r>
        <w:t>riaz:</w:t>
      </w:r>
    </w:p>
    <w:p w:rsidR="00887613" w:rsidRPr="00BF2CC0" w:rsidRDefault="00494AD9" w:rsidP="00494AD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lastRenderedPageBreak/>
        <w:t>4. fase horrek aurreikusten duen hasierako guztizko azalera osoa 390.167 m</w:t>
      </w:r>
      <w:r>
        <w:rPr>
          <w:vertAlign w:val="superscript"/>
        </w:rPr>
        <w:t>2</w:t>
      </w:r>
      <w:r>
        <w:t>-koa da, eta azalera horren ehuneko 60 esleitzen da 165.196 m</w:t>
      </w:r>
      <w:r>
        <w:rPr>
          <w:vertAlign w:val="superscript"/>
        </w:rPr>
        <w:t>2</w:t>
      </w:r>
      <w:r>
        <w:t xml:space="preserve">-ko guztizko eraikigarritasunarekin; gainerako azalera bideei, berdeguneei eta azpiegiturei dagokie. </w:t>
      </w:r>
    </w:p>
    <w:p w:rsidR="00887613" w:rsidRPr="00BF2CC0" w:rsidRDefault="006A0EFC" w:rsidP="00494AD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Azalera hori Nafarroako Gobernuak 2006ko otsailean onetsitako Garraio</w:t>
      </w:r>
      <w:r>
        <w:t>a</w:t>
      </w:r>
      <w:r>
        <w:t>ren Hiria zabaltzeko udalez gaindiko plan sektorialak arautzen du; arau horr</w:t>
      </w:r>
      <w:r>
        <w:t>e</w:t>
      </w:r>
      <w:r>
        <w:t>tan azaleren koadroa ezartzen da eta fase horren erabilera xehakatuak arautzen dira; hartara, honako erabilera hauek bereizten dira:</w:t>
      </w:r>
    </w:p>
    <w:p w:rsidR="00887613" w:rsidRPr="00BF2CC0" w:rsidRDefault="00887613" w:rsidP="00887613">
      <w:pPr>
        <w:pStyle w:val="texto"/>
        <w:tabs>
          <w:tab w:val="clear" w:pos="2835"/>
          <w:tab w:val="clear" w:pos="3969"/>
          <w:tab w:val="clear" w:pos="5103"/>
          <w:tab w:val="clear" w:pos="6237"/>
          <w:tab w:val="clear" w:pos="7371"/>
        </w:tabs>
        <w:rPr>
          <w:szCs w:val="26"/>
        </w:rPr>
      </w:pPr>
      <w:r>
        <w:t>a) Eremu logistiko balioaniztuna eta komunitate-ekipamendurakoa.</w:t>
      </w:r>
    </w:p>
    <w:p w:rsidR="00887613" w:rsidRPr="00BF2CC0" w:rsidRDefault="00887613" w:rsidP="00887613">
      <w:pPr>
        <w:pStyle w:val="texto"/>
        <w:tabs>
          <w:tab w:val="clear" w:pos="2835"/>
          <w:tab w:val="clear" w:pos="3969"/>
          <w:tab w:val="clear" w:pos="5103"/>
          <w:tab w:val="clear" w:pos="6237"/>
          <w:tab w:val="clear" w:pos="7371"/>
        </w:tabs>
        <w:rPr>
          <w:szCs w:val="26"/>
        </w:rPr>
      </w:pPr>
      <w:r>
        <w:t>b) Eremu logistiko intermodala.</w:t>
      </w:r>
    </w:p>
    <w:p w:rsidR="00494AD9" w:rsidRPr="00BF2CC0" w:rsidRDefault="00887613" w:rsidP="00887613">
      <w:pPr>
        <w:pStyle w:val="texto"/>
        <w:tabs>
          <w:tab w:val="clear" w:pos="2835"/>
          <w:tab w:val="clear" w:pos="3969"/>
          <w:tab w:val="clear" w:pos="5103"/>
          <w:tab w:val="clear" w:pos="6237"/>
          <w:tab w:val="clear" w:pos="7371"/>
        </w:tabs>
        <w:rPr>
          <w:szCs w:val="26"/>
        </w:rPr>
      </w:pPr>
      <w:r>
        <w:t xml:space="preserve">c) Esparru edo terminal intermodala.  </w:t>
      </w:r>
    </w:p>
    <w:p w:rsidR="00BC6087" w:rsidRPr="00BF2CC0" w:rsidRDefault="00BC6087" w:rsidP="00DC390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2009ko maiatzean, CTP SA sozietateak, publizitaterik gabeko prozedura negoziatua erabiliz, Garraioaren Hiriaren 4. faserako bideragarritasun-azterlanaren kontratazioa sustatu zuen. Azterlan horren ondorioen artean, n</w:t>
      </w:r>
      <w:r>
        <w:t>a</w:t>
      </w:r>
      <w:r>
        <w:t>barmentzen dugu Garraioaren Hiriak ez duela izanen, momentuz, trenbide-sarearekiko zuzeneko irisgarritasunik.</w:t>
      </w:r>
    </w:p>
    <w:p w:rsidR="00B64996" w:rsidRPr="00BF2CC0" w:rsidRDefault="00BC6087" w:rsidP="0022013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2010eko apirilean, ADIFen eta ANLren arteko lankidetza-hitzarmen bat s</w:t>
      </w:r>
      <w:r>
        <w:t>i</w:t>
      </w:r>
      <w:r>
        <w:t>natu zen, Noaingo eta Garraioaren Hiriaren 4. faseko gune logistikoen integr</w:t>
      </w:r>
      <w:r>
        <w:t>a</w:t>
      </w:r>
      <w:r>
        <w:t>zioaren bideragarritasuna aztertzeko, haietako bakoitzaren jarduketak koordin</w:t>
      </w:r>
      <w:r>
        <w:t>a</w:t>
      </w:r>
      <w:r>
        <w:t>tzeko eta integrazio hori gauzatzeko formula juridikoak eta kudeaketakoak a</w:t>
      </w:r>
      <w:r>
        <w:t>z</w:t>
      </w:r>
      <w:r>
        <w:t>tertzeko, bideragarria izanez gero.</w:t>
      </w:r>
    </w:p>
    <w:p w:rsidR="00DB4205" w:rsidRPr="00BF2CC0" w:rsidRDefault="00BF1C11" w:rsidP="00B95F0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Aurreko azterlanaren ondorioen emaitza gisa, 4. fase osoa berritik pla</w:t>
      </w:r>
      <w:r>
        <w:t>n</w:t>
      </w:r>
      <w:r>
        <w:t>teatu zen, kontuan hartuta lursailak jada desjabetuta daudela eta okupazio-aktak onetsita daudela.</w:t>
      </w:r>
    </w:p>
    <w:p w:rsidR="009362C3" w:rsidRPr="00BF2CC0" w:rsidRDefault="009362C3" w:rsidP="00B95F0F">
      <w:pPr>
        <w:pStyle w:val="texto"/>
        <w:tabs>
          <w:tab w:val="clear" w:pos="2835"/>
          <w:tab w:val="clear" w:pos="3969"/>
          <w:tab w:val="clear" w:pos="5103"/>
          <w:tab w:val="clear" w:pos="6237"/>
          <w:tab w:val="clear" w:pos="7371"/>
        </w:tabs>
      </w:pPr>
      <w:r>
        <w:t>Planteatzen den helburu berria da distantzia luzeko garraioaren hazkundea trenbidera bideratzea; helburu hori, izan ere, egingarri gertatzen da Garraioaren Hirian, zeren eta Noaingo salgaien geltokitik hurbil baitago. Halere, ez da ba</w:t>
      </w:r>
      <w:r>
        <w:t>z</w:t>
      </w:r>
      <w:r>
        <w:t>tertu behar epe luzean Garraioaren Hiriak trenbide sarearekin zuzenean kone</w:t>
      </w:r>
      <w:r>
        <w:t>k</w:t>
      </w:r>
      <w:r>
        <w:t>tatzeko aukera.</w:t>
      </w:r>
    </w:p>
    <w:p w:rsidR="009362C3" w:rsidRPr="00BF2CC0" w:rsidRDefault="00494AD9" w:rsidP="00B95F0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2017an, lursailak zelaitzeko lehenengo lana hasi ziren, bai Garraioaren H</w:t>
      </w:r>
      <w:r>
        <w:t>i</w:t>
      </w:r>
      <w:r>
        <w:t xml:space="preserve">ria zabaltzeko udalez gaindiko plan sektorialaren aldaketa bat idazteko lanak ere. Nafarroako Gobernua 2017ko irailetik ari da haiek izapidetzen. Xedea da urbanizazio-lanak egitea eta amaitzea, Nasuvinsak lursail horiei etekina atera ahal izateko. </w:t>
      </w:r>
    </w:p>
    <w:p w:rsidR="004D22FC" w:rsidRDefault="004D22FC" w:rsidP="005D48D7">
      <w:pPr>
        <w:spacing w:after="0"/>
        <w:ind w:firstLine="0"/>
        <w:jc w:val="left"/>
        <w:rPr>
          <w:szCs w:val="26"/>
        </w:rPr>
      </w:pPr>
    </w:p>
    <w:p w:rsidR="007D1B53" w:rsidRPr="005D48D7" w:rsidRDefault="005D48D7" w:rsidP="005D48D7">
      <w:pPr>
        <w:spacing w:after="0"/>
        <w:ind w:firstLine="0"/>
        <w:jc w:val="left"/>
        <w:rPr>
          <w:spacing w:val="6"/>
          <w:sz w:val="26"/>
          <w:szCs w:val="26"/>
        </w:rPr>
      </w:pPr>
      <w:r>
        <w:br w:type="page"/>
      </w:r>
    </w:p>
    <w:p w:rsidR="007D1B53" w:rsidRDefault="007D1B53" w:rsidP="007D1B53">
      <w:pPr>
        <w:pStyle w:val="texto"/>
        <w:tabs>
          <w:tab w:val="clear" w:pos="2835"/>
          <w:tab w:val="clear" w:pos="3969"/>
          <w:tab w:val="clear" w:pos="5103"/>
          <w:tab w:val="clear" w:pos="6237"/>
          <w:tab w:val="clear" w:pos="7371"/>
        </w:tabs>
        <w:rPr>
          <w:rFonts w:ascii="Times New (W1)" w:hAnsi="Times New (W1)"/>
          <w:szCs w:val="26"/>
        </w:rPr>
      </w:pPr>
      <w:r>
        <w:lastRenderedPageBreak/>
        <w:t xml:space="preserve">Azkenik, Iruñeko Garraioaren Hiriaren eraikuntzaren bilakaera erakusten dugu argazkien bitartez. </w:t>
      </w:r>
    </w:p>
    <w:p w:rsidR="007D1B53" w:rsidRPr="007D1B53" w:rsidRDefault="007D1B53" w:rsidP="00494AD9">
      <w:pPr>
        <w:pStyle w:val="texto"/>
        <w:tabs>
          <w:tab w:val="clear" w:pos="2835"/>
          <w:tab w:val="clear" w:pos="3969"/>
          <w:tab w:val="clear" w:pos="5103"/>
          <w:tab w:val="clear" w:pos="6237"/>
          <w:tab w:val="clear" w:pos="7371"/>
          <w:tab w:val="num" w:pos="600"/>
        </w:tabs>
        <w:rPr>
          <w:rFonts w:ascii="Times New (W1)" w:hAnsi="Times New (W1)"/>
          <w:b/>
          <w:i/>
          <w:szCs w:val="26"/>
        </w:rPr>
      </w:pPr>
      <w:r>
        <w:rPr>
          <w:rFonts w:ascii="Times New (W1)" w:hAnsi="Times New (W1)"/>
          <w:b/>
          <w:i/>
          <w:szCs w:val="26"/>
        </w:rPr>
        <w:t>1997 (1. fasea)</w:t>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r>
        <w:rPr>
          <w:rFonts w:ascii="Arial" w:hAnsi="Arial"/>
          <w:noProof/>
          <w:sz w:val="19"/>
          <w:szCs w:val="19"/>
          <w:lang w:val="es-ES" w:eastAsia="es-ES"/>
        </w:rPr>
        <w:drawing>
          <wp:inline distT="0" distB="0" distL="0" distR="0" wp14:anchorId="15B12787" wp14:editId="484613D3">
            <wp:extent cx="5581015" cy="3219529"/>
            <wp:effectExtent l="0" t="0" r="635" b="0"/>
            <wp:docPr id="2" name="Imagen 2" descr="http://www.ctpsa.es/images/f19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ctpsa.es/images/f199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015" cy="3219529"/>
                    </a:xfrm>
                    <a:prstGeom prst="rect">
                      <a:avLst/>
                    </a:prstGeom>
                    <a:noFill/>
                    <a:ln>
                      <a:noFill/>
                    </a:ln>
                  </pic:spPr>
                </pic:pic>
              </a:graphicData>
            </a:graphic>
          </wp:inline>
        </w:drawing>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p>
    <w:p w:rsidR="007D1B53" w:rsidRPr="007D1B53" w:rsidRDefault="007D1B53" w:rsidP="00494AD9">
      <w:pPr>
        <w:pStyle w:val="texto"/>
        <w:tabs>
          <w:tab w:val="clear" w:pos="2835"/>
          <w:tab w:val="clear" w:pos="3969"/>
          <w:tab w:val="clear" w:pos="5103"/>
          <w:tab w:val="clear" w:pos="6237"/>
          <w:tab w:val="clear" w:pos="7371"/>
          <w:tab w:val="num" w:pos="600"/>
        </w:tabs>
        <w:rPr>
          <w:rFonts w:ascii="Times New (W1)" w:hAnsi="Times New (W1)"/>
          <w:b/>
          <w:i/>
          <w:szCs w:val="26"/>
        </w:rPr>
      </w:pPr>
      <w:r>
        <w:rPr>
          <w:rFonts w:ascii="Times New (W1)" w:hAnsi="Times New (W1)"/>
          <w:b/>
          <w:i/>
          <w:szCs w:val="26"/>
        </w:rPr>
        <w:t>2004 (2. fasearekin)</w:t>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r>
        <w:rPr>
          <w:rFonts w:ascii="Arial" w:hAnsi="Arial"/>
          <w:noProof/>
          <w:sz w:val="19"/>
          <w:szCs w:val="19"/>
          <w:lang w:val="es-ES" w:eastAsia="es-ES"/>
        </w:rPr>
        <w:drawing>
          <wp:inline distT="0" distB="0" distL="0" distR="0" wp14:anchorId="43735ED1" wp14:editId="3C09579C">
            <wp:extent cx="5581015" cy="3219529"/>
            <wp:effectExtent l="0" t="0" r="635" b="0"/>
            <wp:docPr id="3" name="Imagen 3" descr="http://www.ctpsa.es/images/f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ctpsa.es/images/f2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1015" cy="3219529"/>
                    </a:xfrm>
                    <a:prstGeom prst="rect">
                      <a:avLst/>
                    </a:prstGeom>
                    <a:noFill/>
                    <a:ln>
                      <a:noFill/>
                    </a:ln>
                  </pic:spPr>
                </pic:pic>
              </a:graphicData>
            </a:graphic>
          </wp:inline>
        </w:drawing>
      </w:r>
    </w:p>
    <w:p w:rsidR="007D1B53" w:rsidRDefault="007D1B53">
      <w:pPr>
        <w:spacing w:after="0"/>
        <w:ind w:firstLine="0"/>
        <w:jc w:val="left"/>
        <w:rPr>
          <w:rFonts w:ascii="Times New (W1)" w:hAnsi="Times New (W1)"/>
          <w:spacing w:val="6"/>
          <w:sz w:val="26"/>
          <w:szCs w:val="26"/>
        </w:rPr>
      </w:pPr>
      <w:r>
        <w:br w:type="page"/>
      </w:r>
    </w:p>
    <w:p w:rsidR="007D1B53" w:rsidRPr="007D1B53" w:rsidRDefault="007D1B53" w:rsidP="00494AD9">
      <w:pPr>
        <w:pStyle w:val="texto"/>
        <w:tabs>
          <w:tab w:val="clear" w:pos="2835"/>
          <w:tab w:val="clear" w:pos="3969"/>
          <w:tab w:val="clear" w:pos="5103"/>
          <w:tab w:val="clear" w:pos="6237"/>
          <w:tab w:val="clear" w:pos="7371"/>
          <w:tab w:val="num" w:pos="600"/>
        </w:tabs>
        <w:rPr>
          <w:rFonts w:ascii="Times New (W1)" w:hAnsi="Times New (W1)"/>
          <w:b/>
          <w:i/>
          <w:szCs w:val="26"/>
        </w:rPr>
      </w:pPr>
      <w:r>
        <w:rPr>
          <w:rFonts w:ascii="Times New (W1)" w:hAnsi="Times New (W1)"/>
          <w:b/>
          <w:i/>
          <w:szCs w:val="26"/>
        </w:rPr>
        <w:lastRenderedPageBreak/>
        <w:t>2010 (3. fasearekin)</w:t>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r>
        <w:rPr>
          <w:rFonts w:ascii="Arial" w:hAnsi="Arial"/>
          <w:noProof/>
          <w:sz w:val="19"/>
          <w:szCs w:val="19"/>
          <w:lang w:val="es-ES" w:eastAsia="es-ES"/>
        </w:rPr>
        <w:drawing>
          <wp:inline distT="0" distB="0" distL="0" distR="0" wp14:anchorId="4D72D3C9" wp14:editId="4933B73C">
            <wp:extent cx="5581015" cy="3219529"/>
            <wp:effectExtent l="0" t="0" r="635" b="0"/>
            <wp:docPr id="5" name="Imagen 5" descr="http://www.ctpsa.es/images/f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b-player" descr="http://www.ctpsa.es/images/f20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1015" cy="3219529"/>
                    </a:xfrm>
                    <a:prstGeom prst="rect">
                      <a:avLst/>
                    </a:prstGeom>
                    <a:noFill/>
                    <a:ln>
                      <a:noFill/>
                    </a:ln>
                  </pic:spPr>
                </pic:pic>
              </a:graphicData>
            </a:graphic>
          </wp:inline>
        </w:drawing>
      </w:r>
    </w:p>
    <w:p w:rsidR="007D1B53" w:rsidRDefault="007D1B53" w:rsidP="00494AD9">
      <w:pPr>
        <w:pStyle w:val="texto"/>
        <w:tabs>
          <w:tab w:val="clear" w:pos="2835"/>
          <w:tab w:val="clear" w:pos="3969"/>
          <w:tab w:val="clear" w:pos="5103"/>
          <w:tab w:val="clear" w:pos="6237"/>
          <w:tab w:val="clear" w:pos="7371"/>
          <w:tab w:val="num" w:pos="600"/>
        </w:tabs>
        <w:rPr>
          <w:rFonts w:ascii="Times New (W1)" w:hAnsi="Times New (W1)"/>
          <w:szCs w:val="26"/>
        </w:rPr>
      </w:pPr>
    </w:p>
    <w:p w:rsidR="007D1B53" w:rsidRPr="007D1B53" w:rsidRDefault="007D1B53" w:rsidP="007D1B53">
      <w:pPr>
        <w:pStyle w:val="texto"/>
        <w:tabs>
          <w:tab w:val="clear" w:pos="2835"/>
          <w:tab w:val="clear" w:pos="3969"/>
          <w:tab w:val="clear" w:pos="5103"/>
          <w:tab w:val="clear" w:pos="6237"/>
          <w:tab w:val="clear" w:pos="7371"/>
          <w:tab w:val="num" w:pos="600"/>
        </w:tabs>
        <w:rPr>
          <w:rFonts w:ascii="Times New (W1)" w:hAnsi="Times New (W1)"/>
          <w:b/>
          <w:i/>
          <w:szCs w:val="26"/>
        </w:rPr>
      </w:pPr>
      <w:r>
        <w:rPr>
          <w:rFonts w:ascii="Times New (W1)" w:hAnsi="Times New (W1)"/>
          <w:b/>
          <w:i/>
          <w:szCs w:val="26"/>
        </w:rPr>
        <w:t>2015</w:t>
      </w:r>
      <w:bookmarkEnd w:id="7"/>
      <w:bookmarkEnd w:id="8"/>
      <w:bookmarkEnd w:id="9"/>
      <w:bookmarkEnd w:id="14"/>
      <w:bookmarkEnd w:id="15"/>
      <w:bookmarkEnd w:id="16"/>
      <w:bookmarkEnd w:id="17"/>
      <w:bookmarkEnd w:id="18"/>
      <w:bookmarkEnd w:id="19"/>
      <w:bookmarkEnd w:id="20"/>
      <w:bookmarkEnd w:id="21"/>
      <w:bookmarkEnd w:id="22"/>
      <w:bookmarkEnd w:id="23"/>
      <w:r>
        <w:rPr>
          <w:rFonts w:ascii="Times New (W1)" w:hAnsi="Times New (W1)"/>
          <w:b/>
          <w:i/>
          <w:szCs w:val="26"/>
        </w:rPr>
        <w:t xml:space="preserve"> (GHaren zabalkuntzaren irudikatzea, udalez gaindiko planaren ar</w:t>
      </w:r>
      <w:r>
        <w:rPr>
          <w:rFonts w:ascii="Times New (W1)" w:hAnsi="Times New (W1)"/>
          <w:b/>
          <w:i/>
          <w:szCs w:val="26"/>
        </w:rPr>
        <w:t>a</w:t>
      </w:r>
      <w:r>
        <w:rPr>
          <w:rFonts w:ascii="Times New (W1)" w:hAnsi="Times New (W1)"/>
          <w:b/>
          <w:i/>
          <w:szCs w:val="26"/>
        </w:rPr>
        <w:t>bera)</w:t>
      </w:r>
    </w:p>
    <w:p w:rsidR="00D55ED2" w:rsidRDefault="00D55ED2" w:rsidP="00D70674">
      <w:pPr>
        <w:spacing w:after="0"/>
        <w:ind w:firstLine="0"/>
        <w:rPr>
          <w:noProof/>
        </w:rPr>
      </w:pPr>
      <w:r>
        <w:rPr>
          <w:noProof/>
          <w:lang w:val="es-ES" w:eastAsia="es-ES"/>
        </w:rPr>
        <w:drawing>
          <wp:inline distT="0" distB="0" distL="0" distR="0" wp14:anchorId="6009643E" wp14:editId="63578A7E">
            <wp:extent cx="5581015" cy="3219450"/>
            <wp:effectExtent l="0" t="0" r="635" b="0"/>
            <wp:docPr id="1" name="Imagen 1" descr="http://www.ctpsa.es/images/fotos/2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tpsa.es/images/fotos/21_1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015" cy="3219450"/>
                    </a:xfrm>
                    <a:prstGeom prst="rect">
                      <a:avLst/>
                    </a:prstGeom>
                    <a:noFill/>
                    <a:ln>
                      <a:noFill/>
                    </a:ln>
                  </pic:spPr>
                </pic:pic>
              </a:graphicData>
            </a:graphic>
          </wp:inline>
        </w:drawing>
      </w:r>
    </w:p>
    <w:p w:rsidR="00D55ED2" w:rsidRDefault="00D55ED2">
      <w:pPr>
        <w:spacing w:after="0"/>
        <w:ind w:firstLine="0"/>
        <w:jc w:val="left"/>
        <w:rPr>
          <w:noProof/>
          <w:lang w:val="es-ES" w:eastAsia="es-ES"/>
        </w:rPr>
      </w:pPr>
    </w:p>
    <w:p w:rsidR="00D55ED2" w:rsidRDefault="00D55ED2">
      <w:pPr>
        <w:spacing w:after="0"/>
        <w:ind w:firstLine="0"/>
        <w:jc w:val="left"/>
        <w:rPr>
          <w:noProof/>
          <w:lang w:val="es-ES" w:eastAsia="es-ES"/>
        </w:rPr>
      </w:pPr>
    </w:p>
    <w:p w:rsidR="00D55ED2" w:rsidRDefault="00D55ED2">
      <w:pPr>
        <w:spacing w:after="0"/>
        <w:ind w:firstLine="0"/>
        <w:jc w:val="left"/>
        <w:rPr>
          <w:noProof/>
          <w:lang w:val="es-ES" w:eastAsia="es-ES"/>
        </w:rPr>
      </w:pPr>
    </w:p>
    <w:p w:rsidR="00D55ED2" w:rsidRDefault="00D55ED2">
      <w:pPr>
        <w:spacing w:after="0"/>
        <w:ind w:firstLine="0"/>
        <w:jc w:val="left"/>
        <w:rPr>
          <w:noProof/>
          <w:lang w:val="es-ES" w:eastAsia="es-ES"/>
        </w:rPr>
      </w:pPr>
    </w:p>
    <w:p w:rsidR="00D55ED2" w:rsidRDefault="00D55ED2">
      <w:pPr>
        <w:spacing w:after="0"/>
        <w:ind w:firstLine="0"/>
        <w:jc w:val="left"/>
        <w:rPr>
          <w:noProof/>
          <w:lang w:val="es-ES" w:eastAsia="es-ES"/>
        </w:rPr>
      </w:pPr>
    </w:p>
    <w:p w:rsidR="00D55ED2" w:rsidRDefault="00D55ED2">
      <w:pPr>
        <w:spacing w:after="0"/>
        <w:ind w:firstLine="0"/>
        <w:jc w:val="left"/>
        <w:rPr>
          <w:noProof/>
          <w:spacing w:val="6"/>
          <w:sz w:val="26"/>
          <w:szCs w:val="24"/>
        </w:rPr>
      </w:pPr>
      <w:r>
        <w:lastRenderedPageBreak/>
        <w:br w:type="page"/>
      </w:r>
    </w:p>
    <w:p w:rsidR="0085177C" w:rsidRDefault="00D55ED2" w:rsidP="00D55ED2">
      <w:pPr>
        <w:pStyle w:val="atitulo1"/>
      </w:pPr>
      <w:bookmarkStart w:id="36" w:name="_Toc519583199"/>
      <w:r>
        <w:lastRenderedPageBreak/>
        <w:t>III Helburua, norainokoa eta mugak</w:t>
      </w:r>
      <w:bookmarkEnd w:id="36"/>
    </w:p>
    <w:p w:rsidR="00275550" w:rsidRDefault="00275550" w:rsidP="00275550">
      <w:pPr>
        <w:pStyle w:val="texto"/>
        <w:tabs>
          <w:tab w:val="clear" w:pos="2835"/>
          <w:tab w:val="clear" w:pos="3969"/>
          <w:tab w:val="clear" w:pos="5103"/>
          <w:tab w:val="clear" w:pos="6237"/>
          <w:tab w:val="clear" w:pos="7371"/>
        </w:tabs>
        <w:rPr>
          <w:szCs w:val="26"/>
        </w:rPr>
      </w:pPr>
      <w:r>
        <w:t>Kontuen Ganbera arautzen duen abenduaren 20ko 19/1984 Foru Legeari j</w:t>
      </w:r>
      <w:r>
        <w:t>a</w:t>
      </w:r>
      <w:r>
        <w:t xml:space="preserve">rraituz eta parlamentu-eskaera horri erantzunez, 2017rako jarduketa-programan sartu da txosten bat egitea </w:t>
      </w:r>
      <w:r>
        <w:rPr>
          <w:i/>
        </w:rPr>
        <w:t>"</w:t>
      </w:r>
      <w:r>
        <w:t>Iruñerriko Garraioaren Hiriari buruz (1991tik 2017ra)</w:t>
      </w:r>
      <w:r>
        <w:rPr>
          <w:i/>
        </w:rPr>
        <w:t>"</w:t>
      </w:r>
      <w:r>
        <w:t>.</w:t>
      </w:r>
    </w:p>
    <w:p w:rsidR="00275550" w:rsidRPr="004D22FC" w:rsidRDefault="00275550" w:rsidP="00275550">
      <w:pPr>
        <w:pStyle w:val="texto"/>
        <w:tabs>
          <w:tab w:val="clear" w:pos="2835"/>
          <w:tab w:val="clear" w:pos="3969"/>
          <w:tab w:val="clear" w:pos="5103"/>
          <w:tab w:val="clear" w:pos="6237"/>
          <w:tab w:val="clear" w:pos="7371"/>
        </w:tabs>
        <w:rPr>
          <w:spacing w:val="0"/>
          <w:szCs w:val="26"/>
        </w:rPr>
      </w:pPr>
      <w:r>
        <w:t>Txostenaren helburua da honako puntu hauei buruzko ondorio batzuk age</w:t>
      </w:r>
      <w:r>
        <w:t>r</w:t>
      </w:r>
      <w:r>
        <w:t>tzea:</w:t>
      </w:r>
    </w:p>
    <w:p w:rsidR="00D55ED2" w:rsidRPr="00BF2CC0" w:rsidRDefault="00275550" w:rsidP="005030BE">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Iruñerriko Garraioaren Hiria (GH) garatu eta egiteko aplikatutako hirigi</w:t>
      </w:r>
      <w:r>
        <w:t>n</w:t>
      </w:r>
      <w:r>
        <w:t>tza-planeamenduko tresnak.</w:t>
      </w:r>
    </w:p>
    <w:p w:rsidR="005030BE" w:rsidRPr="00BF2CC0" w:rsidRDefault="003D5D75" w:rsidP="005030BE">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GHa ezarrita dagoen lursailen desjabetze-prozesua.</w:t>
      </w:r>
    </w:p>
    <w:p w:rsidR="00D325AD" w:rsidRPr="00BF2CC0" w:rsidRDefault="00D325AD" w:rsidP="00D325A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 xml:space="preserve">GHari aplikatutako kudeaketa-eredua. </w:t>
      </w:r>
    </w:p>
    <w:p w:rsidR="003B4A62" w:rsidRPr="00BF2CC0" w:rsidRDefault="00BD5527" w:rsidP="003B4A62">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GHaren sozietate kudeatzailea.</w:t>
      </w:r>
    </w:p>
    <w:p w:rsidR="009959D7" w:rsidRPr="004D22FC" w:rsidRDefault="009959D7" w:rsidP="009959D7">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pacing w:val="-2"/>
        </w:rPr>
      </w:pPr>
      <w:r>
        <w:t>GHaren urbanizazio-lanetarako eta ustiatzerako adjudikatutako kontratuak.</w:t>
      </w:r>
    </w:p>
    <w:p w:rsidR="005030BE" w:rsidRPr="00BF2CC0" w:rsidRDefault="00A37943" w:rsidP="00A37943">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GHan egindako inbertsio publikoen eta haien finantzaketaren zenbatespena 2017ko abenduaren 31n.</w:t>
      </w:r>
    </w:p>
    <w:p w:rsidR="00D325AD" w:rsidRPr="00BF2CC0" w:rsidRDefault="00D325AD" w:rsidP="004F149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 xml:space="preserve">GHaren 4. fasearen garapena. </w:t>
      </w:r>
    </w:p>
    <w:p w:rsidR="005030BE" w:rsidRPr="00BF2CC0" w:rsidRDefault="00D325AD" w:rsidP="004F149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GHaren okupazio-maila.</w:t>
      </w:r>
    </w:p>
    <w:p w:rsidR="005030BE" w:rsidRDefault="004F1499" w:rsidP="004F1499">
      <w:pPr>
        <w:pStyle w:val="texto"/>
        <w:tabs>
          <w:tab w:val="clear" w:pos="2835"/>
          <w:tab w:val="clear" w:pos="3969"/>
          <w:tab w:val="clear" w:pos="5103"/>
          <w:tab w:val="clear" w:pos="6237"/>
          <w:tab w:val="clear" w:pos="7371"/>
        </w:tabs>
        <w:rPr>
          <w:szCs w:val="26"/>
        </w:rPr>
      </w:pPr>
      <w:r>
        <w:t>Lana Espainiako Kanpo Kontroleko Organo Publikoak Koordinatzeko B</w:t>
      </w:r>
      <w:r>
        <w:t>a</w:t>
      </w:r>
      <w:r>
        <w:t>tzordeak onetsitako eta Ganberaren fiskalizazio-eskuliburuan jasotako sektore publikoaren auditoriari buruzko printzipioei eta arauei jarraituz gauzatu da; z</w:t>
      </w:r>
      <w:r>
        <w:t>e</w:t>
      </w:r>
      <w:r>
        <w:t>hazki, "Auditoria finantzarioari buruzko oinarrizko printzipioak" izeneko I</w:t>
      </w:r>
      <w:r>
        <w:t>S</w:t>
      </w:r>
      <w:r>
        <w:t>SAI-ES 200 eta "Legea betetzeari buruzko fiskalizazioaren oinarrizko printz</w:t>
      </w:r>
      <w:r>
        <w:t>i</w:t>
      </w:r>
      <w:r>
        <w:t xml:space="preserve">pioak" izeneko ISSAI-ES 400 araua aplikatu dira. </w:t>
      </w:r>
    </w:p>
    <w:p w:rsidR="00E950D4" w:rsidRDefault="00E950D4" w:rsidP="004F1499">
      <w:pPr>
        <w:pStyle w:val="texto"/>
        <w:tabs>
          <w:tab w:val="clear" w:pos="2835"/>
          <w:tab w:val="clear" w:pos="3969"/>
          <w:tab w:val="clear" w:pos="5103"/>
          <w:tab w:val="clear" w:pos="6237"/>
          <w:tab w:val="clear" w:pos="7371"/>
        </w:tabs>
        <w:rPr>
          <w:szCs w:val="26"/>
        </w:rPr>
      </w:pPr>
      <w:r>
        <w:t>Lanaren norainokoari eta hartzen duen denborari (27 urte) dagokienez, an</w:t>
      </w:r>
      <w:r>
        <w:t>a</w:t>
      </w:r>
      <w:r>
        <w:t>lisi selektiboak egin dira garrantzitsuentzat jotzen diren eragiketei buruz edo/eta informazio osoa daukagun eragiketei buruz.</w:t>
      </w:r>
    </w:p>
    <w:p w:rsidR="006E724B" w:rsidRPr="00316389" w:rsidRDefault="006E724B" w:rsidP="006E724B">
      <w:pPr>
        <w:pStyle w:val="texto"/>
        <w:tabs>
          <w:tab w:val="clear" w:pos="2835"/>
          <w:tab w:val="clear" w:pos="3969"/>
          <w:tab w:val="clear" w:pos="5103"/>
          <w:tab w:val="clear" w:pos="6237"/>
          <w:tab w:val="clear" w:pos="7371"/>
        </w:tabs>
        <w:rPr>
          <w:szCs w:val="26"/>
        </w:rPr>
      </w:pPr>
      <w:r>
        <w:t>Gure jarduketa soilik fiskalizazio ekonomiko eta finantzarioaren ikuspunt</w:t>
      </w:r>
      <w:r>
        <w:t>u</w:t>
      </w:r>
      <w:r>
        <w:t>tik egin dugu, azpiegituraren eraikuntzaren alderdi teknikoak baloratzera sartu gabe.</w:t>
      </w:r>
    </w:p>
    <w:p w:rsidR="00251F9F" w:rsidRPr="001D1E13" w:rsidRDefault="00251F9F" w:rsidP="00251F9F">
      <w:pPr>
        <w:pStyle w:val="texto"/>
        <w:rPr>
          <w:szCs w:val="26"/>
        </w:rPr>
      </w:pPr>
      <w:r>
        <w:t>Era berean, Kontuen Ganbera ez da eskuduna Garraioaren Hiriaren obren eta ustiaketaren ardura izan duen aldi baterako enpresa-elkartearen kudeaketa fi</w:t>
      </w:r>
      <w:r>
        <w:t>s</w:t>
      </w:r>
      <w:r>
        <w:t>kalizatzeko, zeren eta entitate pribatu bat baita, foru sektore publikoaz kanp</w:t>
      </w:r>
      <w:r>
        <w:t>o</w:t>
      </w:r>
      <w:r>
        <w:t>koa.</w:t>
      </w:r>
    </w:p>
    <w:p w:rsidR="00E950D4" w:rsidRDefault="00E950D4" w:rsidP="004F1499">
      <w:pPr>
        <w:pStyle w:val="texto"/>
        <w:tabs>
          <w:tab w:val="clear" w:pos="2835"/>
          <w:tab w:val="clear" w:pos="3969"/>
          <w:tab w:val="clear" w:pos="5103"/>
          <w:tab w:val="clear" w:pos="6237"/>
          <w:tab w:val="clear" w:pos="7371"/>
        </w:tabs>
        <w:rPr>
          <w:szCs w:val="26"/>
        </w:rPr>
      </w:pPr>
      <w:r>
        <w:t xml:space="preserve">Garraioaren Hiriaren proiektuari aplikatzen zaion arau-esparruak 27 urte hauetan indarrean egon diren hainbat arau hartzen ditu, funtsean hirigintzari eta </w:t>
      </w:r>
      <w:r>
        <w:lastRenderedPageBreak/>
        <w:t xml:space="preserve">lurraldearen antolamenduari, desjabetzeei, kontratazio administratiboari eta merkataritza-sozietateei dagozkienak.  </w:t>
      </w:r>
    </w:p>
    <w:p w:rsidR="006E0D51" w:rsidRPr="004B52F2" w:rsidRDefault="006E0D51" w:rsidP="004F1499">
      <w:pPr>
        <w:pStyle w:val="texto"/>
        <w:tabs>
          <w:tab w:val="clear" w:pos="2835"/>
          <w:tab w:val="clear" w:pos="3969"/>
          <w:tab w:val="clear" w:pos="5103"/>
          <w:tab w:val="clear" w:pos="6237"/>
          <w:tab w:val="clear" w:pos="7371"/>
        </w:tabs>
        <w:rPr>
          <w:szCs w:val="26"/>
        </w:rPr>
      </w:pPr>
      <w:r>
        <w:t>Garraioaren Hiria ezarrita dagoen lursailen desjabetze-prozesua konplexua eta luzea izan da, eta hartan erabaki judizial ugari izan dira, funts publikoetan ondorio ekonomiko garrantzitsuak izan dituztenak.</w:t>
      </w:r>
    </w:p>
    <w:p w:rsidR="006E0D51" w:rsidRDefault="006E0D51" w:rsidP="006E0D51">
      <w:pPr>
        <w:pStyle w:val="texto"/>
        <w:tabs>
          <w:tab w:val="clear" w:pos="2835"/>
          <w:tab w:val="clear" w:pos="3969"/>
          <w:tab w:val="clear" w:pos="5103"/>
          <w:tab w:val="clear" w:pos="6237"/>
          <w:tab w:val="clear" w:pos="7371"/>
        </w:tabs>
        <w:rPr>
          <w:szCs w:val="26"/>
        </w:rPr>
      </w:pPr>
      <w:r>
        <w:t xml:space="preserve">Iruñerriko Garraioaren Hiriaren proiektua amaitu gabe dago; hori dela eta, txosten honen ondorioak egoera horren testuinguruan kokatu behar dira. </w:t>
      </w:r>
    </w:p>
    <w:p w:rsidR="006E0D51" w:rsidRDefault="006E0D51" w:rsidP="006E0D51">
      <w:pPr>
        <w:pStyle w:val="texto"/>
        <w:tabs>
          <w:tab w:val="clear" w:pos="2835"/>
          <w:tab w:val="clear" w:pos="3969"/>
          <w:tab w:val="clear" w:pos="5103"/>
          <w:tab w:val="clear" w:pos="6237"/>
          <w:tab w:val="clear" w:pos="7371"/>
        </w:tabs>
        <w:rPr>
          <w:szCs w:val="26"/>
        </w:rPr>
      </w:pPr>
      <w:r>
        <w:t>Nasuvinsa enpresak Ganbera honen esku jarri du proiektuari buruz artxib</w:t>
      </w:r>
      <w:r>
        <w:t>a</w:t>
      </w:r>
      <w:r>
        <w:t>tuta zeukan informazio guztia.</w:t>
      </w:r>
    </w:p>
    <w:p w:rsidR="00251F9F" w:rsidRPr="006A1B76" w:rsidRDefault="00251F9F" w:rsidP="00D83645">
      <w:pPr>
        <w:pStyle w:val="texto"/>
        <w:tabs>
          <w:tab w:val="clear" w:pos="2835"/>
          <w:tab w:val="clear" w:pos="3969"/>
          <w:tab w:val="clear" w:pos="5103"/>
          <w:tab w:val="clear" w:pos="6237"/>
          <w:tab w:val="clear" w:pos="7371"/>
        </w:tabs>
        <w:rPr>
          <w:szCs w:val="26"/>
        </w:rPr>
      </w:pPr>
      <w:r>
        <w:t>Lan honen norainokoan eragina izan duen muga da, funtsean, ez daukagula segurtasun osorik proiektuaren sorrerarekin, izapidetzearekin, exekuzioarekin eta kudeaketarekin lotutako dokumentazio eta informazio guztia eduki izanari buruz, bereziki aldez aurretiko jarduketei eta proiektuaren 1. eta 2. faseen has</w:t>
      </w:r>
      <w:r>
        <w:t>i</w:t>
      </w:r>
      <w:r>
        <w:t>erako garapenari dagokienez; egoera hori heldu da duela 30 urte hasitako pro</w:t>
      </w:r>
      <w:r>
        <w:t>i</w:t>
      </w:r>
      <w:r>
        <w:t>ektua izatetik eta sozietate kudeatzaileak, urte horietan, sozietate-eraldaketa s</w:t>
      </w:r>
      <w:r>
        <w:t>a</w:t>
      </w:r>
      <w:r>
        <w:t>konak pairatu izatetik.</w:t>
      </w:r>
    </w:p>
    <w:p w:rsidR="002E2D86" w:rsidRPr="006A1B76" w:rsidRDefault="002E2D86">
      <w:pPr>
        <w:spacing w:after="0"/>
        <w:ind w:firstLine="0"/>
        <w:jc w:val="left"/>
        <w:rPr>
          <w:rFonts w:ascii="Arial" w:hAnsi="Arial"/>
          <w:b/>
          <w:kern w:val="28"/>
          <w:sz w:val="25"/>
          <w:szCs w:val="26"/>
        </w:rPr>
      </w:pPr>
      <w:r>
        <w:br w:type="page"/>
      </w:r>
    </w:p>
    <w:p w:rsidR="00E950D4" w:rsidRDefault="00AF6A54" w:rsidP="000217F4">
      <w:pPr>
        <w:pStyle w:val="atitulo1"/>
      </w:pPr>
      <w:bookmarkStart w:id="37" w:name="_Toc519583200"/>
      <w:r>
        <w:lastRenderedPageBreak/>
        <w:t>IV. Ondorioak eta gomendioak</w:t>
      </w:r>
      <w:bookmarkEnd w:id="37"/>
      <w:r>
        <w:t xml:space="preserve">   </w:t>
      </w:r>
    </w:p>
    <w:p w:rsidR="009C7803" w:rsidRDefault="00256E83" w:rsidP="00CF0DE8">
      <w:pPr>
        <w:pStyle w:val="texto"/>
        <w:tabs>
          <w:tab w:val="clear" w:pos="2835"/>
          <w:tab w:val="clear" w:pos="3969"/>
          <w:tab w:val="clear" w:pos="5103"/>
          <w:tab w:val="clear" w:pos="6237"/>
          <w:tab w:val="clear" w:pos="7371"/>
        </w:tabs>
        <w:spacing w:after="240"/>
        <w:rPr>
          <w:szCs w:val="26"/>
        </w:rPr>
      </w:pPr>
      <w:r>
        <w:t>Ondoren egindako lanaren ondorioak azaltzen ditugu, bai eta Ganbera honen ustez halako garrantzia duten azpiegituren kudeaketa hobetzeko komenigarriak diren gomendioak ere.</w:t>
      </w:r>
    </w:p>
    <w:p w:rsidR="008B5CCB" w:rsidRDefault="008B5CCB" w:rsidP="008B5CCB">
      <w:pPr>
        <w:pStyle w:val="atitulo2"/>
      </w:pPr>
      <w:bookmarkStart w:id="38" w:name="_Toc519583201"/>
      <w:r>
        <w:t>IV.1 Iruñerriko Garraioaren Hiria</w:t>
      </w:r>
      <w:bookmarkEnd w:id="38"/>
    </w:p>
    <w:p w:rsidR="008B5CCB" w:rsidRDefault="008B5CCB" w:rsidP="008B5CCB">
      <w:pPr>
        <w:pStyle w:val="texto"/>
        <w:tabs>
          <w:tab w:val="clear" w:pos="2835"/>
          <w:tab w:val="clear" w:pos="3969"/>
          <w:tab w:val="clear" w:pos="5103"/>
          <w:tab w:val="clear" w:pos="6237"/>
          <w:tab w:val="clear" w:pos="7371"/>
        </w:tabs>
        <w:rPr>
          <w:szCs w:val="26"/>
        </w:rPr>
      </w:pPr>
      <w:r>
        <w:rPr>
          <w:b/>
          <w:szCs w:val="26"/>
        </w:rPr>
        <w:t>Lehena.</w:t>
      </w:r>
      <w:r>
        <w:t xml:space="preserve"> Iruñerriko Garraioaren Hiria (aurrerantzean, GH) hasiera batean planteatu zen errepide bidezko salgaien garraioko jarduera guztiak zentraliz</w:t>
      </w:r>
      <w:r>
        <w:t>a</w:t>
      </w:r>
      <w:r>
        <w:t>tzeko, trafikoa eta zamaketa-jarduerak gune mugatu batean bilduz eta hartara, jarduera horrek Iruñerrian sortzen dituen gisa guztietako arazoak gutxituz.</w:t>
      </w:r>
    </w:p>
    <w:p w:rsidR="00850B26" w:rsidRPr="00850B26" w:rsidRDefault="008B5CCB" w:rsidP="005E4EE8">
      <w:pPr>
        <w:pStyle w:val="texto"/>
        <w:tabs>
          <w:tab w:val="clear" w:pos="2835"/>
          <w:tab w:val="clear" w:pos="3969"/>
          <w:tab w:val="clear" w:pos="5103"/>
          <w:tab w:val="clear" w:pos="6237"/>
          <w:tab w:val="clear" w:pos="7371"/>
        </w:tabs>
        <w:rPr>
          <w:szCs w:val="26"/>
        </w:rPr>
      </w:pPr>
      <w:r>
        <w:rPr>
          <w:b/>
          <w:szCs w:val="26"/>
        </w:rPr>
        <w:t>Bigarrena.</w:t>
      </w:r>
      <w:r>
        <w:t xml:space="preserve"> Proiektuaren ernamuina ekimen pribatuaren interesak jarri zuen; zehazkiago, garraioaren sektoreko Nafarroako patronalek. Hala eta guztiz ere, 1993tik Nafarroako Gobernuak hartu zuen proiektuaren exekuzioaren eta fina</w:t>
      </w:r>
      <w:r>
        <w:t>n</w:t>
      </w:r>
      <w:r>
        <w:t xml:space="preserve">tzaketaren lidergoa, bereziki desjabetzeei dagokienez. </w:t>
      </w:r>
    </w:p>
    <w:p w:rsidR="006A1B76" w:rsidRDefault="005E4EE8" w:rsidP="00272E47">
      <w:pPr>
        <w:pStyle w:val="texto"/>
        <w:tabs>
          <w:tab w:val="clear" w:pos="2835"/>
          <w:tab w:val="clear" w:pos="3969"/>
          <w:tab w:val="clear" w:pos="5103"/>
          <w:tab w:val="clear" w:pos="6237"/>
          <w:tab w:val="clear" w:pos="7371"/>
        </w:tabs>
        <w:rPr>
          <w:szCs w:val="26"/>
        </w:rPr>
      </w:pPr>
      <w:r>
        <w:rPr>
          <w:b/>
          <w:szCs w:val="26"/>
        </w:rPr>
        <w:t>Hirugarrena.</w:t>
      </w:r>
      <w:r>
        <w:t xml:space="preserve"> Iruñeko GHaren proiektua ondoz ondoko lau fasetan garatzen joan da; gaur egun, laugarren eta azken fasean gaude. Horrenbestez, oraindik ere guztiz amaitu gabe dago. Proiektuaren hirigintza-garapenerako, Nafarroako Gobernuak udalez gaindiko bi plan sektorial onetsi zituen. </w:t>
      </w:r>
    </w:p>
    <w:p w:rsidR="008B5CCB" w:rsidRPr="002C5DB6" w:rsidRDefault="008B5CCB" w:rsidP="004D22FC">
      <w:pPr>
        <w:pStyle w:val="texto"/>
        <w:tabs>
          <w:tab w:val="clear" w:pos="2835"/>
          <w:tab w:val="clear" w:pos="3969"/>
          <w:tab w:val="clear" w:pos="5103"/>
          <w:tab w:val="clear" w:pos="6237"/>
          <w:tab w:val="clear" w:pos="7371"/>
        </w:tabs>
        <w:spacing w:after="240"/>
        <w:rPr>
          <w:szCs w:val="26"/>
        </w:rPr>
      </w:pPr>
      <w:r>
        <w:t>XX. mendearen laurogeiko hamarkadaren amaieratik sortzen joan zen; hau da, 30 urte baino gehiago eman dira haren egituratze, diseinu eta exekuziorako. Hasiera batean, 1. eta 2. faseak garatu ziren, eta haiek merkatuan izan zuten arrakasta ikusita, zabalkuntza bat diseinatu zen; hain zuzen ere, 3. eta 4. faseak. Garraioaren Hiriaren amaierako zabalera 1,62 milioi m</w:t>
      </w:r>
      <w:r>
        <w:rPr>
          <w:vertAlign w:val="superscript"/>
        </w:rPr>
        <w:t>2</w:t>
      </w:r>
      <w:r>
        <w:t>-koa da; hona hemen xehetasunak:</w:t>
      </w:r>
    </w:p>
    <w:tbl>
      <w:tblPr>
        <w:tblStyle w:val="TableNormal"/>
        <w:tblW w:w="8921"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2821"/>
        <w:gridCol w:w="6100"/>
      </w:tblGrid>
      <w:tr w:rsidR="008B5CCB" w:rsidRPr="00DA5BC7" w:rsidTr="004D22FC">
        <w:trPr>
          <w:trHeight w:val="284"/>
          <w:jc w:val="center"/>
        </w:trPr>
        <w:tc>
          <w:tcPr>
            <w:tcW w:w="2821" w:type="dxa"/>
            <w:tcBorders>
              <w:top w:val="single" w:sz="4" w:space="0" w:color="auto"/>
              <w:bottom w:val="single" w:sz="4" w:space="0" w:color="auto"/>
            </w:tcBorders>
            <w:shd w:val="clear" w:color="auto" w:fill="B8CCE4" w:themeFill="accent1" w:themeFillTint="66"/>
            <w:vAlign w:val="center"/>
          </w:tcPr>
          <w:p w:rsidR="008B5CCB" w:rsidRPr="005B3CA8" w:rsidRDefault="008B5CCB" w:rsidP="00CF0DE8">
            <w:pPr>
              <w:spacing w:after="0"/>
              <w:ind w:left="66" w:firstLine="0"/>
              <w:jc w:val="left"/>
              <w:rPr>
                <w:rFonts w:ascii="Arial" w:hAnsi="Arial" w:cs="Arial"/>
                <w:color w:val="000000"/>
                <w:sz w:val="18"/>
                <w:szCs w:val="18"/>
              </w:rPr>
            </w:pPr>
            <w:r>
              <w:rPr>
                <w:rFonts w:ascii="Arial" w:hAnsi="Arial"/>
                <w:color w:val="000000"/>
                <w:sz w:val="18"/>
                <w:szCs w:val="18"/>
              </w:rPr>
              <w:t>Garraioaren Hiriaren faseak</w:t>
            </w:r>
          </w:p>
        </w:tc>
        <w:tc>
          <w:tcPr>
            <w:tcW w:w="6100" w:type="dxa"/>
            <w:tcBorders>
              <w:top w:val="single" w:sz="4" w:space="0" w:color="auto"/>
              <w:bottom w:val="single" w:sz="4" w:space="0" w:color="auto"/>
            </w:tcBorders>
            <w:shd w:val="clear" w:color="auto" w:fill="B8CCE4" w:themeFill="accent1" w:themeFillTint="66"/>
            <w:vAlign w:val="center"/>
          </w:tcPr>
          <w:p w:rsidR="008B5CCB" w:rsidRPr="00DA5BC7" w:rsidRDefault="008B5CCB" w:rsidP="00CF0DE8">
            <w:pPr>
              <w:spacing w:after="0"/>
              <w:ind w:left="206" w:right="66" w:firstLine="0"/>
              <w:jc w:val="right"/>
              <w:rPr>
                <w:rFonts w:ascii="Arial" w:hAnsi="Arial" w:cs="Arial"/>
                <w:color w:val="000000"/>
                <w:sz w:val="18"/>
                <w:szCs w:val="18"/>
              </w:rPr>
            </w:pPr>
            <w:r>
              <w:rPr>
                <w:rFonts w:ascii="Arial" w:hAnsi="Arial"/>
                <w:color w:val="000000"/>
                <w:sz w:val="18"/>
                <w:szCs w:val="18"/>
              </w:rPr>
              <w:t>Azalera (m</w:t>
            </w:r>
            <w:r>
              <w:rPr>
                <w:rFonts w:ascii="Arial" w:hAnsi="Arial"/>
                <w:color w:val="000000"/>
                <w:sz w:val="18"/>
                <w:szCs w:val="18"/>
                <w:vertAlign w:val="superscript"/>
              </w:rPr>
              <w:t>2</w:t>
            </w:r>
            <w:r>
              <w:rPr>
                <w:rFonts w:ascii="Arial" w:hAnsi="Arial"/>
                <w:color w:val="000000"/>
                <w:sz w:val="18"/>
                <w:szCs w:val="18"/>
              </w:rPr>
              <w:t>)</w:t>
            </w:r>
          </w:p>
        </w:tc>
      </w:tr>
      <w:tr w:rsidR="008B5CCB" w:rsidRPr="008E708D" w:rsidTr="004D22FC">
        <w:trPr>
          <w:trHeight w:val="284"/>
          <w:jc w:val="center"/>
        </w:trPr>
        <w:tc>
          <w:tcPr>
            <w:tcW w:w="2821" w:type="dxa"/>
            <w:tcBorders>
              <w:top w:val="single" w:sz="4" w:space="0" w:color="auto"/>
              <w:bottom w:val="single" w:sz="2" w:space="0" w:color="auto"/>
            </w:tcBorders>
            <w:vAlign w:val="center"/>
          </w:tcPr>
          <w:p w:rsidR="008B5CCB" w:rsidRPr="008E708D" w:rsidRDefault="008B5CCB" w:rsidP="00CF0DE8">
            <w:pPr>
              <w:widowControl/>
              <w:spacing w:after="0"/>
              <w:ind w:left="66" w:firstLine="0"/>
              <w:jc w:val="left"/>
              <w:rPr>
                <w:rFonts w:ascii="Arial Narrow" w:hAnsi="Arial Narrow"/>
                <w:color w:val="000000"/>
                <w:sz w:val="20"/>
                <w:szCs w:val="20"/>
              </w:rPr>
            </w:pPr>
            <w:r>
              <w:rPr>
                <w:rFonts w:ascii="Arial Narrow" w:hAnsi="Arial Narrow"/>
                <w:color w:val="000000"/>
                <w:sz w:val="20"/>
                <w:szCs w:val="20"/>
              </w:rPr>
              <w:t>1. FASEA</w:t>
            </w:r>
          </w:p>
        </w:tc>
        <w:tc>
          <w:tcPr>
            <w:tcW w:w="6100" w:type="dxa"/>
            <w:tcBorders>
              <w:top w:val="single" w:sz="4" w:space="0" w:color="auto"/>
              <w:bottom w:val="single" w:sz="2" w:space="0" w:color="auto"/>
            </w:tcBorders>
            <w:vAlign w:val="center"/>
          </w:tcPr>
          <w:p w:rsidR="008B5CCB" w:rsidRPr="008E708D" w:rsidRDefault="008B5CCB" w:rsidP="00CF0DE8">
            <w:pPr>
              <w:widowControl/>
              <w:spacing w:after="0"/>
              <w:ind w:left="206" w:right="66" w:firstLine="0"/>
              <w:jc w:val="right"/>
              <w:rPr>
                <w:rFonts w:ascii="Arial Narrow" w:hAnsi="Arial Narrow"/>
                <w:color w:val="000000"/>
                <w:sz w:val="20"/>
                <w:szCs w:val="20"/>
              </w:rPr>
            </w:pPr>
            <w:r>
              <w:rPr>
                <w:rFonts w:ascii="Arial Narrow" w:hAnsi="Arial Narrow"/>
                <w:color w:val="000000"/>
                <w:sz w:val="20"/>
                <w:szCs w:val="20"/>
              </w:rPr>
              <w:t>388.655</w:t>
            </w:r>
          </w:p>
        </w:tc>
      </w:tr>
      <w:tr w:rsidR="008B5CCB" w:rsidRPr="008E708D" w:rsidTr="004D22FC">
        <w:trPr>
          <w:trHeight w:val="284"/>
          <w:jc w:val="center"/>
        </w:trPr>
        <w:tc>
          <w:tcPr>
            <w:tcW w:w="2821" w:type="dxa"/>
            <w:vAlign w:val="center"/>
          </w:tcPr>
          <w:p w:rsidR="008B5CCB" w:rsidRPr="008E708D" w:rsidRDefault="008B5CCB" w:rsidP="00CF0DE8">
            <w:pPr>
              <w:widowControl/>
              <w:spacing w:after="0"/>
              <w:ind w:left="66" w:firstLine="0"/>
              <w:jc w:val="left"/>
              <w:rPr>
                <w:rFonts w:ascii="Arial Narrow" w:hAnsi="Arial Narrow"/>
                <w:color w:val="000000"/>
                <w:sz w:val="20"/>
                <w:szCs w:val="20"/>
              </w:rPr>
            </w:pPr>
            <w:r>
              <w:rPr>
                <w:rFonts w:ascii="Arial Narrow" w:hAnsi="Arial Narrow"/>
                <w:color w:val="000000"/>
                <w:sz w:val="20"/>
                <w:szCs w:val="20"/>
              </w:rPr>
              <w:t>2. fasea</w:t>
            </w:r>
          </w:p>
        </w:tc>
        <w:tc>
          <w:tcPr>
            <w:tcW w:w="6100" w:type="dxa"/>
            <w:vAlign w:val="center"/>
          </w:tcPr>
          <w:p w:rsidR="008B5CCB" w:rsidRPr="008E708D" w:rsidRDefault="008B5CCB" w:rsidP="00CF0DE8">
            <w:pPr>
              <w:widowControl/>
              <w:spacing w:after="0"/>
              <w:ind w:left="206" w:right="66" w:firstLine="0"/>
              <w:jc w:val="right"/>
              <w:rPr>
                <w:rFonts w:ascii="Arial Narrow" w:hAnsi="Arial Narrow"/>
                <w:color w:val="000000"/>
                <w:sz w:val="20"/>
                <w:szCs w:val="20"/>
              </w:rPr>
            </w:pPr>
            <w:r>
              <w:rPr>
                <w:rFonts w:ascii="Arial Narrow" w:hAnsi="Arial Narrow"/>
                <w:color w:val="000000"/>
                <w:sz w:val="20"/>
                <w:szCs w:val="20"/>
              </w:rPr>
              <w:t>219.708</w:t>
            </w:r>
          </w:p>
        </w:tc>
      </w:tr>
      <w:tr w:rsidR="008B5CCB" w:rsidRPr="008E708D" w:rsidTr="004D22FC">
        <w:trPr>
          <w:trHeight w:val="284"/>
          <w:jc w:val="center"/>
        </w:trPr>
        <w:tc>
          <w:tcPr>
            <w:tcW w:w="2821" w:type="dxa"/>
            <w:vAlign w:val="center"/>
          </w:tcPr>
          <w:p w:rsidR="008B5CCB" w:rsidRPr="008E708D" w:rsidRDefault="008B5CCB" w:rsidP="00CF0DE8">
            <w:pPr>
              <w:widowControl/>
              <w:spacing w:after="0"/>
              <w:ind w:left="66" w:firstLine="0"/>
              <w:jc w:val="left"/>
              <w:rPr>
                <w:rFonts w:ascii="Arial Narrow" w:hAnsi="Arial Narrow"/>
                <w:color w:val="000000"/>
                <w:sz w:val="20"/>
                <w:szCs w:val="20"/>
              </w:rPr>
            </w:pPr>
            <w:r>
              <w:rPr>
                <w:rFonts w:ascii="Arial Narrow" w:hAnsi="Arial Narrow"/>
                <w:color w:val="000000"/>
                <w:sz w:val="20"/>
                <w:szCs w:val="20"/>
              </w:rPr>
              <w:t>3. fasea</w:t>
            </w:r>
          </w:p>
        </w:tc>
        <w:tc>
          <w:tcPr>
            <w:tcW w:w="6100" w:type="dxa"/>
            <w:vAlign w:val="center"/>
          </w:tcPr>
          <w:p w:rsidR="008B5CCB" w:rsidRPr="008E708D" w:rsidRDefault="008B5CCB" w:rsidP="00CF0DE8">
            <w:pPr>
              <w:widowControl/>
              <w:spacing w:after="0"/>
              <w:ind w:left="206" w:right="66" w:firstLine="0"/>
              <w:jc w:val="right"/>
              <w:rPr>
                <w:rFonts w:ascii="Arial Narrow" w:hAnsi="Arial Narrow"/>
                <w:color w:val="000000"/>
                <w:sz w:val="20"/>
                <w:szCs w:val="20"/>
              </w:rPr>
            </w:pPr>
            <w:r>
              <w:rPr>
                <w:rFonts w:ascii="Arial Narrow" w:hAnsi="Arial Narrow"/>
                <w:color w:val="000000"/>
                <w:sz w:val="20"/>
                <w:szCs w:val="20"/>
              </w:rPr>
              <w:t>632.936</w:t>
            </w:r>
          </w:p>
        </w:tc>
      </w:tr>
      <w:tr w:rsidR="008B5CCB" w:rsidRPr="008E708D" w:rsidTr="004E1C2E">
        <w:trPr>
          <w:trHeight w:val="284"/>
          <w:jc w:val="center"/>
        </w:trPr>
        <w:tc>
          <w:tcPr>
            <w:tcW w:w="2821" w:type="dxa"/>
            <w:tcBorders>
              <w:bottom w:val="single" w:sz="4" w:space="0" w:color="auto"/>
            </w:tcBorders>
            <w:vAlign w:val="center"/>
          </w:tcPr>
          <w:p w:rsidR="008B5CCB" w:rsidRPr="008E708D" w:rsidRDefault="008B5CCB" w:rsidP="00CF0DE8">
            <w:pPr>
              <w:widowControl/>
              <w:spacing w:after="0"/>
              <w:ind w:left="66" w:firstLine="0"/>
              <w:jc w:val="left"/>
              <w:rPr>
                <w:rFonts w:ascii="Arial Narrow" w:hAnsi="Arial Narrow"/>
                <w:color w:val="000000"/>
                <w:sz w:val="20"/>
                <w:szCs w:val="20"/>
              </w:rPr>
            </w:pPr>
            <w:r>
              <w:rPr>
                <w:rFonts w:ascii="Arial Narrow" w:hAnsi="Arial Narrow"/>
                <w:color w:val="000000"/>
                <w:sz w:val="20"/>
                <w:szCs w:val="20"/>
              </w:rPr>
              <w:t>4. fasea</w:t>
            </w:r>
          </w:p>
        </w:tc>
        <w:tc>
          <w:tcPr>
            <w:tcW w:w="6100" w:type="dxa"/>
            <w:tcBorders>
              <w:bottom w:val="single" w:sz="4" w:space="0" w:color="auto"/>
            </w:tcBorders>
            <w:vAlign w:val="center"/>
          </w:tcPr>
          <w:p w:rsidR="008B5CCB" w:rsidRPr="008E708D" w:rsidRDefault="008B5CCB" w:rsidP="00CF0DE8">
            <w:pPr>
              <w:widowControl/>
              <w:spacing w:after="0"/>
              <w:ind w:left="206" w:right="66" w:firstLine="0"/>
              <w:jc w:val="right"/>
              <w:rPr>
                <w:rFonts w:ascii="Arial Narrow" w:hAnsi="Arial Narrow"/>
                <w:color w:val="000000"/>
                <w:sz w:val="20"/>
                <w:szCs w:val="20"/>
              </w:rPr>
            </w:pPr>
            <w:r>
              <w:rPr>
                <w:rFonts w:ascii="Arial Narrow" w:hAnsi="Arial Narrow"/>
                <w:color w:val="000000"/>
                <w:sz w:val="20"/>
                <w:szCs w:val="20"/>
              </w:rPr>
              <w:t>382.738</w:t>
            </w:r>
          </w:p>
        </w:tc>
      </w:tr>
      <w:tr w:rsidR="008B5CCB" w:rsidRPr="005B3CA8" w:rsidTr="004E1C2E">
        <w:trPr>
          <w:trHeight w:val="284"/>
          <w:jc w:val="center"/>
        </w:trPr>
        <w:tc>
          <w:tcPr>
            <w:tcW w:w="2821" w:type="dxa"/>
            <w:tcBorders>
              <w:top w:val="single" w:sz="4" w:space="0" w:color="auto"/>
              <w:bottom w:val="single" w:sz="4" w:space="0" w:color="auto"/>
            </w:tcBorders>
            <w:shd w:val="clear" w:color="auto" w:fill="B8CCE4" w:themeFill="accent1" w:themeFillTint="66"/>
            <w:vAlign w:val="center"/>
          </w:tcPr>
          <w:p w:rsidR="008B5CCB" w:rsidRPr="005B3CA8" w:rsidRDefault="008B5CCB" w:rsidP="00CF0DE8">
            <w:pPr>
              <w:spacing w:after="0"/>
              <w:ind w:left="66" w:firstLine="0"/>
              <w:jc w:val="left"/>
              <w:rPr>
                <w:rFonts w:ascii="Arial" w:hAnsi="Arial" w:cs="Arial"/>
                <w:color w:val="000000"/>
                <w:sz w:val="18"/>
                <w:szCs w:val="18"/>
              </w:rPr>
            </w:pPr>
            <w:r>
              <w:rPr>
                <w:rFonts w:ascii="Arial" w:hAnsi="Arial"/>
                <w:color w:val="000000"/>
                <w:sz w:val="18"/>
                <w:szCs w:val="18"/>
              </w:rPr>
              <w:t>Guztira</w:t>
            </w:r>
          </w:p>
        </w:tc>
        <w:tc>
          <w:tcPr>
            <w:tcW w:w="6100" w:type="dxa"/>
            <w:tcBorders>
              <w:top w:val="single" w:sz="4" w:space="0" w:color="auto"/>
              <w:bottom w:val="single" w:sz="4" w:space="0" w:color="auto"/>
            </w:tcBorders>
            <w:shd w:val="clear" w:color="auto" w:fill="B8CCE4" w:themeFill="accent1" w:themeFillTint="66"/>
            <w:vAlign w:val="center"/>
          </w:tcPr>
          <w:p w:rsidR="008B5CCB" w:rsidRPr="005B3CA8" w:rsidRDefault="008B5CCB" w:rsidP="00CF0DE8">
            <w:pPr>
              <w:spacing w:after="0"/>
              <w:ind w:left="284" w:right="66" w:firstLine="0"/>
              <w:jc w:val="right"/>
              <w:rPr>
                <w:rFonts w:ascii="Arial" w:hAnsi="Arial" w:cs="Arial"/>
                <w:color w:val="000000"/>
                <w:sz w:val="18"/>
                <w:szCs w:val="18"/>
              </w:rPr>
            </w:pPr>
            <w:r>
              <w:rPr>
                <w:rFonts w:ascii="Arial" w:hAnsi="Arial"/>
                <w:color w:val="000000"/>
                <w:sz w:val="18"/>
                <w:szCs w:val="18"/>
              </w:rPr>
              <w:t>1.624.037</w:t>
            </w:r>
          </w:p>
        </w:tc>
      </w:tr>
    </w:tbl>
    <w:p w:rsidR="00263438" w:rsidRDefault="00263438" w:rsidP="004D22FC">
      <w:pPr>
        <w:pStyle w:val="texto"/>
        <w:tabs>
          <w:tab w:val="clear" w:pos="2835"/>
          <w:tab w:val="clear" w:pos="3969"/>
          <w:tab w:val="clear" w:pos="5103"/>
          <w:tab w:val="clear" w:pos="6237"/>
          <w:tab w:val="clear" w:pos="7371"/>
        </w:tabs>
        <w:spacing w:before="240"/>
        <w:rPr>
          <w:szCs w:val="26"/>
        </w:rPr>
      </w:pPr>
      <w:r>
        <w:t>Hau da, zabalkuntzak —3. eta 4. faseak— Garraioaren Hirian lehendik z</w:t>
      </w:r>
      <w:r>
        <w:t>e</w:t>
      </w:r>
      <w:r>
        <w:t>goen zabalkuntzaren ehuneko 167ko igoera bat ekarri zuen.</w:t>
      </w:r>
    </w:p>
    <w:p w:rsidR="002B6F85" w:rsidRDefault="000F1475" w:rsidP="00CF0DE8">
      <w:pPr>
        <w:pStyle w:val="texto"/>
        <w:tabs>
          <w:tab w:val="clear" w:pos="2835"/>
          <w:tab w:val="clear" w:pos="3969"/>
          <w:tab w:val="clear" w:pos="5103"/>
          <w:tab w:val="clear" w:pos="6237"/>
          <w:tab w:val="clear" w:pos="7371"/>
        </w:tabs>
        <w:spacing w:after="120"/>
        <w:rPr>
          <w:szCs w:val="26"/>
        </w:rPr>
      </w:pPr>
      <w:r>
        <w:t>GHaren 1. fasea 1999an inauguratu zen ofizialki; 2. fasea, 2005ean eta 3. f</w:t>
      </w:r>
      <w:r>
        <w:t>a</w:t>
      </w:r>
      <w:r>
        <w:t xml:space="preserve">sea, azkenik, 2012an. </w:t>
      </w:r>
    </w:p>
    <w:p w:rsidR="004D22FC" w:rsidRDefault="004D22FC" w:rsidP="00CF0DE8">
      <w:pPr>
        <w:pStyle w:val="texto"/>
        <w:tabs>
          <w:tab w:val="clear" w:pos="2835"/>
          <w:tab w:val="clear" w:pos="3969"/>
          <w:tab w:val="clear" w:pos="5103"/>
          <w:tab w:val="clear" w:pos="6237"/>
          <w:tab w:val="clear" w:pos="7371"/>
        </w:tabs>
        <w:spacing w:after="120"/>
        <w:rPr>
          <w:szCs w:val="26"/>
        </w:rPr>
      </w:pPr>
    </w:p>
    <w:p w:rsidR="004D22FC" w:rsidRDefault="004D22FC" w:rsidP="00CF0DE8">
      <w:pPr>
        <w:pStyle w:val="texto"/>
        <w:tabs>
          <w:tab w:val="clear" w:pos="2835"/>
          <w:tab w:val="clear" w:pos="3969"/>
          <w:tab w:val="clear" w:pos="5103"/>
          <w:tab w:val="clear" w:pos="6237"/>
          <w:tab w:val="clear" w:pos="7371"/>
        </w:tabs>
        <w:spacing w:after="120"/>
        <w:rPr>
          <w:szCs w:val="26"/>
        </w:rPr>
      </w:pPr>
    </w:p>
    <w:p w:rsidR="009A3467" w:rsidRPr="00F97378" w:rsidRDefault="005E4EE8" w:rsidP="009A3467">
      <w:pPr>
        <w:pStyle w:val="texto"/>
        <w:tabs>
          <w:tab w:val="clear" w:pos="2835"/>
          <w:tab w:val="clear" w:pos="3969"/>
          <w:tab w:val="clear" w:pos="5103"/>
          <w:tab w:val="clear" w:pos="6237"/>
          <w:tab w:val="clear" w:pos="7371"/>
        </w:tabs>
        <w:spacing w:after="120"/>
        <w:rPr>
          <w:color w:val="FF0000"/>
          <w:szCs w:val="26"/>
        </w:rPr>
      </w:pPr>
      <w:r>
        <w:rPr>
          <w:b/>
          <w:szCs w:val="26"/>
        </w:rPr>
        <w:lastRenderedPageBreak/>
        <w:t>Laugarrena.</w:t>
      </w:r>
      <w:r>
        <w:t xml:space="preserve"> Aztertutako dokumentazioan, ez dago inongo azterlanik bete beharreko beharrizanei buruz, ez eta haien bideragarritasun sozio-ekonomikoari buruz —gutxienez ere GHaren 1. eta 2. faseetarako— edo hura fisikoki Ima</w:t>
      </w:r>
      <w:r>
        <w:t>r</w:t>
      </w:r>
      <w:r>
        <w:t>koainen kokatzeko hartutako erabakiari buruz ere. Egon badago Herri Lanen Departamentuko Garraio Zerbitzuko zuzendariaren txosten bat; izan ere, hark, besteak beste, baieztatzen du kokapena guztiz egokia dela, baina trenbide-sarearekiko komunikazioa eragozten duela</w:t>
      </w:r>
      <w:r w:rsidR="00072D23">
        <w:rPr>
          <w:rStyle w:val="Refdenotaalpie"/>
          <w:szCs w:val="26"/>
        </w:rPr>
        <w:footnoteReference w:id="2"/>
      </w:r>
      <w:r>
        <w:t xml:space="preserve">. </w:t>
      </w:r>
    </w:p>
    <w:p w:rsidR="00D83645" w:rsidRDefault="00D83645" w:rsidP="009A3467">
      <w:pPr>
        <w:pStyle w:val="texto"/>
        <w:tabs>
          <w:tab w:val="clear" w:pos="2835"/>
          <w:tab w:val="clear" w:pos="3969"/>
          <w:tab w:val="clear" w:pos="5103"/>
          <w:tab w:val="clear" w:pos="6237"/>
          <w:tab w:val="clear" w:pos="7371"/>
        </w:tabs>
        <w:spacing w:after="120"/>
        <w:rPr>
          <w:szCs w:val="26"/>
        </w:rPr>
      </w:pPr>
      <w:r>
        <w:t>3. fasea dela eta, hari buruzko azterlan zehatzik ez badago ere, baiezta da</w:t>
      </w:r>
      <w:r>
        <w:t>i</w:t>
      </w:r>
      <w:r>
        <w:t>teke fase hori jasota dagoela Nafarroako Gobernuak CTP SA sozietateari azp</w:t>
      </w:r>
      <w:r>
        <w:t>i</w:t>
      </w:r>
      <w:r>
        <w:t>egitura logistikoen sare bat garatzeko estrategia bat zehazteari buruz eta sa</w:t>
      </w:r>
      <w:r>
        <w:t>l</w:t>
      </w:r>
      <w:r>
        <w:t>gaien garraio iraunkorra, intermodalitatea eta trenbidearen integrazioa sust</w:t>
      </w:r>
      <w:r>
        <w:t>a</w:t>
      </w:r>
      <w:r>
        <w:t>tzeko politika eta estrategiak ezartzeari buruz egindako enkarguaren barruan. Halere, azterlan hori 2006an enkargatu zen; hau da, udalez gaindiko plan sekt</w:t>
      </w:r>
      <w:r>
        <w:t>o</w:t>
      </w:r>
      <w:r>
        <w:t>rialaren zabalkuntza —2004koa— onetsi ondoren eta 3. faseko urbanizazio-lanen adjudikazio bera baino geroago.</w:t>
      </w:r>
    </w:p>
    <w:p w:rsidR="00640DBF" w:rsidRPr="006A1B76" w:rsidRDefault="00640DBF" w:rsidP="00640DBF">
      <w:pPr>
        <w:pStyle w:val="texto"/>
        <w:tabs>
          <w:tab w:val="clear" w:pos="2835"/>
          <w:tab w:val="clear" w:pos="3969"/>
          <w:tab w:val="clear" w:pos="5103"/>
          <w:tab w:val="clear" w:pos="6237"/>
          <w:tab w:val="clear" w:pos="7371"/>
        </w:tabs>
        <w:rPr>
          <w:szCs w:val="26"/>
        </w:rPr>
      </w:pPr>
      <w:r>
        <w:t xml:space="preserve">4. faserako, 2009an bideragarritasun-azterlan bat kontratatu zen kanpoan, baina hori ere GHaren zabalkuntzaren udalez gaindiko plan sektoriala onetsi ondokoa da.  </w:t>
      </w:r>
    </w:p>
    <w:p w:rsidR="005E4EE8" w:rsidRDefault="005E4EE8" w:rsidP="005E4EE8">
      <w:pPr>
        <w:pStyle w:val="texto"/>
        <w:tabs>
          <w:tab w:val="clear" w:pos="2835"/>
          <w:tab w:val="clear" w:pos="3969"/>
          <w:tab w:val="clear" w:pos="5103"/>
          <w:tab w:val="clear" w:pos="6237"/>
          <w:tab w:val="clear" w:pos="7371"/>
        </w:tabs>
        <w:rPr>
          <w:szCs w:val="26"/>
        </w:rPr>
      </w:pPr>
      <w:r>
        <w:rPr>
          <w:b/>
          <w:szCs w:val="26"/>
        </w:rPr>
        <w:t>Bosgarrena.</w:t>
      </w:r>
      <w:r>
        <w:t xml:space="preserve"> Azpiegitura horren eraikuntzak eta kudeaketak honako baldi</w:t>
      </w:r>
      <w:r>
        <w:t>n</w:t>
      </w:r>
      <w:r>
        <w:t>tza hauek izan ditu:</w:t>
      </w:r>
    </w:p>
    <w:p w:rsidR="005E4EE8" w:rsidRDefault="005E4EE8"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Definizio-, sorkuntza- eta eraikuntza-prozesu luzea, ia 30 urtekoa. Gaur egun, laugarren fasea behin betiko egitura emateko zain dago.</w:t>
      </w:r>
    </w:p>
    <w:p w:rsidR="005E4EE8" w:rsidRDefault="00F113BC"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Lurren desjabetzearen ordainketak baliabide publikoak direla-eta ekarri duen kostu handia.</w:t>
      </w:r>
    </w:p>
    <w:p w:rsidR="00F113BC" w:rsidRDefault="00F113BC"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GHaren urbanizazio-lanak eta ustiatzea egiteko bi hautapen-prozesuak z</w:t>
      </w:r>
      <w:r>
        <w:t>a</w:t>
      </w:r>
      <w:r>
        <w:t xml:space="preserve">bal publizitatu ziren arren, eskaintzaile bakarra aurkeztu zen bietan, eta berari adjudikatu zitzaizkion. </w:t>
      </w:r>
    </w:p>
    <w:p w:rsidR="005E4EE8" w:rsidRDefault="005E4EE8"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Krisi ekonomikoko egoera, zeinak eragina izan baitu, bereziki, haren me</w:t>
      </w:r>
      <w:r>
        <w:t>r</w:t>
      </w:r>
      <w:r>
        <w:t>katuratzean, hain zuzen ere hura zabaltzeko etapan.</w:t>
      </w:r>
    </w:p>
    <w:p w:rsidR="005E4EE8" w:rsidRDefault="005E4EE8" w:rsidP="005E4EE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GHaren kudeaketaz arduratu den sozietate kudeatzaileak izan dituen eg</w:t>
      </w:r>
      <w:r>
        <w:t>i</w:t>
      </w:r>
      <w:r>
        <w:t xml:space="preserve">tura-aldaketak. Izan ere, hasiera batean soil-soilik kudeaketa horretan jarduten zuen enpresa bat zen; gero, ordea, jarduera hori xede sozial zabalagoak dituzten enpresa-entitate publikoetan diluitzen joan da. </w:t>
      </w:r>
    </w:p>
    <w:p w:rsidR="004D22FC" w:rsidRPr="00850B26" w:rsidRDefault="004D22FC" w:rsidP="004D22FC">
      <w:pPr>
        <w:pStyle w:val="texto"/>
        <w:tabs>
          <w:tab w:val="clear" w:pos="2835"/>
          <w:tab w:val="clear" w:pos="3969"/>
          <w:tab w:val="clear" w:pos="5103"/>
          <w:tab w:val="clear" w:pos="6237"/>
          <w:tab w:val="clear" w:pos="7371"/>
        </w:tabs>
        <w:ind w:left="290" w:firstLine="0"/>
        <w:rPr>
          <w:szCs w:val="26"/>
        </w:rPr>
      </w:pPr>
    </w:p>
    <w:p w:rsidR="008B5CCB" w:rsidRPr="000A17EC" w:rsidRDefault="00272E47" w:rsidP="008B5CCB">
      <w:pPr>
        <w:pStyle w:val="texto"/>
        <w:tabs>
          <w:tab w:val="clear" w:pos="2835"/>
          <w:tab w:val="clear" w:pos="3969"/>
          <w:tab w:val="clear" w:pos="5103"/>
          <w:tab w:val="clear" w:pos="6237"/>
          <w:tab w:val="clear" w:pos="7371"/>
        </w:tabs>
        <w:rPr>
          <w:spacing w:val="4"/>
          <w:szCs w:val="26"/>
        </w:rPr>
      </w:pPr>
      <w:r>
        <w:rPr>
          <w:b/>
          <w:szCs w:val="26"/>
        </w:rPr>
        <w:t xml:space="preserve">Seigarrena. </w:t>
      </w:r>
      <w:r>
        <w:t>Hasiera batean, GHrako planteatu zen diseinua errepide bidezko garraioan zentratzen da; geroko faseetan, ordea, trenbidearekiko konexioa a</w:t>
      </w:r>
      <w:r>
        <w:t>u</w:t>
      </w:r>
      <w:r>
        <w:lastRenderedPageBreak/>
        <w:t>rreikusten da. Hala eta guztiz ere, aipatutako 4. faserako bideragarritasun-azterlanaren ondorioz, baztertzen da, gutxienez ere epe ertainean, trenbide-sarearekiko zuzeneko konexioa edukitzea.</w:t>
      </w:r>
    </w:p>
    <w:p w:rsidR="008B5CCB" w:rsidRPr="000A17EC" w:rsidRDefault="00272E47" w:rsidP="008B5CCB">
      <w:pPr>
        <w:pStyle w:val="texto"/>
        <w:tabs>
          <w:tab w:val="clear" w:pos="2835"/>
          <w:tab w:val="clear" w:pos="3969"/>
          <w:tab w:val="clear" w:pos="5103"/>
          <w:tab w:val="clear" w:pos="6237"/>
          <w:tab w:val="clear" w:pos="7371"/>
        </w:tabs>
        <w:rPr>
          <w:szCs w:val="26"/>
        </w:rPr>
      </w:pPr>
      <w:r>
        <w:rPr>
          <w:b/>
          <w:szCs w:val="26"/>
        </w:rPr>
        <w:t>Zazpigarrena.</w:t>
      </w:r>
      <w:r>
        <w:t xml:space="preserve"> GHan ezarri den kudeaketa-eredua sozietate kudeatzaile b</w:t>
      </w:r>
      <w:r>
        <w:t>a</w:t>
      </w:r>
      <w:r>
        <w:t>tean oinarrituta dago —hasiera batean pribatua izan zen baina 1995etik aurrera publikoa da— zeinak ustiaketa pribatuko zerbitzu publiko bat emanen baitu emakidadun edo adjudikazio-hartzaile beraren bitartez —1. fasetik 3. fasera— edo zuzenean —4. fasean—. Adjudikazio-hartzaile horrek GHaren urbanizaz</w:t>
      </w:r>
      <w:r>
        <w:t>i</w:t>
      </w:r>
      <w:r>
        <w:t>oko eta nabeak eta eraikinak egiteko lanak hartzen ditu bere gain; halaber, ud</w:t>
      </w:r>
      <w:r>
        <w:t>a</w:t>
      </w:r>
      <w:r>
        <w:t>lez gaindiko plan sektorialetako azterlanak, txostena, obra-proiektuak eta ald</w:t>
      </w:r>
      <w:r>
        <w:t>a</w:t>
      </w:r>
      <w:r>
        <w:t xml:space="preserve">keten erredakzioa finantzatzen ditu.   </w:t>
      </w:r>
    </w:p>
    <w:p w:rsidR="008B5CCB" w:rsidRPr="00CC5EB1" w:rsidRDefault="00272E47" w:rsidP="008B5CCB">
      <w:pPr>
        <w:pStyle w:val="texto"/>
        <w:tabs>
          <w:tab w:val="clear" w:pos="2835"/>
          <w:tab w:val="clear" w:pos="3969"/>
          <w:tab w:val="clear" w:pos="5103"/>
          <w:tab w:val="clear" w:pos="6237"/>
          <w:tab w:val="clear" w:pos="7371"/>
        </w:tabs>
        <w:rPr>
          <w:szCs w:val="26"/>
        </w:rPr>
      </w:pPr>
      <w:r>
        <w:rPr>
          <w:b/>
          <w:szCs w:val="26"/>
        </w:rPr>
        <w:t>Zortzigarrena.</w:t>
      </w:r>
      <w:r>
        <w:t xml:space="preserve"> Nafarroako Gobernuak bere gain hartu zuen Garraioaren H</w:t>
      </w:r>
      <w:r>
        <w:t>i</w:t>
      </w:r>
      <w:r>
        <w:t>ria kokatu deneko lursailen desjabetzeen finantzaketa; horren amaierako kostua 91,89 milioi eurokoa izan da guztira.</w:t>
      </w:r>
    </w:p>
    <w:p w:rsidR="008B5CCB" w:rsidRDefault="00272E47" w:rsidP="004D22FC">
      <w:pPr>
        <w:pStyle w:val="texto"/>
        <w:tabs>
          <w:tab w:val="clear" w:pos="2835"/>
          <w:tab w:val="clear" w:pos="3969"/>
          <w:tab w:val="clear" w:pos="5103"/>
          <w:tab w:val="clear" w:pos="6237"/>
          <w:tab w:val="clear" w:pos="7371"/>
        </w:tabs>
        <w:spacing w:after="240"/>
        <w:rPr>
          <w:szCs w:val="26"/>
        </w:rPr>
      </w:pPr>
      <w:r>
        <w:rPr>
          <w:b/>
        </w:rPr>
        <w:t>Bederatzigarrena.</w:t>
      </w:r>
      <w:r>
        <w:t xml:space="preserve"> Aurreko desjabetzeez gainera, Nafarroako Gobernuak azpiegitura-multzo bat zuzenean egin eta finantzatu du, GHaren eremu fisikoaz kanpo. Izan ere, azpiegitura horiek beharrezkotzat jo dira hari behar dituen ze</w:t>
      </w:r>
      <w:r>
        <w:t>r</w:t>
      </w:r>
      <w:r>
        <w:t>bitzu publikoak emateko; halaber, GHaren beraren barruan aduanetarako era</w:t>
      </w:r>
      <w:r>
        <w:t>i</w:t>
      </w:r>
      <w:r>
        <w:t>kin baten eraikitzea jaso da. Inbertsio horiek 11,11 milioi euroko gastua ekarri dute guztira; hona hemen xehetasunak:</w:t>
      </w:r>
    </w:p>
    <w:tbl>
      <w:tblPr>
        <w:tblStyle w:val="TableNormal"/>
        <w:tblW w:w="0" w:type="auto"/>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7350"/>
        <w:gridCol w:w="1356"/>
      </w:tblGrid>
      <w:tr w:rsidR="008B5CCB" w:rsidRPr="005B3CA8" w:rsidTr="004D22FC">
        <w:trPr>
          <w:trHeight w:val="284"/>
          <w:jc w:val="center"/>
        </w:trPr>
        <w:tc>
          <w:tcPr>
            <w:tcW w:w="7350" w:type="dxa"/>
            <w:tcBorders>
              <w:top w:val="single" w:sz="4" w:space="0" w:color="auto"/>
              <w:bottom w:val="single" w:sz="4" w:space="0" w:color="auto"/>
            </w:tcBorders>
            <w:shd w:val="clear" w:color="auto" w:fill="B8CCE4" w:themeFill="accent1" w:themeFillTint="66"/>
            <w:vAlign w:val="center"/>
          </w:tcPr>
          <w:p w:rsidR="008B5CCB" w:rsidRPr="00130900" w:rsidRDefault="008B5CCB" w:rsidP="00CF0DE8">
            <w:pPr>
              <w:spacing w:after="0"/>
              <w:ind w:left="101" w:firstLine="0"/>
              <w:jc w:val="left"/>
              <w:rPr>
                <w:rFonts w:ascii="Arial" w:hAnsi="Arial" w:cs="Arial"/>
                <w:sz w:val="18"/>
                <w:szCs w:val="18"/>
              </w:rPr>
            </w:pPr>
            <w:r>
              <w:rPr>
                <w:rFonts w:ascii="Arial" w:hAnsi="Arial"/>
                <w:sz w:val="18"/>
                <w:szCs w:val="18"/>
              </w:rPr>
              <w:t>GHaren kanpoko azpiegiturak, Nafarroako Gobernuak finantzatuak</w:t>
            </w:r>
          </w:p>
        </w:tc>
        <w:tc>
          <w:tcPr>
            <w:tcW w:w="1356" w:type="dxa"/>
            <w:tcBorders>
              <w:top w:val="single" w:sz="4" w:space="0" w:color="auto"/>
              <w:bottom w:val="single" w:sz="4" w:space="0" w:color="auto"/>
            </w:tcBorders>
            <w:shd w:val="clear" w:color="auto" w:fill="B8CCE4" w:themeFill="accent1" w:themeFillTint="66"/>
            <w:vAlign w:val="center"/>
          </w:tcPr>
          <w:p w:rsidR="008B5CCB" w:rsidRPr="00130900" w:rsidRDefault="008B5CCB" w:rsidP="00730FD9">
            <w:pPr>
              <w:spacing w:after="0"/>
              <w:ind w:left="284" w:right="111" w:hanging="284"/>
              <w:jc w:val="right"/>
              <w:rPr>
                <w:rFonts w:ascii="Arial" w:hAnsi="Arial" w:cs="Arial"/>
                <w:sz w:val="18"/>
                <w:szCs w:val="18"/>
              </w:rPr>
            </w:pPr>
            <w:r>
              <w:rPr>
                <w:rFonts w:ascii="Arial" w:hAnsi="Arial"/>
                <w:sz w:val="18"/>
                <w:szCs w:val="18"/>
              </w:rPr>
              <w:t>Zenbatekoa</w:t>
            </w:r>
          </w:p>
        </w:tc>
      </w:tr>
      <w:tr w:rsidR="008B5CCB" w:rsidRPr="00323A4D" w:rsidTr="004D22FC">
        <w:trPr>
          <w:trHeight w:val="284"/>
          <w:jc w:val="center"/>
        </w:trPr>
        <w:tc>
          <w:tcPr>
            <w:tcW w:w="7350" w:type="dxa"/>
            <w:tcBorders>
              <w:top w:val="single" w:sz="4" w:space="0" w:color="auto"/>
              <w:bottom w:val="single" w:sz="2" w:space="0" w:color="auto"/>
            </w:tcBorders>
            <w:vAlign w:val="center"/>
          </w:tcPr>
          <w:p w:rsidR="008B5CCB" w:rsidRPr="00323A4D" w:rsidRDefault="008B5CCB" w:rsidP="00CF0DE8">
            <w:pPr>
              <w:widowControl/>
              <w:spacing w:after="0"/>
              <w:ind w:left="101" w:firstLine="0"/>
              <w:jc w:val="left"/>
              <w:rPr>
                <w:rFonts w:ascii="Arial Narrow" w:hAnsi="Arial Narrow"/>
                <w:sz w:val="20"/>
                <w:szCs w:val="20"/>
              </w:rPr>
            </w:pPr>
            <w:r>
              <w:rPr>
                <w:rFonts w:ascii="Arial Narrow" w:hAnsi="Arial Narrow"/>
                <w:sz w:val="20"/>
                <w:szCs w:val="20"/>
              </w:rPr>
              <w:t>AP-15eko komunikazio-korapiloa</w:t>
            </w:r>
          </w:p>
        </w:tc>
        <w:tc>
          <w:tcPr>
            <w:tcW w:w="1356" w:type="dxa"/>
            <w:tcBorders>
              <w:top w:val="single" w:sz="4" w:space="0" w:color="auto"/>
              <w:bottom w:val="single" w:sz="2" w:space="0" w:color="auto"/>
            </w:tcBorders>
            <w:vAlign w:val="center"/>
          </w:tcPr>
          <w:p w:rsidR="008B5CCB" w:rsidRPr="00323A4D" w:rsidRDefault="008B5CCB" w:rsidP="00730FD9">
            <w:pPr>
              <w:spacing w:after="0"/>
              <w:ind w:left="206" w:right="115" w:firstLine="0"/>
              <w:jc w:val="right"/>
              <w:rPr>
                <w:rFonts w:ascii="Arial Narrow" w:hAnsi="Arial Narrow"/>
                <w:sz w:val="20"/>
                <w:szCs w:val="20"/>
              </w:rPr>
            </w:pPr>
            <w:r>
              <w:rPr>
                <w:rFonts w:ascii="Arial Narrow" w:hAnsi="Arial Narrow"/>
                <w:sz w:val="20"/>
                <w:szCs w:val="20"/>
              </w:rPr>
              <w:t>2.335.663</w:t>
            </w:r>
          </w:p>
        </w:tc>
      </w:tr>
      <w:tr w:rsidR="008B5CCB" w:rsidRPr="00130900" w:rsidTr="004D22FC">
        <w:trPr>
          <w:trHeight w:val="284"/>
          <w:jc w:val="center"/>
        </w:trPr>
        <w:tc>
          <w:tcPr>
            <w:tcW w:w="7350" w:type="dxa"/>
            <w:tcBorders>
              <w:top w:val="single" w:sz="2" w:space="0" w:color="auto"/>
            </w:tcBorders>
            <w:vAlign w:val="center"/>
          </w:tcPr>
          <w:p w:rsidR="008B5CCB" w:rsidRPr="00295C78" w:rsidRDefault="008B5CCB" w:rsidP="00CF0DE8">
            <w:pPr>
              <w:spacing w:after="0"/>
              <w:ind w:left="101" w:right="115" w:firstLine="0"/>
              <w:rPr>
                <w:rFonts w:ascii="Arial Narrow" w:hAnsi="Arial Narrow"/>
                <w:sz w:val="20"/>
                <w:szCs w:val="20"/>
              </w:rPr>
            </w:pPr>
            <w:r>
              <w:rPr>
                <w:rFonts w:ascii="Arial Narrow" w:hAnsi="Arial Narrow"/>
                <w:sz w:val="20"/>
                <w:szCs w:val="20"/>
              </w:rPr>
              <w:t>Errepideko adarra, salgaien geltokiarekin konektatzekoa</w:t>
            </w:r>
          </w:p>
        </w:tc>
        <w:tc>
          <w:tcPr>
            <w:tcW w:w="1356" w:type="dxa"/>
            <w:tcBorders>
              <w:top w:val="single" w:sz="2" w:space="0" w:color="auto"/>
            </w:tcBorders>
            <w:vAlign w:val="center"/>
          </w:tcPr>
          <w:p w:rsidR="008B5CCB" w:rsidRPr="00295C78" w:rsidRDefault="008B5CCB" w:rsidP="00730FD9">
            <w:pPr>
              <w:spacing w:after="0"/>
              <w:ind w:left="206" w:right="115" w:firstLine="0"/>
              <w:jc w:val="right"/>
              <w:rPr>
                <w:rFonts w:ascii="Arial Narrow" w:hAnsi="Arial Narrow"/>
                <w:sz w:val="20"/>
                <w:szCs w:val="20"/>
              </w:rPr>
            </w:pPr>
            <w:r>
              <w:rPr>
                <w:rFonts w:ascii="Arial Narrow" w:hAnsi="Arial Narrow"/>
                <w:sz w:val="20"/>
                <w:szCs w:val="20"/>
              </w:rPr>
              <w:t>5.602.166</w:t>
            </w:r>
          </w:p>
        </w:tc>
      </w:tr>
      <w:tr w:rsidR="008B5CCB" w:rsidRPr="007F08A5" w:rsidTr="004D22FC">
        <w:trPr>
          <w:trHeight w:val="284"/>
          <w:jc w:val="center"/>
        </w:trPr>
        <w:tc>
          <w:tcPr>
            <w:tcW w:w="7350" w:type="dxa"/>
            <w:tcBorders>
              <w:top w:val="single" w:sz="2" w:space="0" w:color="auto"/>
            </w:tcBorders>
            <w:vAlign w:val="center"/>
          </w:tcPr>
          <w:p w:rsidR="008B5CCB" w:rsidRPr="00130900" w:rsidRDefault="008B5CCB" w:rsidP="00CF0DE8">
            <w:pPr>
              <w:widowControl/>
              <w:spacing w:after="0"/>
              <w:ind w:left="101" w:firstLine="0"/>
              <w:jc w:val="left"/>
              <w:rPr>
                <w:rFonts w:ascii="Arial Narrow" w:hAnsi="Arial Narrow"/>
                <w:sz w:val="20"/>
                <w:szCs w:val="20"/>
              </w:rPr>
            </w:pPr>
            <w:r>
              <w:rPr>
                <w:rFonts w:ascii="Arial Narrow" w:hAnsi="Arial Narrow"/>
                <w:sz w:val="20"/>
                <w:szCs w:val="20"/>
              </w:rPr>
              <w:t>Hornidura eta saneamendua</w:t>
            </w:r>
          </w:p>
        </w:tc>
        <w:tc>
          <w:tcPr>
            <w:tcW w:w="1356" w:type="dxa"/>
            <w:tcBorders>
              <w:top w:val="single" w:sz="2" w:space="0" w:color="auto"/>
            </w:tcBorders>
            <w:vAlign w:val="center"/>
          </w:tcPr>
          <w:p w:rsidR="008B5CCB" w:rsidRPr="00130900" w:rsidRDefault="008B5CCB" w:rsidP="00730FD9">
            <w:pPr>
              <w:spacing w:after="0"/>
              <w:ind w:left="206" w:right="115" w:firstLine="0"/>
              <w:jc w:val="right"/>
              <w:rPr>
                <w:rFonts w:ascii="Arial Narrow" w:hAnsi="Arial Narrow"/>
                <w:sz w:val="20"/>
                <w:szCs w:val="20"/>
              </w:rPr>
            </w:pPr>
            <w:r>
              <w:rPr>
                <w:rFonts w:ascii="Arial Narrow" w:hAnsi="Arial Narrow"/>
                <w:sz w:val="20"/>
                <w:szCs w:val="20"/>
              </w:rPr>
              <w:t>1.549.619</w:t>
            </w:r>
          </w:p>
        </w:tc>
      </w:tr>
      <w:tr w:rsidR="008B5CCB" w:rsidRPr="007F08A5" w:rsidTr="004D22FC">
        <w:trPr>
          <w:trHeight w:val="284"/>
          <w:jc w:val="center"/>
        </w:trPr>
        <w:tc>
          <w:tcPr>
            <w:tcW w:w="7350" w:type="dxa"/>
            <w:tcBorders>
              <w:top w:val="single" w:sz="2" w:space="0" w:color="auto"/>
            </w:tcBorders>
            <w:vAlign w:val="center"/>
          </w:tcPr>
          <w:p w:rsidR="008B5CCB" w:rsidRPr="00130900" w:rsidRDefault="008B5CCB" w:rsidP="00CF0DE8">
            <w:pPr>
              <w:widowControl/>
              <w:spacing w:after="0"/>
              <w:ind w:left="101" w:firstLine="0"/>
              <w:jc w:val="left"/>
              <w:rPr>
                <w:rFonts w:ascii="Arial Narrow" w:hAnsi="Arial Narrow"/>
                <w:sz w:val="20"/>
                <w:szCs w:val="20"/>
              </w:rPr>
            </w:pPr>
            <w:r>
              <w:rPr>
                <w:rFonts w:ascii="Arial Narrow" w:hAnsi="Arial Narrow"/>
                <w:sz w:val="20"/>
                <w:szCs w:val="20"/>
              </w:rPr>
              <w:t>Elektrizitatea</w:t>
            </w:r>
          </w:p>
        </w:tc>
        <w:tc>
          <w:tcPr>
            <w:tcW w:w="1356" w:type="dxa"/>
            <w:tcBorders>
              <w:top w:val="single" w:sz="2" w:space="0" w:color="auto"/>
            </w:tcBorders>
            <w:vAlign w:val="center"/>
          </w:tcPr>
          <w:p w:rsidR="008B5CCB" w:rsidRPr="00130900" w:rsidRDefault="008B5CCB" w:rsidP="00730FD9">
            <w:pPr>
              <w:spacing w:after="0"/>
              <w:ind w:left="206" w:right="115" w:firstLine="0"/>
              <w:jc w:val="right"/>
              <w:rPr>
                <w:rFonts w:ascii="Arial Narrow" w:hAnsi="Arial Narrow"/>
                <w:sz w:val="20"/>
                <w:szCs w:val="20"/>
              </w:rPr>
            </w:pPr>
            <w:r>
              <w:rPr>
                <w:rFonts w:ascii="Arial Narrow" w:hAnsi="Arial Narrow"/>
                <w:sz w:val="20"/>
                <w:szCs w:val="20"/>
              </w:rPr>
              <w:t>46.851</w:t>
            </w:r>
          </w:p>
        </w:tc>
      </w:tr>
      <w:tr w:rsidR="008B5CCB" w:rsidRPr="007F08A5" w:rsidTr="004D22FC">
        <w:trPr>
          <w:trHeight w:val="284"/>
          <w:jc w:val="center"/>
        </w:trPr>
        <w:tc>
          <w:tcPr>
            <w:tcW w:w="7350" w:type="dxa"/>
            <w:tcBorders>
              <w:top w:val="single" w:sz="2" w:space="0" w:color="auto"/>
            </w:tcBorders>
            <w:vAlign w:val="center"/>
          </w:tcPr>
          <w:p w:rsidR="008B5CCB" w:rsidRPr="00130900" w:rsidRDefault="008B5CCB" w:rsidP="00CF0DE8">
            <w:pPr>
              <w:widowControl/>
              <w:spacing w:after="0"/>
              <w:ind w:left="101" w:firstLine="0"/>
              <w:jc w:val="left"/>
              <w:rPr>
                <w:rFonts w:ascii="Arial Narrow" w:hAnsi="Arial Narrow"/>
                <w:sz w:val="20"/>
                <w:szCs w:val="20"/>
              </w:rPr>
            </w:pPr>
            <w:r>
              <w:rPr>
                <w:rFonts w:ascii="Arial Narrow" w:hAnsi="Arial Narrow"/>
                <w:sz w:val="20"/>
                <w:szCs w:val="20"/>
              </w:rPr>
              <w:t>Kalamutz erreka</w:t>
            </w:r>
          </w:p>
        </w:tc>
        <w:tc>
          <w:tcPr>
            <w:tcW w:w="1356" w:type="dxa"/>
            <w:tcBorders>
              <w:top w:val="single" w:sz="2" w:space="0" w:color="auto"/>
            </w:tcBorders>
            <w:vAlign w:val="center"/>
          </w:tcPr>
          <w:p w:rsidR="008B5CCB" w:rsidRPr="00130900" w:rsidRDefault="008B5CCB" w:rsidP="00730FD9">
            <w:pPr>
              <w:spacing w:after="0"/>
              <w:ind w:left="206" w:right="115" w:firstLine="0"/>
              <w:jc w:val="right"/>
              <w:rPr>
                <w:rFonts w:ascii="Arial Narrow" w:hAnsi="Arial Narrow"/>
                <w:sz w:val="20"/>
                <w:szCs w:val="20"/>
              </w:rPr>
            </w:pPr>
            <w:r>
              <w:rPr>
                <w:rFonts w:ascii="Arial Narrow" w:hAnsi="Arial Narrow"/>
                <w:sz w:val="20"/>
                <w:szCs w:val="20"/>
              </w:rPr>
              <w:t>220.404</w:t>
            </w:r>
          </w:p>
        </w:tc>
      </w:tr>
      <w:tr w:rsidR="00295C78" w:rsidRPr="00CC5EB1" w:rsidTr="004E1C2E">
        <w:trPr>
          <w:trHeight w:val="284"/>
          <w:jc w:val="center"/>
        </w:trPr>
        <w:tc>
          <w:tcPr>
            <w:tcW w:w="7350" w:type="dxa"/>
            <w:tcBorders>
              <w:top w:val="single" w:sz="4" w:space="0" w:color="auto"/>
              <w:bottom w:val="single" w:sz="4" w:space="0" w:color="auto"/>
            </w:tcBorders>
            <w:vAlign w:val="center"/>
          </w:tcPr>
          <w:p w:rsidR="00295C78" w:rsidRPr="00CC5EB1" w:rsidRDefault="00295C78" w:rsidP="00CF0DE8">
            <w:pPr>
              <w:widowControl/>
              <w:spacing w:after="0"/>
              <w:ind w:left="101" w:firstLine="0"/>
              <w:jc w:val="left"/>
              <w:rPr>
                <w:rFonts w:ascii="Arial Narrow" w:hAnsi="Arial Narrow"/>
                <w:sz w:val="20"/>
                <w:szCs w:val="20"/>
              </w:rPr>
            </w:pPr>
            <w:r>
              <w:rPr>
                <w:rFonts w:ascii="Arial Narrow" w:hAnsi="Arial Narrow"/>
                <w:sz w:val="20"/>
                <w:szCs w:val="20"/>
              </w:rPr>
              <w:t>Aduanarako eraikina (GHaren beraren barruan)</w:t>
            </w:r>
          </w:p>
        </w:tc>
        <w:tc>
          <w:tcPr>
            <w:tcW w:w="1356" w:type="dxa"/>
            <w:tcBorders>
              <w:top w:val="single" w:sz="4" w:space="0" w:color="auto"/>
              <w:bottom w:val="single" w:sz="4" w:space="0" w:color="auto"/>
            </w:tcBorders>
            <w:vAlign w:val="center"/>
          </w:tcPr>
          <w:p w:rsidR="00295C78" w:rsidRPr="00CC5EB1" w:rsidRDefault="00CE5F60" w:rsidP="00CC5EB1">
            <w:pPr>
              <w:spacing w:after="0"/>
              <w:ind w:left="206" w:right="115" w:firstLine="0"/>
              <w:jc w:val="right"/>
              <w:rPr>
                <w:rFonts w:ascii="Arial Narrow" w:hAnsi="Arial Narrow"/>
                <w:sz w:val="20"/>
                <w:szCs w:val="20"/>
              </w:rPr>
            </w:pPr>
            <w:r>
              <w:rPr>
                <w:rFonts w:ascii="Arial Narrow" w:hAnsi="Arial Narrow"/>
                <w:sz w:val="20"/>
                <w:szCs w:val="20"/>
              </w:rPr>
              <w:t>1.360.273</w:t>
            </w:r>
          </w:p>
        </w:tc>
      </w:tr>
      <w:tr w:rsidR="008B5CCB" w:rsidRPr="005B3CA8" w:rsidTr="004E1C2E">
        <w:trPr>
          <w:trHeight w:val="284"/>
          <w:jc w:val="center"/>
        </w:trPr>
        <w:tc>
          <w:tcPr>
            <w:tcW w:w="7350" w:type="dxa"/>
            <w:tcBorders>
              <w:top w:val="single" w:sz="4" w:space="0" w:color="auto"/>
              <w:bottom w:val="single" w:sz="4" w:space="0" w:color="auto"/>
            </w:tcBorders>
            <w:shd w:val="clear" w:color="auto" w:fill="B8CCE4" w:themeFill="accent1" w:themeFillTint="66"/>
            <w:vAlign w:val="center"/>
          </w:tcPr>
          <w:p w:rsidR="008B5CCB" w:rsidRPr="00130900" w:rsidRDefault="008B5CCB" w:rsidP="00CF0DE8">
            <w:pPr>
              <w:spacing w:after="0"/>
              <w:ind w:left="101" w:firstLine="0"/>
              <w:jc w:val="left"/>
              <w:rPr>
                <w:rFonts w:ascii="Arial" w:hAnsi="Arial" w:cs="Arial"/>
                <w:sz w:val="18"/>
                <w:szCs w:val="18"/>
              </w:rPr>
            </w:pPr>
            <w:r>
              <w:rPr>
                <w:rFonts w:ascii="Arial" w:hAnsi="Arial"/>
                <w:sz w:val="18"/>
                <w:szCs w:val="18"/>
              </w:rPr>
              <w:t>Guztira</w:t>
            </w:r>
          </w:p>
        </w:tc>
        <w:tc>
          <w:tcPr>
            <w:tcW w:w="1356" w:type="dxa"/>
            <w:tcBorders>
              <w:top w:val="single" w:sz="4" w:space="0" w:color="auto"/>
              <w:bottom w:val="single" w:sz="4" w:space="0" w:color="auto"/>
            </w:tcBorders>
            <w:shd w:val="clear" w:color="auto" w:fill="B8CCE4" w:themeFill="accent1" w:themeFillTint="66"/>
            <w:vAlign w:val="center"/>
          </w:tcPr>
          <w:p w:rsidR="008B5CCB" w:rsidRPr="00130900" w:rsidRDefault="00CC5EB1" w:rsidP="00730FD9">
            <w:pPr>
              <w:spacing w:after="0"/>
              <w:ind w:left="284" w:right="115" w:firstLine="0"/>
              <w:jc w:val="right"/>
              <w:rPr>
                <w:rFonts w:ascii="Arial" w:hAnsi="Arial" w:cs="Arial"/>
                <w:sz w:val="18"/>
                <w:szCs w:val="18"/>
              </w:rPr>
            </w:pPr>
            <w:r>
              <w:rPr>
                <w:rFonts w:ascii="Arial" w:hAnsi="Arial"/>
                <w:sz w:val="18"/>
                <w:szCs w:val="18"/>
              </w:rPr>
              <w:t>11.114.976</w:t>
            </w:r>
          </w:p>
        </w:tc>
      </w:tr>
    </w:tbl>
    <w:p w:rsidR="004D22FC" w:rsidRDefault="004D22FC" w:rsidP="00CF0DE8">
      <w:pPr>
        <w:pStyle w:val="texto"/>
        <w:tabs>
          <w:tab w:val="clear" w:pos="2835"/>
          <w:tab w:val="clear" w:pos="3969"/>
          <w:tab w:val="clear" w:pos="5103"/>
          <w:tab w:val="clear" w:pos="6237"/>
          <w:tab w:val="clear" w:pos="7371"/>
        </w:tabs>
        <w:spacing w:after="240"/>
      </w:pPr>
    </w:p>
    <w:p w:rsidR="004D22FC" w:rsidRDefault="004D22FC">
      <w:pPr>
        <w:spacing w:after="0"/>
        <w:ind w:firstLine="0"/>
        <w:jc w:val="left"/>
        <w:rPr>
          <w:spacing w:val="6"/>
          <w:sz w:val="26"/>
          <w:szCs w:val="24"/>
        </w:rPr>
      </w:pPr>
      <w:r>
        <w:br w:type="page"/>
      </w:r>
    </w:p>
    <w:p w:rsidR="008B5CCB" w:rsidRDefault="008B5CCB" w:rsidP="008B5CCB">
      <w:pPr>
        <w:pStyle w:val="atitulo2"/>
      </w:pPr>
      <w:bookmarkStart w:id="39" w:name="_Toc519583202"/>
      <w:r>
        <w:lastRenderedPageBreak/>
        <w:t>IV.2. Garraioaren Hiriaren gaineko udalez gaindiko plan sektorialak</w:t>
      </w:r>
      <w:bookmarkEnd w:id="39"/>
    </w:p>
    <w:p w:rsidR="008B5CCB" w:rsidRDefault="007138DF" w:rsidP="008B5CCB">
      <w:pPr>
        <w:pStyle w:val="texto"/>
        <w:tabs>
          <w:tab w:val="clear" w:pos="2835"/>
          <w:tab w:val="clear" w:pos="3969"/>
          <w:tab w:val="clear" w:pos="5103"/>
          <w:tab w:val="clear" w:pos="6237"/>
          <w:tab w:val="clear" w:pos="7371"/>
        </w:tabs>
        <w:rPr>
          <w:szCs w:val="26"/>
        </w:rPr>
      </w:pPr>
      <w:r>
        <w:rPr>
          <w:b/>
          <w:szCs w:val="26"/>
        </w:rPr>
        <w:t xml:space="preserve">Hamargarrena. </w:t>
      </w:r>
      <w:r>
        <w:t>GHaren garapenean aplikatzen den hirigintza-tresna udalez gaindiko plan sektorialarena da, eta hura erabiltzea proiektuaren onura publ</w:t>
      </w:r>
      <w:r>
        <w:t>i</w:t>
      </w:r>
      <w:r>
        <w:t>koarekin, interes sozialarekin eta udalez gaindiko izaerarekin justifikatzen da.</w:t>
      </w:r>
    </w:p>
    <w:p w:rsidR="008B5CCB" w:rsidRPr="00CF0DE8" w:rsidRDefault="008B5CCB" w:rsidP="00CF0DE8">
      <w:pPr>
        <w:pStyle w:val="texto"/>
        <w:tabs>
          <w:tab w:val="clear" w:pos="2835"/>
          <w:tab w:val="clear" w:pos="3969"/>
          <w:tab w:val="clear" w:pos="5103"/>
          <w:tab w:val="clear" w:pos="6237"/>
          <w:tab w:val="clear" w:pos="7371"/>
        </w:tabs>
        <w:spacing w:after="240"/>
        <w:rPr>
          <w:spacing w:val="4"/>
          <w:szCs w:val="26"/>
        </w:rPr>
      </w:pPr>
      <w:r>
        <w:rPr>
          <w:b/>
          <w:szCs w:val="26"/>
        </w:rPr>
        <w:t>Hamaikagarrena.</w:t>
      </w:r>
      <w:r>
        <w:t xml:space="preserve"> Garraioaren Hiria guztiz egituratzeko, udalez gaindiko bi plan sektorial garatu ziren; haien ezaugarri nagusiak honako taula honetan l</w:t>
      </w:r>
      <w:r>
        <w:t>a</w:t>
      </w:r>
      <w:r>
        <w:t>burbiltzen dira:</w:t>
      </w:r>
    </w:p>
    <w:tbl>
      <w:tblPr>
        <w:tblW w:w="8726" w:type="dxa"/>
        <w:jc w:val="center"/>
        <w:tblCellMar>
          <w:left w:w="70" w:type="dxa"/>
          <w:right w:w="70" w:type="dxa"/>
        </w:tblCellMar>
        <w:tblLook w:val="04A0" w:firstRow="1" w:lastRow="0" w:firstColumn="1" w:lastColumn="0" w:noHBand="0" w:noVBand="1"/>
      </w:tblPr>
      <w:tblGrid>
        <w:gridCol w:w="1991"/>
        <w:gridCol w:w="1301"/>
        <w:gridCol w:w="1275"/>
        <w:gridCol w:w="1927"/>
        <w:gridCol w:w="2232"/>
      </w:tblGrid>
      <w:tr w:rsidR="008B5CCB" w:rsidRPr="00DC3CE7" w:rsidTr="0082359F">
        <w:trPr>
          <w:trHeight w:val="284"/>
          <w:jc w:val="center"/>
        </w:trPr>
        <w:tc>
          <w:tcPr>
            <w:tcW w:w="1991" w:type="dxa"/>
            <w:tcBorders>
              <w:top w:val="single" w:sz="4" w:space="0" w:color="auto"/>
              <w:bottom w:val="single" w:sz="4" w:space="0" w:color="auto"/>
            </w:tcBorders>
            <w:shd w:val="clear" w:color="auto" w:fill="B8CCE4" w:themeFill="accent1" w:themeFillTint="66"/>
            <w:noWrap/>
            <w:vAlign w:val="center"/>
          </w:tcPr>
          <w:p w:rsidR="008B5CCB" w:rsidRPr="000A2B37" w:rsidRDefault="008B5CCB" w:rsidP="00C54F50">
            <w:pPr>
              <w:widowControl w:val="0"/>
              <w:spacing w:after="0"/>
              <w:ind w:firstLine="0"/>
              <w:jc w:val="left"/>
              <w:rPr>
                <w:rFonts w:ascii="Arial" w:hAnsi="Arial" w:cs="Arial"/>
                <w:color w:val="000000"/>
                <w:sz w:val="18"/>
                <w:szCs w:val="18"/>
              </w:rPr>
            </w:pPr>
            <w:r>
              <w:rPr>
                <w:rFonts w:ascii="Arial" w:hAnsi="Arial"/>
                <w:color w:val="000000"/>
                <w:sz w:val="18"/>
                <w:szCs w:val="18"/>
              </w:rPr>
              <w:t>Udalez gaindiko plan sektoriala</w:t>
            </w:r>
          </w:p>
        </w:tc>
        <w:tc>
          <w:tcPr>
            <w:tcW w:w="1301" w:type="dxa"/>
            <w:tcBorders>
              <w:top w:val="single" w:sz="4" w:space="0" w:color="auto"/>
              <w:bottom w:val="single" w:sz="4" w:space="0" w:color="auto"/>
            </w:tcBorders>
            <w:shd w:val="clear" w:color="auto" w:fill="B8CCE4" w:themeFill="accent1" w:themeFillTint="66"/>
            <w:vAlign w:val="center"/>
          </w:tcPr>
          <w:p w:rsidR="008B5CCB" w:rsidRPr="000A2B37" w:rsidRDefault="008B5CCB" w:rsidP="0082359F">
            <w:pPr>
              <w:widowControl w:val="0"/>
              <w:spacing w:after="0"/>
              <w:ind w:left="69" w:firstLine="0"/>
              <w:jc w:val="left"/>
              <w:rPr>
                <w:rFonts w:ascii="Arial" w:hAnsi="Arial" w:cs="Arial"/>
                <w:color w:val="000000"/>
                <w:sz w:val="18"/>
                <w:szCs w:val="18"/>
              </w:rPr>
            </w:pPr>
            <w:r>
              <w:rPr>
                <w:rFonts w:ascii="Arial" w:hAnsi="Arial"/>
                <w:color w:val="000000"/>
                <w:sz w:val="18"/>
                <w:szCs w:val="18"/>
              </w:rPr>
              <w:t>GHaren er</w:t>
            </w:r>
            <w:r>
              <w:rPr>
                <w:rFonts w:ascii="Arial" w:hAnsi="Arial"/>
                <w:color w:val="000000"/>
                <w:sz w:val="18"/>
                <w:szCs w:val="18"/>
              </w:rPr>
              <w:t>e</w:t>
            </w:r>
            <w:r>
              <w:rPr>
                <w:rFonts w:ascii="Arial" w:hAnsi="Arial"/>
                <w:color w:val="000000"/>
                <w:sz w:val="18"/>
                <w:szCs w:val="18"/>
              </w:rPr>
              <w:t>mua</w:t>
            </w:r>
          </w:p>
        </w:tc>
        <w:tc>
          <w:tcPr>
            <w:tcW w:w="1275" w:type="dxa"/>
            <w:tcBorders>
              <w:top w:val="single" w:sz="4" w:space="0" w:color="auto"/>
              <w:bottom w:val="single" w:sz="4" w:space="0" w:color="auto"/>
            </w:tcBorders>
            <w:shd w:val="clear" w:color="auto" w:fill="B8CCE4" w:themeFill="accent1" w:themeFillTint="66"/>
            <w:vAlign w:val="center"/>
          </w:tcPr>
          <w:p w:rsidR="008B5CCB" w:rsidRPr="000A2B37" w:rsidRDefault="008B5CCB" w:rsidP="0082359F">
            <w:pPr>
              <w:widowControl w:val="0"/>
              <w:spacing w:after="0"/>
              <w:ind w:left="43" w:firstLine="0"/>
              <w:jc w:val="left"/>
              <w:rPr>
                <w:rFonts w:ascii="Arial" w:hAnsi="Arial" w:cs="Arial"/>
                <w:color w:val="000000"/>
                <w:sz w:val="18"/>
                <w:szCs w:val="18"/>
              </w:rPr>
            </w:pPr>
            <w:r>
              <w:rPr>
                <w:rFonts w:ascii="Arial" w:hAnsi="Arial"/>
                <w:color w:val="000000"/>
                <w:sz w:val="18"/>
                <w:szCs w:val="18"/>
              </w:rPr>
              <w:t>Ekimena</w:t>
            </w:r>
          </w:p>
        </w:tc>
        <w:tc>
          <w:tcPr>
            <w:tcW w:w="1927" w:type="dxa"/>
            <w:tcBorders>
              <w:top w:val="single" w:sz="4" w:space="0" w:color="auto"/>
              <w:bottom w:val="single" w:sz="4" w:space="0" w:color="auto"/>
            </w:tcBorders>
            <w:shd w:val="clear" w:color="auto" w:fill="B8CCE4" w:themeFill="accent1" w:themeFillTint="66"/>
            <w:vAlign w:val="center"/>
          </w:tcPr>
          <w:p w:rsidR="00CF0DE8" w:rsidRDefault="00000658" w:rsidP="004D22FC">
            <w:pPr>
              <w:widowControl w:val="0"/>
              <w:spacing w:after="0"/>
              <w:ind w:left="44" w:firstLine="0"/>
              <w:jc w:val="right"/>
              <w:rPr>
                <w:rFonts w:ascii="Arial" w:hAnsi="Arial" w:cs="Arial"/>
                <w:color w:val="000000"/>
                <w:sz w:val="18"/>
                <w:szCs w:val="18"/>
              </w:rPr>
            </w:pPr>
            <w:r>
              <w:rPr>
                <w:rFonts w:ascii="Arial" w:hAnsi="Arial"/>
                <w:color w:val="000000"/>
                <w:sz w:val="18"/>
                <w:szCs w:val="18"/>
              </w:rPr>
              <w:t xml:space="preserve">Onespenaren data </w:t>
            </w:r>
          </w:p>
          <w:p w:rsidR="008B5CCB" w:rsidRPr="000A2B37" w:rsidRDefault="008B5CCB" w:rsidP="004D22FC">
            <w:pPr>
              <w:widowControl w:val="0"/>
              <w:spacing w:after="0"/>
              <w:ind w:left="44" w:firstLine="0"/>
              <w:jc w:val="right"/>
              <w:rPr>
                <w:rFonts w:ascii="Arial" w:hAnsi="Arial" w:cs="Arial"/>
                <w:color w:val="000000"/>
                <w:sz w:val="18"/>
                <w:szCs w:val="18"/>
              </w:rPr>
            </w:pPr>
            <w:r>
              <w:rPr>
                <w:rFonts w:ascii="Arial" w:hAnsi="Arial"/>
                <w:color w:val="000000"/>
                <w:sz w:val="18"/>
                <w:szCs w:val="18"/>
              </w:rPr>
              <w:t>Nafarroako Gobernua</w:t>
            </w:r>
          </w:p>
        </w:tc>
        <w:tc>
          <w:tcPr>
            <w:tcW w:w="2232" w:type="dxa"/>
            <w:tcBorders>
              <w:top w:val="single" w:sz="4" w:space="0" w:color="auto"/>
              <w:bottom w:val="single" w:sz="4" w:space="0" w:color="auto"/>
            </w:tcBorders>
            <w:shd w:val="clear" w:color="auto" w:fill="B8CCE4" w:themeFill="accent1" w:themeFillTint="66"/>
            <w:vAlign w:val="center"/>
          </w:tcPr>
          <w:p w:rsidR="00CF0DE8" w:rsidRDefault="008B5CCB" w:rsidP="004D22FC">
            <w:pPr>
              <w:widowControl w:val="0"/>
              <w:spacing w:after="0"/>
              <w:ind w:firstLine="0"/>
              <w:jc w:val="right"/>
              <w:rPr>
                <w:rFonts w:ascii="Arial" w:hAnsi="Arial" w:cs="Arial"/>
                <w:color w:val="000000"/>
                <w:sz w:val="18"/>
                <w:szCs w:val="18"/>
              </w:rPr>
            </w:pPr>
            <w:r>
              <w:rPr>
                <w:rFonts w:ascii="Arial" w:hAnsi="Arial"/>
                <w:color w:val="000000"/>
                <w:sz w:val="18"/>
                <w:szCs w:val="18"/>
              </w:rPr>
              <w:t xml:space="preserve">Aldaketa kopurua </w:t>
            </w:r>
          </w:p>
          <w:p w:rsidR="008B5CCB" w:rsidRDefault="008B5CCB" w:rsidP="004D22FC">
            <w:pPr>
              <w:widowControl w:val="0"/>
              <w:spacing w:after="0"/>
              <w:ind w:firstLine="0"/>
              <w:jc w:val="right"/>
              <w:rPr>
                <w:rFonts w:ascii="Arial" w:hAnsi="Arial" w:cs="Arial"/>
                <w:color w:val="000000"/>
                <w:sz w:val="18"/>
                <w:szCs w:val="18"/>
              </w:rPr>
            </w:pPr>
          </w:p>
        </w:tc>
      </w:tr>
      <w:tr w:rsidR="008B5CCB" w:rsidRPr="00DC3CE7" w:rsidTr="0082359F">
        <w:trPr>
          <w:trHeight w:val="284"/>
          <w:jc w:val="center"/>
        </w:trPr>
        <w:tc>
          <w:tcPr>
            <w:tcW w:w="1991" w:type="dxa"/>
            <w:tcBorders>
              <w:top w:val="single" w:sz="4" w:space="0" w:color="auto"/>
              <w:bottom w:val="single" w:sz="2" w:space="0" w:color="auto"/>
            </w:tcBorders>
            <w:shd w:val="clear" w:color="auto" w:fill="auto"/>
            <w:noWrap/>
            <w:vAlign w:val="center"/>
          </w:tcPr>
          <w:p w:rsidR="008B5CCB" w:rsidRPr="000A2B37" w:rsidRDefault="009E7DF0" w:rsidP="00C54F50">
            <w:pPr>
              <w:spacing w:after="0"/>
              <w:ind w:firstLine="0"/>
              <w:jc w:val="left"/>
              <w:rPr>
                <w:rFonts w:ascii="Arial Narrow" w:hAnsi="Arial Narrow"/>
                <w:color w:val="000000"/>
              </w:rPr>
            </w:pPr>
            <w:r>
              <w:rPr>
                <w:rFonts w:ascii="Arial Narrow" w:hAnsi="Arial Narrow"/>
                <w:color w:val="000000"/>
              </w:rPr>
              <w:t>Garraioaren Hiria</w:t>
            </w:r>
          </w:p>
        </w:tc>
        <w:tc>
          <w:tcPr>
            <w:tcW w:w="1301" w:type="dxa"/>
            <w:tcBorders>
              <w:top w:val="single" w:sz="4" w:space="0" w:color="auto"/>
              <w:bottom w:val="single" w:sz="2" w:space="0" w:color="auto"/>
            </w:tcBorders>
            <w:shd w:val="clear" w:color="auto" w:fill="auto"/>
            <w:noWrap/>
            <w:vAlign w:val="center"/>
          </w:tcPr>
          <w:p w:rsidR="008B5CCB" w:rsidRPr="000A2B37" w:rsidRDefault="008B5CCB" w:rsidP="0082359F">
            <w:pPr>
              <w:spacing w:after="0"/>
              <w:ind w:left="69" w:firstLine="0"/>
              <w:jc w:val="left"/>
              <w:rPr>
                <w:rFonts w:ascii="Arial Narrow" w:hAnsi="Arial Narrow"/>
                <w:color w:val="000000"/>
              </w:rPr>
            </w:pPr>
            <w:r>
              <w:rPr>
                <w:rFonts w:ascii="Arial Narrow" w:hAnsi="Arial Narrow"/>
                <w:color w:val="000000"/>
              </w:rPr>
              <w:t>1. eta 2. f</w:t>
            </w:r>
            <w:r>
              <w:rPr>
                <w:rFonts w:ascii="Arial Narrow" w:hAnsi="Arial Narrow"/>
                <w:color w:val="000000"/>
              </w:rPr>
              <w:t>a</w:t>
            </w:r>
            <w:r>
              <w:rPr>
                <w:rFonts w:ascii="Arial Narrow" w:hAnsi="Arial Narrow"/>
                <w:color w:val="000000"/>
              </w:rPr>
              <w:t>seak</w:t>
            </w:r>
          </w:p>
        </w:tc>
        <w:tc>
          <w:tcPr>
            <w:tcW w:w="1275" w:type="dxa"/>
            <w:tcBorders>
              <w:top w:val="single" w:sz="4" w:space="0" w:color="auto"/>
              <w:bottom w:val="single" w:sz="2" w:space="0" w:color="auto"/>
            </w:tcBorders>
            <w:shd w:val="clear" w:color="auto" w:fill="auto"/>
            <w:noWrap/>
            <w:vAlign w:val="center"/>
          </w:tcPr>
          <w:p w:rsidR="0082359F" w:rsidRDefault="00155E49" w:rsidP="0082359F">
            <w:pPr>
              <w:spacing w:after="0"/>
              <w:ind w:firstLine="0"/>
              <w:rPr>
                <w:rFonts w:ascii="Arial Narrow" w:hAnsi="Arial Narrow"/>
                <w:color w:val="000000"/>
              </w:rPr>
            </w:pPr>
            <w:r>
              <w:rPr>
                <w:rFonts w:ascii="Arial Narrow" w:hAnsi="Arial Narrow"/>
                <w:color w:val="000000"/>
              </w:rPr>
              <w:t xml:space="preserve">Pribatua </w:t>
            </w:r>
          </w:p>
          <w:p w:rsidR="008B5CCB" w:rsidRPr="000A2B37" w:rsidRDefault="00155E49" w:rsidP="0082359F">
            <w:pPr>
              <w:spacing w:after="0"/>
              <w:ind w:firstLine="0"/>
              <w:rPr>
                <w:rFonts w:ascii="Arial Narrow" w:hAnsi="Arial Narrow"/>
                <w:color w:val="000000"/>
              </w:rPr>
            </w:pPr>
            <w:r>
              <w:rPr>
                <w:rFonts w:ascii="Arial Narrow" w:hAnsi="Arial Narrow"/>
                <w:color w:val="000000"/>
              </w:rPr>
              <w:t>(TTCP SA )</w:t>
            </w:r>
          </w:p>
        </w:tc>
        <w:tc>
          <w:tcPr>
            <w:tcW w:w="1927" w:type="dxa"/>
            <w:tcBorders>
              <w:top w:val="single" w:sz="4" w:space="0" w:color="auto"/>
              <w:bottom w:val="single" w:sz="2" w:space="0" w:color="auto"/>
            </w:tcBorders>
            <w:shd w:val="clear" w:color="auto" w:fill="auto"/>
            <w:noWrap/>
            <w:vAlign w:val="center"/>
          </w:tcPr>
          <w:p w:rsidR="008B5CCB" w:rsidRPr="000A2B37" w:rsidRDefault="008B5CCB" w:rsidP="004D22FC">
            <w:pPr>
              <w:spacing w:after="0"/>
              <w:ind w:left="44" w:firstLine="0"/>
              <w:jc w:val="right"/>
              <w:rPr>
                <w:rFonts w:ascii="Arial Narrow" w:hAnsi="Arial Narrow"/>
                <w:color w:val="000000"/>
              </w:rPr>
            </w:pPr>
            <w:r>
              <w:rPr>
                <w:rFonts w:ascii="Arial Narrow" w:hAnsi="Arial Narrow"/>
                <w:color w:val="000000"/>
              </w:rPr>
              <w:t>1991-12-23</w:t>
            </w:r>
          </w:p>
        </w:tc>
        <w:tc>
          <w:tcPr>
            <w:tcW w:w="2232" w:type="dxa"/>
            <w:tcBorders>
              <w:top w:val="single" w:sz="4" w:space="0" w:color="auto"/>
              <w:bottom w:val="single" w:sz="2" w:space="0" w:color="auto"/>
            </w:tcBorders>
            <w:vAlign w:val="center"/>
          </w:tcPr>
          <w:p w:rsidR="00CF0DE8" w:rsidRDefault="008B5CCB" w:rsidP="004D22FC">
            <w:pPr>
              <w:spacing w:after="0"/>
              <w:ind w:firstLine="0"/>
              <w:jc w:val="right"/>
              <w:rPr>
                <w:rFonts w:ascii="Arial Narrow" w:hAnsi="Arial Narrow"/>
                <w:color w:val="000000"/>
              </w:rPr>
            </w:pPr>
            <w:r>
              <w:rPr>
                <w:rFonts w:ascii="Arial Narrow" w:hAnsi="Arial Narrow"/>
                <w:color w:val="000000"/>
              </w:rPr>
              <w:t>Bi</w:t>
            </w:r>
          </w:p>
          <w:p w:rsidR="008B5CCB" w:rsidRPr="000A2B37" w:rsidRDefault="008B5CCB" w:rsidP="004D22FC">
            <w:pPr>
              <w:spacing w:after="0"/>
              <w:ind w:firstLine="0"/>
              <w:jc w:val="right"/>
              <w:rPr>
                <w:rFonts w:ascii="Arial Narrow" w:hAnsi="Arial Narrow"/>
                <w:color w:val="000000"/>
              </w:rPr>
            </w:pPr>
            <w:r>
              <w:rPr>
                <w:rFonts w:ascii="Arial Narrow" w:hAnsi="Arial Narrow"/>
                <w:color w:val="000000"/>
              </w:rPr>
              <w:t>(1996an eta 2000n)</w:t>
            </w:r>
          </w:p>
        </w:tc>
      </w:tr>
      <w:tr w:rsidR="008B5CCB" w:rsidRPr="00DC3CE7" w:rsidTr="0082359F">
        <w:trPr>
          <w:trHeight w:val="284"/>
          <w:jc w:val="center"/>
        </w:trPr>
        <w:tc>
          <w:tcPr>
            <w:tcW w:w="1991" w:type="dxa"/>
            <w:tcBorders>
              <w:top w:val="single" w:sz="2" w:space="0" w:color="auto"/>
              <w:bottom w:val="single" w:sz="4" w:space="0" w:color="auto"/>
            </w:tcBorders>
            <w:shd w:val="clear" w:color="auto" w:fill="auto"/>
            <w:noWrap/>
            <w:vAlign w:val="center"/>
          </w:tcPr>
          <w:p w:rsidR="008B5CCB" w:rsidRPr="000A2B37" w:rsidRDefault="009E7DF0" w:rsidP="00C54F50">
            <w:pPr>
              <w:spacing w:after="0"/>
              <w:ind w:firstLine="0"/>
              <w:jc w:val="left"/>
              <w:rPr>
                <w:rFonts w:ascii="Arial Narrow" w:hAnsi="Arial Narrow"/>
                <w:color w:val="000000"/>
              </w:rPr>
            </w:pPr>
            <w:r>
              <w:rPr>
                <w:rFonts w:ascii="Arial Narrow" w:hAnsi="Arial Narrow"/>
                <w:color w:val="000000"/>
              </w:rPr>
              <w:t>Garraioaren Hiriaren zabalkuntza</w:t>
            </w:r>
          </w:p>
        </w:tc>
        <w:tc>
          <w:tcPr>
            <w:tcW w:w="1301" w:type="dxa"/>
            <w:tcBorders>
              <w:top w:val="single" w:sz="2" w:space="0" w:color="auto"/>
              <w:bottom w:val="single" w:sz="4" w:space="0" w:color="auto"/>
            </w:tcBorders>
            <w:shd w:val="clear" w:color="auto" w:fill="auto"/>
            <w:noWrap/>
            <w:vAlign w:val="center"/>
          </w:tcPr>
          <w:p w:rsidR="008B5CCB" w:rsidRPr="000A2B37" w:rsidRDefault="008B5CCB" w:rsidP="0082359F">
            <w:pPr>
              <w:spacing w:after="0"/>
              <w:ind w:left="69" w:firstLine="0"/>
              <w:jc w:val="left"/>
              <w:rPr>
                <w:rFonts w:ascii="Arial Narrow" w:hAnsi="Arial Narrow"/>
                <w:color w:val="000000"/>
              </w:rPr>
            </w:pPr>
            <w:r>
              <w:rPr>
                <w:rFonts w:ascii="Arial Narrow" w:hAnsi="Arial Narrow"/>
                <w:color w:val="000000"/>
              </w:rPr>
              <w:t>3. eta 4. f</w:t>
            </w:r>
            <w:r>
              <w:rPr>
                <w:rFonts w:ascii="Arial Narrow" w:hAnsi="Arial Narrow"/>
                <w:color w:val="000000"/>
              </w:rPr>
              <w:t>a</w:t>
            </w:r>
            <w:r>
              <w:rPr>
                <w:rFonts w:ascii="Arial Narrow" w:hAnsi="Arial Narrow"/>
                <w:color w:val="000000"/>
              </w:rPr>
              <w:t>seak</w:t>
            </w:r>
          </w:p>
        </w:tc>
        <w:tc>
          <w:tcPr>
            <w:tcW w:w="1275" w:type="dxa"/>
            <w:tcBorders>
              <w:top w:val="single" w:sz="2" w:space="0" w:color="auto"/>
              <w:bottom w:val="single" w:sz="4" w:space="0" w:color="auto"/>
            </w:tcBorders>
            <w:shd w:val="clear" w:color="auto" w:fill="auto"/>
            <w:noWrap/>
            <w:vAlign w:val="center"/>
          </w:tcPr>
          <w:p w:rsidR="0082359F" w:rsidRDefault="00155E49" w:rsidP="0082359F">
            <w:pPr>
              <w:spacing w:after="0"/>
              <w:ind w:firstLine="0"/>
              <w:rPr>
                <w:rFonts w:ascii="Arial Narrow" w:hAnsi="Arial Narrow"/>
                <w:color w:val="000000"/>
              </w:rPr>
            </w:pPr>
            <w:r>
              <w:rPr>
                <w:rFonts w:ascii="Arial Narrow" w:hAnsi="Arial Narrow"/>
                <w:color w:val="000000"/>
              </w:rPr>
              <w:t xml:space="preserve">Publikoa </w:t>
            </w:r>
          </w:p>
          <w:p w:rsidR="008B5CCB" w:rsidRPr="000A2B37" w:rsidRDefault="00155E49" w:rsidP="0082359F">
            <w:pPr>
              <w:spacing w:after="0"/>
              <w:ind w:firstLine="0"/>
              <w:rPr>
                <w:rFonts w:ascii="Arial Narrow" w:hAnsi="Arial Narrow"/>
                <w:color w:val="000000"/>
              </w:rPr>
            </w:pPr>
            <w:r>
              <w:rPr>
                <w:rFonts w:ascii="Arial Narrow" w:hAnsi="Arial Narrow"/>
                <w:color w:val="000000"/>
              </w:rPr>
              <w:t xml:space="preserve">(CTP SA) </w:t>
            </w:r>
          </w:p>
        </w:tc>
        <w:tc>
          <w:tcPr>
            <w:tcW w:w="1927" w:type="dxa"/>
            <w:tcBorders>
              <w:top w:val="single" w:sz="2" w:space="0" w:color="auto"/>
              <w:bottom w:val="single" w:sz="4" w:space="0" w:color="auto"/>
            </w:tcBorders>
            <w:shd w:val="clear" w:color="auto" w:fill="auto"/>
            <w:noWrap/>
            <w:vAlign w:val="center"/>
          </w:tcPr>
          <w:p w:rsidR="008B5CCB" w:rsidRPr="000A2B37" w:rsidRDefault="008B5CCB" w:rsidP="004D22FC">
            <w:pPr>
              <w:spacing w:after="0"/>
              <w:ind w:left="44" w:firstLine="0"/>
              <w:jc w:val="right"/>
              <w:rPr>
                <w:rFonts w:ascii="Arial Narrow" w:hAnsi="Arial Narrow"/>
                <w:color w:val="000000"/>
              </w:rPr>
            </w:pPr>
            <w:r>
              <w:rPr>
                <w:rFonts w:ascii="Arial Narrow" w:hAnsi="Arial Narrow"/>
                <w:color w:val="000000"/>
              </w:rPr>
              <w:t>2004-07-26</w:t>
            </w:r>
          </w:p>
        </w:tc>
        <w:tc>
          <w:tcPr>
            <w:tcW w:w="2232" w:type="dxa"/>
            <w:tcBorders>
              <w:top w:val="single" w:sz="2" w:space="0" w:color="auto"/>
              <w:bottom w:val="single" w:sz="4" w:space="0" w:color="auto"/>
            </w:tcBorders>
            <w:vAlign w:val="center"/>
          </w:tcPr>
          <w:p w:rsidR="0082359F" w:rsidRDefault="008B5CCB" w:rsidP="004D22FC">
            <w:pPr>
              <w:spacing w:after="0"/>
              <w:ind w:firstLine="0"/>
              <w:jc w:val="right"/>
              <w:rPr>
                <w:rFonts w:ascii="Arial Narrow" w:hAnsi="Arial Narrow"/>
              </w:rPr>
            </w:pPr>
            <w:r>
              <w:rPr>
                <w:rFonts w:ascii="Arial Narrow" w:hAnsi="Arial Narrow"/>
              </w:rPr>
              <w:t>Bat (2006) eta bestea izap</w:t>
            </w:r>
            <w:r>
              <w:rPr>
                <w:rFonts w:ascii="Arial Narrow" w:hAnsi="Arial Narrow"/>
              </w:rPr>
              <w:t>i</w:t>
            </w:r>
            <w:r>
              <w:rPr>
                <w:rFonts w:ascii="Arial Narrow" w:hAnsi="Arial Narrow"/>
              </w:rPr>
              <w:t>detzen (2017)</w:t>
            </w:r>
          </w:p>
          <w:p w:rsidR="008B5CCB" w:rsidRPr="000A2B37" w:rsidRDefault="008B5CCB" w:rsidP="004D22FC">
            <w:pPr>
              <w:spacing w:after="0"/>
              <w:ind w:firstLine="0"/>
              <w:jc w:val="right"/>
              <w:rPr>
                <w:rFonts w:ascii="Arial Narrow" w:hAnsi="Arial Narrow"/>
                <w:color w:val="000000"/>
              </w:rPr>
            </w:pPr>
            <w:r>
              <w:rPr>
                <w:rFonts w:ascii="Arial Narrow" w:hAnsi="Arial Narrow"/>
              </w:rPr>
              <w:t xml:space="preserve"> </w:t>
            </w:r>
          </w:p>
        </w:tc>
      </w:tr>
    </w:tbl>
    <w:p w:rsidR="00CF0DE8" w:rsidRDefault="00CF0DE8" w:rsidP="00CF0DE8">
      <w:pPr>
        <w:pStyle w:val="texto"/>
        <w:tabs>
          <w:tab w:val="clear" w:pos="2835"/>
          <w:tab w:val="clear" w:pos="3969"/>
          <w:tab w:val="clear" w:pos="5103"/>
          <w:tab w:val="clear" w:pos="6237"/>
          <w:tab w:val="clear" w:pos="7371"/>
        </w:tabs>
        <w:spacing w:after="0"/>
        <w:rPr>
          <w:szCs w:val="26"/>
        </w:rPr>
      </w:pPr>
    </w:p>
    <w:p w:rsidR="008B5CCB" w:rsidRDefault="008B5CCB" w:rsidP="008B5CCB">
      <w:pPr>
        <w:pStyle w:val="texto"/>
        <w:tabs>
          <w:tab w:val="clear" w:pos="2835"/>
          <w:tab w:val="clear" w:pos="3969"/>
          <w:tab w:val="clear" w:pos="5103"/>
          <w:tab w:val="clear" w:pos="6237"/>
          <w:tab w:val="clear" w:pos="7371"/>
        </w:tabs>
        <w:rPr>
          <w:szCs w:val="26"/>
        </w:rPr>
      </w:pPr>
      <w:r>
        <w:t>Lehenengo udalez gaindiko plan sektoriala orduko Terminal de Transportes de la Comarca de Pamplona SA (TTCP SA) sozietate pribatuaren ekimenez izapidetu zen; zabalkuntzakoa, berriz, Iruñerriko Garraioaren Hiria SA (CTP SA) sozietate publikoaren ekimenez.</w:t>
      </w:r>
    </w:p>
    <w:p w:rsidR="00FA4191" w:rsidRDefault="00FA4191" w:rsidP="00FA4191">
      <w:pPr>
        <w:pStyle w:val="texto"/>
        <w:tabs>
          <w:tab w:val="clear" w:pos="2835"/>
          <w:tab w:val="clear" w:pos="3969"/>
          <w:tab w:val="clear" w:pos="5103"/>
          <w:tab w:val="clear" w:pos="6237"/>
          <w:tab w:val="clear" w:pos="7371"/>
        </w:tabs>
        <w:rPr>
          <w:szCs w:val="26"/>
        </w:rPr>
      </w:pPr>
      <w:r>
        <w:rPr>
          <w:b/>
          <w:szCs w:val="26"/>
        </w:rPr>
        <w:t>Hamabigarrena.</w:t>
      </w:r>
      <w:r>
        <w:t xml:space="preserve"> Lehenengo udalez gaindiko plan sektorialak, Garraioaren Hiriarenak, 600.000 m</w:t>
      </w:r>
      <w:r>
        <w:rPr>
          <w:vertAlign w:val="superscript"/>
        </w:rPr>
        <w:t>2</w:t>
      </w:r>
      <w:r>
        <w:t xml:space="preserve"> inguru antolatu zituen, honako erabilera hauekin:</w:t>
      </w:r>
    </w:p>
    <w:p w:rsidR="00FA4191" w:rsidRPr="005A25DB" w:rsidRDefault="00FA4191" w:rsidP="00FA419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Zerbitzu-eremua: bulegoak, ostalaritza eta aisia, osasuna, mantentze-lanak, segurtasun-kontrola, garraio publikoa, zerbitzuak eta merkataritza.</w:t>
      </w:r>
    </w:p>
    <w:p w:rsidR="00FA4191" w:rsidRPr="005A25DB" w:rsidRDefault="00FA4191" w:rsidP="00FA419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 xml:space="preserve">Garraiorako eta logistikarako nabeen eremua. </w:t>
      </w:r>
    </w:p>
    <w:p w:rsidR="00FA4191" w:rsidRDefault="00FA4191" w:rsidP="00FA419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Erreserbako eremua (GHaren 2. fasea): garraioa eta horrekin lotutako be</w:t>
      </w:r>
      <w:r>
        <w:t>s</w:t>
      </w:r>
      <w:r>
        <w:t>telako erabilerak, materialen biltegiratzea eta makineria eta hezkuntza-erabilera. Geroztik zerbitzu-, bulego- eta nabe-erabilerek aldatuak.</w:t>
      </w:r>
    </w:p>
    <w:p w:rsidR="00FA4191" w:rsidRDefault="00FA4191" w:rsidP="00DF0173">
      <w:pPr>
        <w:pStyle w:val="texto"/>
        <w:tabs>
          <w:tab w:val="clear" w:pos="2835"/>
          <w:tab w:val="clear" w:pos="3969"/>
          <w:tab w:val="clear" w:pos="5103"/>
          <w:tab w:val="clear" w:pos="6237"/>
          <w:tab w:val="clear" w:pos="7371"/>
        </w:tabs>
        <w:spacing w:after="240"/>
        <w:rPr>
          <w:szCs w:val="26"/>
        </w:rPr>
      </w:pPr>
      <w:r>
        <w:t>Laburbilduz, fase hauek honako egituratze hau dute, udalez gaindiko plan sektorialaren aldaketen ondoren:</w:t>
      </w:r>
    </w:p>
    <w:tbl>
      <w:tblPr>
        <w:tblW w:w="9031" w:type="dxa"/>
        <w:jc w:val="center"/>
        <w:tblInd w:w="-325" w:type="dxa"/>
        <w:tblCellMar>
          <w:left w:w="70" w:type="dxa"/>
          <w:right w:w="70" w:type="dxa"/>
        </w:tblCellMar>
        <w:tblLook w:val="04A0" w:firstRow="1" w:lastRow="0" w:firstColumn="1" w:lastColumn="0" w:noHBand="0" w:noVBand="1"/>
      </w:tblPr>
      <w:tblGrid>
        <w:gridCol w:w="2836"/>
        <w:gridCol w:w="1139"/>
        <w:gridCol w:w="1497"/>
        <w:gridCol w:w="1971"/>
        <w:gridCol w:w="1588"/>
      </w:tblGrid>
      <w:tr w:rsidR="00FA4191" w:rsidRPr="00DC3CE7" w:rsidTr="00AE19B3">
        <w:trPr>
          <w:trHeight w:val="284"/>
          <w:jc w:val="center"/>
        </w:trPr>
        <w:tc>
          <w:tcPr>
            <w:tcW w:w="2836" w:type="dxa"/>
            <w:tcBorders>
              <w:top w:val="single" w:sz="4" w:space="0" w:color="auto"/>
              <w:bottom w:val="single" w:sz="4" w:space="0" w:color="auto"/>
            </w:tcBorders>
            <w:shd w:val="clear" w:color="auto" w:fill="B8CCE4" w:themeFill="accent1" w:themeFillTint="66"/>
            <w:noWrap/>
            <w:vAlign w:val="center"/>
          </w:tcPr>
          <w:p w:rsidR="00FA4191" w:rsidRPr="00AE19B3" w:rsidRDefault="00AE19B3" w:rsidP="00AE19B3">
            <w:pPr>
              <w:widowControl w:val="0"/>
              <w:spacing w:after="0"/>
              <w:ind w:left="44" w:firstLine="0"/>
              <w:jc w:val="left"/>
              <w:rPr>
                <w:rFonts w:ascii="Arial" w:hAnsi="Arial" w:cs="Arial"/>
                <w:color w:val="000000"/>
                <w:sz w:val="18"/>
                <w:szCs w:val="18"/>
              </w:rPr>
            </w:pPr>
            <w:r>
              <w:rPr>
                <w:rFonts w:ascii="Arial" w:hAnsi="Arial"/>
                <w:color w:val="000000"/>
                <w:sz w:val="18"/>
                <w:szCs w:val="18"/>
              </w:rPr>
              <w:t>GHaren 1. eta 2. faseak/azalera (m</w:t>
            </w:r>
            <w:r>
              <w:rPr>
                <w:rFonts w:ascii="Arial" w:hAnsi="Arial"/>
                <w:color w:val="000000"/>
                <w:sz w:val="18"/>
                <w:szCs w:val="18"/>
                <w:vertAlign w:val="superscript"/>
              </w:rPr>
              <w:t>2</w:t>
            </w:r>
            <w:r>
              <w:rPr>
                <w:rFonts w:ascii="Arial" w:hAnsi="Arial"/>
                <w:color w:val="000000"/>
                <w:sz w:val="18"/>
                <w:szCs w:val="18"/>
              </w:rPr>
              <w:t>)</w:t>
            </w:r>
          </w:p>
        </w:tc>
        <w:tc>
          <w:tcPr>
            <w:tcW w:w="1139" w:type="dxa"/>
            <w:tcBorders>
              <w:top w:val="single" w:sz="4" w:space="0" w:color="auto"/>
              <w:bottom w:val="single" w:sz="4" w:space="0" w:color="auto"/>
            </w:tcBorders>
            <w:shd w:val="clear" w:color="auto" w:fill="B8CCE4" w:themeFill="accent1" w:themeFillTint="66"/>
            <w:vAlign w:val="center"/>
          </w:tcPr>
          <w:p w:rsidR="00FA4191" w:rsidRPr="000A2B37" w:rsidRDefault="00FA4191" w:rsidP="00DF0173">
            <w:pPr>
              <w:widowControl w:val="0"/>
              <w:spacing w:after="0"/>
              <w:ind w:left="75" w:firstLine="0"/>
              <w:jc w:val="right"/>
              <w:rPr>
                <w:rFonts w:ascii="Arial" w:hAnsi="Arial" w:cs="Arial"/>
                <w:color w:val="000000"/>
                <w:sz w:val="18"/>
                <w:szCs w:val="18"/>
              </w:rPr>
            </w:pPr>
            <w:r>
              <w:rPr>
                <w:rFonts w:ascii="Arial" w:hAnsi="Arial"/>
                <w:color w:val="000000"/>
                <w:sz w:val="18"/>
                <w:szCs w:val="18"/>
              </w:rPr>
              <w:t>Azalera gordina</w:t>
            </w:r>
          </w:p>
        </w:tc>
        <w:tc>
          <w:tcPr>
            <w:tcW w:w="1497" w:type="dxa"/>
            <w:tcBorders>
              <w:top w:val="single" w:sz="4" w:space="0" w:color="auto"/>
              <w:bottom w:val="single" w:sz="4" w:space="0" w:color="auto"/>
            </w:tcBorders>
            <w:shd w:val="clear" w:color="auto" w:fill="B8CCE4" w:themeFill="accent1" w:themeFillTint="66"/>
            <w:vAlign w:val="center"/>
          </w:tcPr>
          <w:p w:rsidR="00FA4191" w:rsidRPr="000A2B37" w:rsidRDefault="00FA4191" w:rsidP="00DF0173">
            <w:pPr>
              <w:widowControl w:val="0"/>
              <w:spacing w:after="0"/>
              <w:ind w:left="25" w:firstLine="0"/>
              <w:jc w:val="right"/>
              <w:rPr>
                <w:rFonts w:ascii="Arial" w:hAnsi="Arial" w:cs="Arial"/>
                <w:color w:val="000000"/>
                <w:sz w:val="18"/>
                <w:szCs w:val="18"/>
              </w:rPr>
            </w:pPr>
            <w:r>
              <w:rPr>
                <w:rFonts w:ascii="Arial" w:hAnsi="Arial"/>
                <w:color w:val="000000"/>
                <w:sz w:val="18"/>
                <w:szCs w:val="18"/>
              </w:rPr>
              <w:t>Azalera garbia</w:t>
            </w:r>
          </w:p>
        </w:tc>
        <w:tc>
          <w:tcPr>
            <w:tcW w:w="1971" w:type="dxa"/>
            <w:tcBorders>
              <w:top w:val="single" w:sz="4" w:space="0" w:color="auto"/>
              <w:bottom w:val="single" w:sz="4" w:space="0" w:color="auto"/>
            </w:tcBorders>
            <w:shd w:val="clear" w:color="auto" w:fill="B8CCE4" w:themeFill="accent1" w:themeFillTint="66"/>
            <w:vAlign w:val="center"/>
          </w:tcPr>
          <w:p w:rsidR="00DF0173" w:rsidRDefault="00FA4191" w:rsidP="00DF0173">
            <w:pPr>
              <w:widowControl w:val="0"/>
              <w:spacing w:after="0"/>
              <w:ind w:left="87" w:firstLine="0"/>
              <w:jc w:val="right"/>
              <w:rPr>
                <w:rFonts w:ascii="Arial" w:hAnsi="Arial" w:cs="Arial"/>
                <w:color w:val="000000"/>
                <w:sz w:val="18"/>
                <w:szCs w:val="18"/>
              </w:rPr>
            </w:pPr>
            <w:r>
              <w:rPr>
                <w:rFonts w:ascii="Arial" w:hAnsi="Arial"/>
                <w:color w:val="000000"/>
                <w:sz w:val="18"/>
                <w:szCs w:val="18"/>
              </w:rPr>
              <w:t xml:space="preserve">Berdeguneak eta </w:t>
            </w:r>
          </w:p>
          <w:p w:rsidR="00FA4191" w:rsidRPr="000A2B37" w:rsidRDefault="00FA4191" w:rsidP="00DF0173">
            <w:pPr>
              <w:widowControl w:val="0"/>
              <w:spacing w:after="0"/>
              <w:ind w:left="87" w:firstLine="0"/>
              <w:jc w:val="right"/>
              <w:rPr>
                <w:rFonts w:ascii="Arial" w:hAnsi="Arial" w:cs="Arial"/>
                <w:color w:val="000000"/>
                <w:sz w:val="18"/>
                <w:szCs w:val="18"/>
              </w:rPr>
            </w:pPr>
            <w:r>
              <w:rPr>
                <w:rFonts w:ascii="Arial" w:hAnsi="Arial"/>
                <w:color w:val="000000"/>
                <w:sz w:val="18"/>
                <w:szCs w:val="18"/>
              </w:rPr>
              <w:t>bide orokorrak</w:t>
            </w:r>
          </w:p>
        </w:tc>
        <w:tc>
          <w:tcPr>
            <w:tcW w:w="1588" w:type="dxa"/>
            <w:tcBorders>
              <w:top w:val="single" w:sz="4" w:space="0" w:color="auto"/>
              <w:bottom w:val="single" w:sz="4" w:space="0" w:color="auto"/>
            </w:tcBorders>
            <w:shd w:val="clear" w:color="auto" w:fill="B8CCE4" w:themeFill="accent1" w:themeFillTint="66"/>
            <w:vAlign w:val="center"/>
          </w:tcPr>
          <w:p w:rsidR="00FA4191" w:rsidRDefault="00FA4191" w:rsidP="00DF0173">
            <w:pPr>
              <w:widowControl w:val="0"/>
              <w:spacing w:after="0"/>
              <w:ind w:firstLine="0"/>
              <w:jc w:val="right"/>
              <w:rPr>
                <w:rFonts w:ascii="Arial" w:hAnsi="Arial" w:cs="Arial"/>
                <w:color w:val="000000"/>
                <w:sz w:val="18"/>
                <w:szCs w:val="18"/>
              </w:rPr>
            </w:pPr>
            <w:r>
              <w:rPr>
                <w:rFonts w:ascii="Arial" w:hAnsi="Arial"/>
                <w:color w:val="000000"/>
                <w:sz w:val="18"/>
                <w:szCs w:val="18"/>
              </w:rPr>
              <w:t>Eraikigarriak</w:t>
            </w:r>
          </w:p>
        </w:tc>
      </w:tr>
      <w:tr w:rsidR="00FA4191" w:rsidRPr="00DC3CE7" w:rsidTr="00AE19B3">
        <w:trPr>
          <w:trHeight w:val="284"/>
          <w:jc w:val="center"/>
        </w:trPr>
        <w:tc>
          <w:tcPr>
            <w:tcW w:w="2836"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44" w:firstLine="0"/>
              <w:jc w:val="left"/>
              <w:rPr>
                <w:rFonts w:ascii="Arial Narrow" w:hAnsi="Arial Narrow"/>
                <w:color w:val="000000"/>
              </w:rPr>
            </w:pPr>
            <w:r>
              <w:rPr>
                <w:rFonts w:ascii="Arial Narrow" w:hAnsi="Arial Narrow"/>
                <w:color w:val="000000"/>
              </w:rPr>
              <w:t>Zerbitzuak</w:t>
            </w:r>
          </w:p>
        </w:tc>
        <w:tc>
          <w:tcPr>
            <w:tcW w:w="1139"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75" w:firstLine="0"/>
              <w:jc w:val="right"/>
              <w:rPr>
                <w:rFonts w:ascii="Arial Narrow" w:hAnsi="Arial Narrow"/>
                <w:color w:val="000000"/>
              </w:rPr>
            </w:pPr>
            <w:r>
              <w:rPr>
                <w:rFonts w:ascii="Arial Narrow" w:hAnsi="Arial Narrow"/>
                <w:color w:val="000000"/>
              </w:rPr>
              <w:t>147.200</w:t>
            </w:r>
          </w:p>
        </w:tc>
        <w:tc>
          <w:tcPr>
            <w:tcW w:w="1497"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25" w:firstLine="0"/>
              <w:jc w:val="right"/>
              <w:rPr>
                <w:rFonts w:ascii="Arial Narrow" w:hAnsi="Arial Narrow"/>
                <w:color w:val="000000"/>
              </w:rPr>
            </w:pPr>
            <w:r>
              <w:rPr>
                <w:rFonts w:ascii="Arial Narrow" w:hAnsi="Arial Narrow"/>
                <w:color w:val="000000"/>
              </w:rPr>
              <w:t>88.832</w:t>
            </w:r>
          </w:p>
        </w:tc>
        <w:tc>
          <w:tcPr>
            <w:tcW w:w="1971"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87" w:right="86" w:firstLine="0"/>
              <w:jc w:val="right"/>
              <w:rPr>
                <w:rFonts w:ascii="Arial Narrow" w:hAnsi="Arial Narrow"/>
                <w:color w:val="000000"/>
              </w:rPr>
            </w:pPr>
            <w:r>
              <w:rPr>
                <w:rFonts w:ascii="Arial Narrow" w:hAnsi="Arial Narrow"/>
                <w:color w:val="000000"/>
              </w:rPr>
              <w:t>58.368</w:t>
            </w:r>
          </w:p>
        </w:tc>
        <w:tc>
          <w:tcPr>
            <w:tcW w:w="1588" w:type="dxa"/>
            <w:tcBorders>
              <w:top w:val="single" w:sz="4" w:space="0" w:color="auto"/>
              <w:bottom w:val="single" w:sz="2" w:space="0" w:color="auto"/>
            </w:tcBorders>
            <w:vAlign w:val="center"/>
          </w:tcPr>
          <w:p w:rsidR="00FA4191" w:rsidRPr="000A2B37" w:rsidRDefault="00FA4191" w:rsidP="00DF0173">
            <w:pPr>
              <w:spacing w:after="0"/>
              <w:ind w:firstLine="0"/>
              <w:jc w:val="right"/>
              <w:rPr>
                <w:rFonts w:ascii="Arial Narrow" w:hAnsi="Arial Narrow"/>
                <w:color w:val="000000"/>
              </w:rPr>
            </w:pPr>
            <w:r>
              <w:rPr>
                <w:rFonts w:ascii="Arial Narrow" w:hAnsi="Arial Narrow"/>
                <w:color w:val="000000"/>
              </w:rPr>
              <w:t>32.700</w:t>
            </w:r>
          </w:p>
        </w:tc>
      </w:tr>
      <w:tr w:rsidR="00FA4191" w:rsidRPr="00DC3CE7" w:rsidTr="00C54F50">
        <w:trPr>
          <w:trHeight w:val="284"/>
          <w:jc w:val="center"/>
        </w:trPr>
        <w:tc>
          <w:tcPr>
            <w:tcW w:w="2836"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44" w:firstLine="0"/>
              <w:jc w:val="left"/>
              <w:rPr>
                <w:rFonts w:ascii="Arial Narrow" w:hAnsi="Arial Narrow"/>
                <w:color w:val="000000"/>
              </w:rPr>
            </w:pPr>
            <w:r>
              <w:rPr>
                <w:rFonts w:ascii="Arial Narrow" w:hAnsi="Arial Narrow"/>
                <w:color w:val="000000"/>
              </w:rPr>
              <w:t>Nabeak</w:t>
            </w:r>
          </w:p>
        </w:tc>
        <w:tc>
          <w:tcPr>
            <w:tcW w:w="1139"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75" w:firstLine="0"/>
              <w:jc w:val="right"/>
              <w:rPr>
                <w:rFonts w:ascii="Arial Narrow" w:hAnsi="Arial Narrow"/>
                <w:color w:val="000000"/>
              </w:rPr>
            </w:pPr>
            <w:r>
              <w:rPr>
                <w:rFonts w:ascii="Arial Narrow" w:hAnsi="Arial Narrow"/>
                <w:color w:val="000000"/>
              </w:rPr>
              <w:t>241.455</w:t>
            </w:r>
          </w:p>
        </w:tc>
        <w:tc>
          <w:tcPr>
            <w:tcW w:w="1497"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25" w:firstLine="0"/>
              <w:jc w:val="right"/>
              <w:rPr>
                <w:rFonts w:ascii="Arial Narrow" w:hAnsi="Arial Narrow"/>
                <w:color w:val="000000"/>
              </w:rPr>
            </w:pPr>
            <w:r>
              <w:rPr>
                <w:rFonts w:ascii="Arial Narrow" w:hAnsi="Arial Narrow"/>
                <w:color w:val="000000"/>
              </w:rPr>
              <w:t>189.706</w:t>
            </w:r>
          </w:p>
        </w:tc>
        <w:tc>
          <w:tcPr>
            <w:tcW w:w="1971"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87" w:right="86" w:firstLine="0"/>
              <w:jc w:val="right"/>
              <w:rPr>
                <w:rFonts w:ascii="Arial Narrow" w:hAnsi="Arial Narrow"/>
                <w:color w:val="000000"/>
              </w:rPr>
            </w:pPr>
            <w:r>
              <w:rPr>
                <w:rFonts w:ascii="Arial Narrow" w:hAnsi="Arial Narrow"/>
                <w:color w:val="000000"/>
              </w:rPr>
              <w:t>51.749</w:t>
            </w:r>
          </w:p>
        </w:tc>
        <w:tc>
          <w:tcPr>
            <w:tcW w:w="1588" w:type="dxa"/>
            <w:tcBorders>
              <w:top w:val="single" w:sz="2" w:space="0" w:color="auto"/>
              <w:bottom w:val="single" w:sz="4" w:space="0" w:color="auto"/>
            </w:tcBorders>
            <w:vAlign w:val="center"/>
          </w:tcPr>
          <w:p w:rsidR="00FA4191" w:rsidRPr="000A2B37" w:rsidRDefault="00FA4191" w:rsidP="00DF0173">
            <w:pPr>
              <w:spacing w:after="0"/>
              <w:ind w:firstLine="0"/>
              <w:jc w:val="right"/>
              <w:rPr>
                <w:rFonts w:ascii="Arial Narrow" w:hAnsi="Arial Narrow"/>
                <w:color w:val="000000"/>
              </w:rPr>
            </w:pPr>
            <w:r>
              <w:rPr>
                <w:rFonts w:ascii="Arial Narrow" w:hAnsi="Arial Narrow"/>
                <w:color w:val="000000"/>
              </w:rPr>
              <w:t>105.700</w:t>
            </w:r>
          </w:p>
        </w:tc>
      </w:tr>
      <w:tr w:rsidR="00FA4191" w:rsidRPr="00DF0173" w:rsidTr="00C54F50">
        <w:trPr>
          <w:trHeight w:val="284"/>
          <w:jc w:val="center"/>
        </w:trPr>
        <w:tc>
          <w:tcPr>
            <w:tcW w:w="2836"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44" w:firstLine="0"/>
              <w:jc w:val="left"/>
              <w:rPr>
                <w:rFonts w:ascii="Arial Narrow" w:hAnsi="Arial Narrow"/>
                <w:b/>
                <w:i/>
                <w:color w:val="000000"/>
              </w:rPr>
            </w:pPr>
            <w:r>
              <w:rPr>
                <w:rFonts w:ascii="Arial Narrow" w:hAnsi="Arial Narrow"/>
                <w:b/>
                <w:i/>
                <w:color w:val="000000"/>
              </w:rPr>
              <w:t>GHaren 1. fasea, guztira</w:t>
            </w:r>
          </w:p>
        </w:tc>
        <w:tc>
          <w:tcPr>
            <w:tcW w:w="1139"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75" w:firstLine="0"/>
              <w:jc w:val="right"/>
              <w:rPr>
                <w:rFonts w:ascii="Arial Narrow" w:hAnsi="Arial Narrow"/>
                <w:b/>
                <w:i/>
                <w:color w:val="000000"/>
              </w:rPr>
            </w:pPr>
            <w:r>
              <w:rPr>
                <w:rFonts w:ascii="Arial Narrow" w:hAnsi="Arial Narrow"/>
                <w:b/>
                <w:i/>
                <w:color w:val="000000"/>
              </w:rPr>
              <w:t>388.655</w:t>
            </w:r>
          </w:p>
        </w:tc>
        <w:tc>
          <w:tcPr>
            <w:tcW w:w="1497"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25" w:firstLine="0"/>
              <w:jc w:val="right"/>
              <w:rPr>
                <w:rFonts w:ascii="Arial Narrow" w:hAnsi="Arial Narrow"/>
                <w:b/>
                <w:i/>
                <w:color w:val="000000"/>
              </w:rPr>
            </w:pPr>
            <w:r>
              <w:rPr>
                <w:rFonts w:ascii="Arial Narrow" w:hAnsi="Arial Narrow"/>
                <w:b/>
                <w:i/>
                <w:color w:val="000000"/>
              </w:rPr>
              <w:t>278.538</w:t>
            </w:r>
          </w:p>
        </w:tc>
        <w:tc>
          <w:tcPr>
            <w:tcW w:w="1971"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87" w:firstLine="0"/>
              <w:jc w:val="right"/>
              <w:rPr>
                <w:rFonts w:ascii="Arial Narrow" w:hAnsi="Arial Narrow"/>
                <w:b/>
                <w:i/>
                <w:color w:val="000000"/>
              </w:rPr>
            </w:pPr>
            <w:r>
              <w:rPr>
                <w:rFonts w:ascii="Arial Narrow" w:hAnsi="Arial Narrow"/>
                <w:b/>
                <w:i/>
                <w:color w:val="000000"/>
              </w:rPr>
              <w:t>110.117</w:t>
            </w:r>
          </w:p>
        </w:tc>
        <w:tc>
          <w:tcPr>
            <w:tcW w:w="1588" w:type="dxa"/>
            <w:tcBorders>
              <w:top w:val="single" w:sz="4" w:space="0" w:color="auto"/>
              <w:bottom w:val="single" w:sz="4" w:space="0" w:color="auto"/>
            </w:tcBorders>
            <w:shd w:val="clear" w:color="auto" w:fill="auto"/>
            <w:vAlign w:val="center"/>
          </w:tcPr>
          <w:p w:rsidR="00FA4191" w:rsidRPr="00DF0173" w:rsidRDefault="00FA4191" w:rsidP="00DF0173">
            <w:pPr>
              <w:spacing w:after="0"/>
              <w:ind w:firstLine="0"/>
              <w:jc w:val="right"/>
              <w:rPr>
                <w:rFonts w:ascii="Arial Narrow" w:hAnsi="Arial Narrow"/>
                <w:b/>
                <w:i/>
                <w:color w:val="000000"/>
              </w:rPr>
            </w:pPr>
            <w:r>
              <w:rPr>
                <w:rFonts w:ascii="Arial Narrow" w:hAnsi="Arial Narrow"/>
                <w:b/>
                <w:i/>
                <w:color w:val="000000"/>
              </w:rPr>
              <w:t>138.400</w:t>
            </w:r>
          </w:p>
        </w:tc>
      </w:tr>
      <w:tr w:rsidR="00FA4191" w:rsidRPr="00DC3CE7" w:rsidTr="00C54F50">
        <w:trPr>
          <w:trHeight w:val="284"/>
          <w:jc w:val="center"/>
        </w:trPr>
        <w:tc>
          <w:tcPr>
            <w:tcW w:w="2836"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44" w:firstLine="0"/>
              <w:jc w:val="left"/>
              <w:rPr>
                <w:rFonts w:ascii="Arial Narrow" w:hAnsi="Arial Narrow"/>
                <w:color w:val="000000"/>
              </w:rPr>
            </w:pPr>
            <w:r>
              <w:rPr>
                <w:rFonts w:ascii="Arial Narrow" w:hAnsi="Arial Narrow"/>
                <w:color w:val="000000"/>
              </w:rPr>
              <w:t>Zerbitzuak eta bulegoak</w:t>
            </w:r>
          </w:p>
        </w:tc>
        <w:tc>
          <w:tcPr>
            <w:tcW w:w="1139"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75" w:firstLine="0"/>
              <w:jc w:val="right"/>
              <w:rPr>
                <w:rFonts w:ascii="Arial Narrow" w:hAnsi="Arial Narrow"/>
                <w:color w:val="000000"/>
              </w:rPr>
            </w:pPr>
            <w:r>
              <w:rPr>
                <w:rFonts w:ascii="Arial Narrow" w:hAnsi="Arial Narrow"/>
                <w:color w:val="000000"/>
              </w:rPr>
              <w:t>16.811</w:t>
            </w:r>
          </w:p>
        </w:tc>
        <w:tc>
          <w:tcPr>
            <w:tcW w:w="1497"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25" w:firstLine="0"/>
              <w:jc w:val="right"/>
              <w:rPr>
                <w:rFonts w:ascii="Arial Narrow" w:hAnsi="Arial Narrow"/>
                <w:color w:val="000000"/>
              </w:rPr>
            </w:pPr>
            <w:r>
              <w:rPr>
                <w:rFonts w:ascii="Arial Narrow" w:hAnsi="Arial Narrow"/>
                <w:color w:val="000000"/>
              </w:rPr>
              <w:t>9.088</w:t>
            </w:r>
          </w:p>
        </w:tc>
        <w:tc>
          <w:tcPr>
            <w:tcW w:w="1971" w:type="dxa"/>
            <w:tcBorders>
              <w:top w:val="single" w:sz="4" w:space="0" w:color="auto"/>
              <w:bottom w:val="single" w:sz="2" w:space="0" w:color="auto"/>
            </w:tcBorders>
            <w:shd w:val="clear" w:color="auto" w:fill="auto"/>
            <w:noWrap/>
            <w:vAlign w:val="center"/>
          </w:tcPr>
          <w:p w:rsidR="00FA4191" w:rsidRPr="000A2B37" w:rsidRDefault="00FA4191" w:rsidP="00DF0173">
            <w:pPr>
              <w:spacing w:after="0"/>
              <w:ind w:left="87" w:right="86" w:firstLine="0"/>
              <w:jc w:val="right"/>
              <w:rPr>
                <w:rFonts w:ascii="Arial Narrow" w:hAnsi="Arial Narrow"/>
                <w:color w:val="000000"/>
              </w:rPr>
            </w:pPr>
            <w:r>
              <w:rPr>
                <w:rFonts w:ascii="Arial Narrow" w:hAnsi="Arial Narrow"/>
                <w:color w:val="000000"/>
              </w:rPr>
              <w:t>7.723</w:t>
            </w:r>
          </w:p>
        </w:tc>
        <w:tc>
          <w:tcPr>
            <w:tcW w:w="1588" w:type="dxa"/>
            <w:tcBorders>
              <w:top w:val="single" w:sz="4" w:space="0" w:color="auto"/>
              <w:bottom w:val="single" w:sz="2" w:space="0" w:color="auto"/>
            </w:tcBorders>
            <w:vAlign w:val="center"/>
          </w:tcPr>
          <w:p w:rsidR="00FA4191" w:rsidRPr="000A2B37" w:rsidRDefault="00FA4191" w:rsidP="00DF0173">
            <w:pPr>
              <w:spacing w:after="0"/>
              <w:ind w:firstLine="0"/>
              <w:jc w:val="right"/>
              <w:rPr>
                <w:rFonts w:ascii="Arial Narrow" w:hAnsi="Arial Narrow"/>
                <w:color w:val="000000"/>
              </w:rPr>
            </w:pPr>
            <w:r>
              <w:rPr>
                <w:rFonts w:ascii="Arial Narrow" w:hAnsi="Arial Narrow"/>
                <w:color w:val="000000"/>
              </w:rPr>
              <w:t>4.166</w:t>
            </w:r>
          </w:p>
        </w:tc>
      </w:tr>
      <w:tr w:rsidR="00FA4191" w:rsidRPr="00DC3CE7" w:rsidTr="00C54F50">
        <w:trPr>
          <w:trHeight w:val="284"/>
          <w:jc w:val="center"/>
        </w:trPr>
        <w:tc>
          <w:tcPr>
            <w:tcW w:w="2836"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44" w:firstLine="0"/>
              <w:jc w:val="left"/>
              <w:rPr>
                <w:rFonts w:ascii="Arial Narrow" w:hAnsi="Arial Narrow"/>
                <w:color w:val="000000"/>
              </w:rPr>
            </w:pPr>
            <w:r>
              <w:rPr>
                <w:rFonts w:ascii="Arial Narrow" w:hAnsi="Arial Narrow"/>
                <w:color w:val="000000"/>
              </w:rPr>
              <w:t>Nabeak</w:t>
            </w:r>
          </w:p>
        </w:tc>
        <w:tc>
          <w:tcPr>
            <w:tcW w:w="1139"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75" w:firstLine="0"/>
              <w:jc w:val="right"/>
              <w:rPr>
                <w:rFonts w:ascii="Arial Narrow" w:hAnsi="Arial Narrow"/>
                <w:color w:val="000000"/>
              </w:rPr>
            </w:pPr>
            <w:r>
              <w:rPr>
                <w:rFonts w:ascii="Arial Narrow" w:hAnsi="Arial Narrow"/>
                <w:color w:val="000000"/>
              </w:rPr>
              <w:t>202.897</w:t>
            </w:r>
          </w:p>
        </w:tc>
        <w:tc>
          <w:tcPr>
            <w:tcW w:w="1497"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25" w:firstLine="0"/>
              <w:jc w:val="right"/>
              <w:rPr>
                <w:rFonts w:ascii="Arial Narrow" w:hAnsi="Arial Narrow"/>
                <w:color w:val="000000"/>
              </w:rPr>
            </w:pPr>
            <w:r>
              <w:rPr>
                <w:rFonts w:ascii="Arial Narrow" w:hAnsi="Arial Narrow"/>
                <w:color w:val="000000"/>
              </w:rPr>
              <w:t>157.884</w:t>
            </w:r>
          </w:p>
        </w:tc>
        <w:tc>
          <w:tcPr>
            <w:tcW w:w="1971" w:type="dxa"/>
            <w:tcBorders>
              <w:top w:val="single" w:sz="2" w:space="0" w:color="auto"/>
              <w:bottom w:val="single" w:sz="4" w:space="0" w:color="auto"/>
            </w:tcBorders>
            <w:shd w:val="clear" w:color="auto" w:fill="auto"/>
            <w:noWrap/>
            <w:vAlign w:val="center"/>
          </w:tcPr>
          <w:p w:rsidR="00FA4191" w:rsidRPr="000A2B37" w:rsidRDefault="00FA4191" w:rsidP="00DF0173">
            <w:pPr>
              <w:spacing w:after="0"/>
              <w:ind w:left="87" w:right="86" w:firstLine="0"/>
              <w:jc w:val="right"/>
              <w:rPr>
                <w:rFonts w:ascii="Arial Narrow" w:hAnsi="Arial Narrow"/>
                <w:color w:val="000000"/>
              </w:rPr>
            </w:pPr>
            <w:r>
              <w:rPr>
                <w:rFonts w:ascii="Arial Narrow" w:hAnsi="Arial Narrow"/>
                <w:color w:val="000000"/>
              </w:rPr>
              <w:t>45.013</w:t>
            </w:r>
          </w:p>
        </w:tc>
        <w:tc>
          <w:tcPr>
            <w:tcW w:w="1588" w:type="dxa"/>
            <w:tcBorders>
              <w:top w:val="single" w:sz="2" w:space="0" w:color="auto"/>
              <w:bottom w:val="single" w:sz="4" w:space="0" w:color="auto"/>
            </w:tcBorders>
            <w:vAlign w:val="center"/>
          </w:tcPr>
          <w:p w:rsidR="00FA4191" w:rsidRPr="000A2B37" w:rsidRDefault="00FA4191" w:rsidP="00DF0173">
            <w:pPr>
              <w:spacing w:after="0"/>
              <w:ind w:firstLine="0"/>
              <w:jc w:val="right"/>
              <w:rPr>
                <w:rFonts w:ascii="Arial Narrow" w:hAnsi="Arial Narrow"/>
                <w:color w:val="000000"/>
              </w:rPr>
            </w:pPr>
            <w:r>
              <w:rPr>
                <w:rFonts w:ascii="Arial Narrow" w:hAnsi="Arial Narrow"/>
                <w:color w:val="000000"/>
              </w:rPr>
              <w:t>74.703</w:t>
            </w:r>
          </w:p>
        </w:tc>
      </w:tr>
      <w:tr w:rsidR="00FA4191" w:rsidRPr="00DF0173" w:rsidTr="00C54F50">
        <w:trPr>
          <w:trHeight w:val="284"/>
          <w:jc w:val="center"/>
        </w:trPr>
        <w:tc>
          <w:tcPr>
            <w:tcW w:w="2836"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44" w:firstLine="0"/>
              <w:jc w:val="left"/>
              <w:rPr>
                <w:rFonts w:ascii="Arial Narrow" w:hAnsi="Arial Narrow"/>
                <w:b/>
                <w:i/>
                <w:color w:val="000000"/>
              </w:rPr>
            </w:pPr>
            <w:r>
              <w:rPr>
                <w:rFonts w:ascii="Arial Narrow" w:hAnsi="Arial Narrow"/>
                <w:b/>
                <w:i/>
                <w:color w:val="000000"/>
              </w:rPr>
              <w:t>GHaren 2. fasea, guztira</w:t>
            </w:r>
          </w:p>
        </w:tc>
        <w:tc>
          <w:tcPr>
            <w:tcW w:w="1139"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75" w:firstLine="0"/>
              <w:jc w:val="right"/>
              <w:rPr>
                <w:rFonts w:ascii="Arial Narrow" w:hAnsi="Arial Narrow"/>
                <w:b/>
                <w:i/>
                <w:color w:val="000000"/>
              </w:rPr>
            </w:pPr>
            <w:r>
              <w:rPr>
                <w:rFonts w:ascii="Arial Narrow" w:hAnsi="Arial Narrow"/>
                <w:b/>
                <w:i/>
                <w:color w:val="000000"/>
              </w:rPr>
              <w:t>219.708</w:t>
            </w:r>
          </w:p>
        </w:tc>
        <w:tc>
          <w:tcPr>
            <w:tcW w:w="1497"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25" w:firstLine="0"/>
              <w:jc w:val="right"/>
              <w:rPr>
                <w:rFonts w:ascii="Arial Narrow" w:hAnsi="Arial Narrow"/>
                <w:b/>
                <w:i/>
                <w:color w:val="000000"/>
              </w:rPr>
            </w:pPr>
            <w:r>
              <w:rPr>
                <w:rFonts w:ascii="Arial Narrow" w:hAnsi="Arial Narrow"/>
                <w:b/>
                <w:i/>
                <w:color w:val="000000"/>
              </w:rPr>
              <w:t>166.972</w:t>
            </w:r>
          </w:p>
        </w:tc>
        <w:tc>
          <w:tcPr>
            <w:tcW w:w="1971" w:type="dxa"/>
            <w:tcBorders>
              <w:top w:val="single" w:sz="4" w:space="0" w:color="auto"/>
              <w:bottom w:val="single" w:sz="4" w:space="0" w:color="auto"/>
            </w:tcBorders>
            <w:shd w:val="clear" w:color="auto" w:fill="auto"/>
            <w:noWrap/>
            <w:vAlign w:val="center"/>
          </w:tcPr>
          <w:p w:rsidR="00FA4191" w:rsidRPr="00DF0173" w:rsidRDefault="00FA4191" w:rsidP="00DF0173">
            <w:pPr>
              <w:spacing w:after="0"/>
              <w:ind w:left="87" w:firstLine="0"/>
              <w:jc w:val="right"/>
              <w:rPr>
                <w:rFonts w:ascii="Arial Narrow" w:hAnsi="Arial Narrow"/>
                <w:b/>
                <w:i/>
                <w:color w:val="000000"/>
              </w:rPr>
            </w:pPr>
            <w:r>
              <w:rPr>
                <w:rFonts w:ascii="Arial Narrow" w:hAnsi="Arial Narrow"/>
                <w:b/>
                <w:i/>
                <w:color w:val="000000"/>
              </w:rPr>
              <w:t>52.736</w:t>
            </w:r>
          </w:p>
        </w:tc>
        <w:tc>
          <w:tcPr>
            <w:tcW w:w="1588" w:type="dxa"/>
            <w:tcBorders>
              <w:top w:val="single" w:sz="4" w:space="0" w:color="auto"/>
              <w:bottom w:val="single" w:sz="4" w:space="0" w:color="auto"/>
            </w:tcBorders>
            <w:shd w:val="clear" w:color="auto" w:fill="auto"/>
            <w:vAlign w:val="center"/>
          </w:tcPr>
          <w:p w:rsidR="00FA4191" w:rsidRPr="00DF0173" w:rsidRDefault="00FA4191" w:rsidP="00DF0173">
            <w:pPr>
              <w:spacing w:after="0"/>
              <w:ind w:firstLine="0"/>
              <w:jc w:val="right"/>
              <w:rPr>
                <w:rFonts w:ascii="Arial Narrow" w:hAnsi="Arial Narrow"/>
                <w:b/>
                <w:i/>
                <w:color w:val="000000"/>
              </w:rPr>
            </w:pPr>
            <w:r>
              <w:rPr>
                <w:rFonts w:ascii="Arial Narrow" w:hAnsi="Arial Narrow"/>
                <w:b/>
                <w:i/>
                <w:color w:val="000000"/>
              </w:rPr>
              <w:t>78.869</w:t>
            </w:r>
          </w:p>
        </w:tc>
      </w:tr>
      <w:tr w:rsidR="00FA4191" w:rsidRPr="00DF0173" w:rsidTr="00AE19B3">
        <w:trPr>
          <w:trHeight w:val="284"/>
          <w:jc w:val="center"/>
        </w:trPr>
        <w:tc>
          <w:tcPr>
            <w:tcW w:w="2836" w:type="dxa"/>
            <w:tcBorders>
              <w:top w:val="single" w:sz="4" w:space="0" w:color="auto"/>
              <w:bottom w:val="single" w:sz="4" w:space="0" w:color="auto"/>
            </w:tcBorders>
            <w:shd w:val="clear" w:color="auto" w:fill="B8CCE4" w:themeFill="accent1" w:themeFillTint="66"/>
            <w:noWrap/>
            <w:vAlign w:val="center"/>
          </w:tcPr>
          <w:p w:rsidR="00FA4191" w:rsidRPr="00DF0173" w:rsidRDefault="00FA4191" w:rsidP="00DF0173">
            <w:pPr>
              <w:widowControl w:val="0"/>
              <w:spacing w:after="0"/>
              <w:ind w:left="44" w:firstLine="0"/>
              <w:jc w:val="left"/>
              <w:rPr>
                <w:rFonts w:ascii="Arial" w:hAnsi="Arial" w:cs="Arial"/>
                <w:color w:val="000000"/>
                <w:sz w:val="18"/>
                <w:szCs w:val="18"/>
              </w:rPr>
            </w:pPr>
            <w:r>
              <w:rPr>
                <w:rFonts w:ascii="Arial" w:hAnsi="Arial"/>
                <w:color w:val="000000"/>
                <w:sz w:val="18"/>
                <w:szCs w:val="18"/>
              </w:rPr>
              <w:t>GH, guztira</w:t>
            </w:r>
          </w:p>
        </w:tc>
        <w:tc>
          <w:tcPr>
            <w:tcW w:w="1139" w:type="dxa"/>
            <w:tcBorders>
              <w:top w:val="single" w:sz="4" w:space="0" w:color="auto"/>
              <w:bottom w:val="single" w:sz="4" w:space="0" w:color="auto"/>
            </w:tcBorders>
            <w:shd w:val="clear" w:color="auto" w:fill="B8CCE4" w:themeFill="accent1" w:themeFillTint="66"/>
            <w:noWrap/>
            <w:vAlign w:val="center"/>
          </w:tcPr>
          <w:p w:rsidR="00FA4191" w:rsidRPr="00DF0173" w:rsidRDefault="00FA4191" w:rsidP="00DF0173">
            <w:pPr>
              <w:spacing w:after="0"/>
              <w:ind w:left="75" w:firstLine="0"/>
              <w:jc w:val="right"/>
              <w:rPr>
                <w:rFonts w:ascii="Arial" w:hAnsi="Arial" w:cs="Arial"/>
                <w:color w:val="000000"/>
                <w:sz w:val="18"/>
                <w:szCs w:val="18"/>
              </w:rPr>
            </w:pPr>
            <w:r>
              <w:rPr>
                <w:rFonts w:ascii="Arial" w:hAnsi="Arial"/>
                <w:color w:val="000000"/>
                <w:sz w:val="18"/>
                <w:szCs w:val="18"/>
              </w:rPr>
              <w:t>608.363</w:t>
            </w:r>
          </w:p>
        </w:tc>
        <w:tc>
          <w:tcPr>
            <w:tcW w:w="1497" w:type="dxa"/>
            <w:tcBorders>
              <w:top w:val="single" w:sz="4" w:space="0" w:color="auto"/>
              <w:bottom w:val="single" w:sz="4" w:space="0" w:color="auto"/>
            </w:tcBorders>
            <w:shd w:val="clear" w:color="auto" w:fill="B8CCE4" w:themeFill="accent1" w:themeFillTint="66"/>
            <w:noWrap/>
            <w:vAlign w:val="center"/>
          </w:tcPr>
          <w:p w:rsidR="00FA4191" w:rsidRPr="00DF0173" w:rsidRDefault="00FA4191" w:rsidP="00DF0173">
            <w:pPr>
              <w:spacing w:after="0"/>
              <w:ind w:left="25" w:firstLine="0"/>
              <w:jc w:val="right"/>
              <w:rPr>
                <w:rFonts w:ascii="Arial" w:hAnsi="Arial" w:cs="Arial"/>
                <w:color w:val="000000"/>
                <w:sz w:val="18"/>
                <w:szCs w:val="18"/>
              </w:rPr>
            </w:pPr>
            <w:r>
              <w:rPr>
                <w:rFonts w:ascii="Arial" w:hAnsi="Arial"/>
                <w:color w:val="000000"/>
                <w:sz w:val="18"/>
                <w:szCs w:val="18"/>
              </w:rPr>
              <w:t>445.510</w:t>
            </w:r>
          </w:p>
        </w:tc>
        <w:tc>
          <w:tcPr>
            <w:tcW w:w="1971" w:type="dxa"/>
            <w:tcBorders>
              <w:top w:val="single" w:sz="4" w:space="0" w:color="auto"/>
              <w:bottom w:val="single" w:sz="4" w:space="0" w:color="auto"/>
            </w:tcBorders>
            <w:shd w:val="clear" w:color="auto" w:fill="B8CCE4" w:themeFill="accent1" w:themeFillTint="66"/>
            <w:noWrap/>
            <w:vAlign w:val="center"/>
          </w:tcPr>
          <w:p w:rsidR="00FA4191" w:rsidRPr="00DF0173" w:rsidRDefault="00FA4191" w:rsidP="00DF0173">
            <w:pPr>
              <w:spacing w:after="0"/>
              <w:ind w:left="87" w:firstLine="0"/>
              <w:jc w:val="right"/>
              <w:rPr>
                <w:rFonts w:ascii="Arial" w:hAnsi="Arial" w:cs="Arial"/>
                <w:color w:val="000000"/>
                <w:sz w:val="18"/>
                <w:szCs w:val="18"/>
              </w:rPr>
            </w:pPr>
            <w:r>
              <w:rPr>
                <w:rFonts w:ascii="Arial" w:hAnsi="Arial"/>
                <w:color w:val="000000"/>
                <w:sz w:val="18"/>
                <w:szCs w:val="18"/>
              </w:rPr>
              <w:t>162.853</w:t>
            </w:r>
          </w:p>
        </w:tc>
        <w:tc>
          <w:tcPr>
            <w:tcW w:w="1588" w:type="dxa"/>
            <w:tcBorders>
              <w:top w:val="single" w:sz="4" w:space="0" w:color="auto"/>
              <w:bottom w:val="single" w:sz="4" w:space="0" w:color="auto"/>
            </w:tcBorders>
            <w:shd w:val="clear" w:color="auto" w:fill="B8CCE4" w:themeFill="accent1" w:themeFillTint="66"/>
            <w:vAlign w:val="center"/>
          </w:tcPr>
          <w:p w:rsidR="00FA4191" w:rsidRPr="00DF0173" w:rsidRDefault="00FA4191" w:rsidP="00DF0173">
            <w:pPr>
              <w:spacing w:after="0"/>
              <w:ind w:firstLine="0"/>
              <w:jc w:val="right"/>
              <w:rPr>
                <w:rFonts w:ascii="Arial" w:hAnsi="Arial" w:cs="Arial"/>
                <w:color w:val="000000"/>
                <w:sz w:val="18"/>
                <w:szCs w:val="18"/>
              </w:rPr>
            </w:pPr>
            <w:r>
              <w:rPr>
                <w:rFonts w:ascii="Arial" w:hAnsi="Arial"/>
                <w:color w:val="000000"/>
                <w:sz w:val="18"/>
                <w:szCs w:val="18"/>
              </w:rPr>
              <w:t>217.269</w:t>
            </w:r>
          </w:p>
        </w:tc>
      </w:tr>
    </w:tbl>
    <w:p w:rsidR="00FA4191" w:rsidRDefault="00FA4191" w:rsidP="00DF0173">
      <w:pPr>
        <w:pStyle w:val="texto"/>
        <w:tabs>
          <w:tab w:val="clear" w:pos="2835"/>
          <w:tab w:val="clear" w:pos="3969"/>
          <w:tab w:val="clear" w:pos="5103"/>
          <w:tab w:val="clear" w:pos="6237"/>
          <w:tab w:val="clear" w:pos="7371"/>
        </w:tabs>
        <w:spacing w:after="0"/>
        <w:rPr>
          <w:szCs w:val="26"/>
        </w:rPr>
      </w:pPr>
    </w:p>
    <w:p w:rsidR="004D22FC" w:rsidRDefault="004D22FC" w:rsidP="00FA4191">
      <w:pPr>
        <w:pStyle w:val="texto"/>
        <w:tabs>
          <w:tab w:val="clear" w:pos="2835"/>
          <w:tab w:val="clear" w:pos="3969"/>
          <w:tab w:val="clear" w:pos="5103"/>
          <w:tab w:val="clear" w:pos="6237"/>
          <w:tab w:val="clear" w:pos="7371"/>
        </w:tabs>
        <w:rPr>
          <w:szCs w:val="26"/>
        </w:rPr>
      </w:pPr>
    </w:p>
    <w:p w:rsidR="004D22FC" w:rsidRDefault="004D22FC" w:rsidP="00FA4191">
      <w:pPr>
        <w:pStyle w:val="texto"/>
        <w:tabs>
          <w:tab w:val="clear" w:pos="2835"/>
          <w:tab w:val="clear" w:pos="3969"/>
          <w:tab w:val="clear" w:pos="5103"/>
          <w:tab w:val="clear" w:pos="6237"/>
          <w:tab w:val="clear" w:pos="7371"/>
        </w:tabs>
        <w:rPr>
          <w:szCs w:val="26"/>
        </w:rPr>
      </w:pPr>
    </w:p>
    <w:p w:rsidR="00FA4191" w:rsidRDefault="007138DF" w:rsidP="00FA4191">
      <w:pPr>
        <w:pStyle w:val="texto"/>
        <w:tabs>
          <w:tab w:val="clear" w:pos="2835"/>
          <w:tab w:val="clear" w:pos="3969"/>
          <w:tab w:val="clear" w:pos="5103"/>
          <w:tab w:val="clear" w:pos="6237"/>
          <w:tab w:val="clear" w:pos="7371"/>
        </w:tabs>
        <w:rPr>
          <w:szCs w:val="26"/>
        </w:rPr>
      </w:pPr>
      <w:r>
        <w:rPr>
          <w:b/>
          <w:szCs w:val="26"/>
        </w:rPr>
        <w:t>Hamahirugarrena.</w:t>
      </w:r>
      <w:r>
        <w:t xml:space="preserve"> Honela azaltzen dira udalez gaindiko plan sektorial h</w:t>
      </w:r>
      <w:r>
        <w:t>o</w:t>
      </w:r>
      <w:r>
        <w:t>nek izan dituen aldaketak:</w:t>
      </w:r>
    </w:p>
    <w:p w:rsidR="00FA4191" w:rsidRPr="001713E3" w:rsidRDefault="00FA4191" w:rsidP="00AB34B3">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Lehenengoa (1996) 1991ko behin betiko onespenaren ondorengo bat-bateko inguruabarrek justifikatzen dute; honako hauek aipa ditzakegu: 1995ean, sozietate sustatzaileak Sanco-GM aldi baterako enpresa-elkarteak aurkeztutako eskaintzari adjudikatu zion GHa egin eta garatzeko lehiaketa; aldi baterako enpresa-elkarteak aurkeztutako proposamenak aldaketa batzuk pla</w:t>
      </w:r>
      <w:r>
        <w:t>n</w:t>
      </w:r>
      <w:r>
        <w:t>teatzen ditu hasierako hirigintza-antolaketan eta -garapenean; sozietate kude</w:t>
      </w:r>
      <w:r>
        <w:t>a</w:t>
      </w:r>
      <w:r>
        <w:t>tzaileak aldaketa horiek onartu zituenez, udalez gaindiko plan sektoriala prop</w:t>
      </w:r>
      <w:r>
        <w:t>o</w:t>
      </w:r>
      <w:r>
        <w:t xml:space="preserve">samen horren arabera egokitu behar izan zen. </w:t>
      </w:r>
    </w:p>
    <w:p w:rsidR="00FA4191" w:rsidRPr="00FA4191" w:rsidRDefault="00FA4191" w:rsidP="00FA419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Bigarrena (2000) GHaren 2. fasea garatzeari buruzkoa izan zen: hasierako udalez gaindiko plan sektorialak aurreikusitako erabilerak —”garraioa eta h</w:t>
      </w:r>
      <w:r>
        <w:t>o</w:t>
      </w:r>
      <w:r>
        <w:t>rrekin lotutako bestelako erabilerak”, “materialak eta makineria biltegiratzea” eta “hezkuntza-erabilera onartua”— aldatu ziren hartan aurreikusitako bi er</w:t>
      </w:r>
      <w:r>
        <w:t>e</w:t>
      </w:r>
      <w:r>
        <w:t>muetan —zerbitzuetakoa eta nabeetakoa—, GHaren 1. faserako ezarritakoekin bat.</w:t>
      </w:r>
    </w:p>
    <w:p w:rsidR="00FA4191" w:rsidRDefault="00FA4191" w:rsidP="005929D2">
      <w:pPr>
        <w:pStyle w:val="texto"/>
        <w:tabs>
          <w:tab w:val="clear" w:pos="2835"/>
          <w:tab w:val="clear" w:pos="3969"/>
          <w:tab w:val="clear" w:pos="5103"/>
          <w:tab w:val="clear" w:pos="6237"/>
          <w:tab w:val="clear" w:pos="7371"/>
        </w:tabs>
        <w:rPr>
          <w:szCs w:val="26"/>
        </w:rPr>
      </w:pPr>
      <w:r>
        <w:rPr>
          <w:b/>
          <w:szCs w:val="26"/>
        </w:rPr>
        <w:t>Hamalaugarrena.</w:t>
      </w:r>
      <w:r>
        <w:t xml:space="preserve"> Udalez gaindiko plan sektorial horren izapidetzerako eta onespenerako, Lurraldearen Antolamenduari buruzko azaroaren 11ko 12/1986 Foru Legea aplikatzen da. Egindako lanetik ondorioztatzen da aurkeztu den proiektuak aipatutako 12/1986 Foru Legearen 24. artikuluan ezarritako dok</w:t>
      </w:r>
      <w:r>
        <w:t>u</w:t>
      </w:r>
      <w:r>
        <w:t>mentazioa jasotzen duela eta aipatutako foru legearen 26. artikuluan haren onespenerako araututako prozedura errespetatu dela. Hura arautzen duen hir</w:t>
      </w:r>
      <w:r>
        <w:t>i</w:t>
      </w:r>
      <w:r>
        <w:t xml:space="preserve">gintza-araudia edo testu bategina 2016ko apirileko NAOn argitaratu zen. </w:t>
      </w:r>
    </w:p>
    <w:p w:rsidR="00FF29AD" w:rsidRPr="005929D2" w:rsidRDefault="00FF29AD" w:rsidP="00FF29AD">
      <w:pPr>
        <w:pStyle w:val="texto"/>
        <w:tabs>
          <w:tab w:val="clear" w:pos="2835"/>
          <w:tab w:val="clear" w:pos="3969"/>
          <w:tab w:val="clear" w:pos="5103"/>
          <w:tab w:val="clear" w:pos="6237"/>
          <w:tab w:val="clear" w:pos="7371"/>
        </w:tabs>
        <w:rPr>
          <w:szCs w:val="26"/>
        </w:rPr>
      </w:pPr>
      <w:r>
        <w:t>Lehenengo aldaketa funtsean oinarritzen da udalez gaindiko plan sektoriala aldi baterako enpresa-elkarteak aurkeztutako proposamenean jasotako aldaketei eta hobekuntzei egokitzean.</w:t>
      </w:r>
    </w:p>
    <w:p w:rsidR="00FA4191" w:rsidRDefault="00FA4191" w:rsidP="007F218C">
      <w:pPr>
        <w:pStyle w:val="texto"/>
        <w:tabs>
          <w:tab w:val="clear" w:pos="2835"/>
          <w:tab w:val="clear" w:pos="3969"/>
          <w:tab w:val="clear" w:pos="5103"/>
          <w:tab w:val="clear" w:pos="6237"/>
          <w:tab w:val="clear" w:pos="7371"/>
        </w:tabs>
        <w:spacing w:after="120"/>
        <w:rPr>
          <w:szCs w:val="26"/>
        </w:rPr>
      </w:pPr>
      <w:r>
        <w:rPr>
          <w:b/>
          <w:szCs w:val="26"/>
        </w:rPr>
        <w:t>Hamabosgarrena.</w:t>
      </w:r>
      <w:r>
        <w:t xml:space="preserve"> Udalez gaindiko bigarren plan sektoriala, GHaren zaba</w:t>
      </w:r>
      <w:r>
        <w:t>l</w:t>
      </w:r>
      <w:r>
        <w:t>kuntzari dagokiona, sortu zen aurreko bi faseetan aurkitutako okupazio handi</w:t>
      </w:r>
      <w:r>
        <w:t>a</w:t>
      </w:r>
      <w:r>
        <w:t>ren aurrean; horretaz gainera, honela justifikatu zen:</w:t>
      </w:r>
    </w:p>
    <w:p w:rsidR="00FA4191" w:rsidRDefault="00FA4191" w:rsidP="007F218C">
      <w:pPr>
        <w:pStyle w:val="texto"/>
        <w:numPr>
          <w:ilvl w:val="0"/>
          <w:numId w:val="1"/>
        </w:numPr>
        <w:tabs>
          <w:tab w:val="clear" w:pos="502"/>
          <w:tab w:val="clear" w:pos="2835"/>
          <w:tab w:val="clear" w:pos="3969"/>
          <w:tab w:val="clear" w:pos="5103"/>
          <w:tab w:val="clear" w:pos="6237"/>
          <w:tab w:val="clear" w:pos="7371"/>
          <w:tab w:val="left" w:pos="480"/>
          <w:tab w:val="num" w:pos="600"/>
        </w:tabs>
        <w:spacing w:after="120"/>
        <w:ind w:left="0" w:firstLine="290"/>
        <w:rPr>
          <w:szCs w:val="26"/>
        </w:rPr>
      </w:pPr>
      <w:r>
        <w:t>Trenbide-sarearekiko intermodalitatea proiektatzea.</w:t>
      </w:r>
    </w:p>
    <w:p w:rsidR="00FA4191" w:rsidRDefault="00FA4191" w:rsidP="007F218C">
      <w:pPr>
        <w:pStyle w:val="texto"/>
        <w:numPr>
          <w:ilvl w:val="0"/>
          <w:numId w:val="1"/>
        </w:numPr>
        <w:tabs>
          <w:tab w:val="clear" w:pos="502"/>
          <w:tab w:val="clear" w:pos="2835"/>
          <w:tab w:val="clear" w:pos="3969"/>
          <w:tab w:val="clear" w:pos="5103"/>
          <w:tab w:val="clear" w:pos="6237"/>
          <w:tab w:val="clear" w:pos="7371"/>
          <w:tab w:val="left" w:pos="480"/>
          <w:tab w:val="num" w:pos="600"/>
        </w:tabs>
        <w:spacing w:after="120"/>
        <w:ind w:left="0" w:firstLine="290"/>
        <w:rPr>
          <w:szCs w:val="26"/>
        </w:rPr>
      </w:pPr>
      <w:r>
        <w:t>Eskainitako lursailen tipologia antzemandako eskariari egokitzea, bereziki, azaleraren tamainari dagokionez eta eraikin isolatuetarako lursailak egoteari dagokionez.</w:t>
      </w:r>
    </w:p>
    <w:p w:rsidR="00FA4191" w:rsidRPr="00377877" w:rsidRDefault="00FA4191" w:rsidP="007F218C">
      <w:pPr>
        <w:pStyle w:val="texto"/>
        <w:numPr>
          <w:ilvl w:val="0"/>
          <w:numId w:val="1"/>
        </w:numPr>
        <w:tabs>
          <w:tab w:val="clear" w:pos="502"/>
          <w:tab w:val="clear" w:pos="2835"/>
          <w:tab w:val="clear" w:pos="3969"/>
          <w:tab w:val="clear" w:pos="5103"/>
          <w:tab w:val="clear" w:pos="6237"/>
          <w:tab w:val="clear" w:pos="7371"/>
          <w:tab w:val="left" w:pos="480"/>
          <w:tab w:val="num" w:pos="600"/>
        </w:tabs>
        <w:spacing w:after="120"/>
        <w:ind w:left="0" w:firstLine="290"/>
        <w:rPr>
          <w:szCs w:val="26"/>
        </w:rPr>
      </w:pPr>
      <w:r>
        <w:t>Nabeak alokatzeko araubidea ezartzea, horretarako nabeen guztizko azal</w:t>
      </w:r>
      <w:r>
        <w:t>e</w:t>
      </w:r>
      <w:r>
        <w:t>raren ehuneko 20 erreserbatuta.</w:t>
      </w:r>
    </w:p>
    <w:p w:rsidR="00D74DCC" w:rsidRDefault="00D74DCC" w:rsidP="007F218C">
      <w:pPr>
        <w:pStyle w:val="texto"/>
        <w:tabs>
          <w:tab w:val="clear" w:pos="2835"/>
          <w:tab w:val="clear" w:pos="3969"/>
          <w:tab w:val="clear" w:pos="5103"/>
          <w:tab w:val="clear" w:pos="6237"/>
          <w:tab w:val="clear" w:pos="7371"/>
        </w:tabs>
        <w:spacing w:after="120"/>
        <w:rPr>
          <w:szCs w:val="26"/>
        </w:rPr>
      </w:pPr>
      <w:r>
        <w:t xml:space="preserve">Zabalkuntzarako udalez gaindiko plan sektorial berria idazteko, Herri Lan Departamentuak lehiaketa ireki bat izapidetu zuen, 165.797 euroko lizitazio-zenbatekoarekin (BEZik gabe). Lehiaketara, hiru eskaintza aurkeztu ziren, eta </w:t>
      </w:r>
      <w:r>
        <w:lastRenderedPageBreak/>
        <w:t>aipatutako lehiaketako orrietako balorazio-irizpideen arabera puntuazio hand</w:t>
      </w:r>
      <w:r>
        <w:t>i</w:t>
      </w:r>
      <w:r>
        <w:t>ena lortu zuena suertatu zen adjudikazio-hartzaile, 160.000 euroko adjudikazio-zenbatekoarekin. Espediente hori aztertuta, ondorioztatzen da haren izapid</w:t>
      </w:r>
      <w:r>
        <w:t>e</w:t>
      </w:r>
      <w:r>
        <w:t xml:space="preserve">tzean eta adjudikazioan aplikatzekoa den araudia errespetatu dela. </w:t>
      </w:r>
    </w:p>
    <w:p w:rsidR="004D22FC" w:rsidRDefault="004D22FC" w:rsidP="007F218C">
      <w:pPr>
        <w:pStyle w:val="texto"/>
        <w:tabs>
          <w:tab w:val="clear" w:pos="2835"/>
          <w:tab w:val="clear" w:pos="3969"/>
          <w:tab w:val="clear" w:pos="5103"/>
          <w:tab w:val="clear" w:pos="6237"/>
          <w:tab w:val="clear" w:pos="7371"/>
        </w:tabs>
        <w:spacing w:after="120"/>
        <w:rPr>
          <w:szCs w:val="26"/>
        </w:rPr>
      </w:pPr>
    </w:p>
    <w:p w:rsidR="00FA4191" w:rsidRDefault="00FA4191" w:rsidP="007F218C">
      <w:pPr>
        <w:pStyle w:val="texto"/>
        <w:tabs>
          <w:tab w:val="clear" w:pos="2835"/>
          <w:tab w:val="clear" w:pos="3969"/>
          <w:tab w:val="clear" w:pos="5103"/>
          <w:tab w:val="clear" w:pos="6237"/>
          <w:tab w:val="clear" w:pos="7371"/>
        </w:tabs>
        <w:spacing w:after="120"/>
        <w:rPr>
          <w:szCs w:val="26"/>
        </w:rPr>
      </w:pPr>
      <w:r>
        <w:rPr>
          <w:b/>
          <w:szCs w:val="26"/>
        </w:rPr>
        <w:t>Hamaseigarrena.</w:t>
      </w:r>
      <w:r>
        <w:t xml:space="preserve"> GHaren zabalkuntza, milioi bat metro koadrotik gorako azalerarekin, honako eremu funtzional hauen arabera egituratzen da:</w:t>
      </w:r>
    </w:p>
    <w:p w:rsidR="00FA4191" w:rsidRPr="00ED005A" w:rsidRDefault="00FA4191" w:rsidP="007F218C">
      <w:pPr>
        <w:pStyle w:val="texto"/>
        <w:tabs>
          <w:tab w:val="clear" w:pos="2835"/>
          <w:tab w:val="clear" w:pos="3969"/>
          <w:tab w:val="clear" w:pos="5103"/>
          <w:tab w:val="clear" w:pos="6237"/>
          <w:tab w:val="clear" w:pos="7371"/>
          <w:tab w:val="num" w:pos="600"/>
        </w:tabs>
        <w:spacing w:after="120"/>
        <w:rPr>
          <w:szCs w:val="26"/>
        </w:rPr>
      </w:pPr>
      <w:r>
        <w:t>a) Zerbitzuetarako gune osagarria, langileei eta eremuko erabiltzaileei oin</w:t>
      </w:r>
      <w:r>
        <w:t>a</w:t>
      </w:r>
      <w:r>
        <w:t>rrizko zerbitzuak emateko eta aldi baterako kirol- eta jarduera-eremuak gar</w:t>
      </w:r>
      <w:r>
        <w:t>a</w:t>
      </w:r>
      <w:r>
        <w:t>tzeko.</w:t>
      </w:r>
    </w:p>
    <w:p w:rsidR="00FA4191" w:rsidRDefault="00FA4191" w:rsidP="007F218C">
      <w:pPr>
        <w:pStyle w:val="texto"/>
        <w:tabs>
          <w:tab w:val="clear" w:pos="2835"/>
          <w:tab w:val="clear" w:pos="3969"/>
          <w:tab w:val="clear" w:pos="5103"/>
          <w:tab w:val="clear" w:pos="6237"/>
          <w:tab w:val="clear" w:pos="7371"/>
          <w:tab w:val="num" w:pos="600"/>
        </w:tabs>
        <w:spacing w:after="120"/>
        <w:rPr>
          <w:szCs w:val="26"/>
        </w:rPr>
      </w:pPr>
      <w:r>
        <w:t xml:space="preserve">b) Eremu intermodala. Erreserbarako gune gisa pentsatua, trenbideko zein errepideko salgaien garraioaren balizko garapena egiteko. </w:t>
      </w:r>
    </w:p>
    <w:p w:rsidR="00FA4191" w:rsidRDefault="00FA4191" w:rsidP="007F218C">
      <w:pPr>
        <w:pStyle w:val="texto"/>
        <w:tabs>
          <w:tab w:val="clear" w:pos="2835"/>
          <w:tab w:val="clear" w:pos="3969"/>
          <w:tab w:val="clear" w:pos="5103"/>
          <w:tab w:val="clear" w:pos="6237"/>
          <w:tab w:val="clear" w:pos="7371"/>
          <w:tab w:val="num" w:pos="600"/>
        </w:tabs>
        <w:spacing w:after="120"/>
        <w:rPr>
          <w:szCs w:val="26"/>
        </w:rPr>
      </w:pPr>
      <w:r>
        <w:t>c) Eremu logistiko intermodala. Plataformako eremu espezializatua da, e</w:t>
      </w:r>
      <w:r>
        <w:t>n</w:t>
      </w:r>
      <w:r>
        <w:t xml:space="preserve">presa-gune logistikoak ezartzeko eta, oro har, stocken biltegiratze-, banaketa- eta kudeaketa-jarduerak egiten dituzten enpresak kokatzeko. </w:t>
      </w:r>
    </w:p>
    <w:p w:rsidR="00FA4191" w:rsidRDefault="00FA4191" w:rsidP="007F218C">
      <w:pPr>
        <w:pStyle w:val="texto"/>
        <w:tabs>
          <w:tab w:val="clear" w:pos="2835"/>
          <w:tab w:val="clear" w:pos="3969"/>
          <w:tab w:val="clear" w:pos="5103"/>
          <w:tab w:val="clear" w:pos="6237"/>
          <w:tab w:val="clear" w:pos="7371"/>
          <w:tab w:val="num" w:pos="600"/>
        </w:tabs>
        <w:spacing w:after="120"/>
        <w:rPr>
          <w:szCs w:val="26"/>
        </w:rPr>
      </w:pPr>
      <w:r>
        <w:t>d) Eremu logistiko balioaniztuna, gehien bat biltegiratze-erabileretarako.</w:t>
      </w:r>
    </w:p>
    <w:p w:rsidR="00FA4191" w:rsidRDefault="00FA4191" w:rsidP="00FA4191">
      <w:pPr>
        <w:pStyle w:val="texto"/>
        <w:tabs>
          <w:tab w:val="clear" w:pos="2835"/>
          <w:tab w:val="clear" w:pos="3969"/>
          <w:tab w:val="clear" w:pos="5103"/>
          <w:tab w:val="clear" w:pos="6237"/>
          <w:tab w:val="clear" w:pos="7371"/>
        </w:tabs>
        <w:rPr>
          <w:szCs w:val="26"/>
        </w:rPr>
      </w:pPr>
      <w:r>
        <w:t>GHaren zabalkuntzaren udalez gaindiko plan sektorialak ukitutako guztizko azalerak honako egitura hau dauka:</w:t>
      </w:r>
    </w:p>
    <w:tbl>
      <w:tblPr>
        <w:tblW w:w="8929" w:type="dxa"/>
        <w:jc w:val="center"/>
        <w:tblCellMar>
          <w:left w:w="70" w:type="dxa"/>
          <w:right w:w="70" w:type="dxa"/>
        </w:tblCellMar>
        <w:tblLook w:val="04A0" w:firstRow="1" w:lastRow="0" w:firstColumn="1" w:lastColumn="0" w:noHBand="0" w:noVBand="1"/>
      </w:tblPr>
      <w:tblGrid>
        <w:gridCol w:w="8929"/>
      </w:tblGrid>
      <w:tr w:rsidR="00FA4191" w:rsidRPr="001E7752" w:rsidTr="004D22FC">
        <w:trPr>
          <w:trHeight w:val="300"/>
          <w:jc w:val="center"/>
        </w:trPr>
        <w:tc>
          <w:tcPr>
            <w:tcW w:w="8929" w:type="dxa"/>
            <w:shd w:val="clear" w:color="auto" w:fill="auto"/>
            <w:noWrap/>
            <w:vAlign w:val="center"/>
          </w:tcPr>
          <w:tbl>
            <w:tblPr>
              <w:tblW w:w="8918" w:type="dxa"/>
              <w:jc w:val="center"/>
              <w:tblCellMar>
                <w:left w:w="70" w:type="dxa"/>
                <w:right w:w="70" w:type="dxa"/>
              </w:tblCellMar>
              <w:tblLook w:val="04A0" w:firstRow="1" w:lastRow="0" w:firstColumn="1" w:lastColumn="0" w:noHBand="0" w:noVBand="1"/>
            </w:tblPr>
            <w:tblGrid>
              <w:gridCol w:w="5022"/>
              <w:gridCol w:w="1088"/>
              <w:gridCol w:w="1138"/>
              <w:gridCol w:w="1541"/>
            </w:tblGrid>
            <w:tr w:rsidR="00FA4191" w:rsidRPr="003A018D" w:rsidTr="007F218C">
              <w:trPr>
                <w:trHeight w:val="255"/>
                <w:jc w:val="center"/>
              </w:trPr>
              <w:tc>
                <w:tcPr>
                  <w:tcW w:w="5098" w:type="dxa"/>
                  <w:tcBorders>
                    <w:top w:val="single" w:sz="4" w:space="0" w:color="auto"/>
                    <w:bottom w:val="single" w:sz="4" w:space="0" w:color="auto"/>
                  </w:tcBorders>
                  <w:shd w:val="clear" w:color="auto" w:fill="B8CCE4" w:themeFill="accent1" w:themeFillTint="66"/>
                  <w:noWrap/>
                  <w:vAlign w:val="center"/>
                  <w:hideMark/>
                </w:tcPr>
                <w:p w:rsidR="00FA4191" w:rsidRPr="003A018D" w:rsidRDefault="00AE19B3" w:rsidP="004D22FC">
                  <w:pPr>
                    <w:widowControl w:val="0"/>
                    <w:spacing w:after="0"/>
                    <w:ind w:firstLine="0"/>
                    <w:rPr>
                      <w:rFonts w:ascii="Arial" w:hAnsi="Arial" w:cs="Arial"/>
                      <w:color w:val="000000"/>
                      <w:sz w:val="18"/>
                      <w:szCs w:val="18"/>
                    </w:rPr>
                  </w:pPr>
                  <w:r>
                    <w:rPr>
                      <w:rFonts w:ascii="Arial" w:hAnsi="Arial"/>
                      <w:color w:val="000000"/>
                      <w:sz w:val="18"/>
                      <w:szCs w:val="18"/>
                    </w:rPr>
                    <w:t>GHaren 3.a. eta 4. faseak/azalera (m</w:t>
                  </w:r>
                  <w:r>
                    <w:rPr>
                      <w:rFonts w:ascii="Arial" w:hAnsi="Arial"/>
                      <w:color w:val="000000"/>
                      <w:sz w:val="18"/>
                      <w:szCs w:val="18"/>
                      <w:vertAlign w:val="superscript"/>
                    </w:rPr>
                    <w:t>2</w:t>
                  </w:r>
                  <w:r>
                    <w:rPr>
                      <w:rFonts w:ascii="Arial" w:hAnsi="Arial"/>
                      <w:color w:val="000000"/>
                      <w:sz w:val="18"/>
                      <w:szCs w:val="18"/>
                    </w:rPr>
                    <w:t>)</w:t>
                  </w:r>
                </w:p>
              </w:tc>
              <w:tc>
                <w:tcPr>
                  <w:tcW w:w="1103" w:type="dxa"/>
                  <w:tcBorders>
                    <w:top w:val="single" w:sz="4" w:space="0" w:color="auto"/>
                    <w:bottom w:val="single" w:sz="4" w:space="0" w:color="auto"/>
                  </w:tcBorders>
                  <w:shd w:val="clear" w:color="auto" w:fill="B8CCE4" w:themeFill="accent1" w:themeFillTint="66"/>
                  <w:noWrap/>
                  <w:vAlign w:val="center"/>
                  <w:hideMark/>
                </w:tcPr>
                <w:p w:rsidR="00FA4191" w:rsidRPr="003A018D" w:rsidRDefault="00FA4191" w:rsidP="004D22FC">
                  <w:pPr>
                    <w:widowControl w:val="0"/>
                    <w:spacing w:after="0"/>
                    <w:ind w:firstLine="0"/>
                    <w:jc w:val="right"/>
                    <w:rPr>
                      <w:rFonts w:ascii="Arial" w:hAnsi="Arial" w:cs="Arial"/>
                      <w:color w:val="000000"/>
                      <w:sz w:val="18"/>
                      <w:szCs w:val="18"/>
                    </w:rPr>
                  </w:pPr>
                  <w:r>
                    <w:rPr>
                      <w:rFonts w:ascii="Arial" w:hAnsi="Arial"/>
                      <w:color w:val="000000"/>
                      <w:sz w:val="18"/>
                      <w:szCs w:val="18"/>
                    </w:rPr>
                    <w:t>3. fasea</w:t>
                  </w:r>
                </w:p>
              </w:tc>
              <w:tc>
                <w:tcPr>
                  <w:tcW w:w="1154" w:type="dxa"/>
                  <w:tcBorders>
                    <w:top w:val="single" w:sz="4" w:space="0" w:color="auto"/>
                    <w:bottom w:val="single" w:sz="4" w:space="0" w:color="auto"/>
                  </w:tcBorders>
                  <w:shd w:val="clear" w:color="auto" w:fill="B8CCE4" w:themeFill="accent1" w:themeFillTint="66"/>
                  <w:noWrap/>
                  <w:vAlign w:val="center"/>
                  <w:hideMark/>
                </w:tcPr>
                <w:p w:rsidR="00FA4191" w:rsidRPr="003A018D" w:rsidRDefault="00FA4191" w:rsidP="004D22FC">
                  <w:pPr>
                    <w:widowControl w:val="0"/>
                    <w:spacing w:after="0"/>
                    <w:ind w:firstLine="0"/>
                    <w:jc w:val="right"/>
                    <w:rPr>
                      <w:rFonts w:ascii="Arial" w:hAnsi="Arial" w:cs="Arial"/>
                      <w:color w:val="000000"/>
                      <w:sz w:val="18"/>
                      <w:szCs w:val="18"/>
                    </w:rPr>
                  </w:pPr>
                  <w:r>
                    <w:rPr>
                      <w:rFonts w:ascii="Arial" w:hAnsi="Arial"/>
                      <w:color w:val="000000"/>
                      <w:sz w:val="18"/>
                      <w:szCs w:val="18"/>
                    </w:rPr>
                    <w:t>4. fasea</w:t>
                  </w:r>
                </w:p>
              </w:tc>
              <w:tc>
                <w:tcPr>
                  <w:tcW w:w="1563" w:type="dxa"/>
                  <w:tcBorders>
                    <w:top w:val="single" w:sz="4" w:space="0" w:color="auto"/>
                    <w:bottom w:val="single" w:sz="4" w:space="0" w:color="auto"/>
                  </w:tcBorders>
                  <w:shd w:val="clear" w:color="auto" w:fill="B8CCE4" w:themeFill="accent1" w:themeFillTint="66"/>
                  <w:noWrap/>
                  <w:vAlign w:val="center"/>
                  <w:hideMark/>
                </w:tcPr>
                <w:p w:rsidR="00FA4191" w:rsidRPr="003A018D" w:rsidRDefault="00FA4191" w:rsidP="004D22FC">
                  <w:pPr>
                    <w:widowControl w:val="0"/>
                    <w:spacing w:after="0"/>
                    <w:ind w:firstLine="0"/>
                    <w:jc w:val="right"/>
                    <w:rPr>
                      <w:rFonts w:ascii="Arial" w:hAnsi="Arial" w:cs="Arial"/>
                      <w:color w:val="000000"/>
                      <w:sz w:val="18"/>
                      <w:szCs w:val="18"/>
                    </w:rPr>
                  </w:pPr>
                  <w:r>
                    <w:rPr>
                      <w:rFonts w:ascii="Arial" w:hAnsi="Arial"/>
                      <w:color w:val="000000"/>
                      <w:sz w:val="18"/>
                      <w:szCs w:val="18"/>
                    </w:rPr>
                    <w:t>Zabalkuntza, guztira</w:t>
                  </w:r>
                </w:p>
              </w:tc>
            </w:tr>
            <w:tr w:rsidR="00FA4191" w:rsidRPr="003A018D" w:rsidTr="007F218C">
              <w:trPr>
                <w:trHeight w:val="255"/>
                <w:jc w:val="center"/>
              </w:trPr>
              <w:tc>
                <w:tcPr>
                  <w:tcW w:w="5098" w:type="dxa"/>
                  <w:tcBorders>
                    <w:top w:val="single" w:sz="4"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rPr>
                  </w:pPr>
                  <w:r>
                    <w:rPr>
                      <w:rFonts w:ascii="Arial Narrow" w:hAnsi="Arial Narrow"/>
                      <w:color w:val="000000"/>
                    </w:rPr>
                    <w:t>Bideak eta azpiegiturak</w:t>
                  </w:r>
                </w:p>
              </w:tc>
              <w:tc>
                <w:tcPr>
                  <w:tcW w:w="1103" w:type="dxa"/>
                  <w:tcBorders>
                    <w:top w:val="single" w:sz="4"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101.429</w:t>
                  </w:r>
                </w:p>
              </w:tc>
              <w:tc>
                <w:tcPr>
                  <w:tcW w:w="1154" w:type="dxa"/>
                  <w:tcBorders>
                    <w:top w:val="single" w:sz="4"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76.682</w:t>
                  </w:r>
                </w:p>
              </w:tc>
              <w:tc>
                <w:tcPr>
                  <w:tcW w:w="1563" w:type="dxa"/>
                  <w:tcBorders>
                    <w:top w:val="single" w:sz="4"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rPr>
                  </w:pPr>
                  <w:r>
                    <w:rPr>
                      <w:rFonts w:ascii="Arial Narrow" w:hAnsi="Arial Narrow"/>
                      <w:color w:val="000000"/>
                    </w:rPr>
                    <w:t>178.111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rPr>
                  </w:pPr>
                  <w:r>
                    <w:rPr>
                      <w:rFonts w:ascii="Arial Narrow" w:hAnsi="Arial Narrow"/>
                      <w:color w:val="000000"/>
                    </w:rPr>
                    <w:t>Berdeguneak</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90.683</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76.348</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rPr>
                  </w:pPr>
                  <w:r>
                    <w:rPr>
                      <w:rFonts w:ascii="Arial Narrow" w:hAnsi="Arial Narrow"/>
                      <w:color w:val="000000"/>
                    </w:rPr>
                    <w:t>167.031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rPr>
                  </w:pPr>
                  <w:r>
                    <w:rPr>
                      <w:rFonts w:ascii="Arial Narrow" w:hAnsi="Arial Narrow"/>
                      <w:color w:val="000000"/>
                    </w:rPr>
                    <w:t>Zuzkiduretarako guneak</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28.617</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13.055</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rPr>
                  </w:pPr>
                  <w:r>
                    <w:rPr>
                      <w:rFonts w:ascii="Arial Narrow" w:hAnsi="Arial Narrow"/>
                      <w:color w:val="000000"/>
                    </w:rPr>
                    <w:t>41.672</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rPr>
                  </w:pPr>
                  <w:r>
                    <w:rPr>
                      <w:rFonts w:ascii="Arial Narrow" w:hAnsi="Arial Narrow"/>
                      <w:color w:val="000000"/>
                    </w:rPr>
                    <w:t>Plataforma intermodala</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0</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65.648</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rPr>
                  </w:pPr>
                  <w:r>
                    <w:rPr>
                      <w:rFonts w:ascii="Arial Narrow" w:hAnsi="Arial Narrow"/>
                      <w:color w:val="000000"/>
                    </w:rPr>
                    <w:t>65.648</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rPr>
                  </w:pPr>
                  <w:r>
                    <w:rPr>
                      <w:rFonts w:ascii="Arial Narrow" w:hAnsi="Arial Narrow"/>
                      <w:color w:val="000000"/>
                    </w:rPr>
                    <w:t>Gune intermodaleko nabeak</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0</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53.181</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rPr>
                  </w:pPr>
                  <w:r>
                    <w:rPr>
                      <w:rFonts w:ascii="Arial Narrow" w:hAnsi="Arial Narrow"/>
                      <w:color w:val="000000"/>
                    </w:rPr>
                    <w:t>53.181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rPr>
                  </w:pPr>
                  <w:r>
                    <w:rPr>
                      <w:rFonts w:ascii="Arial Narrow" w:hAnsi="Arial Narrow"/>
                      <w:color w:val="000000"/>
                    </w:rPr>
                    <w:t>Eraikin atxikietan egindako nabeak</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152.137</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97.824</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rPr>
                  </w:pPr>
                  <w:r>
                    <w:rPr>
                      <w:rFonts w:ascii="Arial Narrow" w:hAnsi="Arial Narrow"/>
                      <w:color w:val="000000"/>
                    </w:rPr>
                    <w:t>249.961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rPr>
                  </w:pPr>
                  <w:r>
                    <w:rPr>
                      <w:rFonts w:ascii="Arial Narrow" w:hAnsi="Arial Narrow"/>
                      <w:color w:val="000000"/>
                    </w:rPr>
                    <w:t>Eraikin isolatuetan egindako nabeak</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234.321</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0</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rPr>
                  </w:pPr>
                  <w:r>
                    <w:rPr>
                      <w:rFonts w:ascii="Arial Narrow" w:hAnsi="Arial Narrow"/>
                      <w:color w:val="000000"/>
                    </w:rPr>
                    <w:t>234.321</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auto"/>
                  <w:noWrap/>
                  <w:vAlign w:val="center"/>
                  <w:hideMark/>
                </w:tcPr>
                <w:p w:rsidR="00FA4191" w:rsidRPr="003A018D" w:rsidRDefault="00FA4191" w:rsidP="004D22FC">
                  <w:pPr>
                    <w:spacing w:after="0"/>
                    <w:ind w:firstLine="0"/>
                    <w:rPr>
                      <w:rFonts w:ascii="Arial Narrow" w:hAnsi="Arial Narrow"/>
                      <w:color w:val="000000"/>
                    </w:rPr>
                  </w:pPr>
                  <w:r>
                    <w:rPr>
                      <w:rFonts w:ascii="Arial Narrow" w:hAnsi="Arial Narrow"/>
                      <w:color w:val="000000"/>
                    </w:rPr>
                    <w:t>Ibilgailu astunen aparkalekua</w:t>
                  </w:r>
                </w:p>
              </w:tc>
              <w:tc>
                <w:tcPr>
                  <w:tcW w:w="110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25.749</w:t>
                  </w:r>
                </w:p>
              </w:tc>
              <w:tc>
                <w:tcPr>
                  <w:tcW w:w="1154"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firstLine="0"/>
                    <w:jc w:val="right"/>
                    <w:rPr>
                      <w:rFonts w:ascii="Arial Narrow" w:hAnsi="Arial Narrow"/>
                      <w:color w:val="000000"/>
                    </w:rPr>
                  </w:pPr>
                  <w:r>
                    <w:rPr>
                      <w:rFonts w:ascii="Arial Narrow" w:hAnsi="Arial Narrow"/>
                      <w:color w:val="000000"/>
                    </w:rPr>
                    <w:t>0</w:t>
                  </w:r>
                </w:p>
              </w:tc>
              <w:tc>
                <w:tcPr>
                  <w:tcW w:w="1563" w:type="dxa"/>
                  <w:tcBorders>
                    <w:top w:val="single" w:sz="2" w:space="0" w:color="auto"/>
                    <w:bottom w:val="single" w:sz="2" w:space="0" w:color="auto"/>
                  </w:tcBorders>
                  <w:shd w:val="clear" w:color="000000" w:fill="FFFFFF"/>
                  <w:vAlign w:val="center"/>
                  <w:hideMark/>
                </w:tcPr>
                <w:p w:rsidR="00FA4191" w:rsidRPr="003A018D" w:rsidRDefault="00FA4191" w:rsidP="004D22FC">
                  <w:pPr>
                    <w:spacing w:after="0"/>
                    <w:ind w:right="86" w:firstLine="0"/>
                    <w:jc w:val="right"/>
                    <w:rPr>
                      <w:rFonts w:ascii="Arial Narrow" w:hAnsi="Arial Narrow"/>
                      <w:color w:val="000000"/>
                    </w:rPr>
                  </w:pPr>
                  <w:r>
                    <w:rPr>
                      <w:rFonts w:ascii="Arial Narrow" w:hAnsi="Arial Narrow"/>
                      <w:color w:val="000000"/>
                    </w:rPr>
                    <w:t>25.749</w:t>
                  </w:r>
                </w:p>
              </w:tc>
            </w:tr>
            <w:tr w:rsidR="00FA4191" w:rsidRPr="003A018D" w:rsidTr="007F218C">
              <w:trPr>
                <w:trHeight w:val="255"/>
                <w:jc w:val="center"/>
              </w:trPr>
              <w:tc>
                <w:tcPr>
                  <w:tcW w:w="5098" w:type="dxa"/>
                  <w:tcBorders>
                    <w:top w:val="single" w:sz="2" w:space="0" w:color="auto"/>
                    <w:bottom w:val="single" w:sz="2" w:space="0" w:color="auto"/>
                  </w:tcBorders>
                  <w:shd w:val="clear" w:color="auto" w:fill="B8CCE4" w:themeFill="accent1" w:themeFillTint="66"/>
                  <w:noWrap/>
                  <w:vAlign w:val="center"/>
                  <w:hideMark/>
                </w:tcPr>
                <w:p w:rsidR="00FA4191" w:rsidRPr="003A018D" w:rsidRDefault="00FA4191" w:rsidP="004D22FC">
                  <w:pPr>
                    <w:widowControl w:val="0"/>
                    <w:spacing w:after="0"/>
                    <w:ind w:firstLine="0"/>
                    <w:rPr>
                      <w:rFonts w:ascii="Arial" w:hAnsi="Arial" w:cs="Arial"/>
                      <w:color w:val="000000"/>
                      <w:sz w:val="18"/>
                      <w:szCs w:val="18"/>
                    </w:rPr>
                  </w:pPr>
                  <w:r>
                    <w:rPr>
                      <w:rFonts w:ascii="Arial" w:hAnsi="Arial"/>
                      <w:color w:val="000000"/>
                      <w:sz w:val="18"/>
                      <w:szCs w:val="18"/>
                    </w:rPr>
                    <w:t>GHaren zabalkuntzaren azalera, guztira</w:t>
                  </w:r>
                </w:p>
              </w:tc>
              <w:tc>
                <w:tcPr>
                  <w:tcW w:w="1103" w:type="dxa"/>
                  <w:tcBorders>
                    <w:top w:val="single" w:sz="2" w:space="0" w:color="auto"/>
                    <w:bottom w:val="single" w:sz="2" w:space="0" w:color="auto"/>
                  </w:tcBorders>
                  <w:shd w:val="clear" w:color="auto" w:fill="B8CCE4" w:themeFill="accent1" w:themeFillTint="66"/>
                  <w:vAlign w:val="center"/>
                  <w:hideMark/>
                </w:tcPr>
                <w:p w:rsidR="00FA4191" w:rsidRPr="003A018D" w:rsidRDefault="00FA4191" w:rsidP="004D22FC">
                  <w:pPr>
                    <w:widowControl w:val="0"/>
                    <w:spacing w:after="0"/>
                    <w:ind w:firstLine="0"/>
                    <w:jc w:val="right"/>
                    <w:rPr>
                      <w:rFonts w:ascii="Arial" w:hAnsi="Arial" w:cs="Arial"/>
                      <w:color w:val="000000"/>
                      <w:sz w:val="18"/>
                      <w:szCs w:val="18"/>
                    </w:rPr>
                  </w:pPr>
                  <w:r>
                    <w:rPr>
                      <w:rFonts w:ascii="Arial" w:hAnsi="Arial"/>
                      <w:color w:val="000000"/>
                      <w:sz w:val="18"/>
                      <w:szCs w:val="18"/>
                    </w:rPr>
                    <w:t>632.936</w:t>
                  </w:r>
                </w:p>
              </w:tc>
              <w:tc>
                <w:tcPr>
                  <w:tcW w:w="1154" w:type="dxa"/>
                  <w:tcBorders>
                    <w:top w:val="single" w:sz="2" w:space="0" w:color="auto"/>
                    <w:bottom w:val="single" w:sz="2" w:space="0" w:color="auto"/>
                  </w:tcBorders>
                  <w:shd w:val="clear" w:color="auto" w:fill="B8CCE4" w:themeFill="accent1" w:themeFillTint="66"/>
                  <w:vAlign w:val="center"/>
                  <w:hideMark/>
                </w:tcPr>
                <w:p w:rsidR="00FA4191" w:rsidRPr="003A018D" w:rsidRDefault="00FA4191" w:rsidP="004D22FC">
                  <w:pPr>
                    <w:widowControl w:val="0"/>
                    <w:spacing w:after="0"/>
                    <w:ind w:firstLine="0"/>
                    <w:jc w:val="right"/>
                    <w:rPr>
                      <w:rFonts w:ascii="Arial" w:hAnsi="Arial" w:cs="Arial"/>
                      <w:color w:val="000000"/>
                      <w:sz w:val="18"/>
                      <w:szCs w:val="18"/>
                    </w:rPr>
                  </w:pPr>
                  <w:r>
                    <w:rPr>
                      <w:rFonts w:ascii="Arial" w:hAnsi="Arial"/>
                      <w:color w:val="000000"/>
                      <w:sz w:val="18"/>
                      <w:szCs w:val="18"/>
                    </w:rPr>
                    <w:t>382.738</w:t>
                  </w:r>
                </w:p>
              </w:tc>
              <w:tc>
                <w:tcPr>
                  <w:tcW w:w="1563" w:type="dxa"/>
                  <w:tcBorders>
                    <w:top w:val="single" w:sz="2" w:space="0" w:color="auto"/>
                    <w:bottom w:val="single" w:sz="2" w:space="0" w:color="auto"/>
                  </w:tcBorders>
                  <w:shd w:val="clear" w:color="auto" w:fill="B8CCE4" w:themeFill="accent1" w:themeFillTint="66"/>
                  <w:vAlign w:val="center"/>
                  <w:hideMark/>
                </w:tcPr>
                <w:p w:rsidR="00FA4191" w:rsidRPr="003A018D" w:rsidRDefault="00FA4191" w:rsidP="004D22FC">
                  <w:pPr>
                    <w:widowControl w:val="0"/>
                    <w:spacing w:after="0"/>
                    <w:ind w:right="86" w:firstLine="0"/>
                    <w:jc w:val="right"/>
                    <w:rPr>
                      <w:rFonts w:ascii="Arial" w:hAnsi="Arial" w:cs="Arial"/>
                      <w:color w:val="000000"/>
                      <w:sz w:val="18"/>
                      <w:szCs w:val="18"/>
                    </w:rPr>
                  </w:pPr>
                  <w:r>
                    <w:rPr>
                      <w:rFonts w:ascii="Arial" w:hAnsi="Arial"/>
                      <w:color w:val="000000"/>
                      <w:sz w:val="18"/>
                      <w:szCs w:val="18"/>
                    </w:rPr>
                    <w:t>1.015.674</w:t>
                  </w:r>
                </w:p>
              </w:tc>
            </w:tr>
            <w:tr w:rsidR="00FA4191" w:rsidRPr="003A018D" w:rsidTr="007F218C">
              <w:trPr>
                <w:trHeight w:val="255"/>
                <w:jc w:val="center"/>
              </w:trPr>
              <w:tc>
                <w:tcPr>
                  <w:tcW w:w="5098" w:type="dxa"/>
                  <w:tcBorders>
                    <w:top w:val="single" w:sz="2" w:space="0" w:color="auto"/>
                    <w:bottom w:val="single" w:sz="4" w:space="0" w:color="auto"/>
                  </w:tcBorders>
                  <w:shd w:val="clear" w:color="auto" w:fill="B8CCE4" w:themeFill="accent1" w:themeFillTint="66"/>
                  <w:noWrap/>
                  <w:vAlign w:val="center"/>
                  <w:hideMark/>
                </w:tcPr>
                <w:p w:rsidR="00FA4191" w:rsidRPr="003A018D" w:rsidRDefault="00FA4191" w:rsidP="004D22FC">
                  <w:pPr>
                    <w:widowControl w:val="0"/>
                    <w:spacing w:after="0"/>
                    <w:ind w:firstLine="0"/>
                    <w:rPr>
                      <w:rFonts w:ascii="Arial" w:hAnsi="Arial" w:cs="Arial"/>
                      <w:color w:val="000000"/>
                      <w:sz w:val="18"/>
                      <w:szCs w:val="18"/>
                    </w:rPr>
                  </w:pPr>
                  <w:r>
                    <w:rPr>
                      <w:rFonts w:ascii="Arial" w:hAnsi="Arial"/>
                      <w:color w:val="000000"/>
                      <w:sz w:val="18"/>
                      <w:szCs w:val="18"/>
                    </w:rPr>
                    <w:t>Azalera eraikia, guztira</w:t>
                  </w:r>
                </w:p>
              </w:tc>
              <w:tc>
                <w:tcPr>
                  <w:tcW w:w="1103" w:type="dxa"/>
                  <w:tcBorders>
                    <w:top w:val="single" w:sz="2" w:space="0" w:color="auto"/>
                    <w:bottom w:val="single" w:sz="4" w:space="0" w:color="auto"/>
                  </w:tcBorders>
                  <w:shd w:val="clear" w:color="auto" w:fill="B8CCE4" w:themeFill="accent1" w:themeFillTint="66"/>
                  <w:vAlign w:val="center"/>
                  <w:hideMark/>
                </w:tcPr>
                <w:p w:rsidR="00FA4191" w:rsidRPr="003A018D" w:rsidRDefault="00FA4191" w:rsidP="004D22FC">
                  <w:pPr>
                    <w:widowControl w:val="0"/>
                    <w:spacing w:after="0"/>
                    <w:ind w:firstLine="0"/>
                    <w:jc w:val="right"/>
                    <w:rPr>
                      <w:rFonts w:ascii="Arial" w:hAnsi="Arial" w:cs="Arial"/>
                      <w:color w:val="000000"/>
                      <w:sz w:val="18"/>
                      <w:szCs w:val="18"/>
                    </w:rPr>
                  </w:pPr>
                  <w:r>
                    <w:rPr>
                      <w:rFonts w:ascii="Arial" w:hAnsi="Arial"/>
                      <w:color w:val="000000"/>
                      <w:sz w:val="18"/>
                      <w:szCs w:val="18"/>
                    </w:rPr>
                    <w:t>248.059</w:t>
                  </w:r>
                </w:p>
              </w:tc>
              <w:tc>
                <w:tcPr>
                  <w:tcW w:w="1154" w:type="dxa"/>
                  <w:tcBorders>
                    <w:top w:val="single" w:sz="2" w:space="0" w:color="auto"/>
                    <w:bottom w:val="single" w:sz="4" w:space="0" w:color="auto"/>
                  </w:tcBorders>
                  <w:shd w:val="clear" w:color="auto" w:fill="B8CCE4" w:themeFill="accent1" w:themeFillTint="66"/>
                  <w:vAlign w:val="center"/>
                  <w:hideMark/>
                </w:tcPr>
                <w:p w:rsidR="00FA4191" w:rsidRPr="003A018D" w:rsidRDefault="00FA4191" w:rsidP="004D22FC">
                  <w:pPr>
                    <w:widowControl w:val="0"/>
                    <w:spacing w:after="0"/>
                    <w:ind w:firstLine="0"/>
                    <w:jc w:val="right"/>
                    <w:rPr>
                      <w:rFonts w:ascii="Arial" w:hAnsi="Arial" w:cs="Arial"/>
                      <w:color w:val="000000"/>
                      <w:sz w:val="18"/>
                      <w:szCs w:val="18"/>
                    </w:rPr>
                  </w:pPr>
                  <w:r>
                    <w:rPr>
                      <w:rFonts w:ascii="Arial" w:hAnsi="Arial"/>
                      <w:color w:val="000000"/>
                      <w:sz w:val="18"/>
                      <w:szCs w:val="18"/>
                    </w:rPr>
                    <w:t>161.461</w:t>
                  </w:r>
                </w:p>
              </w:tc>
              <w:tc>
                <w:tcPr>
                  <w:tcW w:w="1563" w:type="dxa"/>
                  <w:tcBorders>
                    <w:top w:val="single" w:sz="2" w:space="0" w:color="auto"/>
                    <w:bottom w:val="single" w:sz="4" w:space="0" w:color="auto"/>
                  </w:tcBorders>
                  <w:shd w:val="clear" w:color="auto" w:fill="B8CCE4" w:themeFill="accent1" w:themeFillTint="66"/>
                  <w:vAlign w:val="center"/>
                  <w:hideMark/>
                </w:tcPr>
                <w:p w:rsidR="00FA4191" w:rsidRPr="003A018D" w:rsidRDefault="00FA4191" w:rsidP="004D22FC">
                  <w:pPr>
                    <w:widowControl w:val="0"/>
                    <w:spacing w:after="0"/>
                    <w:ind w:right="86" w:firstLine="0"/>
                    <w:jc w:val="right"/>
                    <w:rPr>
                      <w:rFonts w:ascii="Arial" w:hAnsi="Arial" w:cs="Arial"/>
                      <w:color w:val="000000"/>
                      <w:sz w:val="18"/>
                      <w:szCs w:val="18"/>
                    </w:rPr>
                  </w:pPr>
                  <w:r>
                    <w:rPr>
                      <w:rFonts w:ascii="Arial" w:hAnsi="Arial"/>
                      <w:color w:val="000000"/>
                      <w:sz w:val="18"/>
                      <w:szCs w:val="18"/>
                    </w:rPr>
                    <w:t>409.520</w:t>
                  </w:r>
                </w:p>
              </w:tc>
            </w:tr>
          </w:tbl>
          <w:p w:rsidR="00FA4191" w:rsidRPr="001E7752" w:rsidRDefault="00FA4191" w:rsidP="004D22FC">
            <w:pPr>
              <w:pStyle w:val="texto"/>
              <w:tabs>
                <w:tab w:val="clear" w:pos="2835"/>
                <w:tab w:val="clear" w:pos="3969"/>
                <w:tab w:val="clear" w:pos="5103"/>
                <w:tab w:val="clear" w:pos="6237"/>
                <w:tab w:val="clear" w:pos="7371"/>
                <w:tab w:val="num" w:pos="600"/>
              </w:tabs>
              <w:spacing w:after="0"/>
              <w:rPr>
                <w:szCs w:val="26"/>
              </w:rPr>
            </w:pPr>
          </w:p>
        </w:tc>
      </w:tr>
    </w:tbl>
    <w:p w:rsidR="005E356C" w:rsidRDefault="005E356C" w:rsidP="00C54F50">
      <w:pPr>
        <w:pStyle w:val="texto"/>
        <w:tabs>
          <w:tab w:val="clear" w:pos="2835"/>
          <w:tab w:val="clear" w:pos="3969"/>
          <w:tab w:val="clear" w:pos="5103"/>
          <w:tab w:val="clear" w:pos="6237"/>
          <w:tab w:val="clear" w:pos="7371"/>
        </w:tabs>
        <w:spacing w:after="0"/>
        <w:rPr>
          <w:szCs w:val="26"/>
        </w:rPr>
      </w:pPr>
    </w:p>
    <w:p w:rsidR="00FA4191" w:rsidRDefault="00B56BB6" w:rsidP="00FA4191">
      <w:pPr>
        <w:pStyle w:val="texto"/>
        <w:tabs>
          <w:tab w:val="clear" w:pos="2835"/>
          <w:tab w:val="clear" w:pos="3969"/>
          <w:tab w:val="clear" w:pos="5103"/>
          <w:tab w:val="clear" w:pos="6237"/>
          <w:tab w:val="clear" w:pos="7371"/>
        </w:tabs>
        <w:rPr>
          <w:szCs w:val="26"/>
        </w:rPr>
      </w:pPr>
      <w:r>
        <w:rPr>
          <w:b/>
          <w:szCs w:val="26"/>
        </w:rPr>
        <w:t>Hamazazpigarrena.</w:t>
      </w:r>
      <w:r>
        <w:t xml:space="preserve"> GHaren zabalkuntzarako udalez gaindiko plan sektorial berri honen aldaketak direla-eta honako hau esan behar dugu:</w:t>
      </w:r>
    </w:p>
    <w:p w:rsidR="000B1137" w:rsidRDefault="00FA4191" w:rsidP="00B56BB6">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 xml:space="preserve"> Lehenengoa (2006) izan zen udalez gaindiko plan sektoriala egokitzeko GHaren 3. fasearen lehiaketako irabazle izan zen aldi baterako enpresa-elkarteak aurkeztu eta sozietate kudeatzaileak aldez aurretik onetsi zituen ald</w:t>
      </w:r>
      <w:r>
        <w:t>a</w:t>
      </w:r>
      <w:r>
        <w:t>ketei edo hobekuntzei.</w:t>
      </w:r>
      <w:r>
        <w:rPr>
          <w:i/>
          <w:szCs w:val="26"/>
        </w:rPr>
        <w:t xml:space="preserve"> </w:t>
      </w:r>
      <w:r>
        <w:t xml:space="preserve">Aldaketa honen xedeak ez du eraginik zabalkuntzarako udalez gaindiko plan sektorialaren zehaztapenean eta haren hirigintza-estandarrak errespetatzen ditu, eta espazio libreetarako eta berdeguneetarako, bideetarako eta aparkalekuetarako espazioak handitzen ditu. Lurzati pribatu gisa gelditzen dira zabalkuntzaren ekialdeko mugako zerrenda arboladuneko </w:t>
      </w:r>
      <w:r>
        <w:lastRenderedPageBreak/>
        <w:t>30.000 m</w:t>
      </w:r>
      <w:r>
        <w:rPr>
          <w:vertAlign w:val="superscript"/>
        </w:rPr>
        <w:t>2</w:t>
      </w:r>
      <w:r>
        <w:t xml:space="preserve">-ak eta eraikigarritasunari eta ereduzko aprobetxamenduari ia beren horretan eusten zaie. </w:t>
      </w:r>
    </w:p>
    <w:p w:rsidR="00FA4191" w:rsidRPr="000B1137" w:rsidRDefault="00FA4191" w:rsidP="00B56BB6">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Gaur egun bigarren aldaketa bat izapidetzen ari da, lursailen erabilerak 4. fasearen egituraketaren birplanteamenduari egokitzeko, behin trenbide-sarearekiko zuzeneko konexioa epe ertainean baztertuta.</w:t>
      </w:r>
    </w:p>
    <w:p w:rsidR="00FA4191" w:rsidRPr="00D646C1" w:rsidRDefault="00FA4191" w:rsidP="00FA4191">
      <w:pPr>
        <w:pStyle w:val="texto"/>
        <w:tabs>
          <w:tab w:val="clear" w:pos="2835"/>
          <w:tab w:val="clear" w:pos="3969"/>
          <w:tab w:val="clear" w:pos="5103"/>
          <w:tab w:val="clear" w:pos="6237"/>
          <w:tab w:val="clear" w:pos="7371"/>
        </w:tabs>
        <w:rPr>
          <w:szCs w:val="26"/>
        </w:rPr>
      </w:pPr>
      <w:r>
        <w:rPr>
          <w:b/>
          <w:szCs w:val="26"/>
        </w:rPr>
        <w:t>Hemezortzigarrena.</w:t>
      </w:r>
      <w:r>
        <w:t xml:space="preserve"> GHaren zabalkuntzari buruzko udalez gaindiko plan sektorialaren izapidetzeari eta onespenari buruz azterketa egin ondoren, ond</w:t>
      </w:r>
      <w:r>
        <w:t>o</w:t>
      </w:r>
      <w:r>
        <w:t>rioztatzen dugu orokorrean Lurraldearen Antolamenduari eta Hirigintzari b</w:t>
      </w:r>
      <w:r>
        <w:t>u</w:t>
      </w:r>
      <w:r>
        <w:t>ruzko abenduaren 20ko 35/2002 Foru Legearen 43. eta 45. artikuluetan ezarr</w:t>
      </w:r>
      <w:r>
        <w:t>i</w:t>
      </w:r>
      <w:r>
        <w:t>takoaren araberakoa izan dela.</w:t>
      </w:r>
    </w:p>
    <w:p w:rsidR="00FA4191" w:rsidRDefault="00FA4191" w:rsidP="007F218C">
      <w:pPr>
        <w:pStyle w:val="texto"/>
        <w:tabs>
          <w:tab w:val="clear" w:pos="2835"/>
          <w:tab w:val="clear" w:pos="3969"/>
          <w:tab w:val="clear" w:pos="5103"/>
          <w:tab w:val="clear" w:pos="6237"/>
          <w:tab w:val="clear" w:pos="7371"/>
        </w:tabs>
        <w:spacing w:after="240"/>
        <w:rPr>
          <w:szCs w:val="26"/>
        </w:rPr>
      </w:pPr>
      <w:r>
        <w:t>Udalez gaindiko plan sektorial honen aldaketa izapidetu da udalez gaindiko plan sektorial bat onesteko behar diren baldintzak betez: arrazoizkoa da hori, kontuan izanda haren berrikuspen bat dela. Horren justifikazioa da sozietate kudeatzaileak onartu egin dituela aldi baterako enpresa-elkarteak aurkeztutako proposamenean jasota dauden aldaerak eta hobekuntzak.</w:t>
      </w:r>
    </w:p>
    <w:p w:rsidR="00E94F98" w:rsidRPr="004D22FC" w:rsidRDefault="00E94F98" w:rsidP="00E94F98">
      <w:pPr>
        <w:pStyle w:val="atitulo2"/>
        <w:rPr>
          <w:spacing w:val="6"/>
        </w:rPr>
      </w:pPr>
      <w:bookmarkStart w:id="40" w:name="_Toc519583203"/>
      <w:r>
        <w:t>IV.3. Garraioaren Hiriaren lursailak desjabetzeko prozesua</w:t>
      </w:r>
      <w:bookmarkEnd w:id="40"/>
    </w:p>
    <w:p w:rsidR="00E94F98" w:rsidRDefault="00A62F1C" w:rsidP="00E94F98">
      <w:pPr>
        <w:pStyle w:val="texto"/>
        <w:tabs>
          <w:tab w:val="clear" w:pos="2835"/>
          <w:tab w:val="clear" w:pos="3969"/>
          <w:tab w:val="clear" w:pos="5103"/>
          <w:tab w:val="clear" w:pos="6237"/>
          <w:tab w:val="clear" w:pos="7371"/>
        </w:tabs>
        <w:rPr>
          <w:szCs w:val="26"/>
        </w:rPr>
      </w:pPr>
      <w:r>
        <w:rPr>
          <w:b/>
          <w:szCs w:val="26"/>
        </w:rPr>
        <w:t>Hemeretzigarrena.</w:t>
      </w:r>
      <w:r>
        <w:t xml:space="preserve"> Beste ezer baino lehen, zehaztu behar dugu Nafarroako Gobernuak bere gain hartu zuela GHaren lursailen desjabetzeen finantzaketa, honako honen bitartez:</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1993an eta 1994an TTCP SA sozietateak eta Nafarroako Gobernuak sin</w:t>
      </w:r>
      <w:r>
        <w:t>a</w:t>
      </w:r>
      <w:r>
        <w:t>tutako lankidetza hitzarmena, zeinaren bidez azken horrek GHaren lursailak f</w:t>
      </w:r>
      <w:r>
        <w:t>i</w:t>
      </w:r>
      <w:r>
        <w:t>nantzatzen baitzituen.</w:t>
      </w:r>
    </w:p>
    <w:p w:rsidR="00E94F98" w:rsidRPr="005F5633"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Nafarroako Gobernuaren erabakia, 2015eko martxoaren 18koa, zeinak ad</w:t>
      </w:r>
      <w:r>
        <w:t>i</w:t>
      </w:r>
      <w:r>
        <w:t>erazten baitu Nafarroako Gobernuak eutsi nahi diela aurreko hitzarmenean ha</w:t>
      </w:r>
      <w:r>
        <w:t>r</w:t>
      </w:r>
      <w:r>
        <w:t>tutako konpromisoei eta Nasuvinsari sostengua ematen jarraitu nahi diela GH</w:t>
      </w:r>
      <w:r>
        <w:t>a</w:t>
      </w:r>
      <w:r>
        <w:t>ren garapenean, bereziki lursailak eskuratzeko zenbatekoei dagokienez.</w:t>
      </w:r>
    </w:p>
    <w:p w:rsidR="00E94F98" w:rsidRDefault="00052A89" w:rsidP="00E94F98">
      <w:pPr>
        <w:pStyle w:val="texto"/>
        <w:tabs>
          <w:tab w:val="clear" w:pos="2835"/>
          <w:tab w:val="clear" w:pos="3969"/>
          <w:tab w:val="clear" w:pos="5103"/>
          <w:tab w:val="clear" w:pos="6237"/>
          <w:tab w:val="clear" w:pos="7371"/>
        </w:tabs>
        <w:rPr>
          <w:szCs w:val="26"/>
        </w:rPr>
      </w:pPr>
      <w:r>
        <w:rPr>
          <w:b/>
        </w:rPr>
        <w:t>Hogeigarrena.</w:t>
      </w:r>
      <w:r>
        <w:t xml:space="preserve"> GHaren lurren desjabetze-prozesua luzea eta konplexua izan da, eta judizializatze ugari izan dira. Horrek guztiak, azkenean, eragin handia izan du baliabide publikoetan. </w:t>
      </w:r>
    </w:p>
    <w:p w:rsidR="00E94F98" w:rsidRDefault="00E94F98" w:rsidP="00E94F98">
      <w:pPr>
        <w:pStyle w:val="texto"/>
        <w:tabs>
          <w:tab w:val="clear" w:pos="2835"/>
          <w:tab w:val="clear" w:pos="3969"/>
          <w:tab w:val="clear" w:pos="5103"/>
          <w:tab w:val="clear" w:pos="6237"/>
          <w:tab w:val="clear" w:pos="7371"/>
        </w:tabs>
        <w:rPr>
          <w:szCs w:val="26"/>
        </w:rPr>
      </w:pPr>
      <w:r>
        <w:t>Hartara, adiskidetasunezko akordiorik ia batere ez da izan jabeekin; hori dela eta, Desjabetzearen Epaimahaira jo behar izan zen. Alabaina, horren ebazpenen aurkako errekurtsoak aurkeztu zituzten bai jabeek, bai Nafarroako Gobernuak, bai biek ere, Nafarroako Auzitegi Nagusiko Administrazioetarako Auzietako Salan; eta, azkenean, kasazioan, Auzitegi Gorenean —horren epaiarekin ama</w:t>
      </w:r>
      <w:r>
        <w:t>i</w:t>
      </w:r>
      <w:r>
        <w:t>tuko zen prozesu judiziala—.</w:t>
      </w:r>
    </w:p>
    <w:p w:rsidR="00E94F98" w:rsidRDefault="00BB0DF9" w:rsidP="00E94F98">
      <w:pPr>
        <w:pStyle w:val="texto"/>
        <w:tabs>
          <w:tab w:val="clear" w:pos="2835"/>
          <w:tab w:val="clear" w:pos="3969"/>
          <w:tab w:val="clear" w:pos="5103"/>
          <w:tab w:val="clear" w:pos="6237"/>
          <w:tab w:val="clear" w:pos="7371"/>
        </w:tabs>
        <w:rPr>
          <w:szCs w:val="26"/>
        </w:rPr>
      </w:pPr>
      <w:r>
        <w:t>1. eta 2. faseko lursailak desjabetzeko prozesua 1994. urtearen hasieran hasi zen, eta azken ordainketak 2007an egin ziren, 3. eta 4. faseak, berriz, 2005. u</w:t>
      </w:r>
      <w:r>
        <w:t>r</w:t>
      </w:r>
      <w:r>
        <w:t>tearen hasieran hasi ziren, eta azken ordainketak 2017an egin ziren.</w:t>
      </w:r>
    </w:p>
    <w:p w:rsidR="00D62876" w:rsidRDefault="00D62876" w:rsidP="007F218C">
      <w:pPr>
        <w:pStyle w:val="texto"/>
        <w:tabs>
          <w:tab w:val="clear" w:pos="2835"/>
          <w:tab w:val="clear" w:pos="3969"/>
          <w:tab w:val="clear" w:pos="5103"/>
          <w:tab w:val="clear" w:pos="6237"/>
          <w:tab w:val="clear" w:pos="7371"/>
        </w:tabs>
        <w:spacing w:after="240"/>
        <w:rPr>
          <w:szCs w:val="26"/>
        </w:rPr>
      </w:pPr>
    </w:p>
    <w:p w:rsidR="00D62876" w:rsidRDefault="00D62876" w:rsidP="007F218C">
      <w:pPr>
        <w:pStyle w:val="texto"/>
        <w:tabs>
          <w:tab w:val="clear" w:pos="2835"/>
          <w:tab w:val="clear" w:pos="3969"/>
          <w:tab w:val="clear" w:pos="5103"/>
          <w:tab w:val="clear" w:pos="6237"/>
          <w:tab w:val="clear" w:pos="7371"/>
        </w:tabs>
        <w:spacing w:after="240"/>
        <w:rPr>
          <w:szCs w:val="26"/>
        </w:rPr>
      </w:pPr>
    </w:p>
    <w:p w:rsidR="00D62876" w:rsidRDefault="00D62876" w:rsidP="007F218C">
      <w:pPr>
        <w:pStyle w:val="texto"/>
        <w:tabs>
          <w:tab w:val="clear" w:pos="2835"/>
          <w:tab w:val="clear" w:pos="3969"/>
          <w:tab w:val="clear" w:pos="5103"/>
          <w:tab w:val="clear" w:pos="6237"/>
          <w:tab w:val="clear" w:pos="7371"/>
        </w:tabs>
        <w:spacing w:after="240"/>
        <w:rPr>
          <w:szCs w:val="26"/>
        </w:rPr>
      </w:pPr>
    </w:p>
    <w:p w:rsidR="00D62876" w:rsidRDefault="00D62876" w:rsidP="007F218C">
      <w:pPr>
        <w:pStyle w:val="texto"/>
        <w:tabs>
          <w:tab w:val="clear" w:pos="2835"/>
          <w:tab w:val="clear" w:pos="3969"/>
          <w:tab w:val="clear" w:pos="5103"/>
          <w:tab w:val="clear" w:pos="6237"/>
          <w:tab w:val="clear" w:pos="7371"/>
        </w:tabs>
        <w:spacing w:after="240"/>
        <w:rPr>
          <w:szCs w:val="26"/>
        </w:rPr>
      </w:pPr>
    </w:p>
    <w:p w:rsidR="00E94F98" w:rsidRDefault="00B56BB6" w:rsidP="007F218C">
      <w:pPr>
        <w:pStyle w:val="texto"/>
        <w:tabs>
          <w:tab w:val="clear" w:pos="2835"/>
          <w:tab w:val="clear" w:pos="3969"/>
          <w:tab w:val="clear" w:pos="5103"/>
          <w:tab w:val="clear" w:pos="6237"/>
          <w:tab w:val="clear" w:pos="7371"/>
        </w:tabs>
        <w:spacing w:after="240"/>
        <w:rPr>
          <w:szCs w:val="26"/>
        </w:rPr>
      </w:pPr>
      <w:r>
        <w:rPr>
          <w:b/>
          <w:szCs w:val="26"/>
        </w:rPr>
        <w:t xml:space="preserve">Hogeita batgarrena. </w:t>
      </w:r>
      <w:r>
        <w:t>GHko desjabetze guztiak urgentziako prozeduraz egin ziren. Horien guztizko kostua 91,89 milioi eurokoa izan da, honako hauek barne direla: balio justua, afekzio-saria —balio justuaren ehuneko bost— eta legezkoak diren berandutza-interesak. Zehazki:</w:t>
      </w:r>
    </w:p>
    <w:tbl>
      <w:tblPr>
        <w:tblW w:w="8767" w:type="dxa"/>
        <w:jc w:val="center"/>
        <w:tblCellMar>
          <w:left w:w="70" w:type="dxa"/>
          <w:right w:w="70" w:type="dxa"/>
        </w:tblCellMar>
        <w:tblLook w:val="04A0" w:firstRow="1" w:lastRow="0" w:firstColumn="1" w:lastColumn="0" w:noHBand="0" w:noVBand="1"/>
      </w:tblPr>
      <w:tblGrid>
        <w:gridCol w:w="6114"/>
        <w:gridCol w:w="2653"/>
      </w:tblGrid>
      <w:tr w:rsidR="00E94F98" w:rsidRPr="000A2B37" w:rsidTr="00C54F50">
        <w:trPr>
          <w:trHeight w:val="284"/>
          <w:jc w:val="center"/>
        </w:trPr>
        <w:tc>
          <w:tcPr>
            <w:tcW w:w="6114" w:type="dxa"/>
            <w:tcBorders>
              <w:top w:val="single" w:sz="4" w:space="0" w:color="auto"/>
              <w:bottom w:val="single" w:sz="4" w:space="0" w:color="auto"/>
            </w:tcBorders>
            <w:shd w:val="clear" w:color="auto" w:fill="B8CCE4" w:themeFill="accent1" w:themeFillTint="66"/>
            <w:noWrap/>
            <w:vAlign w:val="center"/>
          </w:tcPr>
          <w:p w:rsidR="00E94F98" w:rsidRPr="000A2B37" w:rsidRDefault="00E94F98" w:rsidP="006631AF">
            <w:pPr>
              <w:widowControl w:val="0"/>
              <w:spacing w:after="0"/>
              <w:ind w:firstLine="0"/>
              <w:jc w:val="left"/>
              <w:rPr>
                <w:rFonts w:ascii="Arial" w:hAnsi="Arial" w:cs="Arial"/>
                <w:color w:val="000000"/>
                <w:sz w:val="18"/>
                <w:szCs w:val="18"/>
              </w:rPr>
            </w:pPr>
            <w:r>
              <w:rPr>
                <w:rFonts w:ascii="Arial" w:hAnsi="Arial"/>
                <w:color w:val="000000"/>
                <w:sz w:val="18"/>
                <w:szCs w:val="18"/>
              </w:rPr>
              <w:t>GHaren desjabetzeak</w:t>
            </w:r>
          </w:p>
        </w:tc>
        <w:tc>
          <w:tcPr>
            <w:tcW w:w="2653" w:type="dxa"/>
            <w:tcBorders>
              <w:top w:val="single" w:sz="4" w:space="0" w:color="auto"/>
              <w:bottom w:val="single" w:sz="4" w:space="0" w:color="auto"/>
            </w:tcBorders>
            <w:shd w:val="clear" w:color="auto" w:fill="B8CCE4" w:themeFill="accent1" w:themeFillTint="66"/>
            <w:vAlign w:val="center"/>
          </w:tcPr>
          <w:p w:rsidR="00E94F98" w:rsidRPr="000A2B37" w:rsidRDefault="00E94F98" w:rsidP="00C54F50">
            <w:pPr>
              <w:widowControl w:val="0"/>
              <w:spacing w:after="0"/>
              <w:ind w:left="-5" w:firstLine="0"/>
              <w:jc w:val="right"/>
              <w:rPr>
                <w:rFonts w:ascii="Arial" w:hAnsi="Arial" w:cs="Arial"/>
                <w:color w:val="000000"/>
                <w:sz w:val="18"/>
                <w:szCs w:val="18"/>
              </w:rPr>
            </w:pPr>
            <w:r>
              <w:rPr>
                <w:rFonts w:ascii="Arial" w:hAnsi="Arial"/>
                <w:color w:val="000000"/>
                <w:sz w:val="18"/>
                <w:szCs w:val="18"/>
              </w:rPr>
              <w:t>Amaierako gastua (epairik gabe)</w:t>
            </w:r>
          </w:p>
        </w:tc>
      </w:tr>
      <w:tr w:rsidR="00E94F98" w:rsidRPr="00D94497" w:rsidTr="00C54F50">
        <w:trPr>
          <w:trHeight w:val="284"/>
          <w:jc w:val="center"/>
        </w:trPr>
        <w:tc>
          <w:tcPr>
            <w:tcW w:w="6114" w:type="dxa"/>
            <w:tcBorders>
              <w:top w:val="single" w:sz="4" w:space="0" w:color="auto"/>
              <w:bottom w:val="single" w:sz="2" w:space="0" w:color="auto"/>
            </w:tcBorders>
            <w:shd w:val="clear" w:color="auto" w:fill="auto"/>
            <w:noWrap/>
            <w:vAlign w:val="center"/>
          </w:tcPr>
          <w:p w:rsidR="00E94F98" w:rsidRPr="00287369" w:rsidRDefault="00E94F98" w:rsidP="006631AF">
            <w:pPr>
              <w:spacing w:after="0"/>
              <w:ind w:firstLine="0"/>
              <w:jc w:val="left"/>
              <w:rPr>
                <w:rFonts w:ascii="Arial Narrow" w:hAnsi="Arial Narrow"/>
                <w:color w:val="000000"/>
              </w:rPr>
            </w:pPr>
            <w:r>
              <w:rPr>
                <w:rFonts w:ascii="Arial Narrow" w:hAnsi="Arial Narrow"/>
                <w:color w:val="000000"/>
              </w:rPr>
              <w:t>Printzipala (atxikitze-saria barne)</w:t>
            </w:r>
          </w:p>
        </w:tc>
        <w:tc>
          <w:tcPr>
            <w:tcW w:w="2653" w:type="dxa"/>
            <w:tcBorders>
              <w:top w:val="single" w:sz="4" w:space="0" w:color="auto"/>
              <w:bottom w:val="single" w:sz="2" w:space="0" w:color="auto"/>
            </w:tcBorders>
            <w:shd w:val="clear" w:color="auto" w:fill="auto"/>
            <w:noWrap/>
            <w:vAlign w:val="center"/>
          </w:tcPr>
          <w:p w:rsidR="00E94F98" w:rsidRPr="00D94497" w:rsidRDefault="00E94F98" w:rsidP="006631AF">
            <w:pPr>
              <w:spacing w:after="0"/>
              <w:ind w:left="-5" w:firstLine="0"/>
              <w:jc w:val="right"/>
              <w:rPr>
                <w:rFonts w:ascii="Arial Narrow" w:hAnsi="Arial Narrow"/>
                <w:color w:val="000000"/>
              </w:rPr>
            </w:pPr>
            <w:r>
              <w:rPr>
                <w:rFonts w:ascii="Arial Narrow" w:hAnsi="Arial Narrow"/>
                <w:color w:val="000000"/>
              </w:rPr>
              <w:t>66.737.310</w:t>
            </w:r>
          </w:p>
        </w:tc>
      </w:tr>
      <w:tr w:rsidR="00E94F98" w:rsidRPr="00D94497" w:rsidTr="00C54F50">
        <w:trPr>
          <w:trHeight w:val="284"/>
          <w:jc w:val="center"/>
        </w:trPr>
        <w:tc>
          <w:tcPr>
            <w:tcW w:w="6114" w:type="dxa"/>
            <w:tcBorders>
              <w:top w:val="single" w:sz="2" w:space="0" w:color="auto"/>
              <w:bottom w:val="single" w:sz="2" w:space="0" w:color="auto"/>
            </w:tcBorders>
            <w:shd w:val="clear" w:color="auto" w:fill="auto"/>
            <w:noWrap/>
            <w:vAlign w:val="center"/>
          </w:tcPr>
          <w:p w:rsidR="00E94F98" w:rsidRPr="00287369" w:rsidRDefault="00E94F98" w:rsidP="006631AF">
            <w:pPr>
              <w:spacing w:after="0"/>
              <w:ind w:firstLine="0"/>
              <w:jc w:val="left"/>
              <w:rPr>
                <w:rFonts w:ascii="Arial Narrow" w:hAnsi="Arial Narrow"/>
                <w:color w:val="000000"/>
              </w:rPr>
            </w:pPr>
            <w:r>
              <w:rPr>
                <w:rFonts w:ascii="Arial Narrow" w:hAnsi="Arial Narrow"/>
                <w:color w:val="000000"/>
              </w:rPr>
              <w:t>Legezko interesak</w:t>
            </w:r>
          </w:p>
        </w:tc>
        <w:tc>
          <w:tcPr>
            <w:tcW w:w="2653" w:type="dxa"/>
            <w:tcBorders>
              <w:top w:val="single" w:sz="2" w:space="0" w:color="auto"/>
              <w:bottom w:val="single" w:sz="2" w:space="0" w:color="auto"/>
            </w:tcBorders>
            <w:shd w:val="clear" w:color="auto" w:fill="auto"/>
            <w:noWrap/>
            <w:vAlign w:val="center"/>
          </w:tcPr>
          <w:p w:rsidR="00E94F98" w:rsidRPr="00D94497" w:rsidRDefault="009D08F7" w:rsidP="006631AF">
            <w:pPr>
              <w:spacing w:after="0"/>
              <w:ind w:left="-5" w:firstLine="0"/>
              <w:jc w:val="right"/>
              <w:rPr>
                <w:rFonts w:ascii="Arial Narrow" w:hAnsi="Arial Narrow"/>
                <w:color w:val="000000"/>
              </w:rPr>
            </w:pPr>
            <w:r>
              <w:rPr>
                <w:rFonts w:ascii="Arial Narrow" w:hAnsi="Arial Narrow"/>
                <w:color w:val="000000"/>
              </w:rPr>
              <w:t>25.148.894</w:t>
            </w:r>
          </w:p>
        </w:tc>
      </w:tr>
      <w:tr w:rsidR="00E94F98" w:rsidRPr="006631AF" w:rsidTr="00C54F50">
        <w:trPr>
          <w:trHeight w:val="284"/>
          <w:jc w:val="center"/>
        </w:trPr>
        <w:tc>
          <w:tcPr>
            <w:tcW w:w="6114" w:type="dxa"/>
            <w:tcBorders>
              <w:top w:val="single" w:sz="2" w:space="0" w:color="auto"/>
              <w:bottom w:val="single" w:sz="2" w:space="0" w:color="auto"/>
            </w:tcBorders>
            <w:shd w:val="clear" w:color="auto" w:fill="B8CCE4" w:themeFill="accent1" w:themeFillTint="66"/>
            <w:noWrap/>
            <w:vAlign w:val="center"/>
          </w:tcPr>
          <w:p w:rsidR="00E94F98" w:rsidRPr="006631AF" w:rsidRDefault="00E94F98" w:rsidP="006631AF">
            <w:pPr>
              <w:widowControl w:val="0"/>
              <w:spacing w:after="0"/>
              <w:ind w:firstLine="0"/>
              <w:jc w:val="left"/>
              <w:rPr>
                <w:rFonts w:ascii="Arial" w:hAnsi="Arial" w:cs="Arial"/>
                <w:color w:val="000000"/>
                <w:sz w:val="18"/>
                <w:szCs w:val="18"/>
              </w:rPr>
            </w:pPr>
            <w:r>
              <w:rPr>
                <w:rFonts w:ascii="Arial" w:hAnsi="Arial"/>
                <w:color w:val="000000"/>
                <w:sz w:val="18"/>
                <w:szCs w:val="18"/>
              </w:rPr>
              <w:t>Guztira</w:t>
            </w:r>
          </w:p>
        </w:tc>
        <w:tc>
          <w:tcPr>
            <w:tcW w:w="2653" w:type="dxa"/>
            <w:tcBorders>
              <w:top w:val="single" w:sz="2" w:space="0" w:color="auto"/>
              <w:bottom w:val="single" w:sz="2" w:space="0" w:color="auto"/>
            </w:tcBorders>
            <w:shd w:val="clear" w:color="auto" w:fill="B8CCE4" w:themeFill="accent1" w:themeFillTint="66"/>
            <w:noWrap/>
            <w:vAlign w:val="center"/>
          </w:tcPr>
          <w:p w:rsidR="00E94F98" w:rsidRPr="006631AF" w:rsidRDefault="009D08F7" w:rsidP="006631AF">
            <w:pPr>
              <w:spacing w:after="0"/>
              <w:ind w:left="-5" w:firstLine="0"/>
              <w:jc w:val="right"/>
              <w:rPr>
                <w:rFonts w:ascii="Arial" w:hAnsi="Arial" w:cs="Arial"/>
                <w:color w:val="000000"/>
                <w:sz w:val="18"/>
                <w:szCs w:val="18"/>
              </w:rPr>
            </w:pPr>
            <w:r>
              <w:rPr>
                <w:rFonts w:ascii="Arial" w:hAnsi="Arial"/>
                <w:color w:val="000000"/>
                <w:sz w:val="18"/>
                <w:szCs w:val="18"/>
              </w:rPr>
              <w:t>91.886.204</w:t>
            </w:r>
          </w:p>
        </w:tc>
      </w:tr>
      <w:tr w:rsidR="00D0728A" w:rsidRPr="00D94497" w:rsidTr="00C54F50">
        <w:trPr>
          <w:trHeight w:val="284"/>
          <w:jc w:val="center"/>
        </w:trPr>
        <w:tc>
          <w:tcPr>
            <w:tcW w:w="6114" w:type="dxa"/>
            <w:tcBorders>
              <w:top w:val="single" w:sz="2" w:space="0" w:color="auto"/>
              <w:bottom w:val="single" w:sz="2" w:space="0" w:color="auto"/>
            </w:tcBorders>
            <w:shd w:val="clear" w:color="auto" w:fill="auto"/>
            <w:noWrap/>
            <w:vAlign w:val="center"/>
          </w:tcPr>
          <w:p w:rsidR="00D0728A" w:rsidRPr="00287369" w:rsidRDefault="00D0728A" w:rsidP="006631AF">
            <w:pPr>
              <w:widowControl w:val="0"/>
              <w:spacing w:after="0"/>
              <w:ind w:firstLine="0"/>
              <w:jc w:val="left"/>
              <w:rPr>
                <w:rFonts w:ascii="Arial" w:hAnsi="Arial" w:cs="Arial"/>
                <w:color w:val="000000"/>
                <w:sz w:val="18"/>
                <w:szCs w:val="18"/>
                <w:lang w:eastAsia="es-ES"/>
              </w:rPr>
            </w:pPr>
          </w:p>
        </w:tc>
        <w:tc>
          <w:tcPr>
            <w:tcW w:w="2653" w:type="dxa"/>
            <w:tcBorders>
              <w:top w:val="single" w:sz="2" w:space="0" w:color="auto"/>
              <w:bottom w:val="single" w:sz="2" w:space="0" w:color="auto"/>
            </w:tcBorders>
            <w:shd w:val="clear" w:color="auto" w:fill="auto"/>
            <w:noWrap/>
            <w:vAlign w:val="center"/>
          </w:tcPr>
          <w:p w:rsidR="00D0728A" w:rsidRDefault="00D0728A" w:rsidP="006631AF">
            <w:pPr>
              <w:spacing w:after="0"/>
              <w:ind w:left="-5" w:firstLine="0"/>
              <w:jc w:val="right"/>
              <w:rPr>
                <w:rFonts w:ascii="Arial Narrow" w:hAnsi="Arial Narrow"/>
                <w:b/>
                <w:color w:val="000000"/>
                <w:lang w:eastAsia="es-ES"/>
              </w:rPr>
            </w:pPr>
          </w:p>
        </w:tc>
      </w:tr>
      <w:tr w:rsidR="009B475D" w:rsidRPr="006631AF" w:rsidTr="00C54F50">
        <w:trPr>
          <w:trHeight w:val="284"/>
          <w:jc w:val="center"/>
        </w:trPr>
        <w:tc>
          <w:tcPr>
            <w:tcW w:w="6114" w:type="dxa"/>
            <w:tcBorders>
              <w:top w:val="single" w:sz="2" w:space="0" w:color="auto"/>
              <w:bottom w:val="single" w:sz="2" w:space="0" w:color="auto"/>
            </w:tcBorders>
            <w:shd w:val="clear" w:color="auto" w:fill="B8CCE4" w:themeFill="accent1" w:themeFillTint="66"/>
            <w:noWrap/>
            <w:vAlign w:val="center"/>
          </w:tcPr>
          <w:p w:rsidR="009B475D" w:rsidRPr="001F10F1" w:rsidRDefault="009B475D" w:rsidP="006631AF">
            <w:pPr>
              <w:widowControl w:val="0"/>
              <w:spacing w:after="0"/>
              <w:ind w:firstLine="0"/>
              <w:jc w:val="left"/>
              <w:rPr>
                <w:rFonts w:ascii="Arial" w:hAnsi="Arial" w:cs="Arial"/>
                <w:color w:val="000000"/>
                <w:sz w:val="18"/>
                <w:szCs w:val="18"/>
              </w:rPr>
            </w:pPr>
            <w:r>
              <w:rPr>
                <w:rFonts w:ascii="Arial" w:hAnsi="Arial"/>
                <w:color w:val="000000"/>
                <w:sz w:val="18"/>
                <w:szCs w:val="18"/>
              </w:rPr>
              <w:t>1. eta 2. faseetako (2002) amaierako prezioa (euro/m2), afekzio-saria barne</w:t>
            </w:r>
          </w:p>
        </w:tc>
        <w:tc>
          <w:tcPr>
            <w:tcW w:w="2653" w:type="dxa"/>
            <w:tcBorders>
              <w:top w:val="single" w:sz="2" w:space="0" w:color="auto"/>
              <w:bottom w:val="single" w:sz="2" w:space="0" w:color="auto"/>
            </w:tcBorders>
            <w:shd w:val="clear" w:color="auto" w:fill="B8CCE4" w:themeFill="accent1" w:themeFillTint="66"/>
            <w:noWrap/>
            <w:vAlign w:val="center"/>
          </w:tcPr>
          <w:p w:rsidR="009B475D" w:rsidRPr="001F10F1" w:rsidRDefault="009B475D" w:rsidP="006631AF">
            <w:pPr>
              <w:spacing w:after="0"/>
              <w:ind w:left="-5" w:firstLine="0"/>
              <w:jc w:val="right"/>
              <w:rPr>
                <w:rFonts w:ascii="Arial" w:hAnsi="Arial" w:cs="Arial"/>
                <w:color w:val="000000"/>
                <w:sz w:val="18"/>
                <w:szCs w:val="18"/>
              </w:rPr>
            </w:pPr>
            <w:r>
              <w:rPr>
                <w:rFonts w:ascii="Arial" w:hAnsi="Arial"/>
                <w:color w:val="000000"/>
                <w:sz w:val="18"/>
                <w:szCs w:val="18"/>
              </w:rPr>
              <w:t>12,64 eta 20,60 bitarte</w:t>
            </w:r>
          </w:p>
        </w:tc>
      </w:tr>
      <w:tr w:rsidR="009B475D" w:rsidRPr="006631AF" w:rsidTr="00C54F50">
        <w:trPr>
          <w:trHeight w:val="284"/>
          <w:jc w:val="center"/>
        </w:trPr>
        <w:tc>
          <w:tcPr>
            <w:tcW w:w="6114" w:type="dxa"/>
            <w:tcBorders>
              <w:top w:val="single" w:sz="2" w:space="0" w:color="auto"/>
              <w:bottom w:val="single" w:sz="4" w:space="0" w:color="auto"/>
            </w:tcBorders>
            <w:shd w:val="clear" w:color="auto" w:fill="B8CCE4" w:themeFill="accent1" w:themeFillTint="66"/>
            <w:noWrap/>
            <w:vAlign w:val="center"/>
          </w:tcPr>
          <w:p w:rsidR="009B475D" w:rsidRPr="001F10F1" w:rsidRDefault="009B475D" w:rsidP="006631AF">
            <w:pPr>
              <w:widowControl w:val="0"/>
              <w:spacing w:after="0"/>
              <w:ind w:firstLine="0"/>
              <w:jc w:val="left"/>
              <w:rPr>
                <w:rFonts w:ascii="Arial" w:hAnsi="Arial" w:cs="Arial"/>
                <w:color w:val="000000"/>
                <w:sz w:val="18"/>
                <w:szCs w:val="18"/>
              </w:rPr>
            </w:pPr>
            <w:r>
              <w:rPr>
                <w:rFonts w:ascii="Arial" w:hAnsi="Arial"/>
                <w:color w:val="000000"/>
                <w:sz w:val="18"/>
                <w:szCs w:val="18"/>
              </w:rPr>
              <w:t>3. eta 4. faseetako (2015) amaierako prezioa (euro/m2), afekzio-saria barne</w:t>
            </w:r>
          </w:p>
        </w:tc>
        <w:tc>
          <w:tcPr>
            <w:tcW w:w="2653" w:type="dxa"/>
            <w:tcBorders>
              <w:top w:val="single" w:sz="2" w:space="0" w:color="auto"/>
              <w:bottom w:val="single" w:sz="4" w:space="0" w:color="auto"/>
            </w:tcBorders>
            <w:shd w:val="clear" w:color="auto" w:fill="B8CCE4" w:themeFill="accent1" w:themeFillTint="66"/>
            <w:noWrap/>
            <w:vAlign w:val="center"/>
          </w:tcPr>
          <w:p w:rsidR="009B475D" w:rsidRPr="001F10F1" w:rsidRDefault="009B475D" w:rsidP="006631AF">
            <w:pPr>
              <w:spacing w:after="0"/>
              <w:ind w:left="-5" w:firstLine="0"/>
              <w:jc w:val="right"/>
              <w:rPr>
                <w:rFonts w:ascii="Arial" w:hAnsi="Arial" w:cs="Arial"/>
                <w:color w:val="000000"/>
                <w:sz w:val="18"/>
                <w:szCs w:val="18"/>
              </w:rPr>
            </w:pPr>
            <w:r>
              <w:rPr>
                <w:rFonts w:ascii="Arial" w:hAnsi="Arial"/>
                <w:color w:val="000000"/>
                <w:sz w:val="18"/>
                <w:szCs w:val="18"/>
              </w:rPr>
              <w:t>55,71 eta 59,94 bitarte</w:t>
            </w:r>
          </w:p>
        </w:tc>
      </w:tr>
    </w:tbl>
    <w:p w:rsidR="009D08F7" w:rsidRDefault="009D08F7" w:rsidP="007F218C">
      <w:pPr>
        <w:pStyle w:val="texto"/>
        <w:tabs>
          <w:tab w:val="clear" w:pos="2835"/>
          <w:tab w:val="clear" w:pos="3969"/>
          <w:tab w:val="clear" w:pos="5103"/>
          <w:tab w:val="clear" w:pos="6237"/>
          <w:tab w:val="clear" w:pos="7371"/>
        </w:tabs>
        <w:spacing w:after="0"/>
        <w:ind w:firstLine="0"/>
        <w:rPr>
          <w:szCs w:val="26"/>
        </w:rPr>
      </w:pPr>
    </w:p>
    <w:p w:rsidR="00052A89" w:rsidRDefault="00E94F98" w:rsidP="00E94F98">
      <w:pPr>
        <w:pStyle w:val="texto"/>
        <w:tabs>
          <w:tab w:val="clear" w:pos="2835"/>
          <w:tab w:val="clear" w:pos="3969"/>
          <w:tab w:val="clear" w:pos="5103"/>
          <w:tab w:val="clear" w:pos="6237"/>
          <w:tab w:val="clear" w:pos="7371"/>
        </w:tabs>
        <w:rPr>
          <w:szCs w:val="26"/>
        </w:rPr>
      </w:pPr>
      <w:r>
        <w:t>Nabarmendu beharra daukagu legezkoak diren berandutze-interesek 25,15 milioi euro egin dutela; hau da, guztizko zenbatekoaren ehuneko 27.</w:t>
      </w:r>
    </w:p>
    <w:p w:rsidR="00E94F98" w:rsidRPr="00D646C1" w:rsidRDefault="00052A89" w:rsidP="00E94F98">
      <w:pPr>
        <w:pStyle w:val="texto"/>
        <w:tabs>
          <w:tab w:val="clear" w:pos="2835"/>
          <w:tab w:val="clear" w:pos="3969"/>
          <w:tab w:val="clear" w:pos="5103"/>
          <w:tab w:val="clear" w:pos="6237"/>
          <w:tab w:val="clear" w:pos="7371"/>
        </w:tabs>
        <w:rPr>
          <w:szCs w:val="26"/>
        </w:rPr>
      </w:pPr>
      <w:r>
        <w:t>Lursaileko m</w:t>
      </w:r>
      <w:r>
        <w:rPr>
          <w:vertAlign w:val="superscript"/>
        </w:rPr>
        <w:t>2</w:t>
      </w:r>
      <w:r>
        <w:t xml:space="preserve"> bakoitzerako epai bidez eman den amaierako prezioak, igoera aipagarria izan du GHaren fase desberdinetan, antzeko izaera eta produktibit</w:t>
      </w:r>
      <w:r>
        <w:t>a</w:t>
      </w:r>
      <w:r>
        <w:t>tea  duten lursailak izanda ere, guztiak ere udalez gaindiko plan sektorialek i</w:t>
      </w:r>
      <w:r>
        <w:t>n</w:t>
      </w:r>
      <w:r>
        <w:t>dustria-erabilerarako lurzoru urbanizagarri gisa sailkatuak.</w:t>
      </w:r>
    </w:p>
    <w:p w:rsidR="00E94F98" w:rsidRPr="00080123" w:rsidRDefault="00A62F1C" w:rsidP="00E94F98">
      <w:pPr>
        <w:pStyle w:val="texto"/>
        <w:tabs>
          <w:tab w:val="clear" w:pos="2835"/>
          <w:tab w:val="clear" w:pos="3969"/>
          <w:tab w:val="clear" w:pos="5103"/>
          <w:tab w:val="clear" w:pos="6237"/>
          <w:tab w:val="clear" w:pos="7371"/>
        </w:tabs>
        <w:rPr>
          <w:szCs w:val="26"/>
        </w:rPr>
      </w:pPr>
      <w:r>
        <w:rPr>
          <w:b/>
          <w:szCs w:val="26"/>
        </w:rPr>
        <w:t>Hogeita bigarrena.</w:t>
      </w:r>
      <w:r>
        <w:t xml:space="preserve"> GHaren 1. eta 2. faseetako desjabetzeak. Fase horietako desjabetzeen kostua 17,47 milioi eurokoa izan da, honako hauek barne direla: lursailen balio justua, afekzio-saria —balio justuaren ehuneko bost— eta l</w:t>
      </w:r>
      <w:r>
        <w:t>e</w:t>
      </w:r>
      <w:r>
        <w:t>gezkoak diren berandutza-interesak.</w:t>
      </w:r>
    </w:p>
    <w:p w:rsidR="00E94F98" w:rsidRDefault="00E94F98" w:rsidP="00E94F98">
      <w:pPr>
        <w:pStyle w:val="texto"/>
        <w:tabs>
          <w:tab w:val="clear" w:pos="2835"/>
          <w:tab w:val="clear" w:pos="3969"/>
          <w:tab w:val="clear" w:pos="5103"/>
          <w:tab w:val="clear" w:pos="6237"/>
          <w:tab w:val="clear" w:pos="7371"/>
        </w:tabs>
        <w:rPr>
          <w:szCs w:val="26"/>
        </w:rPr>
      </w:pPr>
      <w:r>
        <w:t>Desjabetzeen Epaimahaiaren 1997ko ebazpenaren arabera, horien kostuak berekin ekarriko zuen guztira 1,39 milioi euro ordaintzea.</w:t>
      </w:r>
    </w:p>
    <w:p w:rsidR="005E356C" w:rsidRDefault="00E94F98" w:rsidP="00D62876">
      <w:pPr>
        <w:pStyle w:val="texto"/>
        <w:tabs>
          <w:tab w:val="clear" w:pos="2835"/>
          <w:tab w:val="clear" w:pos="3969"/>
          <w:tab w:val="clear" w:pos="5103"/>
          <w:tab w:val="clear" w:pos="6237"/>
          <w:tab w:val="clear" w:pos="7371"/>
        </w:tabs>
        <w:spacing w:after="240"/>
        <w:rPr>
          <w:szCs w:val="26"/>
        </w:rPr>
      </w:pPr>
      <w:r>
        <w:t>Hurrengo taulan bi zenbateko horiek alderatzen dira, 600.000 m</w:t>
      </w:r>
      <w:r>
        <w:rPr>
          <w:vertAlign w:val="superscript"/>
        </w:rPr>
        <w:t>2</w:t>
      </w:r>
      <w:r>
        <w:t>-tik gorako azalera baterako.</w:t>
      </w:r>
    </w:p>
    <w:tbl>
      <w:tblPr>
        <w:tblW w:w="8836" w:type="dxa"/>
        <w:jc w:val="center"/>
        <w:tblInd w:w="48" w:type="dxa"/>
        <w:tblCellMar>
          <w:left w:w="70" w:type="dxa"/>
          <w:right w:w="70" w:type="dxa"/>
        </w:tblCellMar>
        <w:tblLook w:val="04A0" w:firstRow="1" w:lastRow="0" w:firstColumn="1" w:lastColumn="0" w:noHBand="0" w:noVBand="1"/>
      </w:tblPr>
      <w:tblGrid>
        <w:gridCol w:w="3032"/>
        <w:gridCol w:w="2724"/>
        <w:gridCol w:w="3080"/>
      </w:tblGrid>
      <w:tr w:rsidR="00E94F98" w:rsidRPr="000A2B37" w:rsidTr="00C54F50">
        <w:trPr>
          <w:trHeight w:val="255"/>
          <w:jc w:val="center"/>
        </w:trPr>
        <w:tc>
          <w:tcPr>
            <w:tcW w:w="3032" w:type="dxa"/>
            <w:tcBorders>
              <w:top w:val="single" w:sz="4" w:space="0" w:color="auto"/>
              <w:bottom w:val="single" w:sz="4" w:space="0" w:color="auto"/>
            </w:tcBorders>
            <w:shd w:val="clear" w:color="auto" w:fill="B8CCE4" w:themeFill="accent1" w:themeFillTint="66"/>
            <w:noWrap/>
            <w:vAlign w:val="center"/>
          </w:tcPr>
          <w:p w:rsidR="00E94F98" w:rsidRPr="000A2B37" w:rsidRDefault="00E94F98" w:rsidP="00C54F50">
            <w:pPr>
              <w:widowControl w:val="0"/>
              <w:spacing w:after="0"/>
              <w:ind w:left="-37" w:firstLine="37"/>
              <w:jc w:val="left"/>
              <w:rPr>
                <w:rFonts w:ascii="Arial" w:hAnsi="Arial" w:cs="Arial"/>
                <w:color w:val="000000"/>
                <w:sz w:val="18"/>
                <w:szCs w:val="18"/>
              </w:rPr>
            </w:pPr>
            <w:r>
              <w:rPr>
                <w:rFonts w:ascii="Arial" w:hAnsi="Arial"/>
                <w:color w:val="000000"/>
                <w:sz w:val="18"/>
                <w:szCs w:val="18"/>
              </w:rPr>
              <w:t>IGHaren 1. eta 2. faseetako desj</w:t>
            </w:r>
            <w:r>
              <w:rPr>
                <w:rFonts w:ascii="Arial" w:hAnsi="Arial"/>
                <w:color w:val="000000"/>
                <w:sz w:val="18"/>
                <w:szCs w:val="18"/>
              </w:rPr>
              <w:t>a</w:t>
            </w:r>
            <w:r>
              <w:rPr>
                <w:rFonts w:ascii="Arial" w:hAnsi="Arial"/>
                <w:color w:val="000000"/>
                <w:sz w:val="18"/>
                <w:szCs w:val="18"/>
              </w:rPr>
              <w:t>betzeak</w:t>
            </w:r>
          </w:p>
        </w:tc>
        <w:tc>
          <w:tcPr>
            <w:tcW w:w="2724" w:type="dxa"/>
            <w:tcBorders>
              <w:top w:val="single" w:sz="4" w:space="0" w:color="auto"/>
              <w:bottom w:val="single" w:sz="4" w:space="0" w:color="auto"/>
            </w:tcBorders>
            <w:shd w:val="clear" w:color="auto" w:fill="B8CCE4" w:themeFill="accent1" w:themeFillTint="66"/>
            <w:vAlign w:val="center"/>
          </w:tcPr>
          <w:p w:rsidR="00EF3572" w:rsidRPr="000A2B37" w:rsidRDefault="00E94F98" w:rsidP="006631AF">
            <w:pPr>
              <w:widowControl w:val="0"/>
              <w:spacing w:after="0"/>
              <w:ind w:left="37" w:firstLine="0"/>
              <w:jc w:val="right"/>
              <w:rPr>
                <w:rFonts w:ascii="Arial" w:hAnsi="Arial" w:cs="Arial"/>
                <w:color w:val="000000"/>
                <w:sz w:val="18"/>
                <w:szCs w:val="18"/>
              </w:rPr>
            </w:pPr>
            <w:r>
              <w:rPr>
                <w:rFonts w:ascii="Arial" w:hAnsi="Arial"/>
                <w:color w:val="000000"/>
                <w:sz w:val="18"/>
                <w:szCs w:val="18"/>
              </w:rPr>
              <w:t>Desjabetzeen Epaimahaiak (1997)</w:t>
            </w:r>
          </w:p>
        </w:tc>
        <w:tc>
          <w:tcPr>
            <w:tcW w:w="3080" w:type="dxa"/>
            <w:tcBorders>
              <w:top w:val="single" w:sz="4" w:space="0" w:color="auto"/>
              <w:bottom w:val="single" w:sz="4" w:space="0" w:color="auto"/>
            </w:tcBorders>
            <w:shd w:val="clear" w:color="auto" w:fill="B8CCE4" w:themeFill="accent1" w:themeFillTint="66"/>
            <w:vAlign w:val="center"/>
          </w:tcPr>
          <w:p w:rsidR="00EF3572" w:rsidRPr="000A2B37" w:rsidRDefault="00E94F98" w:rsidP="00C54F50">
            <w:pPr>
              <w:widowControl w:val="0"/>
              <w:spacing w:after="0"/>
              <w:ind w:left="67" w:firstLine="0"/>
              <w:jc w:val="right"/>
              <w:rPr>
                <w:rFonts w:ascii="Arial" w:hAnsi="Arial" w:cs="Arial"/>
                <w:color w:val="000000"/>
                <w:sz w:val="18"/>
                <w:szCs w:val="18"/>
              </w:rPr>
            </w:pPr>
            <w:r>
              <w:rPr>
                <w:rFonts w:ascii="Arial" w:hAnsi="Arial"/>
                <w:color w:val="000000"/>
                <w:sz w:val="18"/>
                <w:szCs w:val="18"/>
              </w:rPr>
              <w:t>Amaierako gastua, epaien arabera (2007)</w:t>
            </w:r>
          </w:p>
        </w:tc>
      </w:tr>
      <w:tr w:rsidR="00E94F98" w:rsidRPr="000A2B37" w:rsidTr="00C54F50">
        <w:trPr>
          <w:trHeight w:val="255"/>
          <w:jc w:val="center"/>
        </w:trPr>
        <w:tc>
          <w:tcPr>
            <w:tcW w:w="3032" w:type="dxa"/>
            <w:tcBorders>
              <w:top w:val="single" w:sz="4" w:space="0" w:color="auto"/>
              <w:bottom w:val="single" w:sz="2" w:space="0" w:color="auto"/>
            </w:tcBorders>
            <w:shd w:val="clear" w:color="auto" w:fill="auto"/>
            <w:noWrap/>
            <w:vAlign w:val="center"/>
          </w:tcPr>
          <w:p w:rsidR="00E94F98" w:rsidRPr="000A2B37" w:rsidRDefault="00E94F98" w:rsidP="00C54F50">
            <w:pPr>
              <w:spacing w:after="0"/>
              <w:ind w:left="-37" w:firstLine="37"/>
              <w:jc w:val="left"/>
              <w:rPr>
                <w:rFonts w:ascii="Arial Narrow" w:hAnsi="Arial Narrow"/>
                <w:color w:val="000000"/>
              </w:rPr>
            </w:pPr>
            <w:r>
              <w:rPr>
                <w:rFonts w:ascii="Arial Narrow" w:hAnsi="Arial Narrow"/>
                <w:color w:val="000000"/>
              </w:rPr>
              <w:t>Prezioa (euroak/m</w:t>
            </w:r>
            <w:r>
              <w:rPr>
                <w:rFonts w:ascii="Arial Narrow" w:hAnsi="Arial Narrow"/>
                <w:color w:val="000000"/>
                <w:vertAlign w:val="superscript"/>
              </w:rPr>
              <w:t>2</w:t>
            </w:r>
            <w:r>
              <w:rPr>
                <w:rFonts w:ascii="Arial Narrow" w:hAnsi="Arial Narrow"/>
                <w:color w:val="000000"/>
              </w:rPr>
              <w:t xml:space="preserve">), afekzio-saria barne </w:t>
            </w:r>
          </w:p>
        </w:tc>
        <w:tc>
          <w:tcPr>
            <w:tcW w:w="2724" w:type="dxa"/>
            <w:tcBorders>
              <w:top w:val="single" w:sz="4" w:space="0" w:color="auto"/>
              <w:bottom w:val="single" w:sz="2" w:space="0" w:color="auto"/>
            </w:tcBorders>
            <w:shd w:val="clear" w:color="auto" w:fill="auto"/>
            <w:noWrap/>
            <w:vAlign w:val="center"/>
          </w:tcPr>
          <w:p w:rsidR="00E94F98" w:rsidRPr="00D94497" w:rsidRDefault="00E94F98" w:rsidP="006631AF">
            <w:pPr>
              <w:spacing w:after="0"/>
              <w:ind w:left="37" w:firstLine="0"/>
              <w:jc w:val="right"/>
              <w:rPr>
                <w:rFonts w:ascii="Arial Narrow" w:hAnsi="Arial Narrow"/>
                <w:color w:val="000000"/>
              </w:rPr>
            </w:pPr>
            <w:r>
              <w:rPr>
                <w:rFonts w:ascii="Arial Narrow" w:hAnsi="Arial Narrow"/>
                <w:color w:val="000000"/>
              </w:rPr>
              <w:t>1,86</w:t>
            </w:r>
          </w:p>
        </w:tc>
        <w:tc>
          <w:tcPr>
            <w:tcW w:w="3080" w:type="dxa"/>
            <w:tcBorders>
              <w:top w:val="single" w:sz="4" w:space="0" w:color="auto"/>
              <w:bottom w:val="single" w:sz="2" w:space="0" w:color="auto"/>
            </w:tcBorders>
            <w:vAlign w:val="center"/>
          </w:tcPr>
          <w:p w:rsidR="00E94F98" w:rsidRPr="000A2B37" w:rsidRDefault="00E94F98" w:rsidP="006631AF">
            <w:pPr>
              <w:spacing w:after="0"/>
              <w:ind w:left="67" w:firstLine="0"/>
              <w:jc w:val="right"/>
              <w:rPr>
                <w:rFonts w:ascii="Arial Narrow" w:hAnsi="Arial Narrow"/>
                <w:color w:val="000000"/>
              </w:rPr>
            </w:pPr>
            <w:r>
              <w:rPr>
                <w:rFonts w:ascii="Arial Narrow" w:hAnsi="Arial Narrow"/>
                <w:color w:val="000000"/>
              </w:rPr>
              <w:t>12,64 - 20,60</w:t>
            </w:r>
          </w:p>
        </w:tc>
      </w:tr>
      <w:tr w:rsidR="00E94F98" w:rsidRPr="006631AF" w:rsidTr="00C54F50">
        <w:trPr>
          <w:trHeight w:val="255"/>
          <w:jc w:val="center"/>
        </w:trPr>
        <w:tc>
          <w:tcPr>
            <w:tcW w:w="3032" w:type="dxa"/>
            <w:tcBorders>
              <w:top w:val="single" w:sz="2" w:space="0" w:color="auto"/>
              <w:bottom w:val="single" w:sz="2" w:space="0" w:color="auto"/>
            </w:tcBorders>
            <w:shd w:val="clear" w:color="auto" w:fill="auto"/>
            <w:noWrap/>
            <w:vAlign w:val="center"/>
          </w:tcPr>
          <w:p w:rsidR="00E94F98" w:rsidRPr="006631AF" w:rsidRDefault="00E94F98" w:rsidP="00C54F50">
            <w:pPr>
              <w:spacing w:after="0"/>
              <w:ind w:left="-37" w:firstLine="37"/>
              <w:jc w:val="left"/>
              <w:rPr>
                <w:rFonts w:ascii="Arial Narrow" w:hAnsi="Arial Narrow"/>
                <w:b/>
                <w:color w:val="000000"/>
              </w:rPr>
            </w:pPr>
            <w:r>
              <w:rPr>
                <w:rFonts w:ascii="Arial Narrow" w:hAnsi="Arial Narrow"/>
                <w:b/>
                <w:color w:val="000000"/>
              </w:rPr>
              <w:t>Guztizko zenbatekoa</w:t>
            </w:r>
          </w:p>
        </w:tc>
        <w:tc>
          <w:tcPr>
            <w:tcW w:w="2724" w:type="dxa"/>
            <w:tcBorders>
              <w:top w:val="single" w:sz="2" w:space="0" w:color="auto"/>
              <w:bottom w:val="single" w:sz="2" w:space="0" w:color="auto"/>
            </w:tcBorders>
            <w:shd w:val="clear" w:color="auto" w:fill="auto"/>
            <w:noWrap/>
            <w:vAlign w:val="center"/>
          </w:tcPr>
          <w:p w:rsidR="00E94F98" w:rsidRPr="006631AF" w:rsidRDefault="00E94F98" w:rsidP="006631AF">
            <w:pPr>
              <w:spacing w:after="0"/>
              <w:ind w:left="37" w:firstLine="0"/>
              <w:jc w:val="right"/>
              <w:rPr>
                <w:rFonts w:ascii="Arial Narrow" w:hAnsi="Arial Narrow"/>
                <w:b/>
                <w:color w:val="000000"/>
              </w:rPr>
            </w:pPr>
            <w:r>
              <w:rPr>
                <w:rFonts w:ascii="Arial Narrow" w:hAnsi="Arial Narrow"/>
                <w:b/>
                <w:color w:val="000000"/>
              </w:rPr>
              <w:t>1.393.993</w:t>
            </w:r>
          </w:p>
        </w:tc>
        <w:tc>
          <w:tcPr>
            <w:tcW w:w="3080" w:type="dxa"/>
            <w:tcBorders>
              <w:top w:val="single" w:sz="2" w:space="0" w:color="auto"/>
              <w:bottom w:val="single" w:sz="2" w:space="0" w:color="auto"/>
            </w:tcBorders>
            <w:vAlign w:val="center"/>
          </w:tcPr>
          <w:p w:rsidR="00E94F98" w:rsidRPr="006631AF" w:rsidRDefault="00E94F98" w:rsidP="006631AF">
            <w:pPr>
              <w:spacing w:after="0"/>
              <w:ind w:left="67" w:firstLine="0"/>
              <w:jc w:val="right"/>
              <w:rPr>
                <w:rFonts w:ascii="Arial Narrow" w:hAnsi="Arial Narrow"/>
                <w:b/>
                <w:color w:val="000000"/>
              </w:rPr>
            </w:pPr>
            <w:r>
              <w:rPr>
                <w:rFonts w:ascii="Arial Narrow" w:hAnsi="Arial Narrow"/>
                <w:b/>
                <w:color w:val="000000"/>
              </w:rPr>
              <w:t>17.472.452</w:t>
            </w:r>
          </w:p>
        </w:tc>
      </w:tr>
      <w:tr w:rsidR="00E94F98" w:rsidRPr="000A2B37" w:rsidTr="00C54F50">
        <w:trPr>
          <w:trHeight w:val="255"/>
          <w:jc w:val="center"/>
        </w:trPr>
        <w:tc>
          <w:tcPr>
            <w:tcW w:w="3032" w:type="dxa"/>
            <w:tcBorders>
              <w:top w:val="single" w:sz="2" w:space="0" w:color="auto"/>
              <w:bottom w:val="single" w:sz="2" w:space="0" w:color="auto"/>
            </w:tcBorders>
            <w:shd w:val="clear" w:color="auto" w:fill="auto"/>
            <w:noWrap/>
            <w:vAlign w:val="center"/>
          </w:tcPr>
          <w:p w:rsidR="00E94F98" w:rsidRPr="00C54F50" w:rsidRDefault="00E94F98" w:rsidP="00C54F50">
            <w:pPr>
              <w:spacing w:after="0"/>
              <w:ind w:left="-37" w:firstLine="37"/>
              <w:jc w:val="left"/>
              <w:rPr>
                <w:rFonts w:ascii="Arial Narrow" w:hAnsi="Arial Narrow"/>
                <w:color w:val="000000"/>
              </w:rPr>
            </w:pPr>
            <w:r>
              <w:rPr>
                <w:rFonts w:ascii="Arial Narrow" w:hAnsi="Arial Narrow"/>
                <w:color w:val="000000"/>
              </w:rPr>
              <w:t>Printzipala (atxikitze-saria barne)</w:t>
            </w:r>
          </w:p>
        </w:tc>
        <w:tc>
          <w:tcPr>
            <w:tcW w:w="2724" w:type="dxa"/>
            <w:tcBorders>
              <w:top w:val="single" w:sz="2" w:space="0" w:color="auto"/>
              <w:bottom w:val="single" w:sz="2" w:space="0" w:color="auto"/>
            </w:tcBorders>
            <w:shd w:val="clear" w:color="auto" w:fill="auto"/>
            <w:noWrap/>
            <w:vAlign w:val="center"/>
          </w:tcPr>
          <w:p w:rsidR="00E94F98" w:rsidRPr="00D94497" w:rsidRDefault="00E94F98" w:rsidP="006631AF">
            <w:pPr>
              <w:spacing w:after="0"/>
              <w:ind w:left="37" w:firstLine="0"/>
              <w:jc w:val="right"/>
              <w:rPr>
                <w:rFonts w:ascii="Arial Narrow" w:hAnsi="Arial Narrow"/>
                <w:color w:val="000000"/>
              </w:rPr>
            </w:pPr>
            <w:r>
              <w:rPr>
                <w:rFonts w:ascii="Arial Narrow" w:hAnsi="Arial Narrow"/>
                <w:color w:val="000000"/>
              </w:rPr>
              <w:t>1.164.808</w:t>
            </w:r>
          </w:p>
        </w:tc>
        <w:tc>
          <w:tcPr>
            <w:tcW w:w="3080" w:type="dxa"/>
            <w:tcBorders>
              <w:top w:val="single" w:sz="2" w:space="0" w:color="auto"/>
              <w:bottom w:val="single" w:sz="2" w:space="0" w:color="auto"/>
            </w:tcBorders>
            <w:vAlign w:val="center"/>
          </w:tcPr>
          <w:p w:rsidR="00E94F98" w:rsidRPr="000A2B37" w:rsidRDefault="00E94F98" w:rsidP="006631AF">
            <w:pPr>
              <w:spacing w:after="0"/>
              <w:ind w:left="67" w:firstLine="0"/>
              <w:jc w:val="right"/>
              <w:rPr>
                <w:rFonts w:ascii="Arial Narrow" w:hAnsi="Arial Narrow"/>
                <w:color w:val="000000"/>
              </w:rPr>
            </w:pPr>
            <w:r>
              <w:rPr>
                <w:rFonts w:ascii="Arial Narrow" w:hAnsi="Arial Narrow"/>
                <w:color w:val="000000"/>
              </w:rPr>
              <w:t>11.197.525</w:t>
            </w:r>
          </w:p>
        </w:tc>
      </w:tr>
      <w:tr w:rsidR="00E94F98" w:rsidRPr="000A2B37" w:rsidTr="00C54F50">
        <w:trPr>
          <w:trHeight w:val="255"/>
          <w:jc w:val="center"/>
        </w:trPr>
        <w:tc>
          <w:tcPr>
            <w:tcW w:w="3032" w:type="dxa"/>
            <w:tcBorders>
              <w:top w:val="single" w:sz="2" w:space="0" w:color="auto"/>
              <w:bottom w:val="single" w:sz="4" w:space="0" w:color="auto"/>
            </w:tcBorders>
            <w:shd w:val="clear" w:color="auto" w:fill="auto"/>
            <w:noWrap/>
            <w:vAlign w:val="center"/>
          </w:tcPr>
          <w:p w:rsidR="00E94F98" w:rsidRPr="00C54F50" w:rsidRDefault="00E94F98" w:rsidP="00C54F50">
            <w:pPr>
              <w:spacing w:after="0"/>
              <w:ind w:left="-37" w:firstLine="37"/>
              <w:jc w:val="left"/>
              <w:rPr>
                <w:rFonts w:ascii="Arial Narrow" w:hAnsi="Arial Narrow"/>
                <w:color w:val="000000"/>
              </w:rPr>
            </w:pPr>
            <w:r>
              <w:rPr>
                <w:rFonts w:ascii="Arial Narrow" w:hAnsi="Arial Narrow"/>
                <w:color w:val="000000"/>
              </w:rPr>
              <w:t>Legezko interesak</w:t>
            </w:r>
          </w:p>
        </w:tc>
        <w:tc>
          <w:tcPr>
            <w:tcW w:w="2724" w:type="dxa"/>
            <w:tcBorders>
              <w:top w:val="single" w:sz="2" w:space="0" w:color="auto"/>
              <w:bottom w:val="single" w:sz="4" w:space="0" w:color="auto"/>
            </w:tcBorders>
            <w:shd w:val="clear" w:color="auto" w:fill="auto"/>
            <w:noWrap/>
            <w:vAlign w:val="center"/>
          </w:tcPr>
          <w:p w:rsidR="00E94F98" w:rsidRPr="00D94497" w:rsidRDefault="00E94F98" w:rsidP="006631AF">
            <w:pPr>
              <w:spacing w:after="0"/>
              <w:ind w:left="37" w:firstLine="0"/>
              <w:jc w:val="right"/>
              <w:rPr>
                <w:rFonts w:ascii="Arial Narrow" w:hAnsi="Arial Narrow"/>
                <w:color w:val="000000"/>
              </w:rPr>
            </w:pPr>
            <w:r>
              <w:rPr>
                <w:rFonts w:ascii="Arial Narrow" w:hAnsi="Arial Narrow"/>
                <w:color w:val="000000"/>
              </w:rPr>
              <w:t>229.185</w:t>
            </w:r>
          </w:p>
        </w:tc>
        <w:tc>
          <w:tcPr>
            <w:tcW w:w="3080" w:type="dxa"/>
            <w:tcBorders>
              <w:top w:val="single" w:sz="2" w:space="0" w:color="auto"/>
              <w:bottom w:val="single" w:sz="4" w:space="0" w:color="auto"/>
            </w:tcBorders>
            <w:vAlign w:val="center"/>
          </w:tcPr>
          <w:p w:rsidR="00E94F98" w:rsidRPr="000A2B37" w:rsidRDefault="00E94F98" w:rsidP="006631AF">
            <w:pPr>
              <w:spacing w:after="0"/>
              <w:ind w:left="67" w:firstLine="0"/>
              <w:jc w:val="right"/>
              <w:rPr>
                <w:rFonts w:ascii="Arial Narrow" w:hAnsi="Arial Narrow"/>
                <w:color w:val="000000"/>
              </w:rPr>
            </w:pPr>
            <w:r>
              <w:rPr>
                <w:rFonts w:ascii="Arial Narrow" w:hAnsi="Arial Narrow"/>
                <w:color w:val="000000"/>
              </w:rPr>
              <w:t>6.274.927</w:t>
            </w:r>
          </w:p>
        </w:tc>
      </w:tr>
    </w:tbl>
    <w:p w:rsidR="00121AD6" w:rsidRDefault="00121AD6" w:rsidP="00D62876">
      <w:pPr>
        <w:pStyle w:val="texto"/>
        <w:tabs>
          <w:tab w:val="clear" w:pos="2835"/>
          <w:tab w:val="clear" w:pos="3969"/>
          <w:tab w:val="clear" w:pos="5103"/>
          <w:tab w:val="clear" w:pos="6237"/>
          <w:tab w:val="clear" w:pos="7371"/>
        </w:tabs>
        <w:spacing w:after="0"/>
        <w:rPr>
          <w:szCs w:val="26"/>
        </w:rPr>
      </w:pPr>
    </w:p>
    <w:p w:rsidR="00E94F98" w:rsidRDefault="00E94F98" w:rsidP="00E94F98">
      <w:pPr>
        <w:pStyle w:val="texto"/>
        <w:tabs>
          <w:tab w:val="clear" w:pos="2835"/>
          <w:tab w:val="clear" w:pos="3969"/>
          <w:tab w:val="clear" w:pos="5103"/>
          <w:tab w:val="clear" w:pos="6237"/>
          <w:tab w:val="clear" w:pos="7371"/>
        </w:tabs>
        <w:rPr>
          <w:szCs w:val="26"/>
        </w:rPr>
      </w:pPr>
      <w:r>
        <w:t>Nabarmendu beharra daukagu handia dela Desjabetzeen  Epaimahaiak m</w:t>
      </w:r>
      <w:r>
        <w:rPr>
          <w:vertAlign w:val="superscript"/>
        </w:rPr>
        <w:t>2</w:t>
      </w:r>
      <w:r>
        <w:t xml:space="preserve"> bakoitzerako finkatutako prezioaren eta epai judizial irmoaren bidez azkenean aplikatutakoaren artean dagoen aldea. Halaber, aipagarria da legezko berand</w:t>
      </w:r>
      <w:r>
        <w:t>u</w:t>
      </w:r>
      <w:r>
        <w:t>tze-interesetatik heldutako gastua, guztizko zenbatekoaren ehuneko 36 baita.</w:t>
      </w:r>
    </w:p>
    <w:p w:rsidR="00D62876" w:rsidRDefault="00D62876" w:rsidP="00E94F98">
      <w:pPr>
        <w:pStyle w:val="texto"/>
        <w:tabs>
          <w:tab w:val="clear" w:pos="2835"/>
          <w:tab w:val="clear" w:pos="3969"/>
          <w:tab w:val="clear" w:pos="5103"/>
          <w:tab w:val="clear" w:pos="6237"/>
          <w:tab w:val="clear" w:pos="7371"/>
        </w:tabs>
        <w:rPr>
          <w:szCs w:val="26"/>
        </w:rPr>
      </w:pPr>
    </w:p>
    <w:p w:rsidR="00D62876" w:rsidRDefault="00D62876" w:rsidP="00E94F98">
      <w:pPr>
        <w:pStyle w:val="texto"/>
        <w:tabs>
          <w:tab w:val="clear" w:pos="2835"/>
          <w:tab w:val="clear" w:pos="3969"/>
          <w:tab w:val="clear" w:pos="5103"/>
          <w:tab w:val="clear" w:pos="6237"/>
          <w:tab w:val="clear" w:pos="7371"/>
        </w:tabs>
        <w:rPr>
          <w:szCs w:val="26"/>
        </w:rPr>
      </w:pPr>
    </w:p>
    <w:p w:rsidR="00E94F98" w:rsidRDefault="00A62F1C" w:rsidP="00E94F98">
      <w:pPr>
        <w:pStyle w:val="texto"/>
        <w:tabs>
          <w:tab w:val="clear" w:pos="2835"/>
          <w:tab w:val="clear" w:pos="3969"/>
          <w:tab w:val="clear" w:pos="5103"/>
          <w:tab w:val="clear" w:pos="6237"/>
          <w:tab w:val="clear" w:pos="7371"/>
        </w:tabs>
        <w:rPr>
          <w:szCs w:val="26"/>
        </w:rPr>
      </w:pPr>
      <w:r>
        <w:rPr>
          <w:b/>
        </w:rPr>
        <w:t>Hogeita hirugarrena.</w:t>
      </w:r>
      <w:r>
        <w:t xml:space="preserve"> 1. eta 2. faseetako desjabetzeen gastuen finantzaketa honelakoa da:</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1993an eta 1994an Nafarroako Gobernuak eta TTCP SA sozietate kude</w:t>
      </w:r>
      <w:r>
        <w:t>a</w:t>
      </w:r>
      <w:r>
        <w:t>tzaileak sinatutako lankidetza-hitzarmenean aurreikusitako 1,39 milioi euroko ekarpena.</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Desjabetze-gastu horien finantzaketa gehigarria —16,08 milioi euroko ig</w:t>
      </w:r>
      <w:r>
        <w:t>o</w:t>
      </w:r>
      <w:r>
        <w:t>era Epaimahaiak aurreikusitakotik— funtsean aipatutako lankidetza-hitzarmenaren babesean eta honako hauen bidez egiten da:</w:t>
      </w:r>
    </w:p>
    <w:p w:rsidR="00E94F98" w:rsidRDefault="00E94F98" w:rsidP="00E94F98">
      <w:pPr>
        <w:pStyle w:val="texto"/>
        <w:tabs>
          <w:tab w:val="clear" w:pos="2835"/>
          <w:tab w:val="clear" w:pos="3969"/>
          <w:tab w:val="clear" w:pos="5103"/>
          <w:tab w:val="clear" w:pos="6237"/>
          <w:tab w:val="clear" w:pos="7371"/>
        </w:tabs>
        <w:rPr>
          <w:szCs w:val="26"/>
        </w:rPr>
      </w:pPr>
      <w:r>
        <w:t>a) 2006an Nafarroako Gobernuak lau milioi euroko diru-laguntza finalista bat eman zuen.</w:t>
      </w:r>
    </w:p>
    <w:p w:rsidR="00E94F98" w:rsidRDefault="00E94F98" w:rsidP="00E94F98">
      <w:pPr>
        <w:pStyle w:val="texto"/>
        <w:tabs>
          <w:tab w:val="clear" w:pos="2835"/>
          <w:tab w:val="clear" w:pos="3969"/>
          <w:tab w:val="clear" w:pos="5103"/>
          <w:tab w:val="clear" w:pos="6237"/>
          <w:tab w:val="clear" w:pos="7371"/>
        </w:tabs>
        <w:rPr>
          <w:szCs w:val="26"/>
        </w:rPr>
      </w:pPr>
      <w:r>
        <w:t>b) CTP SA sozietateak 2. faseko nabeen eta eraikinen salmentako prezioetan duen partaidetza handitzea. Partaidetzaren handitze horrek 4,1 milioi euroko aparteko diru-sarrerak ekarri zizkion.</w:t>
      </w:r>
    </w:p>
    <w:p w:rsidR="00E94F98" w:rsidRPr="00BB36CE" w:rsidRDefault="00E94F98" w:rsidP="00E94F98">
      <w:pPr>
        <w:pStyle w:val="texto"/>
        <w:tabs>
          <w:tab w:val="clear" w:pos="2835"/>
          <w:tab w:val="clear" w:pos="3969"/>
          <w:tab w:val="clear" w:pos="5103"/>
          <w:tab w:val="clear" w:pos="6237"/>
          <w:tab w:val="clear" w:pos="7371"/>
        </w:tabs>
        <w:rPr>
          <w:szCs w:val="26"/>
        </w:rPr>
      </w:pPr>
      <w:r>
        <w:t>c) Sozietate kudeatzailearen kapital-gehikuntzetatik lortutako baliabideak, ia guztiak Nafarroako Gobernuak izenpetuak eta ordainduak.</w:t>
      </w:r>
    </w:p>
    <w:p w:rsidR="00E94F98" w:rsidRPr="00212A87" w:rsidRDefault="00A62F1C" w:rsidP="00D62876">
      <w:pPr>
        <w:pStyle w:val="texto"/>
        <w:tabs>
          <w:tab w:val="clear" w:pos="2835"/>
          <w:tab w:val="clear" w:pos="3969"/>
          <w:tab w:val="clear" w:pos="5103"/>
          <w:tab w:val="clear" w:pos="6237"/>
          <w:tab w:val="clear" w:pos="7371"/>
        </w:tabs>
        <w:spacing w:after="120"/>
        <w:rPr>
          <w:szCs w:val="26"/>
        </w:rPr>
      </w:pPr>
      <w:r>
        <w:rPr>
          <w:b/>
          <w:szCs w:val="26"/>
        </w:rPr>
        <w:t>Hogeita laugarrena.</w:t>
      </w:r>
      <w:r>
        <w:t xml:space="preserve"> GHaren 3. eta 4. faseetako desjabetzeak. Garraioaren Hiriaren 3. eta 4. faseetarako desjabetutako lursailen kostuak 74,41 milioi e</w:t>
      </w:r>
      <w:r>
        <w:t>u</w:t>
      </w:r>
      <w:r>
        <w:t xml:space="preserve">roko amaierako kostua ekarri du, balio justua, afekzio-saria eta legezkoak diren berandutze-interesak barne; azken horiek 18,87 milioi eurokoak izan dira; hau da, guztizko zenbatekoaren ehuneko 25. </w:t>
      </w:r>
    </w:p>
    <w:p w:rsidR="00E94F98" w:rsidRPr="00212A87" w:rsidRDefault="00E94F98" w:rsidP="006631AF">
      <w:pPr>
        <w:pStyle w:val="texto"/>
        <w:tabs>
          <w:tab w:val="clear" w:pos="2835"/>
          <w:tab w:val="clear" w:pos="3969"/>
          <w:tab w:val="clear" w:pos="5103"/>
          <w:tab w:val="clear" w:pos="6237"/>
          <w:tab w:val="clear" w:pos="7371"/>
        </w:tabs>
        <w:rPr>
          <w:szCs w:val="26"/>
        </w:rPr>
      </w:pPr>
      <w:r>
        <w:t>Desjabetzeen Epaimahaiaren 2008ko ebazpenaren arabera, guztizko ordai</w:t>
      </w:r>
      <w:r>
        <w:t>n</w:t>
      </w:r>
      <w:r>
        <w:t>keta 23,20 milioi eurokoa izanen zen.</w:t>
      </w:r>
    </w:p>
    <w:p w:rsidR="00E94F98" w:rsidRPr="00212A87" w:rsidRDefault="00E94F98" w:rsidP="00DA68E2">
      <w:pPr>
        <w:pStyle w:val="texto"/>
        <w:tabs>
          <w:tab w:val="clear" w:pos="2835"/>
          <w:tab w:val="clear" w:pos="3969"/>
          <w:tab w:val="clear" w:pos="5103"/>
          <w:tab w:val="clear" w:pos="6237"/>
          <w:tab w:val="clear" w:pos="7371"/>
        </w:tabs>
        <w:spacing w:after="240"/>
        <w:rPr>
          <w:szCs w:val="26"/>
        </w:rPr>
      </w:pPr>
      <w:r>
        <w:t>Hurrengo taulan bi zenbateko horiek alderatzen dira, milioi bat m</w:t>
      </w:r>
      <w:r>
        <w:rPr>
          <w:vertAlign w:val="superscript"/>
        </w:rPr>
        <w:t>2</w:t>
      </w:r>
      <w:r>
        <w:t>-tik g</w:t>
      </w:r>
      <w:r>
        <w:t>o</w:t>
      </w:r>
      <w:r>
        <w:t>rako azalera baterako.</w:t>
      </w:r>
    </w:p>
    <w:tbl>
      <w:tblPr>
        <w:tblW w:w="8867" w:type="dxa"/>
        <w:jc w:val="center"/>
        <w:tblCellMar>
          <w:left w:w="70" w:type="dxa"/>
          <w:right w:w="70" w:type="dxa"/>
        </w:tblCellMar>
        <w:tblLook w:val="04A0" w:firstRow="1" w:lastRow="0" w:firstColumn="1" w:lastColumn="0" w:noHBand="0" w:noVBand="1"/>
      </w:tblPr>
      <w:tblGrid>
        <w:gridCol w:w="3266"/>
        <w:gridCol w:w="2790"/>
        <w:gridCol w:w="2811"/>
      </w:tblGrid>
      <w:tr w:rsidR="00E94F98" w:rsidRPr="000A2B37" w:rsidTr="00C54F50">
        <w:trPr>
          <w:trHeight w:val="284"/>
          <w:jc w:val="center"/>
        </w:trPr>
        <w:tc>
          <w:tcPr>
            <w:tcW w:w="3266" w:type="dxa"/>
            <w:tcBorders>
              <w:top w:val="single" w:sz="4" w:space="0" w:color="auto"/>
              <w:bottom w:val="single" w:sz="4" w:space="0" w:color="auto"/>
            </w:tcBorders>
            <w:shd w:val="clear" w:color="auto" w:fill="B8CCE4" w:themeFill="accent1" w:themeFillTint="66"/>
            <w:noWrap/>
            <w:vAlign w:val="center"/>
          </w:tcPr>
          <w:p w:rsidR="00E94F98" w:rsidRPr="000A2B37" w:rsidRDefault="00E94F98" w:rsidP="006631AF">
            <w:pPr>
              <w:widowControl w:val="0"/>
              <w:spacing w:after="0"/>
              <w:ind w:firstLine="0"/>
              <w:jc w:val="left"/>
              <w:rPr>
                <w:rFonts w:ascii="Arial" w:hAnsi="Arial" w:cs="Arial"/>
                <w:color w:val="000000"/>
                <w:sz w:val="18"/>
                <w:szCs w:val="18"/>
              </w:rPr>
            </w:pPr>
            <w:r>
              <w:rPr>
                <w:rFonts w:ascii="Arial" w:hAnsi="Arial"/>
                <w:color w:val="000000"/>
                <w:sz w:val="18"/>
                <w:szCs w:val="18"/>
              </w:rPr>
              <w:t>IGHaren 3. eta 4. faseetako desjab</w:t>
            </w:r>
            <w:r>
              <w:rPr>
                <w:rFonts w:ascii="Arial" w:hAnsi="Arial"/>
                <w:color w:val="000000"/>
                <w:sz w:val="18"/>
                <w:szCs w:val="18"/>
              </w:rPr>
              <w:t>e</w:t>
            </w:r>
            <w:r>
              <w:rPr>
                <w:rFonts w:ascii="Arial" w:hAnsi="Arial"/>
                <w:color w:val="000000"/>
                <w:sz w:val="18"/>
                <w:szCs w:val="18"/>
              </w:rPr>
              <w:t>tzeak</w:t>
            </w:r>
          </w:p>
        </w:tc>
        <w:tc>
          <w:tcPr>
            <w:tcW w:w="2790" w:type="dxa"/>
            <w:tcBorders>
              <w:top w:val="single" w:sz="4" w:space="0" w:color="auto"/>
              <w:bottom w:val="single" w:sz="4" w:space="0" w:color="auto"/>
            </w:tcBorders>
            <w:shd w:val="clear" w:color="auto" w:fill="B8CCE4" w:themeFill="accent1" w:themeFillTint="66"/>
            <w:vAlign w:val="center"/>
          </w:tcPr>
          <w:p w:rsidR="00EF3572" w:rsidRPr="000A2B37" w:rsidRDefault="00E94F98" w:rsidP="00C54F50">
            <w:pPr>
              <w:widowControl w:val="0"/>
              <w:spacing w:after="0"/>
              <w:ind w:left="13" w:firstLine="0"/>
              <w:jc w:val="right"/>
              <w:rPr>
                <w:rFonts w:ascii="Arial" w:hAnsi="Arial" w:cs="Arial"/>
                <w:color w:val="000000"/>
                <w:sz w:val="18"/>
                <w:szCs w:val="18"/>
              </w:rPr>
            </w:pPr>
            <w:r>
              <w:rPr>
                <w:rFonts w:ascii="Arial" w:hAnsi="Arial"/>
                <w:color w:val="000000"/>
                <w:sz w:val="18"/>
                <w:szCs w:val="18"/>
              </w:rPr>
              <w:t>Desjabetzeen Epaimahaiak (2008)</w:t>
            </w:r>
          </w:p>
        </w:tc>
        <w:tc>
          <w:tcPr>
            <w:tcW w:w="2811" w:type="dxa"/>
            <w:tcBorders>
              <w:top w:val="single" w:sz="4" w:space="0" w:color="auto"/>
              <w:bottom w:val="single" w:sz="4" w:space="0" w:color="auto"/>
            </w:tcBorders>
            <w:shd w:val="clear" w:color="auto" w:fill="B8CCE4" w:themeFill="accent1" w:themeFillTint="66"/>
            <w:vAlign w:val="center"/>
          </w:tcPr>
          <w:p w:rsidR="00F708BB" w:rsidRPr="000A2B37" w:rsidRDefault="00E94F98" w:rsidP="00C54F50">
            <w:pPr>
              <w:widowControl w:val="0"/>
              <w:spacing w:after="0"/>
              <w:ind w:left="48" w:firstLine="0"/>
              <w:jc w:val="right"/>
              <w:rPr>
                <w:rFonts w:ascii="Arial" w:hAnsi="Arial" w:cs="Arial"/>
                <w:color w:val="000000"/>
                <w:sz w:val="18"/>
                <w:szCs w:val="18"/>
              </w:rPr>
            </w:pPr>
            <w:r>
              <w:rPr>
                <w:rFonts w:ascii="Arial" w:hAnsi="Arial"/>
                <w:color w:val="000000"/>
                <w:sz w:val="18"/>
                <w:szCs w:val="18"/>
              </w:rPr>
              <w:t>Amaierako gastua, epaien ar</w:t>
            </w:r>
            <w:r>
              <w:rPr>
                <w:rFonts w:ascii="Arial" w:hAnsi="Arial"/>
                <w:color w:val="000000"/>
                <w:sz w:val="18"/>
                <w:szCs w:val="18"/>
              </w:rPr>
              <w:t>a</w:t>
            </w:r>
            <w:r>
              <w:rPr>
                <w:rFonts w:ascii="Arial" w:hAnsi="Arial"/>
                <w:color w:val="000000"/>
                <w:sz w:val="18"/>
                <w:szCs w:val="18"/>
              </w:rPr>
              <w:t>bera (2017)</w:t>
            </w:r>
          </w:p>
        </w:tc>
      </w:tr>
      <w:tr w:rsidR="00E94F98" w:rsidRPr="000A2B37" w:rsidTr="00C54F50">
        <w:trPr>
          <w:trHeight w:val="284"/>
          <w:jc w:val="center"/>
        </w:trPr>
        <w:tc>
          <w:tcPr>
            <w:tcW w:w="3266" w:type="dxa"/>
            <w:tcBorders>
              <w:top w:val="single" w:sz="4" w:space="0" w:color="auto"/>
              <w:bottom w:val="single" w:sz="2" w:space="0" w:color="auto"/>
            </w:tcBorders>
            <w:shd w:val="clear" w:color="auto" w:fill="auto"/>
            <w:noWrap/>
            <w:vAlign w:val="center"/>
          </w:tcPr>
          <w:p w:rsidR="00E94F98" w:rsidRPr="000A2B37" w:rsidRDefault="00E94F98" w:rsidP="006631AF">
            <w:pPr>
              <w:spacing w:after="0"/>
              <w:ind w:firstLine="0"/>
              <w:jc w:val="left"/>
              <w:rPr>
                <w:rFonts w:ascii="Arial Narrow" w:hAnsi="Arial Narrow"/>
                <w:color w:val="000000"/>
              </w:rPr>
            </w:pPr>
            <w:r>
              <w:rPr>
                <w:rFonts w:ascii="Arial Narrow" w:hAnsi="Arial Narrow"/>
                <w:color w:val="000000"/>
              </w:rPr>
              <w:t>Prezioa (euroak/m</w:t>
            </w:r>
            <w:r>
              <w:rPr>
                <w:rFonts w:ascii="Arial Narrow" w:hAnsi="Arial Narrow"/>
                <w:color w:val="000000"/>
                <w:vertAlign w:val="superscript"/>
              </w:rPr>
              <w:t>2</w:t>
            </w:r>
            <w:r>
              <w:rPr>
                <w:rFonts w:ascii="Arial Narrow" w:hAnsi="Arial Narrow"/>
                <w:color w:val="000000"/>
              </w:rPr>
              <w:t xml:space="preserve">), afekzio-saria barne </w:t>
            </w:r>
          </w:p>
        </w:tc>
        <w:tc>
          <w:tcPr>
            <w:tcW w:w="2790" w:type="dxa"/>
            <w:tcBorders>
              <w:top w:val="single" w:sz="4" w:space="0" w:color="auto"/>
              <w:bottom w:val="single" w:sz="2" w:space="0" w:color="auto"/>
            </w:tcBorders>
            <w:shd w:val="clear" w:color="auto" w:fill="auto"/>
            <w:noWrap/>
            <w:vAlign w:val="center"/>
          </w:tcPr>
          <w:p w:rsidR="00E94F98" w:rsidRPr="00D94497" w:rsidRDefault="00E94F98" w:rsidP="00AB03EE">
            <w:pPr>
              <w:spacing w:after="0"/>
              <w:ind w:left="56" w:firstLine="0"/>
              <w:jc w:val="right"/>
              <w:rPr>
                <w:rFonts w:ascii="Arial Narrow" w:hAnsi="Arial Narrow"/>
                <w:color w:val="000000"/>
              </w:rPr>
            </w:pPr>
            <w:r>
              <w:rPr>
                <w:rFonts w:ascii="Arial Narrow" w:hAnsi="Arial Narrow"/>
                <w:color w:val="000000"/>
              </w:rPr>
              <w:t>21,01</w:t>
            </w:r>
          </w:p>
        </w:tc>
        <w:tc>
          <w:tcPr>
            <w:tcW w:w="2811" w:type="dxa"/>
            <w:tcBorders>
              <w:top w:val="single" w:sz="4" w:space="0" w:color="auto"/>
              <w:bottom w:val="single" w:sz="2" w:space="0" w:color="auto"/>
            </w:tcBorders>
            <w:vAlign w:val="center"/>
          </w:tcPr>
          <w:p w:rsidR="00E94F98" w:rsidRPr="000A2B37" w:rsidRDefault="00E94F98" w:rsidP="00DA68E2">
            <w:pPr>
              <w:spacing w:after="0"/>
              <w:ind w:left="56" w:firstLine="0"/>
              <w:jc w:val="right"/>
              <w:rPr>
                <w:rFonts w:ascii="Arial Narrow" w:hAnsi="Arial Narrow"/>
                <w:color w:val="000000"/>
              </w:rPr>
            </w:pPr>
            <w:r>
              <w:rPr>
                <w:rFonts w:ascii="Arial Narrow" w:hAnsi="Arial Narrow"/>
                <w:color w:val="000000"/>
              </w:rPr>
              <w:t>55,71 eta 59,94 bitarte</w:t>
            </w:r>
          </w:p>
        </w:tc>
      </w:tr>
      <w:tr w:rsidR="00E94F98" w:rsidRPr="006631AF" w:rsidTr="00C54F50">
        <w:trPr>
          <w:trHeight w:val="284"/>
          <w:jc w:val="center"/>
        </w:trPr>
        <w:tc>
          <w:tcPr>
            <w:tcW w:w="3266" w:type="dxa"/>
            <w:tcBorders>
              <w:top w:val="single" w:sz="2" w:space="0" w:color="auto"/>
              <w:bottom w:val="single" w:sz="2" w:space="0" w:color="auto"/>
            </w:tcBorders>
            <w:shd w:val="clear" w:color="auto" w:fill="auto"/>
            <w:noWrap/>
            <w:vAlign w:val="center"/>
          </w:tcPr>
          <w:p w:rsidR="00E94F98" w:rsidRPr="006631AF" w:rsidRDefault="00E94F98" w:rsidP="006631AF">
            <w:pPr>
              <w:spacing w:after="0"/>
              <w:ind w:firstLine="0"/>
              <w:jc w:val="left"/>
              <w:rPr>
                <w:rFonts w:ascii="Arial Narrow" w:hAnsi="Arial Narrow"/>
                <w:b/>
                <w:color w:val="000000"/>
              </w:rPr>
            </w:pPr>
            <w:r>
              <w:rPr>
                <w:rFonts w:ascii="Arial Narrow" w:hAnsi="Arial Narrow"/>
                <w:b/>
                <w:color w:val="000000"/>
              </w:rPr>
              <w:t>Guztizko zenbatekoa</w:t>
            </w:r>
          </w:p>
        </w:tc>
        <w:tc>
          <w:tcPr>
            <w:tcW w:w="2790" w:type="dxa"/>
            <w:tcBorders>
              <w:top w:val="single" w:sz="2" w:space="0" w:color="auto"/>
              <w:bottom w:val="single" w:sz="2" w:space="0" w:color="auto"/>
            </w:tcBorders>
            <w:shd w:val="clear" w:color="auto" w:fill="auto"/>
            <w:noWrap/>
            <w:vAlign w:val="center"/>
          </w:tcPr>
          <w:p w:rsidR="00E94F98" w:rsidRPr="006631AF" w:rsidRDefault="00E94F98" w:rsidP="00AB03EE">
            <w:pPr>
              <w:spacing w:after="0"/>
              <w:ind w:left="56" w:firstLine="0"/>
              <w:jc w:val="right"/>
              <w:rPr>
                <w:rFonts w:ascii="Arial Narrow" w:hAnsi="Arial Narrow"/>
                <w:b/>
                <w:color w:val="000000"/>
              </w:rPr>
            </w:pPr>
            <w:r>
              <w:rPr>
                <w:rFonts w:ascii="Arial Narrow" w:hAnsi="Arial Narrow"/>
                <w:b/>
                <w:color w:val="000000"/>
              </w:rPr>
              <w:t>23.197.346</w:t>
            </w:r>
          </w:p>
        </w:tc>
        <w:tc>
          <w:tcPr>
            <w:tcW w:w="2811" w:type="dxa"/>
            <w:tcBorders>
              <w:top w:val="single" w:sz="2" w:space="0" w:color="auto"/>
              <w:bottom w:val="single" w:sz="2" w:space="0" w:color="auto"/>
            </w:tcBorders>
            <w:vAlign w:val="center"/>
          </w:tcPr>
          <w:p w:rsidR="00E94F98" w:rsidRPr="006631AF" w:rsidRDefault="00B41758" w:rsidP="00DA68E2">
            <w:pPr>
              <w:spacing w:after="0"/>
              <w:ind w:left="56" w:firstLine="0"/>
              <w:jc w:val="right"/>
              <w:rPr>
                <w:rFonts w:ascii="Arial Narrow" w:hAnsi="Arial Narrow"/>
                <w:b/>
                <w:color w:val="000000"/>
              </w:rPr>
            </w:pPr>
            <w:r>
              <w:rPr>
                <w:rFonts w:ascii="Arial Narrow" w:hAnsi="Arial Narrow"/>
                <w:b/>
                <w:color w:val="000000"/>
              </w:rPr>
              <w:t>74.413.752</w:t>
            </w:r>
          </w:p>
        </w:tc>
      </w:tr>
      <w:tr w:rsidR="00E94F98" w:rsidRPr="000A2B37" w:rsidTr="00C54F50">
        <w:trPr>
          <w:trHeight w:val="284"/>
          <w:jc w:val="center"/>
        </w:trPr>
        <w:tc>
          <w:tcPr>
            <w:tcW w:w="3266" w:type="dxa"/>
            <w:tcBorders>
              <w:top w:val="single" w:sz="2" w:space="0" w:color="auto"/>
              <w:bottom w:val="single" w:sz="2" w:space="0" w:color="auto"/>
            </w:tcBorders>
            <w:shd w:val="clear" w:color="auto" w:fill="auto"/>
            <w:noWrap/>
            <w:vAlign w:val="center"/>
          </w:tcPr>
          <w:p w:rsidR="00E94F98" w:rsidRPr="006631AF" w:rsidRDefault="00E94F98" w:rsidP="006631AF">
            <w:pPr>
              <w:spacing w:after="0"/>
              <w:ind w:firstLine="0"/>
              <w:jc w:val="left"/>
              <w:rPr>
                <w:rFonts w:ascii="Arial Narrow" w:hAnsi="Arial Narrow"/>
                <w:color w:val="000000"/>
              </w:rPr>
            </w:pPr>
            <w:r>
              <w:rPr>
                <w:rFonts w:ascii="Arial Narrow" w:hAnsi="Arial Narrow"/>
                <w:color w:val="000000"/>
              </w:rPr>
              <w:t>Printzipala (atxikitze-saria barne)</w:t>
            </w:r>
          </w:p>
        </w:tc>
        <w:tc>
          <w:tcPr>
            <w:tcW w:w="2790" w:type="dxa"/>
            <w:tcBorders>
              <w:top w:val="single" w:sz="2" w:space="0" w:color="auto"/>
              <w:bottom w:val="single" w:sz="2" w:space="0" w:color="auto"/>
            </w:tcBorders>
            <w:shd w:val="clear" w:color="auto" w:fill="auto"/>
            <w:noWrap/>
            <w:vAlign w:val="center"/>
          </w:tcPr>
          <w:p w:rsidR="00E94F98" w:rsidRPr="00D94497" w:rsidRDefault="00E94F98" w:rsidP="00AB03EE">
            <w:pPr>
              <w:spacing w:after="0"/>
              <w:ind w:left="56" w:firstLine="0"/>
              <w:jc w:val="right"/>
              <w:rPr>
                <w:rFonts w:ascii="Arial Narrow" w:hAnsi="Arial Narrow"/>
                <w:color w:val="000000"/>
              </w:rPr>
            </w:pPr>
            <w:r>
              <w:rPr>
                <w:rFonts w:ascii="Arial Narrow" w:hAnsi="Arial Narrow"/>
                <w:color w:val="000000"/>
              </w:rPr>
              <w:t>21.097.292</w:t>
            </w:r>
          </w:p>
        </w:tc>
        <w:tc>
          <w:tcPr>
            <w:tcW w:w="2811" w:type="dxa"/>
            <w:tcBorders>
              <w:top w:val="single" w:sz="2" w:space="0" w:color="auto"/>
              <w:bottom w:val="single" w:sz="2" w:space="0" w:color="auto"/>
            </w:tcBorders>
            <w:vAlign w:val="center"/>
          </w:tcPr>
          <w:p w:rsidR="00E94F98" w:rsidRPr="000A2B37" w:rsidRDefault="00E94F98" w:rsidP="00DA68E2">
            <w:pPr>
              <w:spacing w:after="0"/>
              <w:ind w:left="56" w:firstLine="0"/>
              <w:jc w:val="right"/>
              <w:rPr>
                <w:rFonts w:ascii="Arial Narrow" w:hAnsi="Arial Narrow"/>
                <w:color w:val="000000"/>
              </w:rPr>
            </w:pPr>
            <w:r>
              <w:rPr>
                <w:rFonts w:ascii="Arial Narrow" w:hAnsi="Arial Narrow"/>
                <w:color w:val="000000"/>
              </w:rPr>
              <w:t>55.539.785</w:t>
            </w:r>
          </w:p>
        </w:tc>
      </w:tr>
      <w:tr w:rsidR="00E94F98" w:rsidRPr="000A2B37" w:rsidTr="00C54F50">
        <w:trPr>
          <w:trHeight w:val="284"/>
          <w:jc w:val="center"/>
        </w:trPr>
        <w:tc>
          <w:tcPr>
            <w:tcW w:w="3266" w:type="dxa"/>
            <w:tcBorders>
              <w:top w:val="single" w:sz="2" w:space="0" w:color="auto"/>
              <w:bottom w:val="single" w:sz="4" w:space="0" w:color="auto"/>
            </w:tcBorders>
            <w:shd w:val="clear" w:color="auto" w:fill="auto"/>
            <w:noWrap/>
            <w:vAlign w:val="center"/>
          </w:tcPr>
          <w:p w:rsidR="00E94F98" w:rsidRPr="006631AF" w:rsidRDefault="00E94F98" w:rsidP="006631AF">
            <w:pPr>
              <w:spacing w:after="0"/>
              <w:ind w:firstLine="0"/>
              <w:jc w:val="left"/>
              <w:rPr>
                <w:rFonts w:ascii="Arial Narrow" w:hAnsi="Arial Narrow"/>
                <w:color w:val="000000"/>
              </w:rPr>
            </w:pPr>
            <w:r>
              <w:rPr>
                <w:rFonts w:ascii="Arial Narrow" w:hAnsi="Arial Narrow"/>
                <w:color w:val="000000"/>
              </w:rPr>
              <w:t>Legezko interesak</w:t>
            </w:r>
          </w:p>
        </w:tc>
        <w:tc>
          <w:tcPr>
            <w:tcW w:w="2790" w:type="dxa"/>
            <w:tcBorders>
              <w:top w:val="single" w:sz="2" w:space="0" w:color="auto"/>
              <w:bottom w:val="single" w:sz="4" w:space="0" w:color="auto"/>
            </w:tcBorders>
            <w:shd w:val="clear" w:color="auto" w:fill="auto"/>
            <w:noWrap/>
            <w:vAlign w:val="center"/>
          </w:tcPr>
          <w:p w:rsidR="00E94F98" w:rsidRPr="00D94497" w:rsidRDefault="00E94F98" w:rsidP="00AB03EE">
            <w:pPr>
              <w:spacing w:after="0"/>
              <w:ind w:left="56" w:firstLine="0"/>
              <w:jc w:val="right"/>
              <w:rPr>
                <w:rFonts w:ascii="Arial Narrow" w:hAnsi="Arial Narrow"/>
                <w:color w:val="000000"/>
              </w:rPr>
            </w:pPr>
            <w:r>
              <w:rPr>
                <w:rFonts w:ascii="Arial Narrow" w:hAnsi="Arial Narrow"/>
                <w:color w:val="000000"/>
              </w:rPr>
              <w:t>2.100.054</w:t>
            </w:r>
          </w:p>
        </w:tc>
        <w:tc>
          <w:tcPr>
            <w:tcW w:w="2811" w:type="dxa"/>
            <w:tcBorders>
              <w:top w:val="single" w:sz="2" w:space="0" w:color="auto"/>
              <w:bottom w:val="single" w:sz="4" w:space="0" w:color="auto"/>
            </w:tcBorders>
            <w:vAlign w:val="center"/>
          </w:tcPr>
          <w:p w:rsidR="00E94F98" w:rsidRPr="000A2B37" w:rsidRDefault="00B41758" w:rsidP="00DA68E2">
            <w:pPr>
              <w:spacing w:after="0"/>
              <w:ind w:left="56" w:firstLine="0"/>
              <w:jc w:val="right"/>
              <w:rPr>
                <w:rFonts w:ascii="Arial Narrow" w:hAnsi="Arial Narrow"/>
                <w:color w:val="000000"/>
              </w:rPr>
            </w:pPr>
            <w:r>
              <w:rPr>
                <w:rFonts w:ascii="Arial Narrow" w:hAnsi="Arial Narrow"/>
                <w:color w:val="000000"/>
              </w:rPr>
              <w:t>18.873.967</w:t>
            </w:r>
          </w:p>
        </w:tc>
      </w:tr>
    </w:tbl>
    <w:p w:rsidR="00E94F98" w:rsidRPr="006631AF" w:rsidRDefault="00E94F98" w:rsidP="00DA68E2">
      <w:pPr>
        <w:pStyle w:val="texto"/>
        <w:tabs>
          <w:tab w:val="clear" w:pos="2835"/>
          <w:tab w:val="clear" w:pos="3969"/>
          <w:tab w:val="clear" w:pos="5103"/>
          <w:tab w:val="clear" w:pos="6237"/>
          <w:tab w:val="clear" w:pos="7371"/>
        </w:tabs>
        <w:spacing w:before="240" w:after="240"/>
        <w:rPr>
          <w:spacing w:val="2"/>
          <w:szCs w:val="26"/>
        </w:rPr>
      </w:pPr>
      <w:r>
        <w:lastRenderedPageBreak/>
        <w:t>Nabarmentzen dugu m</w:t>
      </w:r>
      <w:r>
        <w:rPr>
          <w:vertAlign w:val="superscript"/>
        </w:rPr>
        <w:t>2</w:t>
      </w:r>
      <w:r>
        <w:t xml:space="preserve"> bakoitzeko prezioaren bilakaera; hartara, hurrengo taulan erakusten ditugu aplikatutako balorazio desberdinak, afekzio-saria ko</w:t>
      </w:r>
      <w:r>
        <w:t>n</w:t>
      </w:r>
      <w:r>
        <w:t>tuan eduki gabe:</w:t>
      </w:r>
    </w:p>
    <w:tbl>
      <w:tblPr>
        <w:tblW w:w="8953" w:type="dxa"/>
        <w:jc w:val="center"/>
        <w:tblInd w:w="44" w:type="dxa"/>
        <w:tblCellMar>
          <w:left w:w="70" w:type="dxa"/>
          <w:right w:w="70" w:type="dxa"/>
        </w:tblCellMar>
        <w:tblLook w:val="04A0" w:firstRow="1" w:lastRow="0" w:firstColumn="1" w:lastColumn="0" w:noHBand="0" w:noVBand="1"/>
      </w:tblPr>
      <w:tblGrid>
        <w:gridCol w:w="6823"/>
        <w:gridCol w:w="2130"/>
      </w:tblGrid>
      <w:tr w:rsidR="00E94F98" w:rsidRPr="000A2B37" w:rsidTr="00C54F50">
        <w:trPr>
          <w:trHeight w:val="284"/>
          <w:jc w:val="center"/>
        </w:trPr>
        <w:tc>
          <w:tcPr>
            <w:tcW w:w="6823" w:type="dxa"/>
            <w:tcBorders>
              <w:top w:val="single" w:sz="4" w:space="0" w:color="auto"/>
              <w:bottom w:val="single" w:sz="4" w:space="0" w:color="auto"/>
            </w:tcBorders>
            <w:shd w:val="clear" w:color="auto" w:fill="B8CCE4" w:themeFill="accent1" w:themeFillTint="66"/>
            <w:noWrap/>
            <w:vAlign w:val="center"/>
          </w:tcPr>
          <w:p w:rsidR="00E94F98" w:rsidRPr="0021746A" w:rsidRDefault="001F10F1" w:rsidP="001F10F1">
            <w:pPr>
              <w:widowControl w:val="0"/>
              <w:spacing w:after="0"/>
              <w:ind w:firstLine="0"/>
              <w:jc w:val="left"/>
              <w:rPr>
                <w:rFonts w:ascii="Arial" w:hAnsi="Arial" w:cs="Arial"/>
                <w:color w:val="000000"/>
                <w:sz w:val="18"/>
                <w:szCs w:val="18"/>
              </w:rPr>
            </w:pPr>
            <w:r>
              <w:rPr>
                <w:rFonts w:ascii="Arial" w:hAnsi="Arial"/>
                <w:color w:val="000000"/>
                <w:sz w:val="18"/>
                <w:szCs w:val="18"/>
              </w:rPr>
              <w:t>GHaren 3. eta 4. faseetako desjabetzeak. Euroa m</w:t>
            </w:r>
            <w:r>
              <w:rPr>
                <w:rFonts w:ascii="Arial" w:hAnsi="Arial"/>
                <w:color w:val="000000"/>
                <w:sz w:val="18"/>
                <w:szCs w:val="18"/>
                <w:vertAlign w:val="superscript"/>
              </w:rPr>
              <w:t>2</w:t>
            </w:r>
            <w:r>
              <w:rPr>
                <w:rFonts w:ascii="Arial" w:hAnsi="Arial"/>
                <w:color w:val="000000"/>
                <w:sz w:val="18"/>
                <w:szCs w:val="18"/>
              </w:rPr>
              <w:t xml:space="preserve"> bakoitzeko (afekzio-saririk gabe)</w:t>
            </w:r>
          </w:p>
        </w:tc>
        <w:tc>
          <w:tcPr>
            <w:tcW w:w="2130" w:type="dxa"/>
            <w:tcBorders>
              <w:top w:val="single" w:sz="4" w:space="0" w:color="auto"/>
              <w:bottom w:val="single" w:sz="4" w:space="0" w:color="auto"/>
            </w:tcBorders>
            <w:shd w:val="clear" w:color="auto" w:fill="B8CCE4" w:themeFill="accent1" w:themeFillTint="66"/>
            <w:vAlign w:val="center"/>
          </w:tcPr>
          <w:p w:rsidR="00E94F98" w:rsidRPr="000A2B37" w:rsidRDefault="00E94F98" w:rsidP="006631AF">
            <w:pPr>
              <w:widowControl w:val="0"/>
              <w:spacing w:after="0"/>
              <w:ind w:firstLine="0"/>
              <w:jc w:val="right"/>
              <w:rPr>
                <w:rFonts w:ascii="Arial" w:hAnsi="Arial" w:cs="Arial"/>
                <w:color w:val="000000"/>
                <w:sz w:val="18"/>
                <w:szCs w:val="18"/>
              </w:rPr>
            </w:pPr>
            <w:r>
              <w:rPr>
                <w:rFonts w:ascii="Arial" w:hAnsi="Arial"/>
                <w:color w:val="000000"/>
                <w:sz w:val="18"/>
                <w:szCs w:val="18"/>
              </w:rPr>
              <w:t xml:space="preserve">Zenbatekoa </w:t>
            </w:r>
          </w:p>
        </w:tc>
      </w:tr>
      <w:tr w:rsidR="00E94F98" w:rsidRPr="00D94497" w:rsidTr="00C54F50">
        <w:trPr>
          <w:trHeight w:val="284"/>
          <w:jc w:val="center"/>
        </w:trPr>
        <w:tc>
          <w:tcPr>
            <w:tcW w:w="6823" w:type="dxa"/>
            <w:tcBorders>
              <w:top w:val="single" w:sz="4" w:space="0" w:color="auto"/>
              <w:bottom w:val="single" w:sz="2" w:space="0" w:color="auto"/>
            </w:tcBorders>
            <w:shd w:val="clear" w:color="auto" w:fill="auto"/>
            <w:noWrap/>
            <w:vAlign w:val="center"/>
          </w:tcPr>
          <w:p w:rsidR="00E94F98" w:rsidRPr="000A2B37" w:rsidRDefault="00E94F98" w:rsidP="006631AF">
            <w:pPr>
              <w:spacing w:after="0"/>
              <w:ind w:firstLine="0"/>
              <w:jc w:val="left"/>
              <w:rPr>
                <w:rFonts w:ascii="Arial Narrow" w:hAnsi="Arial Narrow"/>
                <w:color w:val="000000"/>
              </w:rPr>
            </w:pPr>
            <w:r>
              <w:rPr>
                <w:rFonts w:ascii="Arial Narrow" w:hAnsi="Arial Narrow"/>
                <w:color w:val="000000"/>
              </w:rPr>
              <w:t>Jabeen prezio-orria</w:t>
            </w:r>
          </w:p>
        </w:tc>
        <w:tc>
          <w:tcPr>
            <w:tcW w:w="2130" w:type="dxa"/>
            <w:tcBorders>
              <w:top w:val="single" w:sz="4" w:space="0" w:color="auto"/>
              <w:bottom w:val="single" w:sz="2" w:space="0" w:color="auto"/>
            </w:tcBorders>
            <w:shd w:val="clear" w:color="auto" w:fill="auto"/>
            <w:noWrap/>
            <w:vAlign w:val="center"/>
          </w:tcPr>
          <w:p w:rsidR="00E94F98" w:rsidRPr="00D94497" w:rsidRDefault="00E94F98" w:rsidP="006631AF">
            <w:pPr>
              <w:spacing w:after="0"/>
              <w:ind w:firstLine="0"/>
              <w:jc w:val="right"/>
              <w:rPr>
                <w:rFonts w:ascii="Arial Narrow" w:hAnsi="Arial Narrow"/>
                <w:color w:val="000000"/>
              </w:rPr>
            </w:pPr>
            <w:r>
              <w:rPr>
                <w:rFonts w:ascii="Arial Narrow" w:hAnsi="Arial Narrow"/>
                <w:color w:val="000000"/>
              </w:rPr>
              <w:t>50,79 eta 57,09 bitarte</w:t>
            </w:r>
          </w:p>
        </w:tc>
      </w:tr>
      <w:tr w:rsidR="00E94F98" w:rsidRPr="00D94497" w:rsidTr="00C54F50">
        <w:trPr>
          <w:trHeight w:val="284"/>
          <w:jc w:val="center"/>
        </w:trPr>
        <w:tc>
          <w:tcPr>
            <w:tcW w:w="6823" w:type="dxa"/>
            <w:tcBorders>
              <w:top w:val="single" w:sz="2" w:space="0" w:color="auto"/>
              <w:bottom w:val="single" w:sz="2" w:space="0" w:color="auto"/>
            </w:tcBorders>
            <w:shd w:val="clear" w:color="auto" w:fill="auto"/>
            <w:noWrap/>
            <w:vAlign w:val="center"/>
          </w:tcPr>
          <w:p w:rsidR="00E94F98" w:rsidRPr="000A2B37" w:rsidRDefault="00E94F98" w:rsidP="006631AF">
            <w:pPr>
              <w:spacing w:after="0"/>
              <w:ind w:firstLine="0"/>
              <w:jc w:val="left"/>
              <w:rPr>
                <w:rFonts w:ascii="Arial Narrow" w:hAnsi="Arial Narrow"/>
                <w:color w:val="000000"/>
              </w:rPr>
            </w:pPr>
            <w:r>
              <w:rPr>
                <w:rFonts w:ascii="Arial Narrow" w:hAnsi="Arial Narrow"/>
                <w:color w:val="000000"/>
              </w:rPr>
              <w:t>Administrazioaren prezio-orria</w:t>
            </w:r>
          </w:p>
        </w:tc>
        <w:tc>
          <w:tcPr>
            <w:tcW w:w="2130" w:type="dxa"/>
            <w:tcBorders>
              <w:top w:val="single" w:sz="2" w:space="0" w:color="auto"/>
              <w:bottom w:val="single" w:sz="2" w:space="0" w:color="auto"/>
            </w:tcBorders>
            <w:shd w:val="clear" w:color="auto" w:fill="auto"/>
            <w:noWrap/>
            <w:vAlign w:val="center"/>
          </w:tcPr>
          <w:p w:rsidR="00E94F98" w:rsidRPr="00212A87" w:rsidRDefault="00E94F98" w:rsidP="006631AF">
            <w:pPr>
              <w:spacing w:after="0"/>
              <w:ind w:firstLine="0"/>
              <w:jc w:val="right"/>
              <w:rPr>
                <w:rFonts w:ascii="Arial Narrow" w:hAnsi="Arial Narrow"/>
                <w:color w:val="000000"/>
              </w:rPr>
            </w:pPr>
            <w:r>
              <w:rPr>
                <w:rFonts w:ascii="Arial Narrow" w:hAnsi="Arial Narrow"/>
                <w:color w:val="000000"/>
              </w:rPr>
              <w:t>11,02</w:t>
            </w:r>
          </w:p>
        </w:tc>
      </w:tr>
      <w:tr w:rsidR="00E94F98" w:rsidRPr="00D94497" w:rsidTr="00C54F50">
        <w:trPr>
          <w:trHeight w:val="284"/>
          <w:jc w:val="center"/>
        </w:trPr>
        <w:tc>
          <w:tcPr>
            <w:tcW w:w="6823" w:type="dxa"/>
            <w:tcBorders>
              <w:top w:val="single" w:sz="2" w:space="0" w:color="auto"/>
              <w:bottom w:val="single" w:sz="2" w:space="0" w:color="auto"/>
            </w:tcBorders>
            <w:shd w:val="clear" w:color="auto" w:fill="auto"/>
            <w:noWrap/>
            <w:vAlign w:val="center"/>
          </w:tcPr>
          <w:p w:rsidR="00E94F98" w:rsidRPr="00212A87" w:rsidRDefault="00E94F98" w:rsidP="006631AF">
            <w:pPr>
              <w:spacing w:after="0"/>
              <w:ind w:firstLine="0"/>
              <w:jc w:val="left"/>
              <w:rPr>
                <w:rFonts w:ascii="Arial Narrow" w:hAnsi="Arial Narrow"/>
                <w:color w:val="000000"/>
              </w:rPr>
            </w:pPr>
            <w:r>
              <w:rPr>
                <w:rFonts w:ascii="Arial Narrow" w:hAnsi="Arial Narrow"/>
                <w:color w:val="000000"/>
              </w:rPr>
              <w:t>Nafarroako Desjabetzeen Epaimahaia</w:t>
            </w:r>
          </w:p>
        </w:tc>
        <w:tc>
          <w:tcPr>
            <w:tcW w:w="2130" w:type="dxa"/>
            <w:tcBorders>
              <w:top w:val="single" w:sz="2" w:space="0" w:color="auto"/>
              <w:bottom w:val="single" w:sz="2" w:space="0" w:color="auto"/>
            </w:tcBorders>
            <w:shd w:val="clear" w:color="auto" w:fill="auto"/>
            <w:noWrap/>
            <w:vAlign w:val="center"/>
          </w:tcPr>
          <w:p w:rsidR="00E94F98" w:rsidRPr="00D94497" w:rsidRDefault="00E94F98" w:rsidP="006631AF">
            <w:pPr>
              <w:spacing w:after="0"/>
              <w:ind w:firstLine="0"/>
              <w:jc w:val="right"/>
              <w:rPr>
                <w:rFonts w:ascii="Arial Narrow" w:hAnsi="Arial Narrow"/>
                <w:color w:val="000000"/>
              </w:rPr>
            </w:pPr>
            <w:r>
              <w:rPr>
                <w:rFonts w:ascii="Arial Narrow" w:hAnsi="Arial Narrow"/>
                <w:color w:val="000000"/>
              </w:rPr>
              <w:t>20,01</w:t>
            </w:r>
          </w:p>
        </w:tc>
      </w:tr>
      <w:tr w:rsidR="00E94F98" w:rsidRPr="00D94497" w:rsidTr="00C54F50">
        <w:trPr>
          <w:trHeight w:val="284"/>
          <w:jc w:val="center"/>
        </w:trPr>
        <w:tc>
          <w:tcPr>
            <w:tcW w:w="6823" w:type="dxa"/>
            <w:tcBorders>
              <w:top w:val="single" w:sz="2" w:space="0" w:color="auto"/>
              <w:bottom w:val="single" w:sz="4" w:space="0" w:color="auto"/>
            </w:tcBorders>
            <w:shd w:val="clear" w:color="auto" w:fill="auto"/>
            <w:noWrap/>
            <w:vAlign w:val="center"/>
          </w:tcPr>
          <w:p w:rsidR="00E94F98" w:rsidRPr="00212A87" w:rsidRDefault="00E94F98" w:rsidP="006631AF">
            <w:pPr>
              <w:spacing w:after="0"/>
              <w:ind w:firstLine="0"/>
              <w:jc w:val="left"/>
              <w:rPr>
                <w:rFonts w:ascii="Arial Narrow" w:hAnsi="Arial Narrow"/>
                <w:color w:val="000000"/>
              </w:rPr>
            </w:pPr>
            <w:r>
              <w:rPr>
                <w:rFonts w:ascii="Arial Narrow" w:hAnsi="Arial Narrow"/>
                <w:color w:val="000000"/>
              </w:rPr>
              <w:t>Epai irmoak</w:t>
            </w:r>
          </w:p>
        </w:tc>
        <w:tc>
          <w:tcPr>
            <w:tcW w:w="2130" w:type="dxa"/>
            <w:tcBorders>
              <w:top w:val="single" w:sz="2" w:space="0" w:color="auto"/>
              <w:bottom w:val="single" w:sz="4" w:space="0" w:color="auto"/>
            </w:tcBorders>
            <w:shd w:val="clear" w:color="auto" w:fill="auto"/>
            <w:noWrap/>
            <w:vAlign w:val="center"/>
          </w:tcPr>
          <w:p w:rsidR="00E94F98" w:rsidRPr="00D94497" w:rsidRDefault="00E94F98" w:rsidP="006631AF">
            <w:pPr>
              <w:spacing w:after="0"/>
              <w:ind w:firstLine="0"/>
              <w:jc w:val="right"/>
              <w:rPr>
                <w:rFonts w:ascii="Arial Narrow" w:hAnsi="Arial Narrow"/>
                <w:color w:val="000000"/>
              </w:rPr>
            </w:pPr>
            <w:r>
              <w:rPr>
                <w:rFonts w:ascii="Arial Narrow" w:hAnsi="Arial Narrow"/>
                <w:color w:val="000000"/>
              </w:rPr>
              <w:t>53,06 eta 57,09 bitarte</w:t>
            </w:r>
          </w:p>
        </w:tc>
      </w:tr>
    </w:tbl>
    <w:p w:rsidR="00E94F98" w:rsidRDefault="00E94F98" w:rsidP="006631AF">
      <w:pPr>
        <w:pStyle w:val="texto"/>
        <w:tabs>
          <w:tab w:val="clear" w:pos="2835"/>
          <w:tab w:val="clear" w:pos="3969"/>
          <w:tab w:val="clear" w:pos="5103"/>
          <w:tab w:val="clear" w:pos="6237"/>
          <w:tab w:val="clear" w:pos="7371"/>
        </w:tabs>
        <w:spacing w:before="240"/>
        <w:rPr>
          <w:szCs w:val="26"/>
        </w:rPr>
      </w:pPr>
      <w:r>
        <w:t>Ikusten denez, lursailengatik azkenean ordaindutako zenbateko unitarioak ia bat datoz jabeek beren prezio-orrian aurkeztutakoekin.</w:t>
      </w:r>
    </w:p>
    <w:p w:rsidR="0049525B" w:rsidRPr="00E1739F" w:rsidRDefault="00ED5724" w:rsidP="00E94F98">
      <w:pPr>
        <w:pStyle w:val="texto"/>
        <w:tabs>
          <w:tab w:val="clear" w:pos="2835"/>
          <w:tab w:val="clear" w:pos="3969"/>
          <w:tab w:val="clear" w:pos="5103"/>
          <w:tab w:val="clear" w:pos="6237"/>
          <w:tab w:val="clear" w:pos="7371"/>
        </w:tabs>
        <w:rPr>
          <w:szCs w:val="26"/>
        </w:rPr>
      </w:pPr>
      <w:r>
        <w:t>Lurzoruaren aipatutako balorazio guztiak hondarreko metodo dinamikoaren bidez kalkulatuta daude; horien arteko aldearen arrazoia da funtsean lursailen merkatuko balioa eta eraikuntzaren kostua zenbatesteko edo justifikatzeko h</w:t>
      </w:r>
      <w:r>
        <w:t>i</w:t>
      </w:r>
      <w:r>
        <w:t>potesi eta parametro desberdinak erabili direla.</w:t>
      </w:r>
    </w:p>
    <w:p w:rsidR="00E94F98" w:rsidRPr="00F97E01" w:rsidRDefault="00A62F1C" w:rsidP="00E94F98">
      <w:pPr>
        <w:pStyle w:val="texto"/>
        <w:tabs>
          <w:tab w:val="clear" w:pos="2835"/>
          <w:tab w:val="clear" w:pos="3969"/>
          <w:tab w:val="clear" w:pos="5103"/>
          <w:tab w:val="clear" w:pos="6237"/>
          <w:tab w:val="clear" w:pos="7371"/>
        </w:tabs>
        <w:rPr>
          <w:szCs w:val="26"/>
        </w:rPr>
      </w:pPr>
      <w:r>
        <w:rPr>
          <w:b/>
          <w:szCs w:val="26"/>
        </w:rPr>
        <w:t>Hogeita bosgarrena.</w:t>
      </w:r>
      <w:r>
        <w:t xml:space="preserve"> GHaren zabalkuntzarako lursailen desjabetze horiek finantzatzeko, Nafarroako Gobernuaren 2015eko martxoko aipatutako erabaki</w:t>
      </w:r>
      <w:r>
        <w:t>a</w:t>
      </w:r>
      <w:r>
        <w:t>ren emaitza gisa, 2017ko martxoan 5/2017 Foru Legea onetsi zen, 25 milioi e</w:t>
      </w:r>
      <w:r>
        <w:t>u</w:t>
      </w:r>
      <w:r>
        <w:t>roko kreditu berezia ematekoa “</w:t>
      </w:r>
      <w:r>
        <w:rPr>
          <w:i/>
        </w:rPr>
        <w:t>Transferentzia arruntak Nasuvinsari. Garra</w:t>
      </w:r>
      <w:r>
        <w:rPr>
          <w:i/>
        </w:rPr>
        <w:t>i</w:t>
      </w:r>
      <w:r>
        <w:rPr>
          <w:i/>
        </w:rPr>
        <w:t>oaren Hiriaren gaineko epaia</w:t>
      </w:r>
      <w:r>
        <w:t>” izeneko partidarako, hain zuzen ere garraioaren hiriko finken balio justua ezartzeari buruzko epaiei aurre egiteko.</w:t>
      </w:r>
      <w:r>
        <w:rPr>
          <w:i/>
          <w:szCs w:val="26"/>
        </w:rPr>
        <w:t xml:space="preserve"> </w:t>
      </w:r>
      <w:r>
        <w:t xml:space="preserve"> Halaber, foru lege horrek Nafarroako 2017ko Aurrekontu Orokorrei buruzko 24/2016 Foru Legea aldatu zuen, Nasuvinsaren aipatutako partida hori zabalgarritzat jo zedin.</w:t>
      </w:r>
    </w:p>
    <w:p w:rsidR="00E94F98" w:rsidRDefault="00E94F98" w:rsidP="00E94F98">
      <w:pPr>
        <w:pStyle w:val="texto"/>
        <w:tabs>
          <w:tab w:val="clear" w:pos="2835"/>
          <w:tab w:val="clear" w:pos="3969"/>
          <w:tab w:val="clear" w:pos="5103"/>
          <w:tab w:val="clear" w:pos="6237"/>
          <w:tab w:val="clear" w:pos="7371"/>
        </w:tabs>
        <w:rPr>
          <w:szCs w:val="26"/>
        </w:rPr>
      </w:pPr>
      <w:r>
        <w:t xml:space="preserve">Nafarroako Gobernuaren 2017ko uztailaren 19ko erabakiaz, partida horren kreditua 26,5 milioi euroan handitu zen. Nasuvinsari egiazki entregatutako zenbatekoa 51,36 milioi eurokoa izan da guztira. </w:t>
      </w:r>
    </w:p>
    <w:p w:rsidR="00E94F98" w:rsidRDefault="00E94F98" w:rsidP="00E94F98">
      <w:pPr>
        <w:pStyle w:val="texto"/>
        <w:tabs>
          <w:tab w:val="clear" w:pos="2835"/>
          <w:tab w:val="clear" w:pos="3969"/>
          <w:tab w:val="clear" w:pos="5103"/>
          <w:tab w:val="clear" w:pos="6237"/>
          <w:tab w:val="clear" w:pos="7371"/>
        </w:tabs>
        <w:rPr>
          <w:szCs w:val="26"/>
        </w:rPr>
      </w:pPr>
      <w:r>
        <w:t>Zenbatekoaren gainerakoa merkataritza-jardueratik datozen funtsekin eta s</w:t>
      </w:r>
      <w:r>
        <w:t>o</w:t>
      </w:r>
      <w:r>
        <w:t>zietate kudeatzailearen bestelako baliabide propioekin ordaindu dira.</w:t>
      </w:r>
    </w:p>
    <w:p w:rsidR="00E94F98" w:rsidRDefault="00A62F1C" w:rsidP="00E94F98">
      <w:pPr>
        <w:pStyle w:val="texto"/>
        <w:tabs>
          <w:tab w:val="clear" w:pos="2835"/>
          <w:tab w:val="clear" w:pos="3969"/>
          <w:tab w:val="clear" w:pos="5103"/>
          <w:tab w:val="clear" w:pos="6237"/>
          <w:tab w:val="clear" w:pos="7371"/>
        </w:tabs>
        <w:rPr>
          <w:szCs w:val="26"/>
        </w:rPr>
      </w:pPr>
      <w:r>
        <w:rPr>
          <w:b/>
          <w:szCs w:val="26"/>
        </w:rPr>
        <w:t>Hogeita seigarrena.</w:t>
      </w:r>
      <w:r>
        <w:t xml:space="preserve"> Azkenik, aurreko desjabetzeen kudeaketa dela-eta h</w:t>
      </w:r>
      <w:r>
        <w:t>o</w:t>
      </w:r>
      <w:r>
        <w:t>nako alderdi hauek nabarmendu behar ditugu:</w:t>
      </w:r>
    </w:p>
    <w:p w:rsidR="00BE51C3" w:rsidRPr="00BE51C3" w:rsidRDefault="00BE51C3" w:rsidP="001418D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89"/>
        <w:rPr>
          <w:szCs w:val="26"/>
        </w:rPr>
      </w:pPr>
      <w:r>
        <w:t>3. faseko desjabetze-espedienteen lagin bat aztertu dugu, eta ondorioztatu dugu haiek osorik daudela, behar den justifikazioa jasotzen dutela, eta egindako kalkuluak eta ordainketak haiei buruzko dokumentazioari eta epaiei dagozkiela.</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Sozietate-kudeatzaileak/Nafarroako Gobernuak aldez aurreko gordailuak egin zituzten eta zenbateko konkurrenteak jarri zituzten Gordailuetarako Kutxa Orokorrean, legezko berandutze-interesen balizko sorrera ahal den guztian g</w:t>
      </w:r>
      <w:r>
        <w:t>u</w:t>
      </w:r>
      <w:r>
        <w:t>txitzeko.</w:t>
      </w:r>
    </w:p>
    <w:p w:rsidR="00E94F98" w:rsidRDefault="00E94F98" w:rsidP="00E94F98">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lastRenderedPageBreak/>
        <w:t>2002an zehar, Nafarroako Justizia Auzitegi Nagusiak kasuko epaiak eman zituen, eta haien bidez 1. eta 2. faseetako lursailen balio justua m</w:t>
      </w:r>
      <w:r>
        <w:rPr>
          <w:vertAlign w:val="superscript"/>
        </w:rPr>
        <w:t xml:space="preserve">2 </w:t>
      </w:r>
      <w:r>
        <w:t>bakoitzeko 12,04 eta 19,62 euro artean finkatu zuen —afekzio-saririk gabe—; horrenbe</w:t>
      </w:r>
      <w:r>
        <w:t>s</w:t>
      </w:r>
      <w:r>
        <w:t>tez, Administrazioak bazekizkien prezio horiek, eta, beraz, ez da oso ulergarrik gertatzen GHaren zabalkuntzarako 2006an aurkeztutako prezio-orrian lursail</w:t>
      </w:r>
      <w:r>
        <w:t>e</w:t>
      </w:r>
      <w:r>
        <w:t>tarako m</w:t>
      </w:r>
      <w:r>
        <w:rPr>
          <w:vertAlign w:val="superscript"/>
        </w:rPr>
        <w:t>2</w:t>
      </w:r>
      <w:r>
        <w:t xml:space="preserve"> bakoitzeko 11,02 euroko prezioa jasotzea, lursailen izaera oso antz</w:t>
      </w:r>
      <w:r>
        <w:t>e</w:t>
      </w:r>
      <w:r>
        <w:t xml:space="preserve">koa zenean.  </w:t>
      </w:r>
    </w:p>
    <w:p w:rsidR="00D62876" w:rsidRDefault="00D62876" w:rsidP="00D62876">
      <w:pPr>
        <w:pStyle w:val="texto"/>
        <w:tabs>
          <w:tab w:val="clear" w:pos="2835"/>
          <w:tab w:val="clear" w:pos="3969"/>
          <w:tab w:val="clear" w:pos="5103"/>
          <w:tab w:val="clear" w:pos="6237"/>
          <w:tab w:val="clear" w:pos="7371"/>
        </w:tabs>
        <w:ind w:left="290" w:firstLine="0"/>
        <w:rPr>
          <w:szCs w:val="26"/>
        </w:rPr>
      </w:pPr>
    </w:p>
    <w:p w:rsidR="00D62876" w:rsidRDefault="00E1739F" w:rsidP="00D62876">
      <w:pPr>
        <w:pStyle w:val="texto"/>
        <w:numPr>
          <w:ilvl w:val="0"/>
          <w:numId w:val="1"/>
        </w:numPr>
        <w:tabs>
          <w:tab w:val="clear" w:pos="502"/>
          <w:tab w:val="clear" w:pos="2835"/>
          <w:tab w:val="clear" w:pos="3969"/>
          <w:tab w:val="clear" w:pos="5103"/>
          <w:tab w:val="clear" w:pos="6237"/>
          <w:tab w:val="clear" w:pos="7371"/>
          <w:tab w:val="left" w:pos="480"/>
          <w:tab w:val="num" w:pos="600"/>
        </w:tabs>
        <w:spacing w:after="0"/>
        <w:ind w:left="0" w:firstLine="289"/>
        <w:rPr>
          <w:szCs w:val="26"/>
        </w:rPr>
      </w:pPr>
      <w:r>
        <w:t>Denboraren egungo perspektibatik, GHaren zabalkuntza 3. faseko lursail</w:t>
      </w:r>
      <w:r>
        <w:t>e</w:t>
      </w:r>
      <w:r>
        <w:t>tara mugatu beharko zen; gero, 4. faseari helduko zitzaion, merkataritza-ustiaketaren merkataritza-emaitzen arabera, egoera ekonomikoaren bilakaer</w:t>
      </w:r>
      <w:r>
        <w:t>a</w:t>
      </w:r>
      <w:r>
        <w:t>ren arabera eta bideragarritasun planaren ondorioen arabera. Hala eta guztiz ere, fasekako exekuzio horrek arriskuak ere baditu; esate baterako, lursailak d</w:t>
      </w:r>
      <w:r>
        <w:t>i</w:t>
      </w:r>
      <w:r>
        <w:t>rela-eta hirigintza-aldaketak edo lursailen gaineko espekulazio-eragiketak ge</w:t>
      </w:r>
      <w:r>
        <w:t>r</w:t>
      </w:r>
      <w:r>
        <w:t>tatzea, proiektuaren amaierako garapena eragotzi edo hartan eragin zezaket</w:t>
      </w:r>
      <w:r>
        <w:t>e</w:t>
      </w:r>
      <w:r>
        <w:t>nak.</w:t>
      </w:r>
    </w:p>
    <w:p w:rsidR="00AB03EE" w:rsidRPr="006C7C5A" w:rsidRDefault="00AB03EE" w:rsidP="00D62876">
      <w:pPr>
        <w:pStyle w:val="texto"/>
        <w:tabs>
          <w:tab w:val="clear" w:pos="2835"/>
          <w:tab w:val="clear" w:pos="3969"/>
          <w:tab w:val="clear" w:pos="5103"/>
          <w:tab w:val="clear" w:pos="6237"/>
          <w:tab w:val="clear" w:pos="7371"/>
        </w:tabs>
        <w:spacing w:after="0"/>
        <w:ind w:left="289" w:firstLine="0"/>
        <w:rPr>
          <w:szCs w:val="26"/>
        </w:rPr>
      </w:pPr>
    </w:p>
    <w:p w:rsidR="005136BB" w:rsidRDefault="005136BB" w:rsidP="005136BB">
      <w:pPr>
        <w:pStyle w:val="atitulo2"/>
      </w:pPr>
      <w:bookmarkStart w:id="41" w:name="_Toc519583204"/>
      <w:r>
        <w:t>IV.4. Garraioaren Hiriaren kudeaketa-eredua</w:t>
      </w:r>
      <w:bookmarkEnd w:id="41"/>
    </w:p>
    <w:p w:rsidR="005136BB" w:rsidRDefault="00A62F1C" w:rsidP="005136BB">
      <w:pPr>
        <w:pStyle w:val="texto"/>
        <w:tabs>
          <w:tab w:val="clear" w:pos="2835"/>
          <w:tab w:val="clear" w:pos="3969"/>
          <w:tab w:val="clear" w:pos="5103"/>
          <w:tab w:val="clear" w:pos="6237"/>
          <w:tab w:val="clear" w:pos="7371"/>
        </w:tabs>
        <w:rPr>
          <w:szCs w:val="26"/>
        </w:rPr>
      </w:pPr>
      <w:r>
        <w:rPr>
          <w:b/>
          <w:szCs w:val="26"/>
        </w:rPr>
        <w:t>Hogeita zazpigarrena.</w:t>
      </w:r>
      <w:r>
        <w:t xml:space="preserve"> GHaren 1., 2. eta 3. faseetan Garraioaren Hirirako ezartzen den kudeaketa-ereduak honako ezaugarri hauek dauzka:</w:t>
      </w:r>
    </w:p>
    <w:p w:rsid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Ia hasieratik, GHaren garapena eta funtzionamendua kontrol instituzional</w:t>
      </w:r>
      <w:r>
        <w:t>a</w:t>
      </w:r>
      <w:r>
        <w:t>ren pean egiten da, azpiegitura horrek Nafarroarako duen izaera estrategikoari eusteko.</w:t>
      </w:r>
    </w:p>
    <w:p w:rsidR="005A4122" w:rsidRDefault="005A4122"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Sozietate kudeatzaile batez, ustiaketa pribatuko edo emakidadun baten b</w:t>
      </w:r>
      <w:r>
        <w:t>i</w:t>
      </w:r>
      <w:r>
        <w:t>tartezko zerbitzu publiko bat ematen da. 1995etik, sozietate horrek enpresa p</w:t>
      </w:r>
      <w:r>
        <w:t>u</w:t>
      </w:r>
      <w:r>
        <w:t>blikoaren izaera hartzen du.</w:t>
      </w:r>
    </w:p>
    <w:p w:rsidR="00300999" w:rsidRPr="00B121CD" w:rsidRDefault="00300999" w:rsidP="00300999">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GHrako behar diren lurzoruak Nafarroako Gobernuak desjabetu eta fina</w:t>
      </w:r>
      <w:r>
        <w:t>n</w:t>
      </w:r>
      <w:r>
        <w:t>tzatu zituen, entitate onuraduna sozietate kudeatzailea dela aitortuz. Halaber, GHaren lurralde-esparruaz kanpoko azpiegiturak bereganatzen eta finantzatzen ditu.</w:t>
      </w:r>
    </w:p>
    <w:p w:rsid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GHaren urbanizazio-, eraikuntza- eta ustiaketa-lanetarako, sozietate kude</w:t>
      </w:r>
      <w:r>
        <w:t>a</w:t>
      </w:r>
      <w:r>
        <w:t>tzaileak bi lehiaketa publiko egin zituen, biak ere aldi baterako enpresa-elkarte berari adjudikatu zitzaizkionak, eskaintza bakarra aurkeztu baitzen. Lehiaketa horiek “giltza eskura” erako operaziotzat kalifikatzen dira;  hori dela eta, aldi baterako enpresa-elkarteak bere gain hartzen ditu, bere arrisku eta menturara, GHaren urbanizazioa, eraikuntza, sustapena eta ustiatzea.</w:t>
      </w:r>
    </w:p>
    <w:p w:rsidR="00D76DDD" w:rsidRDefault="00D76DDD" w:rsidP="00D76DDD">
      <w:pPr>
        <w:pStyle w:val="texto"/>
        <w:tabs>
          <w:tab w:val="clear" w:pos="2835"/>
          <w:tab w:val="clear" w:pos="3969"/>
          <w:tab w:val="clear" w:pos="5103"/>
          <w:tab w:val="clear" w:pos="6237"/>
          <w:tab w:val="clear" w:pos="7371"/>
        </w:tabs>
        <w:rPr>
          <w:szCs w:val="26"/>
        </w:rPr>
      </w:pPr>
      <w:r>
        <w:t>1. eta 2. faseetarako, aldi baterako enpresa-elkarteak sozietate kudeatzaileari, kontratua sinatu aurretik, 181.007 euro ordaindu zizkion, GHaren garapenerako txosten, azterlan eta proiektuan izandako gastuen ordainetan.</w:t>
      </w:r>
    </w:p>
    <w:p w:rsidR="00D76DDD" w:rsidRPr="00184893" w:rsidRDefault="00D76DDD" w:rsidP="00D76DDD">
      <w:pPr>
        <w:pStyle w:val="texto"/>
        <w:tabs>
          <w:tab w:val="clear" w:pos="2835"/>
          <w:tab w:val="clear" w:pos="3969"/>
          <w:tab w:val="clear" w:pos="5103"/>
          <w:tab w:val="clear" w:pos="6237"/>
          <w:tab w:val="clear" w:pos="7371"/>
        </w:tabs>
        <w:rPr>
          <w:szCs w:val="26"/>
        </w:rPr>
      </w:pPr>
      <w:r>
        <w:lastRenderedPageBreak/>
        <w:t>3. fasean, sozietate kudeatzaileak, egindako salmenta bakoitzean ezarritako portzentajeaz gainera, 15 milioiko kanon bat jasoko zuen aldi baterako enpresa-elkartearen eskutik. 10 urtez, urtero-urteroko ordainketen bidez, sortuko da k</w:t>
      </w:r>
      <w:r>
        <w:t>o</w:t>
      </w:r>
      <w:r>
        <w:t>puru hori. Kanon horrekin, urbanizazioaren obra-zuzendaritzan eta kalitate-kontrolean izandako kostuak berdinduko dira, bai eta udalez gaindiko plan se</w:t>
      </w:r>
      <w:r>
        <w:t>k</w:t>
      </w:r>
      <w:r>
        <w:t>torialaren azterlanetarako, idazketarako eta izapidetzerako eta sustapen instit</w:t>
      </w:r>
      <w:r>
        <w:t>u</w:t>
      </w:r>
      <w:r>
        <w:t>zionalerako gastuak ere.</w:t>
      </w:r>
    </w:p>
    <w:p w:rsid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Eraikuntza hori egiteko, sozietate kudeatzaileak lursailak aldi baterako e</w:t>
      </w:r>
      <w:r>
        <w:t>n</w:t>
      </w:r>
      <w:r>
        <w:t>presa-elkartearen eskura jarri zituen, azalera-eskubide bat eratuz; haren ind</w:t>
      </w:r>
      <w:r>
        <w:t>a</w:t>
      </w:r>
      <w:r>
        <w:t xml:space="preserve">rraldia, 1. eta 2. faseetarako, 2003ko abendura artekoa izan zen, eta 3. faserako, ordea, 2021eko abendura arte hartu zuen. </w:t>
      </w:r>
    </w:p>
    <w:p w:rsidR="00D62876" w:rsidRDefault="00D62876" w:rsidP="00D62876">
      <w:pPr>
        <w:pStyle w:val="texto"/>
        <w:tabs>
          <w:tab w:val="clear" w:pos="2835"/>
          <w:tab w:val="clear" w:pos="3969"/>
          <w:tab w:val="clear" w:pos="5103"/>
          <w:tab w:val="clear" w:pos="6237"/>
          <w:tab w:val="clear" w:pos="7371"/>
        </w:tabs>
        <w:ind w:left="290" w:firstLine="0"/>
        <w:rPr>
          <w:szCs w:val="26"/>
        </w:rPr>
      </w:pPr>
    </w:p>
    <w:p w:rsidR="005136BB" w:rsidRPr="003B064D"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Merkaturatze mota gisa, honako hauek aipatu behar ditugu:</w:t>
      </w:r>
    </w:p>
    <w:p w:rsidR="005136BB" w:rsidRDefault="005136BB" w:rsidP="005136BB">
      <w:pPr>
        <w:pStyle w:val="texto"/>
        <w:tabs>
          <w:tab w:val="clear" w:pos="2835"/>
          <w:tab w:val="clear" w:pos="3969"/>
          <w:tab w:val="clear" w:pos="5103"/>
          <w:tab w:val="clear" w:pos="6237"/>
          <w:tab w:val="clear" w:pos="7371"/>
        </w:tabs>
        <w:rPr>
          <w:szCs w:val="26"/>
        </w:rPr>
      </w:pPr>
      <w:r>
        <w:t>a) 1. eta 2. faseetarako, aldi baterako enpresa-elkarteak, funtsean, lurzati u</w:t>
      </w:r>
      <w:r>
        <w:t>r</w:t>
      </w:r>
      <w:r>
        <w:t>banizatuen eta eraikitako nabeen salmenta kudeatzen du.</w:t>
      </w:r>
    </w:p>
    <w:p w:rsidR="005136BB" w:rsidRDefault="005136BB" w:rsidP="005136BB">
      <w:pPr>
        <w:pStyle w:val="texto"/>
        <w:tabs>
          <w:tab w:val="clear" w:pos="2835"/>
          <w:tab w:val="clear" w:pos="3969"/>
          <w:tab w:val="clear" w:pos="5103"/>
          <w:tab w:val="clear" w:pos="6237"/>
          <w:tab w:val="clear" w:pos="7371"/>
        </w:tabs>
        <w:rPr>
          <w:szCs w:val="26"/>
        </w:rPr>
      </w:pPr>
      <w:r>
        <w:t>b) 3. fasean, aldi baterako enpresa-elkarteak bai lurzati urbanizatuaren sa</w:t>
      </w:r>
      <w:r>
        <w:t>l</w:t>
      </w:r>
      <w:r>
        <w:t>menta bai lurzatiaren salmenta eta eraikinaren eraikuntza kudeatzen ditu; hal</w:t>
      </w:r>
      <w:r>
        <w:t>a</w:t>
      </w:r>
      <w:r>
        <w:t xml:space="preserve">ber, eraikitako naberen alokairua jasotzen da. </w:t>
      </w:r>
    </w:p>
    <w:p w:rsidR="005136BB" w:rsidRPr="002F7BEE"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Salmentaren zein alokairuaren baldintzak eta haien prezioak urtero eza</w:t>
      </w:r>
      <w:r>
        <w:t>r</w:t>
      </w:r>
      <w:r>
        <w:t>tzen eta gaurkotzen ditu GHaren sozietate kudeatzaileak, eta aldi baterako e</w:t>
      </w:r>
      <w:r>
        <w:t>n</w:t>
      </w:r>
      <w:r>
        <w:t>presa-elkarteak egindako operazio desberdinak sozietate horri komunikatu b</w:t>
      </w:r>
      <w:r>
        <w:t>e</w:t>
      </w:r>
      <w:r>
        <w:t>har zaizkio aldez aurretik. Halaber, kontratu-eredu batzuk diseinatu ziren.</w:t>
      </w:r>
    </w:p>
    <w:p w:rsid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 xml:space="preserve">Behin aldi baterako enpresa-elkartearen eta kasuko pertsona fisikoen zein juridikoen arteko salerosketa kontratuak eskrituratuta, sozietate kudeatzaileak salmenta horren diru-sarrerak direla-eta itundutako portzentajea jasoko du. </w:t>
      </w:r>
    </w:p>
    <w:p w:rsidR="005136BB" w:rsidRPr="007714CA"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Halaber sozietate kudeatzaileak, aldi baterako enpresa-elkartearekin egi</w:t>
      </w:r>
      <w:r>
        <w:t>n</w:t>
      </w:r>
      <w:r>
        <w:t>dako salerosketa bidez, bulegoetarako bi eraikin eta ibilgailu astunetarako eta salgai arriskutsuetarako aparkaleku bat eskuratu zituen; higiezin horiek sozi</w:t>
      </w:r>
      <w:r>
        <w:t>e</w:t>
      </w:r>
      <w:r>
        <w:t>tate kudeatzaileak kudeatu zituen zuzenean. Halaber, 1998an, Nafarroako G</w:t>
      </w:r>
      <w:r>
        <w:t>o</w:t>
      </w:r>
      <w:r>
        <w:t>bernuak enkargatu zion Aduanako eraikina egin zezan; obra horiek aldi bat</w:t>
      </w:r>
      <w:r>
        <w:t>e</w:t>
      </w:r>
      <w:r>
        <w:t>rako enpresa-elkarteak egin eta Nafarroako Gobernuak berak finantzatu zituen</w:t>
      </w:r>
    </w:p>
    <w:p w:rsidR="000E026C" w:rsidRDefault="000E026C"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3. faserako, kontratuan sozietate kudeatzaileak adjudikazio-hartzaileak besterendu gabeko higiezinen balizko erosketa-aukera jaso zen kontratuan, b</w:t>
      </w:r>
      <w:r>
        <w:t>e</w:t>
      </w:r>
      <w:r>
        <w:t>hin azalera-eskubidearen indarraldiaren epea amaituta (2021erako aurreikusi zen).</w:t>
      </w:r>
    </w:p>
    <w:p w:rsidR="005136BB" w:rsidRPr="005136BB" w:rsidRDefault="005136BB" w:rsidP="005136BB">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GHaren zerbitzu komunen kudeaketarako, jabeen bi komunitate sortu z</w:t>
      </w:r>
      <w:r>
        <w:t>i</w:t>
      </w:r>
      <w:r>
        <w:t xml:space="preserve">ren: bata 1. eta 2. faseetarako eta bestea 3.erako. Sozietate kudeatzaileak bi komunitate horien burutza hartu zuen. Jabeen komunitate horiek sozietateari enkargatu zioten GHaren funtzionamendu egokirako behar ziren zerbitzuak </w:t>
      </w:r>
      <w:r>
        <w:lastRenderedPageBreak/>
        <w:t>eman zitzan (zaintza eta segurtasuna, bide-garbiketa, neguan erabilgarri egotea, berdeguneen eta argiteria publikoaren mantentzea, urbanizazioaren mantentze orokorra eta abar). Prestazio horren truke, aipatutako komunitateen gastuen a</w:t>
      </w:r>
      <w:r>
        <w:t>u</w:t>
      </w:r>
      <w:r>
        <w:t>rrekontuaren ehuneko bost jasoko zuen. 2017ko uztailaren 1etik, Nasuvinsak aipatutako komunitateetatik lehenengoaren kudeaketa utzi du, zeren eta jabetza horizontalaren partaidetzaren gehiengoa galdu baitu.</w:t>
      </w:r>
    </w:p>
    <w:p w:rsidR="00462071" w:rsidRDefault="00A62F1C" w:rsidP="00A62F1C">
      <w:pPr>
        <w:pStyle w:val="texto"/>
        <w:tabs>
          <w:tab w:val="clear" w:pos="2835"/>
          <w:tab w:val="clear" w:pos="3969"/>
          <w:tab w:val="clear" w:pos="5103"/>
          <w:tab w:val="clear" w:pos="6237"/>
          <w:tab w:val="clear" w:pos="7371"/>
        </w:tabs>
        <w:rPr>
          <w:szCs w:val="26"/>
        </w:rPr>
      </w:pPr>
      <w:r>
        <w:rPr>
          <w:b/>
          <w:szCs w:val="26"/>
        </w:rPr>
        <w:t>Hogeita zortzigarrena.</w:t>
      </w:r>
      <w:r>
        <w:t xml:space="preserve"> 4. faserako, haren diseinua behin betiko egituratzen ez den bitartean, kudeaketa Nasuvinsak hartzen du zuzenean. </w:t>
      </w:r>
    </w:p>
    <w:p w:rsidR="00D62876" w:rsidRPr="00A62F1C" w:rsidRDefault="00D62876" w:rsidP="00A62F1C">
      <w:pPr>
        <w:pStyle w:val="texto"/>
        <w:tabs>
          <w:tab w:val="clear" w:pos="2835"/>
          <w:tab w:val="clear" w:pos="3969"/>
          <w:tab w:val="clear" w:pos="5103"/>
          <w:tab w:val="clear" w:pos="6237"/>
          <w:tab w:val="clear" w:pos="7371"/>
        </w:tabs>
        <w:rPr>
          <w:szCs w:val="26"/>
        </w:rPr>
      </w:pPr>
    </w:p>
    <w:p w:rsidR="00462071" w:rsidRPr="00763E07" w:rsidRDefault="00462071" w:rsidP="00462071">
      <w:pPr>
        <w:pStyle w:val="atitulo2"/>
        <w:rPr>
          <w:color w:val="auto"/>
        </w:rPr>
      </w:pPr>
      <w:bookmarkStart w:id="42" w:name="_Toc519583205"/>
      <w:r>
        <w:rPr>
          <w:color w:val="auto"/>
        </w:rPr>
        <w:t>IV.5. Garraioaren Hiriaren sozietate kudeatzailea</w:t>
      </w:r>
      <w:bookmarkEnd w:id="42"/>
    </w:p>
    <w:p w:rsidR="00462071" w:rsidRPr="00372251" w:rsidRDefault="00A62F1C" w:rsidP="001418D9">
      <w:pPr>
        <w:pStyle w:val="texto"/>
        <w:tabs>
          <w:tab w:val="clear" w:pos="2835"/>
          <w:tab w:val="clear" w:pos="3969"/>
          <w:tab w:val="clear" w:pos="5103"/>
          <w:tab w:val="clear" w:pos="6237"/>
          <w:tab w:val="clear" w:pos="7371"/>
        </w:tabs>
        <w:spacing w:after="240"/>
        <w:rPr>
          <w:szCs w:val="26"/>
        </w:rPr>
      </w:pPr>
      <w:r>
        <w:rPr>
          <w:b/>
          <w:szCs w:val="26"/>
        </w:rPr>
        <w:t>H</w:t>
      </w:r>
      <w:r>
        <w:rPr>
          <w:b/>
        </w:rPr>
        <w:t>ogeita bederatzigarrena.</w:t>
      </w:r>
      <w:r>
        <w:t xml:space="preserve"> Sozietate kudeatzaileak, hasieratik eta gaur arte, hainbat izen eta kapital sozialaren jabe izan ditu, hurrengo taulan ikus dait</w:t>
      </w:r>
      <w:r>
        <w:t>e</w:t>
      </w:r>
      <w:r>
        <w:t>keen bezala:</w:t>
      </w:r>
    </w:p>
    <w:tbl>
      <w:tblPr>
        <w:tblStyle w:val="TableNormal"/>
        <w:tblW w:w="8844"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5173"/>
        <w:gridCol w:w="1269"/>
        <w:gridCol w:w="2402"/>
      </w:tblGrid>
      <w:tr w:rsidR="00462071" w:rsidRPr="00DA5BC7" w:rsidTr="00DA68E2">
        <w:trPr>
          <w:trHeight w:hRule="exact" w:val="284"/>
          <w:jc w:val="center"/>
        </w:trPr>
        <w:tc>
          <w:tcPr>
            <w:tcW w:w="5173" w:type="dxa"/>
            <w:tcBorders>
              <w:top w:val="single" w:sz="4" w:space="0" w:color="auto"/>
              <w:bottom w:val="single" w:sz="4" w:space="0" w:color="auto"/>
            </w:tcBorders>
            <w:shd w:val="clear" w:color="auto" w:fill="B8CCE4" w:themeFill="accent1" w:themeFillTint="66"/>
            <w:vAlign w:val="center"/>
          </w:tcPr>
          <w:p w:rsidR="00462071" w:rsidRPr="005B3CA8" w:rsidRDefault="00462071" w:rsidP="001418D9">
            <w:pPr>
              <w:spacing w:after="0"/>
              <w:ind w:left="70" w:firstLine="0"/>
              <w:jc w:val="left"/>
              <w:rPr>
                <w:rFonts w:ascii="Arial" w:hAnsi="Arial" w:cs="Arial"/>
                <w:color w:val="000000"/>
                <w:sz w:val="18"/>
                <w:szCs w:val="18"/>
              </w:rPr>
            </w:pPr>
            <w:r>
              <w:rPr>
                <w:rFonts w:ascii="Arial" w:hAnsi="Arial"/>
                <w:color w:val="000000"/>
                <w:sz w:val="18"/>
                <w:szCs w:val="18"/>
              </w:rPr>
              <w:t>GHaren sozietate kudeatzailearen izena</w:t>
            </w:r>
          </w:p>
        </w:tc>
        <w:tc>
          <w:tcPr>
            <w:tcW w:w="1269" w:type="dxa"/>
            <w:tcBorders>
              <w:top w:val="single" w:sz="4" w:space="0" w:color="auto"/>
              <w:bottom w:val="single" w:sz="4" w:space="0" w:color="auto"/>
            </w:tcBorders>
            <w:shd w:val="clear" w:color="auto" w:fill="B8CCE4" w:themeFill="accent1" w:themeFillTint="66"/>
            <w:vAlign w:val="center"/>
          </w:tcPr>
          <w:p w:rsidR="00462071" w:rsidRPr="00DA5BC7" w:rsidRDefault="00462071" w:rsidP="00DA68E2">
            <w:pPr>
              <w:spacing w:after="0"/>
              <w:ind w:left="59" w:right="76" w:firstLine="0"/>
              <w:jc w:val="right"/>
              <w:rPr>
                <w:rFonts w:ascii="Arial" w:hAnsi="Arial" w:cs="Arial"/>
                <w:color w:val="000000"/>
                <w:sz w:val="18"/>
                <w:szCs w:val="18"/>
              </w:rPr>
            </w:pPr>
            <w:r>
              <w:rPr>
                <w:rFonts w:ascii="Arial" w:hAnsi="Arial"/>
                <w:color w:val="000000"/>
                <w:sz w:val="18"/>
                <w:szCs w:val="18"/>
              </w:rPr>
              <w:t>Aldia</w:t>
            </w:r>
          </w:p>
        </w:tc>
        <w:tc>
          <w:tcPr>
            <w:tcW w:w="2402" w:type="dxa"/>
            <w:tcBorders>
              <w:top w:val="single" w:sz="4" w:space="0" w:color="auto"/>
              <w:bottom w:val="single" w:sz="4" w:space="0" w:color="auto"/>
            </w:tcBorders>
            <w:shd w:val="clear" w:color="auto" w:fill="B8CCE4" w:themeFill="accent1" w:themeFillTint="66"/>
            <w:vAlign w:val="center"/>
          </w:tcPr>
          <w:p w:rsidR="00462071" w:rsidRPr="00DA5BC7" w:rsidRDefault="00462071" w:rsidP="00D241E0">
            <w:pPr>
              <w:spacing w:after="0"/>
              <w:ind w:left="206" w:right="115" w:firstLine="0"/>
              <w:jc w:val="right"/>
              <w:rPr>
                <w:rFonts w:ascii="Arial" w:hAnsi="Arial" w:cs="Arial"/>
                <w:color w:val="000000"/>
                <w:sz w:val="18"/>
                <w:szCs w:val="18"/>
              </w:rPr>
            </w:pPr>
            <w:r>
              <w:rPr>
                <w:rFonts w:ascii="Arial" w:hAnsi="Arial"/>
                <w:color w:val="000000"/>
                <w:sz w:val="18"/>
                <w:szCs w:val="18"/>
              </w:rPr>
              <w:t>Partaidetza publikoa (%)</w:t>
            </w:r>
          </w:p>
        </w:tc>
      </w:tr>
      <w:tr w:rsidR="00462071" w:rsidRPr="00612D84" w:rsidTr="00DA68E2">
        <w:trPr>
          <w:trHeight w:hRule="exact" w:val="284"/>
          <w:jc w:val="center"/>
        </w:trPr>
        <w:tc>
          <w:tcPr>
            <w:tcW w:w="5173" w:type="dxa"/>
            <w:tcBorders>
              <w:top w:val="single" w:sz="4" w:space="0" w:color="auto"/>
              <w:bottom w:val="single" w:sz="2" w:space="0" w:color="auto"/>
            </w:tcBorders>
            <w:vAlign w:val="center"/>
          </w:tcPr>
          <w:p w:rsidR="00462071" w:rsidRPr="008E708D" w:rsidRDefault="00462071" w:rsidP="001418D9">
            <w:pPr>
              <w:widowControl/>
              <w:spacing w:after="0"/>
              <w:ind w:left="70" w:firstLine="0"/>
              <w:jc w:val="left"/>
              <w:rPr>
                <w:rFonts w:ascii="Arial Narrow" w:hAnsi="Arial Narrow"/>
                <w:color w:val="000000"/>
                <w:sz w:val="20"/>
                <w:szCs w:val="20"/>
              </w:rPr>
            </w:pPr>
            <w:r>
              <w:rPr>
                <w:rFonts w:ascii="Arial Narrow" w:hAnsi="Arial Narrow"/>
                <w:color w:val="000000"/>
                <w:sz w:val="20"/>
                <w:szCs w:val="20"/>
              </w:rPr>
              <w:t>Terminal de Transporte de la Comarca de Pamplona SA</w:t>
            </w:r>
          </w:p>
        </w:tc>
        <w:tc>
          <w:tcPr>
            <w:tcW w:w="1269" w:type="dxa"/>
            <w:tcBorders>
              <w:top w:val="single" w:sz="4" w:space="0" w:color="auto"/>
              <w:bottom w:val="single" w:sz="2" w:space="0" w:color="auto"/>
            </w:tcBorders>
            <w:vAlign w:val="center"/>
          </w:tcPr>
          <w:p w:rsidR="00462071" w:rsidRPr="008E708D" w:rsidRDefault="00462071" w:rsidP="00DA68E2">
            <w:pPr>
              <w:widowControl/>
              <w:spacing w:after="0"/>
              <w:ind w:left="59" w:right="76" w:firstLine="0"/>
              <w:jc w:val="right"/>
              <w:rPr>
                <w:rFonts w:ascii="Arial Narrow" w:hAnsi="Arial Narrow"/>
                <w:color w:val="000000"/>
                <w:sz w:val="20"/>
                <w:szCs w:val="20"/>
              </w:rPr>
            </w:pPr>
            <w:r>
              <w:rPr>
                <w:rFonts w:ascii="Arial Narrow" w:hAnsi="Arial Narrow"/>
                <w:color w:val="000000"/>
                <w:sz w:val="20"/>
                <w:szCs w:val="20"/>
              </w:rPr>
              <w:t>1991-1994</w:t>
            </w:r>
          </w:p>
        </w:tc>
        <w:tc>
          <w:tcPr>
            <w:tcW w:w="2402" w:type="dxa"/>
            <w:tcBorders>
              <w:top w:val="single" w:sz="4" w:space="0" w:color="auto"/>
              <w:bottom w:val="single" w:sz="2" w:space="0" w:color="auto"/>
            </w:tcBorders>
            <w:vAlign w:val="center"/>
          </w:tcPr>
          <w:p w:rsidR="00462071" w:rsidRPr="008E708D" w:rsidRDefault="00462071" w:rsidP="00D241E0">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0</w:t>
            </w:r>
          </w:p>
        </w:tc>
      </w:tr>
      <w:tr w:rsidR="00462071" w:rsidRPr="00612D84" w:rsidTr="00DA68E2">
        <w:trPr>
          <w:trHeight w:hRule="exact" w:val="284"/>
          <w:jc w:val="center"/>
        </w:trPr>
        <w:tc>
          <w:tcPr>
            <w:tcW w:w="5173" w:type="dxa"/>
            <w:vAlign w:val="center"/>
          </w:tcPr>
          <w:p w:rsidR="00462071" w:rsidRPr="008E708D" w:rsidRDefault="00462071" w:rsidP="001418D9">
            <w:pPr>
              <w:widowControl/>
              <w:spacing w:after="0"/>
              <w:ind w:left="70" w:firstLine="0"/>
              <w:jc w:val="left"/>
              <w:rPr>
                <w:rFonts w:ascii="Arial Narrow" w:hAnsi="Arial Narrow"/>
                <w:color w:val="000000"/>
                <w:sz w:val="20"/>
                <w:szCs w:val="20"/>
              </w:rPr>
            </w:pPr>
            <w:r>
              <w:rPr>
                <w:rFonts w:ascii="Arial Narrow" w:hAnsi="Arial Narrow"/>
                <w:color w:val="000000"/>
                <w:sz w:val="20"/>
                <w:szCs w:val="20"/>
              </w:rPr>
              <w:t>Terminal de Transporte de la Comarca de Pamplona SA</w:t>
            </w:r>
          </w:p>
        </w:tc>
        <w:tc>
          <w:tcPr>
            <w:tcW w:w="1269" w:type="dxa"/>
            <w:vAlign w:val="center"/>
          </w:tcPr>
          <w:p w:rsidR="00462071" w:rsidRPr="008E708D" w:rsidRDefault="00462071" w:rsidP="00DA68E2">
            <w:pPr>
              <w:widowControl/>
              <w:spacing w:after="0"/>
              <w:ind w:left="59" w:right="76" w:firstLine="0"/>
              <w:jc w:val="right"/>
              <w:rPr>
                <w:rFonts w:ascii="Arial Narrow" w:hAnsi="Arial Narrow"/>
                <w:color w:val="000000"/>
                <w:sz w:val="20"/>
                <w:szCs w:val="20"/>
              </w:rPr>
            </w:pPr>
            <w:r>
              <w:rPr>
                <w:rFonts w:ascii="Arial Narrow" w:hAnsi="Arial Narrow"/>
                <w:color w:val="000000"/>
                <w:sz w:val="20"/>
                <w:szCs w:val="20"/>
              </w:rPr>
              <w:t>1995-1997</w:t>
            </w:r>
          </w:p>
        </w:tc>
        <w:tc>
          <w:tcPr>
            <w:tcW w:w="2402" w:type="dxa"/>
            <w:vAlign w:val="center"/>
          </w:tcPr>
          <w:p w:rsidR="00462071" w:rsidRPr="008E708D" w:rsidRDefault="00462071" w:rsidP="00D241E0">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80-92</w:t>
            </w:r>
          </w:p>
        </w:tc>
      </w:tr>
      <w:tr w:rsidR="00462071" w:rsidRPr="00612D84" w:rsidTr="00DA68E2">
        <w:trPr>
          <w:trHeight w:hRule="exact" w:val="284"/>
          <w:jc w:val="center"/>
        </w:trPr>
        <w:tc>
          <w:tcPr>
            <w:tcW w:w="5173" w:type="dxa"/>
            <w:vAlign w:val="center"/>
          </w:tcPr>
          <w:p w:rsidR="00462071" w:rsidRPr="008E708D" w:rsidRDefault="00462071" w:rsidP="001418D9">
            <w:pPr>
              <w:widowControl/>
              <w:spacing w:after="0"/>
              <w:ind w:left="70" w:firstLine="0"/>
              <w:jc w:val="left"/>
              <w:rPr>
                <w:rFonts w:ascii="Arial Narrow" w:hAnsi="Arial Narrow"/>
                <w:color w:val="000000"/>
                <w:sz w:val="20"/>
                <w:szCs w:val="20"/>
              </w:rPr>
            </w:pPr>
            <w:r>
              <w:rPr>
                <w:rFonts w:ascii="Arial Narrow" w:hAnsi="Arial Narrow"/>
                <w:color w:val="000000"/>
                <w:sz w:val="20"/>
                <w:szCs w:val="20"/>
              </w:rPr>
              <w:t>Ciudad del Transporte de Pamplona SA</w:t>
            </w:r>
          </w:p>
        </w:tc>
        <w:tc>
          <w:tcPr>
            <w:tcW w:w="1269" w:type="dxa"/>
            <w:vAlign w:val="center"/>
          </w:tcPr>
          <w:p w:rsidR="00462071" w:rsidRPr="008E708D" w:rsidRDefault="00462071" w:rsidP="00DA68E2">
            <w:pPr>
              <w:widowControl/>
              <w:spacing w:after="0"/>
              <w:ind w:left="59" w:right="76" w:firstLine="0"/>
              <w:jc w:val="right"/>
              <w:rPr>
                <w:rFonts w:ascii="Arial Narrow" w:hAnsi="Arial Narrow"/>
                <w:color w:val="000000"/>
                <w:sz w:val="20"/>
                <w:szCs w:val="20"/>
              </w:rPr>
            </w:pPr>
            <w:r>
              <w:rPr>
                <w:rFonts w:ascii="Arial Narrow" w:hAnsi="Arial Narrow"/>
                <w:color w:val="000000"/>
                <w:sz w:val="20"/>
                <w:szCs w:val="20"/>
              </w:rPr>
              <w:t>1997-2011</w:t>
            </w:r>
          </w:p>
        </w:tc>
        <w:tc>
          <w:tcPr>
            <w:tcW w:w="2402" w:type="dxa"/>
            <w:vAlign w:val="center"/>
          </w:tcPr>
          <w:p w:rsidR="00462071" w:rsidRPr="008E708D" w:rsidRDefault="00462071" w:rsidP="00D241E0">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95-99</w:t>
            </w:r>
          </w:p>
        </w:tc>
      </w:tr>
      <w:tr w:rsidR="00462071" w:rsidRPr="00612D84" w:rsidTr="00DA68E2">
        <w:trPr>
          <w:trHeight w:hRule="exact" w:val="284"/>
          <w:jc w:val="center"/>
        </w:trPr>
        <w:tc>
          <w:tcPr>
            <w:tcW w:w="5173" w:type="dxa"/>
            <w:tcBorders>
              <w:bottom w:val="single" w:sz="2" w:space="0" w:color="auto"/>
            </w:tcBorders>
            <w:vAlign w:val="center"/>
          </w:tcPr>
          <w:p w:rsidR="00462071" w:rsidRPr="008E708D" w:rsidRDefault="00462071" w:rsidP="001418D9">
            <w:pPr>
              <w:widowControl/>
              <w:spacing w:after="0"/>
              <w:ind w:left="70" w:firstLine="0"/>
              <w:jc w:val="left"/>
              <w:rPr>
                <w:rFonts w:ascii="Arial Narrow" w:hAnsi="Arial Narrow"/>
                <w:color w:val="000000"/>
                <w:sz w:val="20"/>
                <w:szCs w:val="20"/>
              </w:rPr>
            </w:pPr>
            <w:r>
              <w:rPr>
                <w:rFonts w:ascii="Arial Narrow" w:hAnsi="Arial Narrow"/>
                <w:color w:val="000000"/>
                <w:sz w:val="20"/>
                <w:szCs w:val="20"/>
              </w:rPr>
              <w:t>Agencia Navarra del Transporte y de la Logística SAU</w:t>
            </w:r>
          </w:p>
        </w:tc>
        <w:tc>
          <w:tcPr>
            <w:tcW w:w="1269" w:type="dxa"/>
            <w:tcBorders>
              <w:bottom w:val="single" w:sz="2" w:space="0" w:color="auto"/>
            </w:tcBorders>
            <w:vAlign w:val="center"/>
          </w:tcPr>
          <w:p w:rsidR="00462071" w:rsidRPr="008E708D" w:rsidRDefault="00462071" w:rsidP="00DA68E2">
            <w:pPr>
              <w:widowControl/>
              <w:spacing w:after="0"/>
              <w:ind w:left="59" w:right="76" w:firstLine="0"/>
              <w:jc w:val="right"/>
              <w:rPr>
                <w:rFonts w:ascii="Arial Narrow" w:hAnsi="Arial Narrow"/>
                <w:color w:val="000000"/>
                <w:sz w:val="20"/>
                <w:szCs w:val="20"/>
              </w:rPr>
            </w:pPr>
            <w:r>
              <w:rPr>
                <w:rFonts w:ascii="Arial Narrow" w:hAnsi="Arial Narrow"/>
                <w:color w:val="000000"/>
                <w:sz w:val="20"/>
                <w:szCs w:val="20"/>
              </w:rPr>
              <w:t>2011-2014</w:t>
            </w:r>
          </w:p>
        </w:tc>
        <w:tc>
          <w:tcPr>
            <w:tcW w:w="2402" w:type="dxa"/>
            <w:tcBorders>
              <w:bottom w:val="single" w:sz="2" w:space="0" w:color="auto"/>
            </w:tcBorders>
            <w:vAlign w:val="center"/>
          </w:tcPr>
          <w:p w:rsidR="00462071" w:rsidRPr="008E708D" w:rsidRDefault="00462071" w:rsidP="00D241E0">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100</w:t>
            </w:r>
          </w:p>
        </w:tc>
      </w:tr>
      <w:tr w:rsidR="00462071" w:rsidRPr="00612D84" w:rsidTr="00DA68E2">
        <w:trPr>
          <w:trHeight w:hRule="exact" w:val="284"/>
          <w:jc w:val="center"/>
        </w:trPr>
        <w:tc>
          <w:tcPr>
            <w:tcW w:w="5173" w:type="dxa"/>
            <w:tcBorders>
              <w:bottom w:val="single" w:sz="4" w:space="0" w:color="auto"/>
            </w:tcBorders>
            <w:vAlign w:val="center"/>
          </w:tcPr>
          <w:p w:rsidR="00462071" w:rsidRPr="008E708D" w:rsidRDefault="00462071" w:rsidP="001418D9">
            <w:pPr>
              <w:widowControl/>
              <w:spacing w:after="0"/>
              <w:ind w:left="70" w:firstLine="0"/>
              <w:jc w:val="left"/>
              <w:rPr>
                <w:rFonts w:ascii="Arial Narrow" w:hAnsi="Arial Narrow"/>
                <w:color w:val="000000"/>
                <w:sz w:val="20"/>
                <w:szCs w:val="20"/>
              </w:rPr>
            </w:pPr>
            <w:r>
              <w:rPr>
                <w:rFonts w:ascii="Arial Narrow" w:hAnsi="Arial Narrow"/>
                <w:color w:val="000000"/>
                <w:sz w:val="20"/>
                <w:szCs w:val="20"/>
              </w:rPr>
              <w:t>NASUVINSA</w:t>
            </w:r>
          </w:p>
        </w:tc>
        <w:tc>
          <w:tcPr>
            <w:tcW w:w="1269" w:type="dxa"/>
            <w:tcBorders>
              <w:bottom w:val="single" w:sz="4" w:space="0" w:color="auto"/>
            </w:tcBorders>
            <w:vAlign w:val="center"/>
          </w:tcPr>
          <w:p w:rsidR="00462071" w:rsidRPr="008E708D" w:rsidRDefault="00462071" w:rsidP="00DA68E2">
            <w:pPr>
              <w:widowControl/>
              <w:spacing w:after="0"/>
              <w:ind w:left="59" w:right="76" w:firstLine="0"/>
              <w:jc w:val="right"/>
              <w:rPr>
                <w:rFonts w:ascii="Arial Narrow" w:hAnsi="Arial Narrow"/>
                <w:color w:val="000000"/>
                <w:sz w:val="20"/>
                <w:szCs w:val="20"/>
              </w:rPr>
            </w:pPr>
            <w:r>
              <w:rPr>
                <w:rFonts w:ascii="Arial Narrow" w:hAnsi="Arial Narrow"/>
                <w:color w:val="000000"/>
                <w:sz w:val="20"/>
                <w:szCs w:val="20"/>
              </w:rPr>
              <w:t>2014-2017</w:t>
            </w:r>
          </w:p>
        </w:tc>
        <w:tc>
          <w:tcPr>
            <w:tcW w:w="2402" w:type="dxa"/>
            <w:tcBorders>
              <w:bottom w:val="single" w:sz="4" w:space="0" w:color="auto"/>
            </w:tcBorders>
            <w:vAlign w:val="center"/>
          </w:tcPr>
          <w:p w:rsidR="00462071" w:rsidRPr="008E708D" w:rsidRDefault="00462071" w:rsidP="00D241E0">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100</w:t>
            </w:r>
          </w:p>
        </w:tc>
      </w:tr>
    </w:tbl>
    <w:p w:rsidR="00462071" w:rsidRDefault="00462071" w:rsidP="001418D9">
      <w:pPr>
        <w:pStyle w:val="texto"/>
        <w:tabs>
          <w:tab w:val="clear" w:pos="2835"/>
          <w:tab w:val="clear" w:pos="3969"/>
          <w:tab w:val="clear" w:pos="5103"/>
          <w:tab w:val="clear" w:pos="6237"/>
          <w:tab w:val="clear" w:pos="7371"/>
        </w:tabs>
        <w:spacing w:after="0"/>
        <w:rPr>
          <w:szCs w:val="26"/>
        </w:rPr>
      </w:pPr>
    </w:p>
    <w:p w:rsidR="00462071" w:rsidRDefault="00462071" w:rsidP="00462071">
      <w:pPr>
        <w:pStyle w:val="texto"/>
        <w:tabs>
          <w:tab w:val="clear" w:pos="2835"/>
          <w:tab w:val="clear" w:pos="3969"/>
          <w:tab w:val="clear" w:pos="5103"/>
          <w:tab w:val="clear" w:pos="6237"/>
          <w:tab w:val="clear" w:pos="7371"/>
        </w:tabs>
        <w:rPr>
          <w:szCs w:val="26"/>
        </w:rPr>
      </w:pPr>
      <w:r>
        <w:t>Lehenengo etapa batean, kapitalean ez du partaidetza publikorik; pixkanaka, Administrazioaren presentzia gehiengo oso handia hartzen joaten da, eta, azk</w:t>
      </w:r>
      <w:r>
        <w:t>e</w:t>
      </w:r>
      <w:r>
        <w:t xml:space="preserve">nean, kapital sozialaren ehuneko ehun edukitzera iristen da. </w:t>
      </w:r>
    </w:p>
    <w:p w:rsidR="006E41F3" w:rsidRPr="00DA68E2" w:rsidRDefault="006E41F3" w:rsidP="00462071">
      <w:pPr>
        <w:pStyle w:val="texto"/>
        <w:tabs>
          <w:tab w:val="clear" w:pos="2835"/>
          <w:tab w:val="clear" w:pos="3969"/>
          <w:tab w:val="clear" w:pos="5103"/>
          <w:tab w:val="clear" w:pos="6237"/>
          <w:tab w:val="clear" w:pos="7371"/>
        </w:tabs>
        <w:rPr>
          <w:spacing w:val="2"/>
          <w:szCs w:val="26"/>
        </w:rPr>
      </w:pPr>
      <w:r>
        <w:t>Nabarmentzen dugu sozietateak, lehenengo bi izenekin, jarduera esklusibo gisa GHaren beraren kudeaketa duela; geroztik, jarduera hori beste xede sozial zabalago batzuetan sartzen da. Egoera horrek, gainera, eragina du haren urteko kontuak jasotzen dituen informazio ekonomiko-finantzarioan.</w:t>
      </w:r>
    </w:p>
    <w:p w:rsidR="00462071" w:rsidRPr="00B7755E" w:rsidRDefault="0023051E" w:rsidP="00462071">
      <w:pPr>
        <w:pStyle w:val="texto"/>
        <w:tabs>
          <w:tab w:val="clear" w:pos="2835"/>
          <w:tab w:val="clear" w:pos="3969"/>
          <w:tab w:val="clear" w:pos="5103"/>
          <w:tab w:val="clear" w:pos="6237"/>
          <w:tab w:val="clear" w:pos="7371"/>
        </w:tabs>
        <w:rPr>
          <w:szCs w:val="26"/>
        </w:rPr>
      </w:pPr>
      <w:r>
        <w:rPr>
          <w:b/>
          <w:szCs w:val="26"/>
        </w:rPr>
        <w:t>Hogeita hamargarrena.</w:t>
      </w:r>
      <w:r>
        <w:t xml:space="preserve"> TTCP SA sozietatea 1991n eratu zen, kapitalaren ehuneko 100 pribatua zuela: 60.101 euro; 2011n, CTP SAk 15,81 milioi euroko kapitala zuen, eta kapitalaren ehuneko 99tik gora publikoa zen. Gainera, aldi horretan, bazkide pribatuek ez dira aurkezten kapital-gehikuntzetan.</w:t>
      </w:r>
    </w:p>
    <w:p w:rsidR="00462071" w:rsidRDefault="00462071" w:rsidP="00462071">
      <w:pPr>
        <w:pStyle w:val="texto"/>
        <w:tabs>
          <w:tab w:val="clear" w:pos="2835"/>
          <w:tab w:val="clear" w:pos="3969"/>
          <w:tab w:val="clear" w:pos="5103"/>
          <w:tab w:val="clear" w:pos="6237"/>
          <w:tab w:val="clear" w:pos="7371"/>
        </w:tabs>
        <w:rPr>
          <w:szCs w:val="26"/>
        </w:rPr>
      </w:pPr>
      <w:r>
        <w:t>1997an, Terminal de Transportes de la Comarca de Pamplona SAk izena a</w:t>
      </w:r>
      <w:r>
        <w:t>l</w:t>
      </w:r>
      <w:r>
        <w:t>datu eta “Ciudad del Transporte de Pamplona SA” izena hartu zuen. Izen horri 2011ra arte eutsi zitzaion; urte horretan, xurgatze bidezko bategite-operazio b</w:t>
      </w:r>
      <w:r>
        <w:t>a</w:t>
      </w:r>
      <w:r>
        <w:t xml:space="preserve">ten bitartez, Garraioaren Hiriak Agencia Navarra del Transporte y Logística SA xurgatu zuen. Sozietate berriak honako izen hau hartu zuen: “Agencia Navarra del Transporte y de la Logística SAU”. </w:t>
      </w:r>
    </w:p>
    <w:p w:rsidR="00462071" w:rsidRPr="00B7755E" w:rsidRDefault="00462071" w:rsidP="001418D9">
      <w:pPr>
        <w:pStyle w:val="texto"/>
        <w:tabs>
          <w:tab w:val="clear" w:pos="2835"/>
          <w:tab w:val="clear" w:pos="3969"/>
          <w:tab w:val="clear" w:pos="5103"/>
          <w:tab w:val="clear" w:pos="6237"/>
          <w:tab w:val="clear" w:pos="7371"/>
        </w:tabs>
        <w:rPr>
          <w:szCs w:val="26"/>
        </w:rPr>
      </w:pPr>
      <w:r>
        <w:t>Xurgatze bidezko bategite hori baino lehen, Nafarroako Foru Komunitate</w:t>
      </w:r>
      <w:r>
        <w:t>a</w:t>
      </w:r>
      <w:r>
        <w:t>ren Administrazioaren jabetzakoak ziren akzioak “Corporación Pública Empr</w:t>
      </w:r>
      <w:r>
        <w:t>e</w:t>
      </w:r>
      <w:r>
        <w:lastRenderedPageBreak/>
        <w:t>sarial de Navarra SLU” (CPEN) sozietatean sartu ziren. Halaber, 2010eko amaieratik 2011ko lehen hiruhilekora, desagertutako CTP SA sozietateko ga</w:t>
      </w:r>
      <w:r>
        <w:t>i</w:t>
      </w:r>
      <w:r>
        <w:t>nerako bazkideek beren akzioak aipatutako CPENi eskualdatu zizkioten, 0,36 milioi euroko prezioan.</w:t>
      </w:r>
    </w:p>
    <w:p w:rsidR="00462071" w:rsidRPr="00B7755E" w:rsidRDefault="00462071" w:rsidP="00462071">
      <w:pPr>
        <w:pStyle w:val="texto"/>
        <w:tabs>
          <w:tab w:val="clear" w:pos="2835"/>
          <w:tab w:val="clear" w:pos="3969"/>
          <w:tab w:val="clear" w:pos="5103"/>
          <w:tab w:val="clear" w:pos="6237"/>
          <w:tab w:val="clear" w:pos="7371"/>
        </w:tabs>
        <w:rPr>
          <w:szCs w:val="26"/>
        </w:rPr>
      </w:pPr>
      <w:r>
        <w:t>2011ko abenduaren 31n, akzioen ehuneko 100aren titularra eta ANL SAU sozietatearen bazkide bakarra CPEN da, eta haren kapital soziala 15,81 eurokoa da. Kapital sozialaren zenbateko horri 2013ra arte eutsi zitzaion.</w:t>
      </w:r>
    </w:p>
    <w:p w:rsidR="00462071" w:rsidRDefault="00462071" w:rsidP="00462071">
      <w:pPr>
        <w:pStyle w:val="texto"/>
        <w:tabs>
          <w:tab w:val="clear" w:pos="2835"/>
          <w:tab w:val="clear" w:pos="3969"/>
          <w:tab w:val="clear" w:pos="5103"/>
          <w:tab w:val="clear" w:pos="6237"/>
          <w:tab w:val="clear" w:pos="7371"/>
          <w:tab w:val="num" w:pos="600"/>
        </w:tabs>
        <w:rPr>
          <w:szCs w:val="26"/>
        </w:rPr>
      </w:pPr>
      <w:r>
        <w:t>2014ko uztailean, “Navarra de Suelo y Vivenda SAU” (Nasuvinsa) sozietate publikoak ANL SAU sozietatea xurgatu zuen, bere aktibo eta pasibo guztiak batera eskualdatuz. Xurgatze horren emaitza da Nasuvinsak Iruñeko Garraio</w:t>
      </w:r>
      <w:r>
        <w:t>a</w:t>
      </w:r>
      <w:r>
        <w:t xml:space="preserve">ren Hiriaren kudeaketaren eta ustiaketaren eskubide eta betebehar guztiak hartu zituela bere gain. </w:t>
      </w:r>
    </w:p>
    <w:p w:rsidR="00462071" w:rsidRPr="001B6768" w:rsidRDefault="00B56BB6" w:rsidP="00462071">
      <w:pPr>
        <w:pStyle w:val="texto"/>
        <w:tabs>
          <w:tab w:val="clear" w:pos="2835"/>
          <w:tab w:val="clear" w:pos="3969"/>
          <w:tab w:val="clear" w:pos="5103"/>
          <w:tab w:val="clear" w:pos="6237"/>
          <w:tab w:val="clear" w:pos="7371"/>
        </w:tabs>
        <w:rPr>
          <w:szCs w:val="26"/>
        </w:rPr>
      </w:pPr>
      <w:r>
        <w:rPr>
          <w:b/>
        </w:rPr>
        <w:t>Hogeita hamaikagarrena.</w:t>
      </w:r>
      <w:r>
        <w:t xml:space="preserve"> Honako hauek dira GHaren sozietate kudeatza</w:t>
      </w:r>
      <w:r>
        <w:t>i</w:t>
      </w:r>
      <w:r>
        <w:t>leak garatzen dituen eginkizunak, laburbilduta:</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 xml:space="preserve">GHa garatzen duten udalez gaindiko plan sektorialen sustapena. </w:t>
      </w:r>
    </w:p>
    <w:p w:rsidR="00462071" w:rsidRPr="001B6768"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 xml:space="preserve">Garraioaren Hiria egitea eta garatzea adjudikatzeko bi lehiaketen deialdia eta izapidetzea egitea, kasuko oinarriak onetsiz. </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Lurzorua eskura jartzea aurreko kontratuen adjudikazio-hartzailearen a</w:t>
      </w:r>
      <w:r>
        <w:t>l</w:t>
      </w:r>
      <w:r>
        <w:t>deko azalera-eskubide bat eratuz.</w:t>
      </w:r>
    </w:p>
    <w:p w:rsidR="00F37143" w:rsidRDefault="00F37143"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Urbanizazio-obrak kontrolatzea.</w:t>
      </w:r>
    </w:p>
    <w:p w:rsidR="00462071" w:rsidRPr="00F431A8"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 xml:space="preserve">Merkaturatze- eta ustiatze-fasea kontrolatu eta jarraitzea. </w:t>
      </w:r>
    </w:p>
    <w:p w:rsidR="00462071" w:rsidRPr="001B6768" w:rsidRDefault="00462071" w:rsidP="00462071">
      <w:pPr>
        <w:pStyle w:val="texto"/>
        <w:tabs>
          <w:tab w:val="clear" w:pos="2835"/>
          <w:tab w:val="clear" w:pos="3969"/>
          <w:tab w:val="clear" w:pos="5103"/>
          <w:tab w:val="clear" w:pos="6237"/>
          <w:tab w:val="clear" w:pos="7371"/>
        </w:tabs>
        <w:rPr>
          <w:szCs w:val="26"/>
        </w:rPr>
      </w:pPr>
      <w:r>
        <w:t xml:space="preserve">a) Erabilerak: Erosle, errentari eta erabiltzaile guztiek udalez gaindiko plan sektorialean ezarritako erabilerak bete beharko dituzte. </w:t>
      </w:r>
    </w:p>
    <w:p w:rsidR="00462071" w:rsidRPr="001B6768" w:rsidRDefault="00462071" w:rsidP="00462071">
      <w:pPr>
        <w:pStyle w:val="texto"/>
        <w:tabs>
          <w:tab w:val="clear" w:pos="2835"/>
          <w:tab w:val="clear" w:pos="3969"/>
          <w:tab w:val="clear" w:pos="5103"/>
          <w:tab w:val="clear" w:pos="6237"/>
          <w:tab w:val="clear" w:pos="7371"/>
        </w:tabs>
        <w:rPr>
          <w:szCs w:val="26"/>
        </w:rPr>
      </w:pPr>
      <w:r>
        <w:t>b) Egiten diren salerosketa- eta errentamendu-kontratuetan errespetatu b</w:t>
      </w:r>
      <w:r>
        <w:t>e</w:t>
      </w:r>
      <w:r>
        <w:t>harko diren gehieneko prezioak.</w:t>
      </w:r>
    </w:p>
    <w:p w:rsidR="00462071" w:rsidRPr="001B6768" w:rsidRDefault="00462071" w:rsidP="00462071">
      <w:pPr>
        <w:pStyle w:val="texto"/>
        <w:tabs>
          <w:tab w:val="clear" w:pos="2835"/>
          <w:tab w:val="clear" w:pos="3969"/>
          <w:tab w:val="clear" w:pos="5103"/>
          <w:tab w:val="clear" w:pos="6237"/>
          <w:tab w:val="clear" w:pos="7371"/>
        </w:tabs>
        <w:rPr>
          <w:szCs w:val="26"/>
        </w:rPr>
      </w:pPr>
      <w:r>
        <w:t>c) Erreserbako, salerosketako eta errentamenduko kontratuetarako kontratu-moten ereduak onestea eta haiek baimentzea.</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Aldi baterako enpresa-elkartearen higiezinak eskuratzea eta haiek zuzenean kudeatzea (eraikinak, bulegoak, ibilgailu astunen aparkalekua eta salgai arri</w:t>
      </w:r>
      <w:r>
        <w:t>s</w:t>
      </w:r>
      <w:r>
        <w:t>kutsuak).</w:t>
      </w:r>
    </w:p>
    <w:p w:rsidR="00303670" w:rsidRPr="00303670" w:rsidRDefault="00303670" w:rsidP="0030367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Azpiegituraren mantentzerako eta kontserbaziorako zerbitzu komunak k</w:t>
      </w:r>
      <w:r>
        <w:t>u</w:t>
      </w:r>
      <w:r>
        <w:t xml:space="preserve">deatzea. </w:t>
      </w:r>
    </w:p>
    <w:p w:rsidR="00462071" w:rsidRDefault="00A62F1C" w:rsidP="00462071">
      <w:pPr>
        <w:pStyle w:val="texto"/>
        <w:tabs>
          <w:tab w:val="clear" w:pos="2835"/>
          <w:tab w:val="clear" w:pos="3969"/>
          <w:tab w:val="clear" w:pos="5103"/>
          <w:tab w:val="clear" w:pos="6237"/>
          <w:tab w:val="clear" w:pos="7371"/>
        </w:tabs>
        <w:rPr>
          <w:szCs w:val="26"/>
        </w:rPr>
      </w:pPr>
      <w:r>
        <w:rPr>
          <w:b/>
          <w:szCs w:val="26"/>
        </w:rPr>
        <w:t>Hogeita hamabigarrena.</w:t>
      </w:r>
      <w:r>
        <w:t xml:space="preserve"> Aldi baterako enpresa-elkartearen lurzatien sa</w:t>
      </w:r>
      <w:r>
        <w:t>l</w:t>
      </w:r>
      <w:r>
        <w:t>mentarengatik sozietate kudeatzaileak jasotako diru-sarrerak. Aldi baterako e</w:t>
      </w:r>
      <w:r>
        <w:t>n</w:t>
      </w:r>
      <w:r>
        <w:t>presa-elkartearekin sinatutako kontratuei jarraituz, azken horrek egiten duen salmenta bakoitzetik sozietate kudeatzaileak salmenta-prezioaren gaineko po</w:t>
      </w:r>
      <w:r>
        <w:t>r</w:t>
      </w:r>
      <w:r>
        <w:t>tzentaje bat jasotzen du; portzentaje horrek ez du prezioa handitzen.</w:t>
      </w:r>
    </w:p>
    <w:p w:rsidR="00462071" w:rsidRPr="00E56FD3" w:rsidRDefault="00E32C0B" w:rsidP="001418D9">
      <w:pPr>
        <w:pStyle w:val="texto"/>
        <w:tabs>
          <w:tab w:val="clear" w:pos="2835"/>
          <w:tab w:val="clear" w:pos="3969"/>
          <w:tab w:val="clear" w:pos="5103"/>
          <w:tab w:val="clear" w:pos="6237"/>
          <w:tab w:val="clear" w:pos="7371"/>
        </w:tabs>
        <w:spacing w:after="240"/>
        <w:rPr>
          <w:szCs w:val="26"/>
        </w:rPr>
      </w:pPr>
      <w:r>
        <w:lastRenderedPageBreak/>
        <w:t>2017ko abenduaren 31ra arte, guztira 10,64 milioi euro jaso ditu, GHaren f</w:t>
      </w:r>
      <w:r>
        <w:t>a</w:t>
      </w:r>
      <w:r>
        <w:t>sekako honako xehetasun hauen arabera:</w:t>
      </w:r>
    </w:p>
    <w:tbl>
      <w:tblPr>
        <w:tblStyle w:val="TableNormal"/>
        <w:tblW w:w="0" w:type="auto"/>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7173"/>
        <w:gridCol w:w="1762"/>
      </w:tblGrid>
      <w:tr w:rsidR="00462071" w:rsidRPr="00DA5BC7" w:rsidTr="001418D9">
        <w:trPr>
          <w:trHeight w:hRule="exact" w:val="255"/>
          <w:jc w:val="center"/>
        </w:trPr>
        <w:tc>
          <w:tcPr>
            <w:tcW w:w="7173" w:type="dxa"/>
            <w:tcBorders>
              <w:top w:val="single" w:sz="4" w:space="0" w:color="auto"/>
              <w:bottom w:val="single" w:sz="4" w:space="0" w:color="auto"/>
            </w:tcBorders>
            <w:shd w:val="clear" w:color="auto" w:fill="B8CCE4" w:themeFill="accent1" w:themeFillTint="66"/>
            <w:vAlign w:val="center"/>
          </w:tcPr>
          <w:p w:rsidR="00462071" w:rsidRPr="005B3CA8" w:rsidRDefault="00462071" w:rsidP="001418D9">
            <w:pPr>
              <w:spacing w:after="0"/>
              <w:ind w:left="73" w:firstLine="0"/>
              <w:jc w:val="left"/>
              <w:rPr>
                <w:rFonts w:ascii="Arial" w:hAnsi="Arial" w:cs="Arial"/>
                <w:color w:val="000000"/>
                <w:sz w:val="18"/>
                <w:szCs w:val="18"/>
              </w:rPr>
            </w:pPr>
            <w:r>
              <w:rPr>
                <w:rFonts w:ascii="Arial" w:hAnsi="Arial"/>
                <w:color w:val="000000"/>
                <w:sz w:val="18"/>
                <w:szCs w:val="18"/>
              </w:rPr>
              <w:t>Aldi baterako enpresa-elkartearen lurzatien salmentarengatik sozietate kudeatzaileak jasotako diru-sarrerak.</w:t>
            </w:r>
          </w:p>
        </w:tc>
        <w:tc>
          <w:tcPr>
            <w:tcW w:w="1762" w:type="dxa"/>
            <w:tcBorders>
              <w:top w:val="single" w:sz="4" w:space="0" w:color="auto"/>
              <w:bottom w:val="single" w:sz="4" w:space="0" w:color="auto"/>
            </w:tcBorders>
            <w:shd w:val="clear" w:color="auto" w:fill="B8CCE4" w:themeFill="accent1" w:themeFillTint="66"/>
            <w:vAlign w:val="center"/>
          </w:tcPr>
          <w:p w:rsidR="00462071" w:rsidRPr="00DA5BC7" w:rsidRDefault="00462071" w:rsidP="00D241E0">
            <w:pPr>
              <w:spacing w:after="0"/>
              <w:ind w:left="206" w:right="131" w:firstLine="0"/>
              <w:jc w:val="right"/>
              <w:rPr>
                <w:rFonts w:ascii="Arial" w:hAnsi="Arial" w:cs="Arial"/>
                <w:color w:val="000000"/>
                <w:sz w:val="18"/>
                <w:szCs w:val="18"/>
              </w:rPr>
            </w:pPr>
            <w:r>
              <w:rPr>
                <w:rFonts w:ascii="Arial" w:hAnsi="Arial"/>
                <w:color w:val="000000"/>
                <w:sz w:val="18"/>
                <w:szCs w:val="18"/>
              </w:rPr>
              <w:t>Zenbatekoa</w:t>
            </w:r>
          </w:p>
        </w:tc>
      </w:tr>
      <w:tr w:rsidR="00462071" w:rsidRPr="00612D84" w:rsidTr="001418D9">
        <w:trPr>
          <w:trHeight w:hRule="exact" w:val="255"/>
          <w:jc w:val="center"/>
        </w:trPr>
        <w:tc>
          <w:tcPr>
            <w:tcW w:w="7173" w:type="dxa"/>
            <w:tcBorders>
              <w:top w:val="single" w:sz="4" w:space="0" w:color="auto"/>
              <w:bottom w:val="single" w:sz="2" w:space="0" w:color="auto"/>
            </w:tcBorders>
            <w:vAlign w:val="center"/>
          </w:tcPr>
          <w:p w:rsidR="00462071" w:rsidRPr="008E708D" w:rsidRDefault="00462071" w:rsidP="001418D9">
            <w:pPr>
              <w:widowControl/>
              <w:spacing w:after="0"/>
              <w:ind w:left="73" w:firstLine="0"/>
              <w:jc w:val="left"/>
              <w:rPr>
                <w:rFonts w:ascii="Arial Narrow" w:hAnsi="Arial Narrow"/>
                <w:color w:val="000000"/>
                <w:sz w:val="20"/>
                <w:szCs w:val="20"/>
              </w:rPr>
            </w:pPr>
            <w:r>
              <w:rPr>
                <w:rFonts w:ascii="Arial Narrow" w:hAnsi="Arial Narrow"/>
                <w:color w:val="000000"/>
                <w:sz w:val="20"/>
                <w:szCs w:val="20"/>
              </w:rPr>
              <w:t>1. fasea</w:t>
            </w:r>
          </w:p>
        </w:tc>
        <w:tc>
          <w:tcPr>
            <w:tcW w:w="1762" w:type="dxa"/>
            <w:tcBorders>
              <w:top w:val="single" w:sz="4" w:space="0" w:color="auto"/>
              <w:bottom w:val="single" w:sz="2" w:space="0" w:color="auto"/>
            </w:tcBorders>
            <w:vAlign w:val="center"/>
          </w:tcPr>
          <w:p w:rsidR="00462071" w:rsidRPr="008E708D" w:rsidRDefault="00462071" w:rsidP="00D241E0">
            <w:pPr>
              <w:widowControl/>
              <w:spacing w:after="0"/>
              <w:ind w:left="206" w:right="106" w:firstLine="0"/>
              <w:jc w:val="right"/>
              <w:rPr>
                <w:rFonts w:ascii="Arial Narrow" w:hAnsi="Arial Narrow"/>
                <w:color w:val="000000"/>
                <w:sz w:val="20"/>
                <w:szCs w:val="20"/>
              </w:rPr>
            </w:pPr>
            <w:r>
              <w:rPr>
                <w:rFonts w:ascii="Arial Narrow" w:hAnsi="Arial Narrow"/>
                <w:color w:val="000000"/>
                <w:sz w:val="20"/>
                <w:szCs w:val="20"/>
              </w:rPr>
              <w:t>488.180</w:t>
            </w:r>
          </w:p>
        </w:tc>
      </w:tr>
      <w:tr w:rsidR="00462071" w:rsidRPr="00612D84" w:rsidTr="001418D9">
        <w:trPr>
          <w:trHeight w:hRule="exact" w:val="255"/>
          <w:jc w:val="center"/>
        </w:trPr>
        <w:tc>
          <w:tcPr>
            <w:tcW w:w="7173" w:type="dxa"/>
            <w:vAlign w:val="center"/>
          </w:tcPr>
          <w:p w:rsidR="00462071" w:rsidRPr="008E708D" w:rsidRDefault="00462071" w:rsidP="001418D9">
            <w:pPr>
              <w:widowControl/>
              <w:spacing w:after="0"/>
              <w:ind w:left="73" w:firstLine="0"/>
              <w:jc w:val="left"/>
              <w:rPr>
                <w:rFonts w:ascii="Arial Narrow" w:hAnsi="Arial Narrow"/>
                <w:color w:val="000000"/>
                <w:sz w:val="20"/>
                <w:szCs w:val="20"/>
              </w:rPr>
            </w:pPr>
            <w:r>
              <w:rPr>
                <w:rFonts w:ascii="Arial Narrow" w:hAnsi="Arial Narrow"/>
                <w:color w:val="000000"/>
                <w:sz w:val="20"/>
                <w:szCs w:val="20"/>
              </w:rPr>
              <w:t>2. fasea</w:t>
            </w:r>
          </w:p>
        </w:tc>
        <w:tc>
          <w:tcPr>
            <w:tcW w:w="1762" w:type="dxa"/>
            <w:vAlign w:val="center"/>
          </w:tcPr>
          <w:p w:rsidR="00462071" w:rsidRPr="008E708D" w:rsidRDefault="00462071" w:rsidP="00D241E0">
            <w:pPr>
              <w:widowControl/>
              <w:spacing w:after="0"/>
              <w:ind w:left="206" w:right="106" w:firstLine="0"/>
              <w:jc w:val="right"/>
              <w:rPr>
                <w:rFonts w:ascii="Arial Narrow" w:hAnsi="Arial Narrow"/>
                <w:color w:val="000000"/>
                <w:sz w:val="20"/>
                <w:szCs w:val="20"/>
              </w:rPr>
            </w:pPr>
            <w:r>
              <w:rPr>
                <w:rFonts w:ascii="Arial Narrow" w:hAnsi="Arial Narrow"/>
                <w:color w:val="000000"/>
                <w:sz w:val="20"/>
                <w:szCs w:val="20"/>
              </w:rPr>
              <w:t>5.350.995</w:t>
            </w:r>
          </w:p>
        </w:tc>
      </w:tr>
      <w:tr w:rsidR="00462071" w:rsidRPr="00612D84" w:rsidTr="001418D9">
        <w:trPr>
          <w:trHeight w:hRule="exact" w:val="255"/>
          <w:jc w:val="center"/>
        </w:trPr>
        <w:tc>
          <w:tcPr>
            <w:tcW w:w="7173" w:type="dxa"/>
            <w:vAlign w:val="center"/>
          </w:tcPr>
          <w:p w:rsidR="00462071" w:rsidRPr="008E708D" w:rsidRDefault="00462071" w:rsidP="001418D9">
            <w:pPr>
              <w:widowControl/>
              <w:spacing w:after="0"/>
              <w:ind w:left="73" w:firstLine="0"/>
              <w:jc w:val="left"/>
              <w:rPr>
                <w:rFonts w:ascii="Arial Narrow" w:hAnsi="Arial Narrow"/>
                <w:color w:val="000000"/>
                <w:sz w:val="20"/>
                <w:szCs w:val="20"/>
              </w:rPr>
            </w:pPr>
            <w:r>
              <w:rPr>
                <w:rFonts w:ascii="Arial Narrow" w:hAnsi="Arial Narrow"/>
                <w:color w:val="000000"/>
                <w:sz w:val="20"/>
                <w:szCs w:val="20"/>
              </w:rPr>
              <w:t>3. fasea</w:t>
            </w:r>
          </w:p>
        </w:tc>
        <w:tc>
          <w:tcPr>
            <w:tcW w:w="1762" w:type="dxa"/>
            <w:vAlign w:val="center"/>
          </w:tcPr>
          <w:p w:rsidR="00462071" w:rsidRPr="008E708D" w:rsidRDefault="00462071" w:rsidP="00D241E0">
            <w:pPr>
              <w:widowControl/>
              <w:spacing w:after="0"/>
              <w:ind w:left="206" w:right="106" w:firstLine="0"/>
              <w:jc w:val="right"/>
              <w:rPr>
                <w:rFonts w:ascii="Arial Narrow" w:hAnsi="Arial Narrow"/>
                <w:color w:val="000000"/>
                <w:sz w:val="20"/>
                <w:szCs w:val="20"/>
              </w:rPr>
            </w:pPr>
            <w:r>
              <w:rPr>
                <w:rFonts w:ascii="Arial Narrow" w:hAnsi="Arial Narrow"/>
                <w:color w:val="000000"/>
                <w:sz w:val="20"/>
                <w:szCs w:val="20"/>
              </w:rPr>
              <w:t>4.798.147</w:t>
            </w:r>
          </w:p>
        </w:tc>
      </w:tr>
      <w:tr w:rsidR="00462071" w:rsidRPr="00612D84" w:rsidTr="001418D9">
        <w:trPr>
          <w:trHeight w:hRule="exact" w:val="255"/>
          <w:jc w:val="center"/>
        </w:trPr>
        <w:tc>
          <w:tcPr>
            <w:tcW w:w="7173" w:type="dxa"/>
            <w:tcBorders>
              <w:bottom w:val="single" w:sz="2" w:space="0" w:color="auto"/>
            </w:tcBorders>
            <w:vAlign w:val="center"/>
          </w:tcPr>
          <w:p w:rsidR="00462071" w:rsidRPr="008E708D" w:rsidRDefault="00462071" w:rsidP="001418D9">
            <w:pPr>
              <w:widowControl/>
              <w:spacing w:after="0"/>
              <w:ind w:left="73" w:firstLine="0"/>
              <w:jc w:val="left"/>
              <w:rPr>
                <w:rFonts w:ascii="Arial Narrow" w:hAnsi="Arial Narrow"/>
                <w:color w:val="000000"/>
                <w:sz w:val="20"/>
                <w:szCs w:val="20"/>
              </w:rPr>
            </w:pPr>
            <w:r>
              <w:rPr>
                <w:rFonts w:ascii="Arial Narrow" w:hAnsi="Arial Narrow"/>
                <w:color w:val="000000"/>
                <w:sz w:val="20"/>
                <w:szCs w:val="20"/>
              </w:rPr>
              <w:t>4. fasea</w:t>
            </w:r>
          </w:p>
        </w:tc>
        <w:tc>
          <w:tcPr>
            <w:tcW w:w="1762" w:type="dxa"/>
            <w:tcBorders>
              <w:bottom w:val="single" w:sz="2" w:space="0" w:color="auto"/>
            </w:tcBorders>
            <w:vAlign w:val="center"/>
          </w:tcPr>
          <w:p w:rsidR="00462071" w:rsidRPr="008E708D" w:rsidRDefault="00462071" w:rsidP="00D241E0">
            <w:pPr>
              <w:widowControl/>
              <w:spacing w:after="0"/>
              <w:ind w:left="206" w:right="106" w:firstLine="0"/>
              <w:jc w:val="right"/>
              <w:rPr>
                <w:rFonts w:ascii="Arial Narrow" w:hAnsi="Arial Narrow"/>
                <w:color w:val="000000"/>
                <w:sz w:val="20"/>
                <w:szCs w:val="20"/>
              </w:rPr>
            </w:pPr>
            <w:r>
              <w:rPr>
                <w:rFonts w:ascii="Arial Narrow" w:hAnsi="Arial Narrow"/>
                <w:color w:val="000000"/>
                <w:sz w:val="20"/>
                <w:szCs w:val="20"/>
              </w:rPr>
              <w:t>0</w:t>
            </w:r>
          </w:p>
        </w:tc>
      </w:tr>
      <w:tr w:rsidR="00462071" w:rsidRPr="00E56FD3" w:rsidTr="001418D9">
        <w:trPr>
          <w:trHeight w:hRule="exact" w:val="255"/>
          <w:jc w:val="center"/>
        </w:trPr>
        <w:tc>
          <w:tcPr>
            <w:tcW w:w="7173" w:type="dxa"/>
            <w:tcBorders>
              <w:bottom w:val="single" w:sz="2" w:space="0" w:color="auto"/>
            </w:tcBorders>
            <w:shd w:val="clear" w:color="auto" w:fill="B8CCE4" w:themeFill="accent1" w:themeFillTint="66"/>
            <w:vAlign w:val="center"/>
          </w:tcPr>
          <w:p w:rsidR="00462071" w:rsidRPr="00DC4506" w:rsidRDefault="00462071" w:rsidP="001418D9">
            <w:pPr>
              <w:spacing w:after="0"/>
              <w:ind w:left="73" w:firstLine="0"/>
              <w:jc w:val="left"/>
              <w:rPr>
                <w:rFonts w:ascii="Arial" w:hAnsi="Arial" w:cs="Arial"/>
                <w:color w:val="000000"/>
                <w:sz w:val="18"/>
                <w:szCs w:val="18"/>
              </w:rPr>
            </w:pPr>
            <w:r>
              <w:rPr>
                <w:rFonts w:ascii="Arial" w:hAnsi="Arial"/>
                <w:color w:val="000000"/>
                <w:sz w:val="18"/>
                <w:szCs w:val="18"/>
              </w:rPr>
              <w:t>Guztira</w:t>
            </w:r>
          </w:p>
        </w:tc>
        <w:tc>
          <w:tcPr>
            <w:tcW w:w="1762" w:type="dxa"/>
            <w:tcBorders>
              <w:bottom w:val="single" w:sz="2" w:space="0" w:color="auto"/>
            </w:tcBorders>
            <w:shd w:val="clear" w:color="auto" w:fill="B8CCE4" w:themeFill="accent1" w:themeFillTint="66"/>
            <w:vAlign w:val="center"/>
          </w:tcPr>
          <w:p w:rsidR="00462071" w:rsidRPr="00E56FD3" w:rsidRDefault="00462071" w:rsidP="00D241E0">
            <w:pPr>
              <w:spacing w:after="0"/>
              <w:ind w:left="284" w:right="106" w:firstLine="0"/>
              <w:jc w:val="right"/>
              <w:rPr>
                <w:rFonts w:ascii="Arial" w:hAnsi="Arial" w:cs="Arial"/>
                <w:sz w:val="18"/>
                <w:szCs w:val="18"/>
              </w:rPr>
            </w:pPr>
            <w:r>
              <w:rPr>
                <w:rFonts w:ascii="Arial" w:hAnsi="Arial"/>
                <w:sz w:val="18"/>
                <w:szCs w:val="18"/>
              </w:rPr>
              <w:t>10.637.322</w:t>
            </w:r>
          </w:p>
        </w:tc>
      </w:tr>
    </w:tbl>
    <w:p w:rsidR="00462071" w:rsidRPr="00B7755E" w:rsidRDefault="00462071" w:rsidP="00462071">
      <w:pPr>
        <w:pStyle w:val="texto"/>
        <w:tabs>
          <w:tab w:val="clear" w:pos="2835"/>
          <w:tab w:val="clear" w:pos="3969"/>
          <w:tab w:val="clear" w:pos="5103"/>
          <w:tab w:val="clear" w:pos="6237"/>
          <w:tab w:val="clear" w:pos="7371"/>
        </w:tabs>
        <w:rPr>
          <w:szCs w:val="26"/>
        </w:rPr>
      </w:pPr>
      <w:r>
        <w:t>Jasotako zenbatekoek honako aldaketa hauek izan dituzte:</w:t>
      </w:r>
    </w:p>
    <w:p w:rsidR="00462071" w:rsidRPr="00B7755E"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1. fasearen merkaturatzerako, salmenta-prezioaren ehuneko bat ezartzen da.</w:t>
      </w:r>
    </w:p>
    <w:p w:rsidR="00462071" w:rsidRPr="00B7755E"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 fasearen merkaturatzerako: Salmenta-prezioaren ehuneko bat gehi era</w:t>
      </w:r>
      <w:r>
        <w:t>i</w:t>
      </w:r>
      <w:r>
        <w:t>kinek okupatutako orubearen m</w:t>
      </w:r>
      <w:r>
        <w:rPr>
          <w:vertAlign w:val="superscript"/>
        </w:rPr>
        <w:t>2</w:t>
      </w:r>
      <w:r>
        <w:t xml:space="preserve"> bakoitzeko 77,41 euro; igoeraren zenbateko horren justifikazioa desjabetzeen kostuaren igoera izan da.</w:t>
      </w:r>
    </w:p>
    <w:p w:rsidR="00462071" w:rsidRPr="00B7755E"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3. faserako, ehuneko bosteko portzentajea finkatzen da; portzentaje hori 2007tik ehuneko 10era igo da.</w:t>
      </w:r>
    </w:p>
    <w:p w:rsidR="000D10FC" w:rsidRDefault="000D10FC" w:rsidP="00462071">
      <w:pPr>
        <w:pStyle w:val="texto"/>
        <w:tabs>
          <w:tab w:val="clear" w:pos="2835"/>
          <w:tab w:val="clear" w:pos="3969"/>
          <w:tab w:val="clear" w:pos="5103"/>
          <w:tab w:val="clear" w:pos="6237"/>
          <w:tab w:val="clear" w:pos="7371"/>
        </w:tabs>
        <w:rPr>
          <w:szCs w:val="26"/>
        </w:rPr>
      </w:pPr>
      <w:r>
        <w:t>3. faseari buruzko salerosketa-kontratuen lagin bat aztertu dugu, eta ondorioa da sozietate kudeatzaileak jasotako zenbatekoek aldi baterako enpresa-elkartearekin sinatutako kontratuan ezarritako portzentajeei erantzuten dietela.</w:t>
      </w:r>
    </w:p>
    <w:p w:rsidR="000D10FC" w:rsidRPr="001F10F1" w:rsidRDefault="000D10FC" w:rsidP="000D10FC">
      <w:pPr>
        <w:pStyle w:val="texto"/>
        <w:tabs>
          <w:tab w:val="clear" w:pos="2835"/>
          <w:tab w:val="clear" w:pos="3969"/>
          <w:tab w:val="clear" w:pos="5103"/>
          <w:tab w:val="clear" w:pos="6237"/>
          <w:tab w:val="clear" w:pos="7371"/>
        </w:tabs>
        <w:rPr>
          <w:szCs w:val="26"/>
        </w:rPr>
      </w:pPr>
      <w:r>
        <w:t>Ez dago jasota aldi baterako enpresa-elkarteak errentan emandako higiezinen zerrenda</w:t>
      </w:r>
      <w:r w:rsidR="00F93209">
        <w:rPr>
          <w:rStyle w:val="Refdenotaalpie"/>
          <w:szCs w:val="26"/>
        </w:rPr>
        <w:footnoteReference w:id="3"/>
      </w:r>
      <w:r>
        <w:t xml:space="preserve"> </w:t>
      </w:r>
    </w:p>
    <w:p w:rsidR="00462071" w:rsidRPr="00B7755E" w:rsidRDefault="00A62F1C" w:rsidP="00462071">
      <w:pPr>
        <w:pStyle w:val="texto"/>
        <w:tabs>
          <w:tab w:val="clear" w:pos="2835"/>
          <w:tab w:val="clear" w:pos="3969"/>
          <w:tab w:val="clear" w:pos="5103"/>
          <w:tab w:val="clear" w:pos="6237"/>
          <w:tab w:val="clear" w:pos="7371"/>
        </w:tabs>
        <w:rPr>
          <w:szCs w:val="26"/>
        </w:rPr>
      </w:pPr>
      <w:r>
        <w:rPr>
          <w:b/>
        </w:rPr>
        <w:t>Hogeita hamahirugarrena.</w:t>
      </w:r>
      <w:r>
        <w:t xml:space="preserve"> Gainera, 3. fase honetarako, sozietateak, aldi baterako enpresa-elkarterekin sinatutako adjudikazio-kontratuari jarraituz, a</w:t>
      </w:r>
      <w:r>
        <w:t>z</w:t>
      </w:r>
      <w:r>
        <w:t>ken horretatik 15 milioi euroko kanona jasoko zuen guztira; kanon hori urtero-urtero sortuko da, 1,5 milioi euroko zenbatekoarekin, eta hamar urte iraunen du —hau da, 2015era arte—. Urteko kanon hori KPIaren aldaketaren arabera gaurkotuko da.</w:t>
      </w:r>
    </w:p>
    <w:p w:rsidR="00462071" w:rsidRPr="0023051E" w:rsidRDefault="00462071" w:rsidP="00462071">
      <w:pPr>
        <w:pStyle w:val="texto"/>
        <w:tabs>
          <w:tab w:val="clear" w:pos="2835"/>
          <w:tab w:val="clear" w:pos="3969"/>
          <w:tab w:val="clear" w:pos="5103"/>
          <w:tab w:val="clear" w:pos="6237"/>
          <w:tab w:val="clear" w:pos="7371"/>
        </w:tabs>
        <w:rPr>
          <w:szCs w:val="26"/>
        </w:rPr>
      </w:pPr>
      <w:r>
        <w:t>2012ko abenduaren 31n, ordea, adjudikazio-kontratuaren gaurkotze bat s</w:t>
      </w:r>
      <w:r>
        <w:t>i</w:t>
      </w:r>
      <w:r>
        <w:t>natu zen; horretan, aldeek adosten dute 2013tik 2015era kanonaren KPIaren araberako gaurkotzerik ez egitea; bestela ere, etorkizuneko kanonetarako oin</w:t>
      </w:r>
      <w:r>
        <w:t>a</w:t>
      </w:r>
      <w:r>
        <w:t>rri gisa, 2012ko kanona hartuko da, eta une bakoitzari dagokion BEZa aplik</w:t>
      </w:r>
      <w:r>
        <w:t>a</w:t>
      </w:r>
      <w:r>
        <w:t>tuko zaio. Gainera, aldaketa horretan, ezartzen da ezen 2012tik aurrera, aldi b</w:t>
      </w:r>
      <w:r>
        <w:t>a</w:t>
      </w:r>
      <w:r>
        <w:t>terako enpresa-elkartearen mugaeguneratutako zor garbiari urteko ehuneko bo</w:t>
      </w:r>
      <w:r>
        <w:t>s</w:t>
      </w:r>
      <w:r>
        <w:t>teko interes nominalak aplikatuko zaizkiola, eta aldi baterako enpresa-elkarte horrek ordaintzeko dagoen zorraren gaineko behar adinako berme hipotekar</w:t>
      </w:r>
      <w:r>
        <w:t>i</w:t>
      </w:r>
      <w:r>
        <w:t>oak entregatu beharko ditu. Ez dago berariaz jasota berme horien entregatzea bete izana.</w:t>
      </w:r>
    </w:p>
    <w:p w:rsidR="00462071" w:rsidRDefault="00462071" w:rsidP="00462071">
      <w:pPr>
        <w:pStyle w:val="texto"/>
        <w:tabs>
          <w:tab w:val="clear" w:pos="2835"/>
          <w:tab w:val="clear" w:pos="3969"/>
          <w:tab w:val="clear" w:pos="5103"/>
          <w:tab w:val="clear" w:pos="6237"/>
          <w:tab w:val="clear" w:pos="7371"/>
        </w:tabs>
        <w:rPr>
          <w:szCs w:val="26"/>
        </w:rPr>
      </w:pPr>
      <w:r>
        <w:lastRenderedPageBreak/>
        <w:t>2017ko abenduaren 31n, sortutako kanona (BEZa barne) 19,58 milioikoa da; zenbateko horretatik, 8,79 milioi kobratzeko daude oraindik, horren barne dela hueneko bosteko urteko interes nominala.</w:t>
      </w:r>
    </w:p>
    <w:p w:rsidR="00462071" w:rsidRDefault="00462071" w:rsidP="00F37143">
      <w:pPr>
        <w:pStyle w:val="texto"/>
        <w:tabs>
          <w:tab w:val="clear" w:pos="2835"/>
          <w:tab w:val="clear" w:pos="3969"/>
          <w:tab w:val="clear" w:pos="5103"/>
          <w:tab w:val="clear" w:pos="6237"/>
          <w:tab w:val="clear" w:pos="7371"/>
        </w:tabs>
        <w:rPr>
          <w:szCs w:val="26"/>
        </w:rPr>
      </w:pPr>
      <w:r>
        <w:t xml:space="preserve">Horrenbestez, aldi baterako enpresa-elkarteak ez du bete kanon horretatik ordaintzeke dauden urteko ordainketei buruz kontratuan jasotako klausula. </w:t>
      </w:r>
    </w:p>
    <w:p w:rsidR="00462071" w:rsidRDefault="00A62F1C" w:rsidP="00462071">
      <w:pPr>
        <w:pStyle w:val="texto"/>
        <w:tabs>
          <w:tab w:val="clear" w:pos="2835"/>
          <w:tab w:val="clear" w:pos="3969"/>
          <w:tab w:val="clear" w:pos="5103"/>
          <w:tab w:val="clear" w:pos="6237"/>
          <w:tab w:val="clear" w:pos="7371"/>
        </w:tabs>
        <w:rPr>
          <w:szCs w:val="26"/>
        </w:rPr>
      </w:pPr>
      <w:r>
        <w:rPr>
          <w:b/>
          <w:szCs w:val="26"/>
        </w:rPr>
        <w:t>Hogeita hamalaugarrena.</w:t>
      </w:r>
      <w:r>
        <w:t xml:space="preserve"> Sozietate kudeatzaile horien</w:t>
      </w:r>
      <w:r w:rsidR="006B1C3A">
        <w:rPr>
          <w:rStyle w:val="Refdenotaalpie"/>
          <w:szCs w:val="26"/>
        </w:rPr>
        <w:footnoteReference w:id="4"/>
      </w:r>
      <w:r>
        <w:t xml:space="preserve"> urteko kontuei b</w:t>
      </w:r>
      <w:r>
        <w:t>u</w:t>
      </w:r>
      <w:r>
        <w:t>ruz aipagarri diren alderdi gisa, honako hauek nabarmendu behar ditugu:</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Ekitaldiko emaitza negatibo metatuak 1995etik 2013ra 1,45 milioi eur</w:t>
      </w:r>
      <w:r>
        <w:t>o</w:t>
      </w:r>
      <w:r>
        <w:t>koak dira.</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Kapital-gehikuntzak. Hainbat kapital-eragiketen bitartez —1996tik 2007ra egin ziren—, zeinetara bazkide pribatuak ez baitziren aurkeztu, TTCP SA eta CPT SA sozietateek 15,67 milioi handitu zuten beren kapital soziala, oso-osorik foru sektore publikoak izenpetu eta ordaindutakoa.</w:t>
      </w:r>
    </w:p>
    <w:p w:rsidR="002E0AD7" w:rsidRDefault="002E0AD7"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2010ean, CTP SA sozietatearen azken ekitaldian, haren batez besteko e</w:t>
      </w:r>
      <w:r>
        <w:t>n</w:t>
      </w:r>
      <w:r>
        <w:t>plegatu-kopurua lau langilerena zen; 2013an, ANL SAUren azken ekitaldian, 5,75 langile ziren.</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1995etik 2013ra, sozietate kudeatzaileak guztira 8,10 milioi jaso ditu Naf</w:t>
      </w:r>
      <w:r>
        <w:t>a</w:t>
      </w:r>
      <w:r>
        <w:t>rroako Gobernutik ustiaketarako diru-laguntzen kontzeptuan; nabarmentzekoa da desjabetzeen gastuaren igoera finantzatzeko lau milioiko diru-laguntza bat eman dela.</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1993tik, Nafarroako Gobernutik kapitaleko diru-laguntza gisa, 1,41 milioi jaso dira guztira, funtsean desjabetzeak finantzatzeko.</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 xml:space="preserve">CPEN bazkide bakarraren ekarpenak 2,10 milioikoak izan dira; funtsean, 2012an egin dira, aurreko ekitaldietako galerak konpentsatzeko. </w:t>
      </w:r>
    </w:p>
    <w:p w:rsidR="00462071" w:rsidRDefault="00462071" w:rsidP="0046207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Nasuvinsa sozietateak Nafarroako Gobernuarengandik 51,36 milioiko diru-laguntza arrunta jaso du, 5/2017 Foru Legearen babesean. Foru lege horren x</w:t>
      </w:r>
      <w:r>
        <w:t>e</w:t>
      </w:r>
      <w:r>
        <w:t>dea zen kreditu berezia ematea “</w:t>
      </w:r>
      <w:r>
        <w:rPr>
          <w:i/>
        </w:rPr>
        <w:t>Transferentzia arruntak Nasuvinsari. Garra</w:t>
      </w:r>
      <w:r>
        <w:rPr>
          <w:i/>
        </w:rPr>
        <w:t>i</w:t>
      </w:r>
      <w:r>
        <w:rPr>
          <w:i/>
        </w:rPr>
        <w:t>oaren Hiriaren gaineko epaia</w:t>
      </w:r>
      <w:r>
        <w:t>” izeneko partidarako, garraioaren hiria hand</w:t>
      </w:r>
      <w:r>
        <w:t>i</w:t>
      </w:r>
      <w:r>
        <w:t>tzeko desjabetzeen zenbatekoaren gehikuntza finantzatzeko.</w:t>
      </w:r>
    </w:p>
    <w:p w:rsidR="00BB7120" w:rsidRPr="00F9421E" w:rsidRDefault="00BB7120" w:rsidP="00BB7120">
      <w:pPr>
        <w:pStyle w:val="texto"/>
        <w:numPr>
          <w:ilvl w:val="0"/>
          <w:numId w:val="1"/>
        </w:numPr>
        <w:tabs>
          <w:tab w:val="clear" w:pos="502"/>
          <w:tab w:val="clear" w:pos="2835"/>
          <w:tab w:val="clear" w:pos="3969"/>
          <w:tab w:val="clear" w:pos="5103"/>
          <w:tab w:val="clear" w:pos="6237"/>
          <w:tab w:val="clear" w:pos="7371"/>
          <w:tab w:val="left" w:pos="480"/>
          <w:tab w:val="num" w:pos="600"/>
        </w:tabs>
        <w:spacing w:after="240"/>
        <w:ind w:left="0" w:firstLine="289"/>
        <w:rPr>
          <w:szCs w:val="26"/>
        </w:rPr>
      </w:pPr>
      <w:r>
        <w:t>Sozietate kudeatzaileak aldi baterako enpresa-elkartearengandik eskurat</w:t>
      </w:r>
      <w:r>
        <w:t>u</w:t>
      </w:r>
      <w:r>
        <w:t>tako ondasunen (ibilgailu astunen eta salgai arriskutsuen aparkalekuari eta b</w:t>
      </w:r>
      <w:r>
        <w:t>u</w:t>
      </w:r>
      <w:r>
        <w:t>legoetarako bi erakini dagozkie) 2011ko kontabilitate-balioa hurrengo taulan ematen duguna da:</w:t>
      </w:r>
    </w:p>
    <w:tbl>
      <w:tblPr>
        <w:tblStyle w:val="TableNormal"/>
        <w:tblW w:w="8830" w:type="dxa"/>
        <w:jc w:val="center"/>
        <w:tblInd w:w="-846" w:type="dxa"/>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7028"/>
        <w:gridCol w:w="1802"/>
      </w:tblGrid>
      <w:tr w:rsidR="00BB7120" w:rsidRPr="00DA5BC7" w:rsidTr="00BE57C3">
        <w:trPr>
          <w:trHeight w:val="284"/>
          <w:jc w:val="center"/>
        </w:trPr>
        <w:tc>
          <w:tcPr>
            <w:tcW w:w="7028" w:type="dxa"/>
            <w:tcBorders>
              <w:top w:val="single" w:sz="4" w:space="0" w:color="auto"/>
              <w:bottom w:val="single" w:sz="4" w:space="0" w:color="auto"/>
            </w:tcBorders>
            <w:shd w:val="clear" w:color="auto" w:fill="B8CCE4" w:themeFill="accent1" w:themeFillTint="66"/>
            <w:vAlign w:val="center"/>
          </w:tcPr>
          <w:p w:rsidR="00BB7120" w:rsidRPr="005B3CA8" w:rsidRDefault="00BB7120" w:rsidP="001F10F1">
            <w:pPr>
              <w:spacing w:after="0"/>
              <w:ind w:left="71" w:firstLine="0"/>
              <w:jc w:val="left"/>
              <w:rPr>
                <w:rFonts w:ascii="Arial" w:hAnsi="Arial" w:cs="Arial"/>
                <w:color w:val="000000"/>
                <w:sz w:val="18"/>
                <w:szCs w:val="18"/>
              </w:rPr>
            </w:pPr>
            <w:r>
              <w:rPr>
                <w:rFonts w:ascii="Arial" w:hAnsi="Arial"/>
                <w:color w:val="000000"/>
                <w:sz w:val="18"/>
                <w:szCs w:val="18"/>
              </w:rPr>
              <w:t>Aldi baterako enpresa-elkarterengandik eskuratutako higiezin-inbertsioak</w:t>
            </w:r>
          </w:p>
        </w:tc>
        <w:tc>
          <w:tcPr>
            <w:tcW w:w="1802" w:type="dxa"/>
            <w:tcBorders>
              <w:top w:val="single" w:sz="4" w:space="0" w:color="auto"/>
              <w:bottom w:val="single" w:sz="4" w:space="0" w:color="auto"/>
            </w:tcBorders>
            <w:shd w:val="clear" w:color="auto" w:fill="B8CCE4" w:themeFill="accent1" w:themeFillTint="66"/>
            <w:vAlign w:val="center"/>
          </w:tcPr>
          <w:p w:rsidR="00BB7120" w:rsidRPr="00DA5BC7" w:rsidRDefault="00BB7120" w:rsidP="00BE57C3">
            <w:pPr>
              <w:spacing w:after="0"/>
              <w:ind w:left="101" w:right="162" w:firstLine="0"/>
              <w:jc w:val="right"/>
              <w:rPr>
                <w:rFonts w:ascii="Arial" w:hAnsi="Arial" w:cs="Arial"/>
                <w:color w:val="000000"/>
                <w:sz w:val="18"/>
                <w:szCs w:val="18"/>
              </w:rPr>
            </w:pPr>
            <w:r>
              <w:rPr>
                <w:rFonts w:ascii="Arial" w:hAnsi="Arial"/>
                <w:color w:val="000000"/>
                <w:sz w:val="18"/>
                <w:szCs w:val="18"/>
              </w:rPr>
              <w:t>Guztira</w:t>
            </w:r>
          </w:p>
        </w:tc>
      </w:tr>
      <w:tr w:rsidR="00BB7120" w:rsidRPr="00612D84" w:rsidTr="00BE57C3">
        <w:trPr>
          <w:trHeight w:val="284"/>
          <w:jc w:val="center"/>
        </w:trPr>
        <w:tc>
          <w:tcPr>
            <w:tcW w:w="7028" w:type="dxa"/>
            <w:tcBorders>
              <w:top w:val="single" w:sz="4" w:space="0" w:color="auto"/>
            </w:tcBorders>
            <w:vAlign w:val="center"/>
          </w:tcPr>
          <w:p w:rsidR="00BB7120" w:rsidRPr="00BB7120" w:rsidRDefault="00BB7120" w:rsidP="00BB7120">
            <w:pPr>
              <w:widowControl/>
              <w:spacing w:after="0"/>
              <w:ind w:left="73" w:firstLine="0"/>
              <w:jc w:val="left"/>
              <w:rPr>
                <w:rFonts w:ascii="Arial Narrow" w:hAnsi="Arial Narrow"/>
                <w:color w:val="000000"/>
                <w:sz w:val="20"/>
                <w:szCs w:val="20"/>
              </w:rPr>
            </w:pPr>
            <w:r>
              <w:rPr>
                <w:rFonts w:ascii="Arial Narrow" w:hAnsi="Arial Narrow"/>
                <w:color w:val="000000"/>
                <w:sz w:val="20"/>
                <w:szCs w:val="20"/>
              </w:rPr>
              <w:t>Ibilgailu astunen aparkalekua, 1. fasea</w:t>
            </w:r>
          </w:p>
        </w:tc>
        <w:tc>
          <w:tcPr>
            <w:tcW w:w="1802" w:type="dxa"/>
            <w:tcBorders>
              <w:top w:val="single" w:sz="4" w:space="0" w:color="auto"/>
            </w:tcBorders>
            <w:vAlign w:val="center"/>
          </w:tcPr>
          <w:p w:rsidR="00BB7120" w:rsidRPr="00BB7120" w:rsidRDefault="00BB7120" w:rsidP="00BE57C3">
            <w:pPr>
              <w:widowControl/>
              <w:spacing w:after="0"/>
              <w:ind w:left="101" w:right="162" w:firstLine="0"/>
              <w:jc w:val="right"/>
              <w:rPr>
                <w:rFonts w:ascii="Arial Narrow" w:hAnsi="Arial Narrow"/>
                <w:color w:val="000000"/>
                <w:sz w:val="20"/>
                <w:szCs w:val="20"/>
              </w:rPr>
            </w:pPr>
            <w:r>
              <w:rPr>
                <w:rFonts w:ascii="Arial Narrow" w:hAnsi="Arial Narrow"/>
                <w:color w:val="000000"/>
                <w:sz w:val="20"/>
                <w:szCs w:val="20"/>
              </w:rPr>
              <w:t>1.274.203</w:t>
            </w:r>
          </w:p>
        </w:tc>
      </w:tr>
      <w:tr w:rsidR="00BB7120" w:rsidRPr="00612D84" w:rsidTr="00BE57C3">
        <w:trPr>
          <w:trHeight w:val="284"/>
          <w:jc w:val="center"/>
        </w:trPr>
        <w:tc>
          <w:tcPr>
            <w:tcW w:w="7028" w:type="dxa"/>
            <w:vAlign w:val="center"/>
          </w:tcPr>
          <w:p w:rsidR="00BB7120" w:rsidRPr="00BB7120" w:rsidRDefault="00BB7120" w:rsidP="00BB7120">
            <w:pPr>
              <w:widowControl/>
              <w:spacing w:after="0"/>
              <w:ind w:left="73" w:firstLine="0"/>
              <w:jc w:val="left"/>
              <w:rPr>
                <w:rFonts w:ascii="Arial Narrow" w:hAnsi="Arial Narrow"/>
                <w:color w:val="000000"/>
                <w:sz w:val="20"/>
                <w:szCs w:val="20"/>
              </w:rPr>
            </w:pPr>
            <w:r>
              <w:rPr>
                <w:rFonts w:ascii="Arial Narrow" w:hAnsi="Arial Narrow"/>
                <w:color w:val="000000"/>
                <w:sz w:val="20"/>
                <w:szCs w:val="20"/>
              </w:rPr>
              <w:lastRenderedPageBreak/>
              <w:t xml:space="preserve">Ibilgailu astunen aparkalekua, 3. fasea </w:t>
            </w:r>
          </w:p>
        </w:tc>
        <w:tc>
          <w:tcPr>
            <w:tcW w:w="1802" w:type="dxa"/>
            <w:vAlign w:val="center"/>
          </w:tcPr>
          <w:p w:rsidR="00BB7120" w:rsidRPr="00BB7120" w:rsidRDefault="00BB7120" w:rsidP="00BE57C3">
            <w:pPr>
              <w:widowControl/>
              <w:spacing w:after="0"/>
              <w:ind w:left="101" w:right="162" w:firstLine="0"/>
              <w:jc w:val="right"/>
              <w:rPr>
                <w:rFonts w:ascii="Arial Narrow" w:hAnsi="Arial Narrow"/>
                <w:color w:val="000000"/>
                <w:sz w:val="20"/>
                <w:szCs w:val="20"/>
              </w:rPr>
            </w:pPr>
            <w:r>
              <w:rPr>
                <w:rFonts w:ascii="Arial Narrow" w:hAnsi="Arial Narrow"/>
                <w:color w:val="000000"/>
                <w:sz w:val="20"/>
                <w:szCs w:val="20"/>
              </w:rPr>
              <w:t>4.017.596</w:t>
            </w:r>
          </w:p>
        </w:tc>
      </w:tr>
      <w:tr w:rsidR="00BB7120" w:rsidRPr="00612D84" w:rsidTr="00BE57C3">
        <w:trPr>
          <w:trHeight w:val="284"/>
          <w:jc w:val="center"/>
        </w:trPr>
        <w:tc>
          <w:tcPr>
            <w:tcW w:w="7028" w:type="dxa"/>
            <w:vAlign w:val="center"/>
          </w:tcPr>
          <w:p w:rsidR="00BB7120" w:rsidRPr="00BB7120" w:rsidRDefault="00BB7120" w:rsidP="00BB7120">
            <w:pPr>
              <w:widowControl/>
              <w:spacing w:after="0"/>
              <w:ind w:left="73" w:firstLine="0"/>
              <w:jc w:val="left"/>
              <w:rPr>
                <w:rFonts w:ascii="Arial Narrow" w:hAnsi="Arial Narrow"/>
                <w:color w:val="000000"/>
                <w:sz w:val="20"/>
                <w:szCs w:val="20"/>
              </w:rPr>
            </w:pPr>
            <w:r>
              <w:rPr>
                <w:rFonts w:ascii="Arial Narrow" w:hAnsi="Arial Narrow"/>
                <w:color w:val="000000"/>
                <w:sz w:val="20"/>
                <w:szCs w:val="20"/>
              </w:rPr>
              <w:t>Bulegoak-Oriz eraikina</w:t>
            </w:r>
          </w:p>
        </w:tc>
        <w:tc>
          <w:tcPr>
            <w:tcW w:w="1802" w:type="dxa"/>
            <w:vAlign w:val="center"/>
          </w:tcPr>
          <w:p w:rsidR="00BB7120" w:rsidRPr="00BB7120" w:rsidRDefault="00BB7120" w:rsidP="00BE57C3">
            <w:pPr>
              <w:widowControl/>
              <w:spacing w:after="0"/>
              <w:ind w:left="101" w:right="162" w:firstLine="0"/>
              <w:jc w:val="right"/>
              <w:rPr>
                <w:rFonts w:ascii="Arial Narrow" w:hAnsi="Arial Narrow"/>
                <w:color w:val="000000"/>
                <w:sz w:val="20"/>
                <w:szCs w:val="20"/>
              </w:rPr>
            </w:pPr>
            <w:r>
              <w:rPr>
                <w:rFonts w:ascii="Arial Narrow" w:hAnsi="Arial Narrow"/>
                <w:color w:val="000000"/>
                <w:sz w:val="20"/>
                <w:szCs w:val="20"/>
              </w:rPr>
              <w:t>1.138.198</w:t>
            </w:r>
          </w:p>
        </w:tc>
      </w:tr>
      <w:tr w:rsidR="00BB7120" w:rsidRPr="00612D84" w:rsidTr="00BE57C3">
        <w:trPr>
          <w:trHeight w:val="284"/>
          <w:jc w:val="center"/>
        </w:trPr>
        <w:tc>
          <w:tcPr>
            <w:tcW w:w="7028" w:type="dxa"/>
            <w:tcBorders>
              <w:bottom w:val="single" w:sz="2" w:space="0" w:color="auto"/>
            </w:tcBorders>
            <w:vAlign w:val="center"/>
          </w:tcPr>
          <w:p w:rsidR="00BB7120" w:rsidRPr="00BB7120" w:rsidRDefault="00BB7120" w:rsidP="00BB7120">
            <w:pPr>
              <w:widowControl/>
              <w:spacing w:after="0"/>
              <w:ind w:left="73" w:firstLine="0"/>
              <w:jc w:val="left"/>
              <w:rPr>
                <w:rFonts w:ascii="Arial Narrow" w:hAnsi="Arial Narrow"/>
                <w:color w:val="000000"/>
                <w:sz w:val="20"/>
                <w:szCs w:val="20"/>
              </w:rPr>
            </w:pPr>
            <w:r>
              <w:rPr>
                <w:rFonts w:ascii="Arial Narrow" w:hAnsi="Arial Narrow"/>
                <w:color w:val="000000"/>
                <w:sz w:val="20"/>
                <w:szCs w:val="20"/>
              </w:rPr>
              <w:t>Bulegoak-Alaiz eraikina (zati bat)</w:t>
            </w:r>
          </w:p>
        </w:tc>
        <w:tc>
          <w:tcPr>
            <w:tcW w:w="1802" w:type="dxa"/>
            <w:tcBorders>
              <w:bottom w:val="single" w:sz="2" w:space="0" w:color="auto"/>
            </w:tcBorders>
            <w:vAlign w:val="center"/>
          </w:tcPr>
          <w:p w:rsidR="00BB7120" w:rsidRPr="00BB7120" w:rsidRDefault="00BB7120" w:rsidP="00BE57C3">
            <w:pPr>
              <w:widowControl/>
              <w:spacing w:after="0"/>
              <w:ind w:left="101" w:right="162" w:firstLine="0"/>
              <w:jc w:val="right"/>
              <w:rPr>
                <w:rFonts w:ascii="Arial Narrow" w:hAnsi="Arial Narrow"/>
                <w:color w:val="000000"/>
                <w:sz w:val="20"/>
                <w:szCs w:val="20"/>
              </w:rPr>
            </w:pPr>
            <w:r>
              <w:rPr>
                <w:rFonts w:ascii="Arial Narrow" w:hAnsi="Arial Narrow"/>
                <w:color w:val="000000"/>
                <w:sz w:val="20"/>
                <w:szCs w:val="20"/>
              </w:rPr>
              <w:t>584.626</w:t>
            </w:r>
          </w:p>
        </w:tc>
      </w:tr>
      <w:tr w:rsidR="00BB7120" w:rsidRPr="00612D84" w:rsidTr="00BE57C3">
        <w:trPr>
          <w:trHeight w:val="284"/>
          <w:jc w:val="center"/>
        </w:trPr>
        <w:tc>
          <w:tcPr>
            <w:tcW w:w="7028" w:type="dxa"/>
            <w:tcBorders>
              <w:bottom w:val="single" w:sz="2" w:space="0" w:color="auto"/>
            </w:tcBorders>
            <w:shd w:val="clear" w:color="auto" w:fill="B8CCE4" w:themeFill="accent1" w:themeFillTint="66"/>
            <w:vAlign w:val="center"/>
          </w:tcPr>
          <w:p w:rsidR="00BB7120" w:rsidRPr="004D3465" w:rsidRDefault="00BB7120" w:rsidP="004D22FC">
            <w:pPr>
              <w:spacing w:after="0"/>
              <w:ind w:left="71" w:firstLine="0"/>
              <w:jc w:val="left"/>
              <w:rPr>
                <w:rFonts w:ascii="Arial" w:hAnsi="Arial" w:cs="Arial"/>
                <w:color w:val="000000"/>
                <w:sz w:val="18"/>
                <w:szCs w:val="18"/>
              </w:rPr>
            </w:pPr>
            <w:r>
              <w:rPr>
                <w:rFonts w:ascii="Arial" w:hAnsi="Arial"/>
                <w:color w:val="000000"/>
                <w:sz w:val="18"/>
                <w:szCs w:val="18"/>
              </w:rPr>
              <w:t>Guztira</w:t>
            </w:r>
          </w:p>
        </w:tc>
        <w:tc>
          <w:tcPr>
            <w:tcW w:w="1802" w:type="dxa"/>
            <w:tcBorders>
              <w:bottom w:val="single" w:sz="2" w:space="0" w:color="auto"/>
            </w:tcBorders>
            <w:shd w:val="clear" w:color="auto" w:fill="B8CCE4" w:themeFill="accent1" w:themeFillTint="66"/>
            <w:vAlign w:val="center"/>
          </w:tcPr>
          <w:p w:rsidR="00BB7120" w:rsidRPr="00BB7120" w:rsidRDefault="00BB7120" w:rsidP="00BE57C3">
            <w:pPr>
              <w:widowControl/>
              <w:spacing w:after="0"/>
              <w:ind w:left="101" w:right="162" w:firstLine="0"/>
              <w:jc w:val="right"/>
              <w:rPr>
                <w:rFonts w:ascii="Arial Narrow" w:hAnsi="Arial Narrow"/>
                <w:color w:val="000000"/>
                <w:sz w:val="20"/>
                <w:szCs w:val="20"/>
              </w:rPr>
            </w:pPr>
            <w:r>
              <w:rPr>
                <w:rFonts w:ascii="Arial Narrow" w:hAnsi="Arial Narrow"/>
                <w:color w:val="000000"/>
                <w:sz w:val="20"/>
                <w:szCs w:val="20"/>
              </w:rPr>
              <w:t>7.014.623</w:t>
            </w:r>
          </w:p>
        </w:tc>
      </w:tr>
    </w:tbl>
    <w:p w:rsidR="00BB7120" w:rsidRDefault="00BB7120" w:rsidP="00D62876">
      <w:pPr>
        <w:pStyle w:val="texto"/>
        <w:tabs>
          <w:tab w:val="clear" w:pos="2835"/>
          <w:tab w:val="clear" w:pos="3969"/>
          <w:tab w:val="clear" w:pos="5103"/>
          <w:tab w:val="clear" w:pos="6237"/>
          <w:tab w:val="clear" w:pos="7371"/>
        </w:tabs>
        <w:spacing w:after="0"/>
        <w:ind w:left="289" w:firstLine="0"/>
        <w:rPr>
          <w:szCs w:val="26"/>
        </w:rPr>
      </w:pPr>
    </w:p>
    <w:p w:rsidR="000E5A01" w:rsidRPr="00727008" w:rsidRDefault="000E5A01" w:rsidP="00D62876">
      <w:pPr>
        <w:pStyle w:val="texto"/>
        <w:tabs>
          <w:tab w:val="clear" w:pos="2835"/>
          <w:tab w:val="clear" w:pos="3969"/>
          <w:tab w:val="clear" w:pos="5103"/>
          <w:tab w:val="clear" w:pos="6237"/>
          <w:tab w:val="clear" w:pos="7371"/>
        </w:tabs>
        <w:spacing w:after="0"/>
        <w:ind w:left="289" w:firstLine="0"/>
        <w:rPr>
          <w:szCs w:val="26"/>
        </w:rPr>
      </w:pPr>
    </w:p>
    <w:p w:rsidR="00462071" w:rsidRDefault="00A62F1C" w:rsidP="00462071">
      <w:pPr>
        <w:pStyle w:val="texto"/>
        <w:tabs>
          <w:tab w:val="clear" w:pos="2835"/>
          <w:tab w:val="clear" w:pos="3969"/>
          <w:tab w:val="clear" w:pos="5103"/>
          <w:tab w:val="clear" w:pos="6237"/>
          <w:tab w:val="clear" w:pos="7371"/>
        </w:tabs>
        <w:rPr>
          <w:szCs w:val="26"/>
        </w:rPr>
      </w:pPr>
      <w:r>
        <w:rPr>
          <w:b/>
          <w:szCs w:val="26"/>
        </w:rPr>
        <w:t>Hogeita hamabosgarrena.</w:t>
      </w:r>
      <w:r>
        <w:t xml:space="preserve"> 1995etik, sozietate kudeatzaileak enpresa publ</w:t>
      </w:r>
      <w:r>
        <w:t>i</w:t>
      </w:r>
      <w:r>
        <w:t>koaren izaera hartu zuen; haren urteko kontuak Nafarroako Kontu Orokorretan sartu ziren. Oro har, 1996tik urteko kontu horiekin batera aurkezten diren aud</w:t>
      </w:r>
      <w:r>
        <w:t>i</w:t>
      </w:r>
      <w:r>
        <w:t>toria-txostenak aldekoak dira edo salbuespen batzuk dauzkate, funtsean desj</w:t>
      </w:r>
      <w:r>
        <w:t>a</w:t>
      </w:r>
      <w:r>
        <w:t>betze-prozesutik heldutako zalantzengatik.</w:t>
      </w:r>
    </w:p>
    <w:p w:rsidR="00462071" w:rsidRPr="00B7755E" w:rsidRDefault="00462071" w:rsidP="00462071">
      <w:pPr>
        <w:pStyle w:val="texto"/>
        <w:tabs>
          <w:tab w:val="clear" w:pos="2835"/>
          <w:tab w:val="clear" w:pos="3969"/>
          <w:tab w:val="clear" w:pos="5103"/>
          <w:tab w:val="clear" w:pos="6237"/>
          <w:tab w:val="clear" w:pos="7371"/>
        </w:tabs>
        <w:rPr>
          <w:szCs w:val="26"/>
        </w:rPr>
      </w:pPr>
      <w:r>
        <w:t>Nasuvinsa sozietatearen 2014tik 2016ra bitarteko ekitaldietako urteko ko</w:t>
      </w:r>
      <w:r>
        <w:t>n</w:t>
      </w:r>
      <w:r>
        <w:t>tuen oroitidazkietan, kontingentzien apartatuaren barruan, Garraioaren Hiriaren lursailen besterentze-prozesuan izandako gertakari judizial nagusien deskrib</w:t>
      </w:r>
      <w:r>
        <w:t>a</w:t>
      </w:r>
      <w:r>
        <w:t>pen bat ematen da, eta honako iruzkin honekin amaitzen da:</w:t>
      </w:r>
    </w:p>
    <w:p w:rsidR="00484F27" w:rsidRPr="00561358" w:rsidRDefault="00462071" w:rsidP="001418D9">
      <w:pPr>
        <w:pStyle w:val="texto"/>
        <w:tabs>
          <w:tab w:val="clear" w:pos="2835"/>
          <w:tab w:val="clear" w:pos="3969"/>
          <w:tab w:val="clear" w:pos="5103"/>
          <w:tab w:val="clear" w:pos="6237"/>
          <w:tab w:val="clear" w:pos="7371"/>
        </w:tabs>
        <w:spacing w:after="240"/>
        <w:rPr>
          <w:szCs w:val="26"/>
        </w:rPr>
      </w:pPr>
      <w:r>
        <w:t>“</w:t>
      </w:r>
      <w:r>
        <w:rPr>
          <w:sz w:val="22"/>
          <w:szCs w:val="22"/>
        </w:rPr>
        <w:t>Nafarroako Gobernuak eta Terminal de Transportes sozietateak 1993ko Lankidetza H</w:t>
      </w:r>
      <w:r>
        <w:rPr>
          <w:sz w:val="22"/>
          <w:szCs w:val="22"/>
        </w:rPr>
        <w:t>i</w:t>
      </w:r>
      <w:r>
        <w:rPr>
          <w:sz w:val="22"/>
          <w:szCs w:val="22"/>
        </w:rPr>
        <w:t>tzarmenean lurzorua eskuratzeari begira hartutako konpromisoan oinarrituta, Nafarroako G</w:t>
      </w:r>
      <w:r>
        <w:rPr>
          <w:sz w:val="22"/>
          <w:szCs w:val="22"/>
        </w:rPr>
        <w:t>o</w:t>
      </w:r>
      <w:r>
        <w:rPr>
          <w:sz w:val="22"/>
          <w:szCs w:val="22"/>
        </w:rPr>
        <w:t>bernuak, 2015eko martxoaren 18an, erabaki zuen</w:t>
      </w:r>
      <w:r>
        <w:rPr>
          <w:rFonts w:ascii="Times New (W1)" w:hAnsi="Times New (W1)"/>
          <w:sz w:val="22"/>
          <w:szCs w:val="22"/>
        </w:rPr>
        <w:t xml:space="preserve"> “</w:t>
      </w:r>
      <w:r>
        <w:rPr>
          <w:rFonts w:ascii="Times New (W1)" w:hAnsi="Times New (W1)"/>
          <w:i/>
          <w:sz w:val="22"/>
          <w:szCs w:val="22"/>
        </w:rPr>
        <w:t>Adieraztea Nafarroako Gobernuak 1993ko urriaren 29ko Lankidetza Hitzarmenean hartutako konpromisoei eusteko borondatea duela, eta Nasuvinsari sostengua ematen jarraitu nahi duela Garraioaren Hiriaren garap</w:t>
      </w:r>
      <w:r>
        <w:rPr>
          <w:rFonts w:ascii="Times New (W1)" w:hAnsi="Times New (W1)"/>
          <w:i/>
          <w:sz w:val="22"/>
          <w:szCs w:val="22"/>
        </w:rPr>
        <w:t>e</w:t>
      </w:r>
      <w:r>
        <w:rPr>
          <w:rFonts w:ascii="Times New (W1)" w:hAnsi="Times New (W1)"/>
          <w:i/>
          <w:sz w:val="22"/>
          <w:szCs w:val="22"/>
        </w:rPr>
        <w:t>nean, bereziki lursailak eskuratzeko behar diren zenbatekoei dagokienez”</w:t>
      </w:r>
      <w:r>
        <w:rPr>
          <w:rFonts w:ascii="Times New (W1)" w:hAnsi="Times New (W1)"/>
          <w:sz w:val="22"/>
          <w:szCs w:val="22"/>
        </w:rPr>
        <w:t xml:space="preserve">. </w:t>
      </w:r>
      <w:r>
        <w:t>Horren a</w:t>
      </w:r>
      <w:r>
        <w:t>u</w:t>
      </w:r>
      <w:r>
        <w:t>rrean, sozietateak ez duenez inongo ondare-galerarik jasoko auzi horien ond</w:t>
      </w:r>
      <w:r>
        <w:t>o</w:t>
      </w:r>
      <w:r>
        <w:t>rioz, zeren eta Nafarroako Gobernua izanen baita desjabetutako lursailen pr</w:t>
      </w:r>
      <w:r>
        <w:t>e</w:t>
      </w:r>
      <w:r>
        <w:t xml:space="preserve">zio-igoera bere gain hartu duena, egoerari buruzko balantzean ez da inongo zenbatekorik kontabilizatu.” </w:t>
      </w:r>
    </w:p>
    <w:p w:rsidR="006E4420" w:rsidRPr="00174B05" w:rsidRDefault="006E4420" w:rsidP="006E4420">
      <w:pPr>
        <w:pStyle w:val="atitulo2"/>
      </w:pPr>
      <w:bookmarkStart w:id="43" w:name="_Toc519583206"/>
      <w:r>
        <w:t>IV.6. Garraioaren Hiriaren urbanizaziorako, ustiatzerako eta merkatur</w:t>
      </w:r>
      <w:r>
        <w:t>a</w:t>
      </w:r>
      <w:r>
        <w:t>tzerako kontratuak</w:t>
      </w:r>
      <w:bookmarkEnd w:id="43"/>
    </w:p>
    <w:p w:rsidR="006E4420" w:rsidRDefault="00B56BB6" w:rsidP="006E4420">
      <w:pPr>
        <w:pStyle w:val="texto"/>
        <w:tabs>
          <w:tab w:val="clear" w:pos="2835"/>
          <w:tab w:val="clear" w:pos="3969"/>
          <w:tab w:val="clear" w:pos="5103"/>
          <w:tab w:val="clear" w:pos="6237"/>
          <w:tab w:val="clear" w:pos="7371"/>
        </w:tabs>
        <w:rPr>
          <w:szCs w:val="26"/>
        </w:rPr>
      </w:pPr>
      <w:r>
        <w:rPr>
          <w:b/>
          <w:szCs w:val="26"/>
        </w:rPr>
        <w:t>Hogeita hamaseigarrena.</w:t>
      </w:r>
      <w:r>
        <w:t xml:space="preserve"> GHan ezarritako kudeaketa-eredua, zeina oinarr</w:t>
      </w:r>
      <w:r>
        <w:t>i</w:t>
      </w:r>
      <w:r>
        <w:t>tzen baita sozietate kudeatzaileak eraikinak eta nabeak urbanizatu eta eraik</w:t>
      </w:r>
      <w:r>
        <w:t>i</w:t>
      </w:r>
      <w:r>
        <w:t xml:space="preserve">tzeko obren eta proiektuaren arrakasta lortzeko egin beharreko ustiaketa- eta merkaturatze-eragiketen kanpoko kontratazioan. </w:t>
      </w:r>
    </w:p>
    <w:p w:rsidR="006E4420" w:rsidRDefault="006E4420" w:rsidP="006E4420">
      <w:pPr>
        <w:pStyle w:val="texto"/>
        <w:tabs>
          <w:tab w:val="clear" w:pos="2835"/>
          <w:tab w:val="clear" w:pos="3969"/>
          <w:tab w:val="clear" w:pos="5103"/>
          <w:tab w:val="clear" w:pos="6237"/>
          <w:tab w:val="clear" w:pos="7371"/>
        </w:tabs>
        <w:rPr>
          <w:szCs w:val="26"/>
        </w:rPr>
      </w:pPr>
      <w:r>
        <w:t>Bi adjudikazio-prozesu egin dira jada: bata 1. eta 2. faseei dagokiena eta be</w:t>
      </w:r>
      <w:r>
        <w:t>s</w:t>
      </w:r>
      <w:r>
        <w:t>tea, berriz, GHaren 3. faserako.</w:t>
      </w:r>
    </w:p>
    <w:p w:rsidR="006E4420" w:rsidRDefault="006E4420" w:rsidP="006E4420">
      <w:pPr>
        <w:pStyle w:val="texto"/>
        <w:tabs>
          <w:tab w:val="clear" w:pos="2835"/>
          <w:tab w:val="clear" w:pos="3969"/>
          <w:tab w:val="clear" w:pos="5103"/>
          <w:tab w:val="clear" w:pos="6237"/>
          <w:tab w:val="clear" w:pos="7371"/>
        </w:tabs>
        <w:rPr>
          <w:szCs w:val="26"/>
        </w:rPr>
      </w:pPr>
      <w:r>
        <w:rPr>
          <w:b/>
          <w:szCs w:val="26"/>
        </w:rPr>
        <w:t>Hogeita hamazazpigarrena.</w:t>
      </w:r>
      <w:r>
        <w:t xml:space="preserve"> Bi kontratuen alderdi komun gisa, honako hauek aipatu behar ditugu:</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Kontratazio-prozesuen oinarri arautzaileak sozietate kudeatzaileak onesten ditu.</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Aurkeztutako eskaintzak kasuko udalez gaindiko plan sektorialen zehazt</w:t>
      </w:r>
      <w:r>
        <w:t>a</w:t>
      </w:r>
      <w:r>
        <w:t>penei egokitu behar zaizkie, baina inplizituki haien hobekuntzak edo aldaerak ere onartzen dira.</w:t>
      </w:r>
    </w:p>
    <w:p w:rsidR="00D60CE6" w:rsidRDefault="00D60CE6" w:rsidP="00D60CE6">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lastRenderedPageBreak/>
        <w:t>Bi hautapen-prozesuetatik oinarri arautzaileek bakarrean ere ez dute zenb</w:t>
      </w:r>
      <w:r>
        <w:t>a</w:t>
      </w:r>
      <w:r>
        <w:t>testen GHaren ustiaketarekin lortzea espero den negozio-bolumena.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Aldi baterako enpresa-elkarte berari adjudikatu zaizkio, bera baita bi pr</w:t>
      </w:r>
      <w:r>
        <w:t>o</w:t>
      </w:r>
      <w:r>
        <w:t>zeduretan eskaintza aurkeztu duen bakarra, nahiz eta prozedura horien publiz</w:t>
      </w:r>
      <w:r>
        <w:t>i</w:t>
      </w:r>
      <w:r>
        <w:t>tatea egin zen.</w:t>
      </w:r>
    </w:p>
    <w:p w:rsidR="000E5A01" w:rsidRDefault="000E5A01" w:rsidP="000E5A01">
      <w:pPr>
        <w:pStyle w:val="texto"/>
        <w:tabs>
          <w:tab w:val="clear" w:pos="2835"/>
          <w:tab w:val="clear" w:pos="3969"/>
          <w:tab w:val="clear" w:pos="5103"/>
          <w:tab w:val="clear" w:pos="6237"/>
          <w:tab w:val="clear" w:pos="7371"/>
        </w:tabs>
        <w:rPr>
          <w:szCs w:val="26"/>
        </w:rPr>
      </w:pP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“Giltza eskura” erako operaziotzat hartzen dira, eta adjudikazio-hartzaileak bere arrisku eta menturara hartzen ditu GHa garatu eta egiteko lanak.</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Aldi baterako enpresa-elkarteak egin beharreko obra desberdinak gauz</w:t>
      </w:r>
      <w:r>
        <w:t>a</w:t>
      </w:r>
      <w:r>
        <w:t>tzeko, sozietate kudeatzaileak —lursailen desjabetzearen onuradunak— adjud</w:t>
      </w:r>
      <w:r>
        <w:t>i</w:t>
      </w:r>
      <w:r>
        <w:t>kazio-hartzaileari eskuratzen dizkio indarraldi mugatua duen azalera-eskubide bat eratuz.</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Adjudikazio-hartzaileak urbanizazio-lanen aurreproiektu bat aurkeztu b</w:t>
      </w:r>
      <w:r>
        <w:t>e</w:t>
      </w:r>
      <w:r>
        <w:t>harko dio sozietate kudeatzaileari, onets dezan. Urbanizazio-lan horietan si</w:t>
      </w:r>
      <w:r>
        <w:t>s</w:t>
      </w:r>
      <w:r>
        <w:t>tema orokorrak eta GHaren barneko sarbideak jasotzen dira.</w:t>
      </w:r>
    </w:p>
    <w:p w:rsidR="006E4420" w:rsidRDefault="009A77AA"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Kontratuek ez dituzte hartzen GHaren eremu fisikotik kanpo egin beh</w:t>
      </w:r>
      <w:r>
        <w:t>a</w:t>
      </w:r>
      <w:r>
        <w:t xml:space="preserve">rreko obra eta azpiegiturak.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Adjudikazio-hartzailea lursail gordinen edo/eta eraikitakoen salmenta k</w:t>
      </w:r>
      <w:r>
        <w:t>u</w:t>
      </w:r>
      <w:r>
        <w:t>deatzeaz arduratzen da, bai eta, kasua bada, higiezinen errentamenduaz ere.</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Salmentaren eta alokairuaren prezioak eta baldintza orokorrak kontratuan finkatzen dira; prezio horiek aldiro gaurkotzen dira. Sozietate kudeatzaileak salmenta horien portzentaje bat jasoko du.</w:t>
      </w:r>
    </w:p>
    <w:p w:rsidR="006E4420" w:rsidRDefault="006E4420" w:rsidP="006E4420">
      <w:pPr>
        <w:pStyle w:val="texto"/>
        <w:tabs>
          <w:tab w:val="clear" w:pos="2835"/>
          <w:tab w:val="clear" w:pos="3969"/>
          <w:tab w:val="clear" w:pos="5103"/>
          <w:tab w:val="clear" w:pos="6237"/>
          <w:tab w:val="clear" w:pos="7371"/>
        </w:tabs>
      </w:pPr>
      <w:r>
        <w:rPr>
          <w:b/>
        </w:rPr>
        <w:t>Hogeita hemezortzigarrena.</w:t>
      </w:r>
      <w:r>
        <w:t xml:space="preserve"> GHaren 1. eta 2. faseetarako kontratua. Ko</w:t>
      </w:r>
      <w:r>
        <w:t>n</w:t>
      </w:r>
      <w:r>
        <w:t>tratu hori dela eta, honako hauek nabarmendu behar dira: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1994ko martxoan, TTCP SA sozietate kudeatzaileak kontratuaren oinarri arautzaileak onetsi zituen. Une horretan eta adjudikazio-prozesu osoan sozi</w:t>
      </w:r>
      <w:r>
        <w:t>e</w:t>
      </w:r>
      <w:r>
        <w:t>tate horren kapital soziala guztiz pribatua da. Horrenbestez, ez zaio aplikatzen kontratazio administratiboaren arloko legeria publikoa.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Hasiera batean, kontratuak 1. fasea hartzen du; gero, aldatu egiten da, 2. fasera zabaltzeko.</w:t>
      </w:r>
    </w:p>
    <w:p w:rsidR="006E4420" w:rsidRDefault="003759E5"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Oinarriek eskaintzaileei uzten diete nabe-mota desberdinen m</w:t>
      </w:r>
      <w:r>
        <w:rPr>
          <w:vertAlign w:val="superscript"/>
        </w:rPr>
        <w:t>2</w:t>
      </w:r>
      <w:r>
        <w:t xml:space="preserve"> bakoitzeko salmenta-prezioak finkatzea, erreferentzia gisa ezarri diren gehieneko balio b</w:t>
      </w:r>
      <w:r>
        <w:t>a</w:t>
      </w:r>
      <w:r>
        <w:t>tzuen barruan.</w:t>
      </w:r>
    </w:p>
    <w:p w:rsidR="006E4420" w:rsidRPr="00B35AE3"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Kontratazioa tokiko prentsan eta NAOn iragartzen da.</w:t>
      </w:r>
    </w:p>
    <w:p w:rsidR="006E4420" w:rsidRPr="00B35AE3"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Prozesura eskaintza bakarra aurkeztu zen, eta haren aldeko adjudikazioa egiten da.</w:t>
      </w:r>
    </w:p>
    <w:p w:rsidR="006E4420" w:rsidRPr="00B35AE3"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lastRenderedPageBreak/>
        <w:t xml:space="preserve">Eskaintza TTCP SA sozietateak aztertzen du, Audenasa enpresaren aholku teknikoarekin. </w:t>
      </w:r>
    </w:p>
    <w:p w:rsidR="00B01BA8"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Adjudikazio-hartzaileak aurkeztutako proposamenak onartzen diren aldaera batzuk badauzka; hori dela eta, GHaren udalez gaindiko plan sektorialaren a</w:t>
      </w:r>
      <w:r>
        <w:t>l</w:t>
      </w:r>
      <w:r>
        <w:t>daketa bat idatzi eta izapidetu behar da.</w:t>
      </w:r>
    </w:p>
    <w:p w:rsidR="006E4420" w:rsidRPr="00B01BA8"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Kontratua 1995eko ekainean sinatu zen.</w:t>
      </w:r>
    </w:p>
    <w:p w:rsidR="006E4420" w:rsidRPr="00E56FD3"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Eratutako azalera-eskubideak 2000ko abenduaren 31ra arteko indarraldia dauka.</w:t>
      </w:r>
    </w:p>
    <w:p w:rsidR="006E4420" w:rsidRPr="00A9502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Sozietate kudeatzaileak salmenta-prezioaren ehuneko bat jasoko du.</w:t>
      </w:r>
    </w:p>
    <w:p w:rsidR="006E4420" w:rsidRPr="003759E5" w:rsidRDefault="006E4420" w:rsidP="003759E5">
      <w:pPr>
        <w:pStyle w:val="texto"/>
        <w:tabs>
          <w:tab w:val="clear" w:pos="2835"/>
          <w:tab w:val="clear" w:pos="3969"/>
          <w:tab w:val="clear" w:pos="5103"/>
          <w:tab w:val="clear" w:pos="6237"/>
          <w:tab w:val="clear" w:pos="7371"/>
        </w:tabs>
        <w:rPr>
          <w:szCs w:val="26"/>
        </w:rPr>
      </w:pPr>
      <w:r>
        <w:t xml:space="preserve">Horrenbestez, GHaren 1. eta 2. faseetako urbanizazio-lanen eta ustiaketaren kontratazio-prozedura garai hartan kapital guztiz pribatua zuen sozietate batek hasi eta adjudikatu zuen. Kontratazio-prozesuaren hasieraren berri NAOn eta tokiko prentsan eman zen. </w:t>
      </w:r>
    </w:p>
    <w:p w:rsidR="006E4420" w:rsidRDefault="006E4420" w:rsidP="006E4420">
      <w:pPr>
        <w:pStyle w:val="texto"/>
        <w:tabs>
          <w:tab w:val="clear" w:pos="2835"/>
          <w:tab w:val="clear" w:pos="3969"/>
          <w:tab w:val="clear" w:pos="5103"/>
          <w:tab w:val="clear" w:pos="6237"/>
          <w:tab w:val="clear" w:pos="7371"/>
        </w:tabs>
      </w:pPr>
      <w:r>
        <w:rPr>
          <w:b/>
        </w:rPr>
        <w:t xml:space="preserve">Hogeita hemeretzigarrena. </w:t>
      </w:r>
      <w:r>
        <w:t>Hasierako kontratu hori 1999ko, 2000ko eta 2002ko ekitaldietan aldatu zen; honako hau nabarmendu beharra dago:</w:t>
      </w:r>
    </w:p>
    <w:p w:rsidR="006E4420" w:rsidRDefault="000D1F7E"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 xml:space="preserve">1999an: </w:t>
      </w:r>
    </w:p>
    <w:p w:rsidR="006E4420" w:rsidRDefault="006E4420" w:rsidP="006E4420">
      <w:pPr>
        <w:pStyle w:val="texto"/>
        <w:tabs>
          <w:tab w:val="clear" w:pos="2835"/>
          <w:tab w:val="clear" w:pos="3969"/>
          <w:tab w:val="clear" w:pos="5103"/>
          <w:tab w:val="clear" w:pos="6237"/>
          <w:tab w:val="clear" w:pos="7371"/>
        </w:tabs>
      </w:pPr>
      <w:r>
        <w:t>a) Sozietate kudeatzaileak aldi baterako enpresa-elkarteari bulegoetarako bi erakin erosiko dizkio, bai eta ibilgailu astunetarako aparkaleku bat ere.</w:t>
      </w:r>
    </w:p>
    <w:p w:rsidR="006E4420" w:rsidRDefault="006E4420" w:rsidP="006E4420">
      <w:pPr>
        <w:pStyle w:val="texto"/>
        <w:tabs>
          <w:tab w:val="clear" w:pos="2835"/>
          <w:tab w:val="clear" w:pos="3969"/>
          <w:tab w:val="clear" w:pos="5103"/>
          <w:tab w:val="clear" w:pos="6237"/>
          <w:tab w:val="clear" w:pos="7371"/>
        </w:tabs>
        <w:rPr>
          <w:szCs w:val="26"/>
        </w:rPr>
      </w:pPr>
      <w:r>
        <w:t>b) Erreserbako eremua edo GHaren 2. fasea garatzea baimentzen da, 1. f</w:t>
      </w:r>
      <w:r>
        <w:t>a</w:t>
      </w:r>
      <w:r>
        <w:t>seko tipologia eta erabilera berdin-berdinei eta salmenta-prezio batzuen zeha</w:t>
      </w:r>
      <w:r>
        <w:t>z</w:t>
      </w:r>
      <w:r>
        <w:t>tapenari lotuta.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2000n, azalera-eskubidea 2003ko abenduaren 31ra arte luzatu zen, 2. f</w:t>
      </w:r>
      <w:r>
        <w:t>a</w:t>
      </w:r>
      <w:r>
        <w:t xml:space="preserve">seko lursailak barne. </w:t>
      </w:r>
    </w:p>
    <w:p w:rsidR="006E4420" w:rsidRPr="00516CC8"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2002ko aldaketan, nabeen eta eraikinen salmenta-prezioaren igoera bat baimendu zen —60 euro/m</w:t>
      </w:r>
      <w:r>
        <w:rPr>
          <w:vertAlign w:val="superscript"/>
        </w:rPr>
        <w:t>2</w:t>
      </w:r>
      <w:r>
        <w:t>, euri-urak kanporatzeko lanak egiteko eta desjab</w:t>
      </w:r>
      <w:r>
        <w:t>e</w:t>
      </w:r>
      <w:r>
        <w:t xml:space="preserve">tzeen gastua handitzeko—, eta beste salmenta-prezioetan beste partaidetza bat finkatu zen sozietate kudeatzailearentzat: salmentaren ehuneko bat gehi 77,41 euro eraikinek okupatutako orubearen metro koadro bakoitzeko. </w:t>
      </w:r>
    </w:p>
    <w:p w:rsidR="006E4420" w:rsidRDefault="0023051E" w:rsidP="008A0851">
      <w:pPr>
        <w:pStyle w:val="texto"/>
        <w:tabs>
          <w:tab w:val="clear" w:pos="2835"/>
          <w:tab w:val="clear" w:pos="3969"/>
          <w:tab w:val="clear" w:pos="5103"/>
          <w:tab w:val="clear" w:pos="6237"/>
          <w:tab w:val="clear" w:pos="7371"/>
        </w:tabs>
        <w:spacing w:after="240"/>
        <w:rPr>
          <w:szCs w:val="26"/>
        </w:rPr>
      </w:pPr>
      <w:r>
        <w:rPr>
          <w:b/>
          <w:szCs w:val="26"/>
        </w:rPr>
        <w:t xml:space="preserve">Berrogeigarrena. </w:t>
      </w:r>
      <w:r>
        <w:t>Proiektua idatzi zuen arkitektoak eta aldi baterako e</w:t>
      </w:r>
      <w:r>
        <w:t>n</w:t>
      </w:r>
      <w:r>
        <w:t>presa-elkartearen obren zuzendariak GHaren 1. eta 2. faseetarako emandako ziurtagiriaren arabera, enpresa-elkarte horrek egindako obren zenbatekoa —BEZik gabe— 59,88 milioi eurokoa izan da, honako xehetasun hauen arabera:</w:t>
      </w:r>
    </w:p>
    <w:tbl>
      <w:tblPr>
        <w:tblStyle w:val="TableNormal"/>
        <w:tblW w:w="8837"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2267"/>
        <w:gridCol w:w="1453"/>
        <w:gridCol w:w="1512"/>
        <w:gridCol w:w="1344"/>
        <w:gridCol w:w="2261"/>
      </w:tblGrid>
      <w:tr w:rsidR="006E4420" w:rsidRPr="00DA5BC7" w:rsidTr="005C1B4F">
        <w:trPr>
          <w:trHeight w:val="397"/>
          <w:jc w:val="center"/>
        </w:trPr>
        <w:tc>
          <w:tcPr>
            <w:tcW w:w="2267" w:type="dxa"/>
            <w:tcBorders>
              <w:top w:val="single" w:sz="4" w:space="0" w:color="auto"/>
              <w:bottom w:val="single" w:sz="4" w:space="0" w:color="auto"/>
            </w:tcBorders>
            <w:shd w:val="clear" w:color="auto" w:fill="B8CCE4" w:themeFill="accent1" w:themeFillTint="66"/>
            <w:vAlign w:val="center"/>
          </w:tcPr>
          <w:p w:rsidR="006E4420" w:rsidRDefault="006E4420" w:rsidP="008A0851">
            <w:pPr>
              <w:spacing w:after="0"/>
              <w:ind w:left="96" w:firstLine="0"/>
              <w:jc w:val="left"/>
              <w:rPr>
                <w:rFonts w:ascii="Arial" w:hAnsi="Arial" w:cs="Arial"/>
                <w:color w:val="000000"/>
                <w:sz w:val="18"/>
                <w:szCs w:val="18"/>
              </w:rPr>
            </w:pPr>
            <w:r>
              <w:rPr>
                <w:rFonts w:ascii="Arial" w:hAnsi="Arial"/>
                <w:color w:val="000000"/>
                <w:sz w:val="18"/>
                <w:szCs w:val="18"/>
              </w:rPr>
              <w:t>Aldi baterako enpresa-elkartearen inbertsioa</w:t>
            </w:r>
          </w:p>
          <w:p w:rsidR="006E4420" w:rsidRDefault="006E4420" w:rsidP="008A0851">
            <w:pPr>
              <w:spacing w:after="0"/>
              <w:ind w:left="96" w:firstLine="0"/>
              <w:jc w:val="left"/>
              <w:rPr>
                <w:rFonts w:ascii="Arial" w:hAnsi="Arial" w:cs="Arial"/>
                <w:color w:val="000000"/>
                <w:sz w:val="18"/>
                <w:szCs w:val="18"/>
              </w:rPr>
            </w:pPr>
            <w:r>
              <w:rPr>
                <w:rFonts w:ascii="Arial" w:hAnsi="Arial"/>
                <w:color w:val="000000"/>
                <w:sz w:val="18"/>
                <w:szCs w:val="18"/>
              </w:rPr>
              <w:t xml:space="preserve">GHaren faseak   </w:t>
            </w:r>
          </w:p>
        </w:tc>
        <w:tc>
          <w:tcPr>
            <w:tcW w:w="1453" w:type="dxa"/>
            <w:tcBorders>
              <w:top w:val="single" w:sz="4" w:space="0" w:color="auto"/>
              <w:bottom w:val="single" w:sz="4" w:space="0" w:color="auto"/>
            </w:tcBorders>
            <w:shd w:val="clear" w:color="auto" w:fill="B8CCE4" w:themeFill="accent1" w:themeFillTint="66"/>
            <w:vAlign w:val="center"/>
          </w:tcPr>
          <w:p w:rsidR="008A0851" w:rsidRDefault="006E4420" w:rsidP="008A0851">
            <w:pPr>
              <w:spacing w:after="0"/>
              <w:ind w:firstLine="0"/>
              <w:jc w:val="right"/>
              <w:rPr>
                <w:rFonts w:ascii="Arial" w:hAnsi="Arial" w:cs="Arial"/>
                <w:color w:val="000000"/>
                <w:sz w:val="18"/>
                <w:szCs w:val="18"/>
              </w:rPr>
            </w:pPr>
            <w:r>
              <w:rPr>
                <w:rFonts w:ascii="Arial" w:hAnsi="Arial"/>
                <w:color w:val="000000"/>
                <w:sz w:val="18"/>
                <w:szCs w:val="18"/>
              </w:rPr>
              <w:t xml:space="preserve">Urbanizazioa </w:t>
            </w:r>
          </w:p>
          <w:p w:rsidR="006E4420" w:rsidRPr="005B3CA8" w:rsidRDefault="006E4420" w:rsidP="008A0851">
            <w:pPr>
              <w:spacing w:after="0"/>
              <w:ind w:firstLine="0"/>
              <w:jc w:val="right"/>
              <w:rPr>
                <w:rFonts w:ascii="Arial" w:hAnsi="Arial" w:cs="Arial"/>
                <w:color w:val="000000"/>
                <w:sz w:val="18"/>
                <w:szCs w:val="18"/>
              </w:rPr>
            </w:pPr>
            <w:r>
              <w:rPr>
                <w:rFonts w:ascii="Arial" w:hAnsi="Arial"/>
                <w:color w:val="000000"/>
                <w:sz w:val="18"/>
                <w:szCs w:val="18"/>
              </w:rPr>
              <w:t>(m</w:t>
            </w:r>
            <w:r>
              <w:rPr>
                <w:rFonts w:ascii="Arial" w:hAnsi="Arial"/>
                <w:color w:val="000000"/>
                <w:sz w:val="18"/>
                <w:szCs w:val="18"/>
                <w:vertAlign w:val="superscript"/>
              </w:rPr>
              <w:t>2</w:t>
            </w:r>
            <w:r>
              <w:rPr>
                <w:rFonts w:ascii="Arial" w:hAnsi="Arial"/>
                <w:color w:val="000000"/>
                <w:sz w:val="18"/>
                <w:szCs w:val="18"/>
              </w:rPr>
              <w:t>)</w:t>
            </w:r>
          </w:p>
        </w:tc>
        <w:tc>
          <w:tcPr>
            <w:tcW w:w="1512" w:type="dxa"/>
            <w:tcBorders>
              <w:top w:val="single" w:sz="4" w:space="0" w:color="auto"/>
              <w:bottom w:val="single" w:sz="4" w:space="0" w:color="auto"/>
            </w:tcBorders>
            <w:shd w:val="clear" w:color="auto" w:fill="B8CCE4" w:themeFill="accent1" w:themeFillTint="66"/>
            <w:vAlign w:val="center"/>
          </w:tcPr>
          <w:p w:rsidR="008A0851" w:rsidRDefault="006E4420" w:rsidP="008A0851">
            <w:pPr>
              <w:spacing w:after="0"/>
              <w:ind w:left="71" w:firstLine="0"/>
              <w:jc w:val="right"/>
              <w:rPr>
                <w:rFonts w:ascii="Arial" w:hAnsi="Arial" w:cs="Arial"/>
                <w:color w:val="000000"/>
                <w:sz w:val="18"/>
                <w:szCs w:val="18"/>
              </w:rPr>
            </w:pPr>
            <w:r>
              <w:rPr>
                <w:rFonts w:ascii="Arial" w:hAnsi="Arial"/>
                <w:color w:val="000000"/>
                <w:sz w:val="18"/>
                <w:szCs w:val="18"/>
              </w:rPr>
              <w:t>Nabeak eraikitzea</w:t>
            </w:r>
          </w:p>
          <w:p w:rsidR="006E4420" w:rsidRPr="00DA5BC7" w:rsidRDefault="008A0851" w:rsidP="008A0851">
            <w:pPr>
              <w:spacing w:after="0"/>
              <w:ind w:left="71" w:firstLine="0"/>
              <w:jc w:val="right"/>
              <w:rPr>
                <w:rFonts w:ascii="Arial" w:hAnsi="Arial" w:cs="Arial"/>
                <w:color w:val="000000"/>
                <w:sz w:val="18"/>
                <w:szCs w:val="18"/>
              </w:rPr>
            </w:pPr>
            <w:r>
              <w:rPr>
                <w:rFonts w:ascii="Arial" w:hAnsi="Arial"/>
                <w:color w:val="000000"/>
                <w:sz w:val="18"/>
                <w:szCs w:val="18"/>
              </w:rPr>
              <w:t xml:space="preserve"> (m</w:t>
            </w:r>
            <w:r>
              <w:rPr>
                <w:rFonts w:ascii="Arial" w:hAnsi="Arial"/>
                <w:color w:val="000000"/>
                <w:sz w:val="18"/>
                <w:szCs w:val="18"/>
                <w:vertAlign w:val="superscript"/>
              </w:rPr>
              <w:t>2</w:t>
            </w:r>
            <w:r>
              <w:rPr>
                <w:rFonts w:ascii="Arial" w:hAnsi="Arial"/>
                <w:color w:val="000000"/>
                <w:sz w:val="18"/>
                <w:szCs w:val="18"/>
              </w:rPr>
              <w:t>)</w:t>
            </w:r>
          </w:p>
        </w:tc>
        <w:tc>
          <w:tcPr>
            <w:tcW w:w="1344" w:type="dxa"/>
            <w:tcBorders>
              <w:top w:val="single" w:sz="4" w:space="0" w:color="auto"/>
              <w:bottom w:val="single" w:sz="4" w:space="0" w:color="auto"/>
            </w:tcBorders>
            <w:shd w:val="clear" w:color="auto" w:fill="B8CCE4" w:themeFill="accent1" w:themeFillTint="66"/>
            <w:vAlign w:val="center"/>
          </w:tcPr>
          <w:p w:rsidR="008A0851" w:rsidRDefault="006E4420" w:rsidP="008A0851">
            <w:pPr>
              <w:spacing w:after="0"/>
              <w:ind w:firstLine="0"/>
              <w:jc w:val="right"/>
              <w:rPr>
                <w:rFonts w:ascii="Arial" w:hAnsi="Arial" w:cs="Arial"/>
                <w:color w:val="000000"/>
                <w:sz w:val="18"/>
                <w:szCs w:val="18"/>
              </w:rPr>
            </w:pPr>
            <w:r>
              <w:rPr>
                <w:rFonts w:ascii="Arial" w:hAnsi="Arial"/>
                <w:color w:val="000000"/>
                <w:sz w:val="18"/>
                <w:szCs w:val="18"/>
              </w:rPr>
              <w:t xml:space="preserve">Eraikuntza </w:t>
            </w:r>
          </w:p>
          <w:p w:rsidR="006E4420" w:rsidRPr="00DA5BC7" w:rsidRDefault="008A0851" w:rsidP="008A0851">
            <w:pPr>
              <w:spacing w:after="0"/>
              <w:ind w:firstLine="0"/>
              <w:jc w:val="right"/>
              <w:rPr>
                <w:rFonts w:ascii="Arial" w:hAnsi="Arial" w:cs="Arial"/>
                <w:color w:val="000000"/>
                <w:sz w:val="18"/>
                <w:szCs w:val="18"/>
              </w:rPr>
            </w:pPr>
            <w:r>
              <w:rPr>
                <w:rFonts w:ascii="Arial" w:hAnsi="Arial"/>
                <w:color w:val="000000"/>
                <w:sz w:val="18"/>
                <w:szCs w:val="18"/>
              </w:rPr>
              <w:t>Zerbitzuak (m</w:t>
            </w:r>
            <w:r>
              <w:rPr>
                <w:rFonts w:ascii="Arial" w:hAnsi="Arial"/>
                <w:color w:val="000000"/>
                <w:sz w:val="18"/>
                <w:szCs w:val="18"/>
                <w:vertAlign w:val="superscript"/>
              </w:rPr>
              <w:t>2</w:t>
            </w:r>
            <w:r>
              <w:rPr>
                <w:rFonts w:ascii="Arial" w:hAnsi="Arial"/>
                <w:color w:val="000000"/>
                <w:sz w:val="18"/>
                <w:szCs w:val="18"/>
              </w:rPr>
              <w:t>)</w:t>
            </w:r>
          </w:p>
        </w:tc>
        <w:tc>
          <w:tcPr>
            <w:tcW w:w="2261" w:type="dxa"/>
            <w:tcBorders>
              <w:top w:val="single" w:sz="4" w:space="0" w:color="auto"/>
              <w:bottom w:val="single" w:sz="4" w:space="0" w:color="auto"/>
            </w:tcBorders>
            <w:shd w:val="clear" w:color="auto" w:fill="B8CCE4" w:themeFill="accent1" w:themeFillTint="66"/>
            <w:vAlign w:val="center"/>
          </w:tcPr>
          <w:p w:rsidR="008A0851" w:rsidRDefault="008A0851" w:rsidP="008A0851">
            <w:pPr>
              <w:spacing w:after="0"/>
              <w:ind w:left="42" w:right="95" w:firstLine="0"/>
              <w:jc w:val="right"/>
              <w:rPr>
                <w:rFonts w:ascii="Arial" w:hAnsi="Arial" w:cs="Arial"/>
                <w:color w:val="000000"/>
                <w:sz w:val="18"/>
                <w:szCs w:val="18"/>
              </w:rPr>
            </w:pPr>
            <w:r>
              <w:rPr>
                <w:rFonts w:ascii="Arial" w:hAnsi="Arial"/>
                <w:color w:val="000000"/>
                <w:sz w:val="18"/>
                <w:szCs w:val="18"/>
              </w:rPr>
              <w:t xml:space="preserve"> Obren zenbateko osoa</w:t>
            </w:r>
          </w:p>
          <w:p w:rsidR="006E4420" w:rsidRPr="00DA5BC7" w:rsidRDefault="006E4420" w:rsidP="005C1B4F">
            <w:pPr>
              <w:spacing w:after="0"/>
              <w:ind w:left="42" w:right="95" w:firstLine="0"/>
              <w:jc w:val="right"/>
              <w:rPr>
                <w:rFonts w:ascii="Arial" w:hAnsi="Arial" w:cs="Arial"/>
                <w:color w:val="000000"/>
                <w:sz w:val="18"/>
                <w:szCs w:val="18"/>
              </w:rPr>
            </w:pPr>
            <w:r>
              <w:rPr>
                <w:rFonts w:ascii="Arial" w:hAnsi="Arial"/>
                <w:color w:val="000000"/>
                <w:sz w:val="18"/>
                <w:szCs w:val="18"/>
              </w:rPr>
              <w:t>(euroak)</w:t>
            </w:r>
          </w:p>
        </w:tc>
      </w:tr>
      <w:tr w:rsidR="006E4420" w:rsidRPr="00612D84" w:rsidTr="005C1B4F">
        <w:trPr>
          <w:trHeight w:val="284"/>
          <w:jc w:val="center"/>
        </w:trPr>
        <w:tc>
          <w:tcPr>
            <w:tcW w:w="2267" w:type="dxa"/>
            <w:tcBorders>
              <w:top w:val="single" w:sz="4" w:space="0" w:color="auto"/>
            </w:tcBorders>
            <w:vAlign w:val="center"/>
          </w:tcPr>
          <w:p w:rsidR="006E4420" w:rsidRPr="002B74DB" w:rsidRDefault="006E4420" w:rsidP="008A0851">
            <w:pPr>
              <w:widowControl/>
              <w:spacing w:after="0"/>
              <w:ind w:left="96" w:firstLine="0"/>
              <w:jc w:val="left"/>
              <w:rPr>
                <w:rFonts w:ascii="Arial Narrow" w:hAnsi="Arial Narrow"/>
                <w:color w:val="000000"/>
                <w:sz w:val="20"/>
                <w:szCs w:val="20"/>
              </w:rPr>
            </w:pPr>
            <w:r>
              <w:rPr>
                <w:rFonts w:ascii="Arial Narrow" w:hAnsi="Arial Narrow"/>
                <w:color w:val="000000"/>
                <w:sz w:val="20"/>
                <w:szCs w:val="20"/>
              </w:rPr>
              <w:t>1.a</w:t>
            </w:r>
          </w:p>
        </w:tc>
        <w:tc>
          <w:tcPr>
            <w:tcW w:w="1453" w:type="dxa"/>
            <w:tcBorders>
              <w:top w:val="single" w:sz="4" w:space="0" w:color="auto"/>
            </w:tcBorders>
            <w:vAlign w:val="center"/>
          </w:tcPr>
          <w:p w:rsidR="006E4420" w:rsidRPr="008E708D" w:rsidRDefault="006E4420" w:rsidP="008A0851">
            <w:pPr>
              <w:widowControl/>
              <w:spacing w:after="0"/>
              <w:ind w:firstLine="0"/>
              <w:jc w:val="right"/>
              <w:rPr>
                <w:rFonts w:ascii="Arial Narrow" w:hAnsi="Arial Narrow"/>
                <w:color w:val="000000"/>
                <w:sz w:val="20"/>
                <w:szCs w:val="20"/>
              </w:rPr>
            </w:pPr>
            <w:r>
              <w:rPr>
                <w:rFonts w:ascii="Arial Narrow" w:hAnsi="Arial Narrow"/>
                <w:color w:val="000000"/>
                <w:sz w:val="20"/>
                <w:szCs w:val="20"/>
              </w:rPr>
              <w:t>388.655</w:t>
            </w:r>
          </w:p>
        </w:tc>
        <w:tc>
          <w:tcPr>
            <w:tcW w:w="1512" w:type="dxa"/>
            <w:tcBorders>
              <w:top w:val="single" w:sz="4" w:space="0" w:color="auto"/>
            </w:tcBorders>
            <w:vAlign w:val="center"/>
          </w:tcPr>
          <w:p w:rsidR="006E4420" w:rsidRPr="008E708D" w:rsidRDefault="006E4420" w:rsidP="008A0851">
            <w:pPr>
              <w:widowControl/>
              <w:spacing w:after="0"/>
              <w:ind w:left="71" w:firstLine="0"/>
              <w:jc w:val="right"/>
              <w:rPr>
                <w:rFonts w:ascii="Arial Narrow" w:hAnsi="Arial Narrow"/>
                <w:color w:val="000000"/>
                <w:sz w:val="20"/>
                <w:szCs w:val="20"/>
              </w:rPr>
            </w:pPr>
            <w:r>
              <w:rPr>
                <w:rFonts w:ascii="Arial Narrow" w:hAnsi="Arial Narrow"/>
                <w:color w:val="000000"/>
                <w:sz w:val="20"/>
                <w:szCs w:val="20"/>
              </w:rPr>
              <w:t>74.172</w:t>
            </w:r>
          </w:p>
        </w:tc>
        <w:tc>
          <w:tcPr>
            <w:tcW w:w="1344" w:type="dxa"/>
            <w:tcBorders>
              <w:top w:val="single" w:sz="4" w:space="0" w:color="auto"/>
            </w:tcBorders>
            <w:vAlign w:val="center"/>
          </w:tcPr>
          <w:p w:rsidR="006E4420" w:rsidRPr="008E708D" w:rsidRDefault="006E4420" w:rsidP="008A0851">
            <w:pPr>
              <w:widowControl/>
              <w:spacing w:after="0"/>
              <w:ind w:firstLine="0"/>
              <w:jc w:val="right"/>
              <w:rPr>
                <w:rFonts w:ascii="Arial Narrow" w:hAnsi="Arial Narrow"/>
                <w:color w:val="000000"/>
                <w:sz w:val="20"/>
                <w:szCs w:val="20"/>
              </w:rPr>
            </w:pPr>
            <w:r>
              <w:rPr>
                <w:rFonts w:ascii="Arial Narrow" w:hAnsi="Arial Narrow"/>
                <w:color w:val="000000"/>
                <w:sz w:val="20"/>
                <w:szCs w:val="20"/>
              </w:rPr>
              <w:t>19.701</w:t>
            </w:r>
          </w:p>
        </w:tc>
        <w:tc>
          <w:tcPr>
            <w:tcW w:w="2261" w:type="dxa"/>
            <w:tcBorders>
              <w:top w:val="single" w:sz="4" w:space="0" w:color="auto"/>
            </w:tcBorders>
            <w:vAlign w:val="center"/>
          </w:tcPr>
          <w:p w:rsidR="006E4420" w:rsidRPr="007E1556" w:rsidRDefault="006E4420" w:rsidP="008A0851">
            <w:pPr>
              <w:widowControl/>
              <w:spacing w:after="0"/>
              <w:ind w:left="42" w:right="95" w:firstLine="0"/>
              <w:jc w:val="right"/>
              <w:rPr>
                <w:rFonts w:ascii="Arial Narrow" w:hAnsi="Arial Narrow"/>
                <w:color w:val="000000"/>
                <w:sz w:val="20"/>
                <w:szCs w:val="20"/>
              </w:rPr>
            </w:pPr>
            <w:r>
              <w:rPr>
                <w:rFonts w:ascii="Arial Narrow" w:hAnsi="Arial Narrow"/>
                <w:color w:val="000000"/>
                <w:sz w:val="20"/>
                <w:szCs w:val="20"/>
              </w:rPr>
              <w:t>41.266.670</w:t>
            </w:r>
          </w:p>
        </w:tc>
      </w:tr>
      <w:tr w:rsidR="006E4420" w:rsidRPr="00612D84" w:rsidTr="005C1B4F">
        <w:trPr>
          <w:trHeight w:val="284"/>
          <w:jc w:val="center"/>
        </w:trPr>
        <w:tc>
          <w:tcPr>
            <w:tcW w:w="2267" w:type="dxa"/>
            <w:tcBorders>
              <w:bottom w:val="single" w:sz="4" w:space="0" w:color="auto"/>
            </w:tcBorders>
            <w:vAlign w:val="center"/>
          </w:tcPr>
          <w:p w:rsidR="006E4420" w:rsidRPr="002B74DB" w:rsidRDefault="006E4420" w:rsidP="008A0851">
            <w:pPr>
              <w:widowControl/>
              <w:spacing w:after="0"/>
              <w:ind w:left="96" w:firstLine="0"/>
              <w:jc w:val="left"/>
              <w:rPr>
                <w:rFonts w:ascii="Arial Narrow" w:hAnsi="Arial Narrow"/>
                <w:color w:val="000000"/>
                <w:sz w:val="20"/>
                <w:szCs w:val="20"/>
              </w:rPr>
            </w:pPr>
            <w:r>
              <w:rPr>
                <w:rFonts w:ascii="Arial Narrow" w:hAnsi="Arial Narrow"/>
                <w:color w:val="000000"/>
                <w:sz w:val="20"/>
                <w:szCs w:val="20"/>
              </w:rPr>
              <w:t>2.a</w:t>
            </w:r>
          </w:p>
        </w:tc>
        <w:tc>
          <w:tcPr>
            <w:tcW w:w="1453" w:type="dxa"/>
            <w:tcBorders>
              <w:bottom w:val="single" w:sz="4" w:space="0" w:color="auto"/>
            </w:tcBorders>
            <w:vAlign w:val="center"/>
          </w:tcPr>
          <w:p w:rsidR="006E4420" w:rsidRPr="008E708D" w:rsidRDefault="006E4420" w:rsidP="008A0851">
            <w:pPr>
              <w:widowControl/>
              <w:spacing w:after="0"/>
              <w:ind w:firstLine="0"/>
              <w:jc w:val="right"/>
              <w:rPr>
                <w:rFonts w:ascii="Arial Narrow" w:hAnsi="Arial Narrow"/>
                <w:color w:val="000000"/>
                <w:sz w:val="20"/>
                <w:szCs w:val="20"/>
              </w:rPr>
            </w:pPr>
            <w:r>
              <w:rPr>
                <w:rFonts w:ascii="Arial Narrow" w:hAnsi="Arial Narrow"/>
                <w:color w:val="000000"/>
                <w:sz w:val="20"/>
                <w:szCs w:val="20"/>
              </w:rPr>
              <w:t>219.708</w:t>
            </w:r>
          </w:p>
        </w:tc>
        <w:tc>
          <w:tcPr>
            <w:tcW w:w="1512" w:type="dxa"/>
            <w:tcBorders>
              <w:bottom w:val="single" w:sz="4" w:space="0" w:color="auto"/>
            </w:tcBorders>
            <w:vAlign w:val="center"/>
          </w:tcPr>
          <w:p w:rsidR="006E4420" w:rsidRPr="008E708D" w:rsidRDefault="006E4420" w:rsidP="008A0851">
            <w:pPr>
              <w:widowControl/>
              <w:spacing w:after="0"/>
              <w:ind w:left="71" w:firstLine="0"/>
              <w:jc w:val="right"/>
              <w:rPr>
                <w:rFonts w:ascii="Arial Narrow" w:hAnsi="Arial Narrow"/>
                <w:color w:val="000000"/>
                <w:sz w:val="20"/>
                <w:szCs w:val="20"/>
              </w:rPr>
            </w:pPr>
            <w:r>
              <w:rPr>
                <w:rFonts w:ascii="Arial Narrow" w:hAnsi="Arial Narrow"/>
                <w:color w:val="000000"/>
                <w:sz w:val="20"/>
                <w:szCs w:val="20"/>
              </w:rPr>
              <w:t>59.212</w:t>
            </w:r>
          </w:p>
        </w:tc>
        <w:tc>
          <w:tcPr>
            <w:tcW w:w="1344" w:type="dxa"/>
            <w:tcBorders>
              <w:bottom w:val="single" w:sz="4" w:space="0" w:color="auto"/>
            </w:tcBorders>
            <w:vAlign w:val="center"/>
          </w:tcPr>
          <w:p w:rsidR="006E4420" w:rsidRPr="008E708D" w:rsidRDefault="006E4420" w:rsidP="008A0851">
            <w:pPr>
              <w:widowControl/>
              <w:spacing w:after="0"/>
              <w:ind w:firstLine="0"/>
              <w:jc w:val="right"/>
              <w:rPr>
                <w:rFonts w:ascii="Arial Narrow" w:hAnsi="Arial Narrow"/>
                <w:color w:val="000000"/>
                <w:sz w:val="20"/>
                <w:szCs w:val="20"/>
              </w:rPr>
            </w:pPr>
            <w:r>
              <w:rPr>
                <w:rFonts w:ascii="Arial Narrow" w:hAnsi="Arial Narrow"/>
                <w:color w:val="000000"/>
                <w:sz w:val="20"/>
                <w:szCs w:val="20"/>
              </w:rPr>
              <w:t>4.166</w:t>
            </w:r>
          </w:p>
        </w:tc>
        <w:tc>
          <w:tcPr>
            <w:tcW w:w="2261" w:type="dxa"/>
            <w:tcBorders>
              <w:bottom w:val="single" w:sz="4" w:space="0" w:color="auto"/>
            </w:tcBorders>
            <w:vAlign w:val="center"/>
          </w:tcPr>
          <w:p w:rsidR="006E4420" w:rsidRPr="007E1556" w:rsidRDefault="006E4420" w:rsidP="008A0851">
            <w:pPr>
              <w:widowControl/>
              <w:spacing w:after="0"/>
              <w:ind w:left="42" w:right="95" w:firstLine="0"/>
              <w:jc w:val="right"/>
              <w:rPr>
                <w:rFonts w:ascii="Arial Narrow" w:hAnsi="Arial Narrow"/>
                <w:color w:val="000000"/>
                <w:sz w:val="20"/>
                <w:szCs w:val="20"/>
              </w:rPr>
            </w:pPr>
            <w:r>
              <w:rPr>
                <w:rFonts w:ascii="Arial Narrow" w:hAnsi="Arial Narrow"/>
                <w:color w:val="000000"/>
                <w:sz w:val="20"/>
                <w:szCs w:val="20"/>
              </w:rPr>
              <w:t>18.610.340</w:t>
            </w:r>
          </w:p>
        </w:tc>
      </w:tr>
      <w:tr w:rsidR="006E4420" w:rsidRPr="00612D84" w:rsidTr="005C1B4F">
        <w:trPr>
          <w:trHeight w:val="284"/>
          <w:jc w:val="center"/>
        </w:trPr>
        <w:tc>
          <w:tcPr>
            <w:tcW w:w="2267"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left="96" w:firstLine="0"/>
              <w:jc w:val="left"/>
              <w:rPr>
                <w:rFonts w:ascii="Arial" w:hAnsi="Arial" w:cs="Arial"/>
                <w:color w:val="000000"/>
                <w:sz w:val="18"/>
                <w:szCs w:val="18"/>
              </w:rPr>
            </w:pPr>
            <w:r>
              <w:rPr>
                <w:rFonts w:ascii="Arial" w:hAnsi="Arial"/>
                <w:color w:val="000000"/>
                <w:sz w:val="18"/>
                <w:szCs w:val="18"/>
              </w:rPr>
              <w:t>Guztira</w:t>
            </w:r>
          </w:p>
        </w:tc>
        <w:tc>
          <w:tcPr>
            <w:tcW w:w="1453"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firstLine="0"/>
              <w:jc w:val="right"/>
              <w:rPr>
                <w:rFonts w:ascii="Arial" w:hAnsi="Arial" w:cs="Arial"/>
                <w:color w:val="000000"/>
                <w:sz w:val="18"/>
                <w:szCs w:val="18"/>
              </w:rPr>
            </w:pPr>
            <w:r>
              <w:rPr>
                <w:rFonts w:ascii="Arial" w:hAnsi="Arial"/>
                <w:color w:val="000000"/>
                <w:sz w:val="18"/>
                <w:szCs w:val="18"/>
              </w:rPr>
              <w:t>608.363</w:t>
            </w:r>
          </w:p>
        </w:tc>
        <w:tc>
          <w:tcPr>
            <w:tcW w:w="1512"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left="71" w:firstLine="0"/>
              <w:jc w:val="right"/>
              <w:rPr>
                <w:rFonts w:ascii="Arial" w:hAnsi="Arial" w:cs="Arial"/>
                <w:color w:val="000000"/>
                <w:sz w:val="18"/>
                <w:szCs w:val="18"/>
              </w:rPr>
            </w:pPr>
            <w:r>
              <w:rPr>
                <w:rFonts w:ascii="Arial" w:hAnsi="Arial"/>
                <w:color w:val="000000"/>
                <w:sz w:val="18"/>
                <w:szCs w:val="18"/>
              </w:rPr>
              <w:t>133.384</w:t>
            </w:r>
          </w:p>
        </w:tc>
        <w:tc>
          <w:tcPr>
            <w:tcW w:w="1344"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firstLine="0"/>
              <w:jc w:val="right"/>
              <w:rPr>
                <w:rFonts w:ascii="Arial" w:hAnsi="Arial" w:cs="Arial"/>
                <w:color w:val="000000"/>
                <w:sz w:val="18"/>
                <w:szCs w:val="18"/>
              </w:rPr>
            </w:pPr>
            <w:r>
              <w:rPr>
                <w:rFonts w:ascii="Arial" w:hAnsi="Arial"/>
                <w:color w:val="000000"/>
                <w:sz w:val="18"/>
                <w:szCs w:val="18"/>
              </w:rPr>
              <w:t>23.867</w:t>
            </w:r>
          </w:p>
        </w:tc>
        <w:tc>
          <w:tcPr>
            <w:tcW w:w="2261" w:type="dxa"/>
            <w:tcBorders>
              <w:top w:val="single" w:sz="4" w:space="0" w:color="auto"/>
              <w:bottom w:val="single" w:sz="4" w:space="0" w:color="auto"/>
            </w:tcBorders>
            <w:shd w:val="clear" w:color="auto" w:fill="B8CCE4" w:themeFill="accent1" w:themeFillTint="66"/>
            <w:vAlign w:val="center"/>
          </w:tcPr>
          <w:p w:rsidR="006E4420" w:rsidRPr="005B3CA8" w:rsidRDefault="006E4420" w:rsidP="008A0851">
            <w:pPr>
              <w:spacing w:after="0"/>
              <w:ind w:left="42" w:right="95" w:firstLine="0"/>
              <w:jc w:val="right"/>
              <w:rPr>
                <w:rFonts w:ascii="Arial" w:hAnsi="Arial" w:cs="Arial"/>
                <w:color w:val="000000"/>
                <w:sz w:val="18"/>
                <w:szCs w:val="18"/>
              </w:rPr>
            </w:pPr>
            <w:r>
              <w:rPr>
                <w:rFonts w:ascii="Arial" w:hAnsi="Arial"/>
                <w:color w:val="000000"/>
                <w:sz w:val="18"/>
                <w:szCs w:val="18"/>
              </w:rPr>
              <w:t>59.877.010</w:t>
            </w:r>
          </w:p>
        </w:tc>
      </w:tr>
    </w:tbl>
    <w:p w:rsidR="006E4420" w:rsidRDefault="006E4420" w:rsidP="008A0851">
      <w:pPr>
        <w:pStyle w:val="texto"/>
        <w:tabs>
          <w:tab w:val="clear" w:pos="2835"/>
          <w:tab w:val="clear" w:pos="3969"/>
          <w:tab w:val="clear" w:pos="5103"/>
          <w:tab w:val="clear" w:pos="6237"/>
          <w:tab w:val="clear" w:pos="7371"/>
        </w:tabs>
        <w:spacing w:after="0"/>
        <w:rPr>
          <w:szCs w:val="26"/>
        </w:rPr>
      </w:pPr>
    </w:p>
    <w:p w:rsidR="006E4420" w:rsidRDefault="006E4420" w:rsidP="006E4420">
      <w:pPr>
        <w:pStyle w:val="texto"/>
        <w:tabs>
          <w:tab w:val="clear" w:pos="2835"/>
          <w:tab w:val="clear" w:pos="3969"/>
          <w:tab w:val="clear" w:pos="5103"/>
          <w:tab w:val="clear" w:pos="6237"/>
          <w:tab w:val="clear" w:pos="7371"/>
        </w:tabs>
        <w:rPr>
          <w:szCs w:val="26"/>
        </w:rPr>
      </w:pPr>
      <w:r>
        <w:t>Urbanizazio-lanak, zehazki, 15,40 eta 5,02 milioi eurokoak izan ziren, h</w:t>
      </w:r>
      <w:r>
        <w:t>u</w:t>
      </w:r>
      <w:r>
        <w:t>rrenez hurren; eraikuntza-lanak, berriz, 25,87 eta 13,59 milioi eurokoak, hurr</w:t>
      </w:r>
      <w:r>
        <w:t>e</w:t>
      </w:r>
      <w:r>
        <w:t xml:space="preserve">nez hurren. </w:t>
      </w:r>
    </w:p>
    <w:p w:rsidR="000E5A01" w:rsidRDefault="000E5A01" w:rsidP="006E4420">
      <w:pPr>
        <w:pStyle w:val="texto"/>
        <w:tabs>
          <w:tab w:val="clear" w:pos="2835"/>
          <w:tab w:val="clear" w:pos="3969"/>
          <w:tab w:val="clear" w:pos="5103"/>
          <w:tab w:val="clear" w:pos="6237"/>
          <w:tab w:val="clear" w:pos="7371"/>
        </w:tabs>
        <w:rPr>
          <w:szCs w:val="26"/>
        </w:rPr>
      </w:pPr>
    </w:p>
    <w:p w:rsidR="000E5A01" w:rsidRDefault="000E5A01" w:rsidP="006E4420">
      <w:pPr>
        <w:pStyle w:val="texto"/>
        <w:tabs>
          <w:tab w:val="clear" w:pos="2835"/>
          <w:tab w:val="clear" w:pos="3969"/>
          <w:tab w:val="clear" w:pos="5103"/>
          <w:tab w:val="clear" w:pos="6237"/>
          <w:tab w:val="clear" w:pos="7371"/>
        </w:tabs>
        <w:rPr>
          <w:szCs w:val="26"/>
        </w:rPr>
      </w:pPr>
    </w:p>
    <w:p w:rsidR="006E4420" w:rsidRDefault="00B56BB6" w:rsidP="006E4420">
      <w:pPr>
        <w:pStyle w:val="texto"/>
        <w:tabs>
          <w:tab w:val="clear" w:pos="2835"/>
          <w:tab w:val="clear" w:pos="3969"/>
          <w:tab w:val="clear" w:pos="5103"/>
          <w:tab w:val="clear" w:pos="6237"/>
          <w:tab w:val="clear" w:pos="7371"/>
        </w:tabs>
      </w:pPr>
      <w:r>
        <w:rPr>
          <w:b/>
        </w:rPr>
        <w:t>Berrogeita batgarrena.</w:t>
      </w:r>
      <w:r>
        <w:t xml:space="preserve"> 2. fasearen kontratazio-prozesuari dagokionez, h</w:t>
      </w:r>
      <w:r>
        <w:t>o</w:t>
      </w:r>
      <w:r>
        <w:t>nako hau esan behar dugu:</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CTP SA sozietate publikoak 2005eko martxoan lehiaketa baterako deia egin zuen GHaren 3. faseko urbanizazio-, merkaturatze- eta ustiatze-lanak a</w:t>
      </w:r>
      <w:r>
        <w:t>d</w:t>
      </w:r>
      <w:r>
        <w:t xml:space="preserve">judikatzeko; bilkura horretan, halaber, haren oinarri arautzaileak onetsi ziren. </w:t>
      </w:r>
    </w:p>
    <w:p w:rsidR="00BE57C3" w:rsidRDefault="006E4420" w:rsidP="00753BDC">
      <w:pPr>
        <w:pStyle w:val="texto"/>
        <w:tabs>
          <w:tab w:val="clear" w:pos="2835"/>
          <w:tab w:val="clear" w:pos="3969"/>
          <w:tab w:val="clear" w:pos="5103"/>
          <w:tab w:val="clear" w:pos="6237"/>
          <w:tab w:val="clear" w:pos="7371"/>
        </w:tabs>
        <w:rPr>
          <w:szCs w:val="26"/>
        </w:rPr>
      </w:pPr>
      <w:r>
        <w:t>Kontratu horren lizitazioaren eta izapidetzearen unean aplikatzekoa den araudia ekainaren 16ko 10/1998 Foru Legea da, Nafarroako Administrazio P</w:t>
      </w:r>
      <w:r>
        <w:t>u</w:t>
      </w:r>
      <w:r>
        <w:t xml:space="preserve">blikoen kontratuei buruzkoa. Zehazki, honako hau dio 1.4 artikuluak: </w:t>
      </w:r>
    </w:p>
    <w:p w:rsidR="006E4420" w:rsidRPr="00BD3E37" w:rsidRDefault="006E4420" w:rsidP="00753BDC">
      <w:pPr>
        <w:pStyle w:val="texto"/>
        <w:tabs>
          <w:tab w:val="clear" w:pos="2835"/>
          <w:tab w:val="clear" w:pos="3969"/>
          <w:tab w:val="clear" w:pos="5103"/>
          <w:tab w:val="clear" w:pos="6237"/>
          <w:tab w:val="clear" w:pos="7371"/>
        </w:tabs>
        <w:rPr>
          <w:szCs w:val="26"/>
        </w:rPr>
      </w:pPr>
      <w:r>
        <w:rPr>
          <w:i/>
          <w:sz w:val="22"/>
          <w:szCs w:val="22"/>
        </w:rPr>
        <w:t>“Administrazio batek zuzenean zein zeharka merkataritza sozietate bateko kapitalaren gehiengoan parte hartzen baldin badu, merkataritza sozietate hori kontratuak sinatzean p</w:t>
      </w:r>
      <w:r>
        <w:rPr>
          <w:i/>
          <w:sz w:val="22"/>
          <w:szCs w:val="22"/>
        </w:rPr>
        <w:t>u</w:t>
      </w:r>
      <w:r>
        <w:rPr>
          <w:i/>
          <w:sz w:val="22"/>
          <w:szCs w:val="22"/>
        </w:rPr>
        <w:t>blikotasun, konkurrentzia, gardentasun eta objektibotasun printzipioei egokitu beharko zaie, egin beharreko eragiketaren izaera printzipio horiekin bateraezina denean izan ezik”.</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Lehiaketaren prestaketa aholkularitza-enpresa bati enkargatu zion CTP SA sozietateak; enpresa haren lanak honako hauek dira, funtsean: oinarrien plegua prestatzea, lehiaketara aurkezteko balizko izangaien hautaketa egitea eta pro</w:t>
      </w:r>
      <w:r>
        <w:t>i</w:t>
      </w:r>
      <w:r>
        <w:t>ektuaren prestaketa publikoa.</w:t>
      </w:r>
    </w:p>
    <w:p w:rsidR="006E4420" w:rsidRPr="00E708C7"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Kontratazio-organo gisa, CTP SAren administrazio-kontseiluak jardunen du, eta hark izendatutako mahaikideak dituen kontratazio-mahaia eratuko da.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Kontraturako zenbatetsi den balioa. Oinarriekin batera ez da ageri kontr</w:t>
      </w:r>
      <w:r>
        <w:t>a</w:t>
      </w:r>
      <w:r>
        <w:t>tuaren balio zenbatetsirik, GHaren ustiaketarekin lortzea espero den negozio-bolumenari buruzkorik. Halaber, aurreikusten da adjudikazio-hartzaileak 15 milioi euroko gutxieneko kanon bat ordaindu beharko duela, eta hori urtean b</w:t>
      </w:r>
      <w:r>
        <w:t>e</w:t>
      </w:r>
      <w:r>
        <w:t xml:space="preserve">hin sortuko dela, 10 urtez.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Epea. Obren exekuziorako hainbat epe partzial aurreikusten dira. Halaber, aipatzen da azalera-eskubideak 15 urteko indarraldia duela, urbanizazio-proiektua onesten den unetik hasita.</w:t>
      </w:r>
    </w:p>
    <w:p w:rsidR="00DD2BAD" w:rsidRDefault="006E4420" w:rsidP="00D62876">
      <w:pPr>
        <w:pStyle w:val="texto"/>
        <w:numPr>
          <w:ilvl w:val="0"/>
          <w:numId w:val="1"/>
        </w:numPr>
        <w:tabs>
          <w:tab w:val="clear" w:pos="502"/>
          <w:tab w:val="clear" w:pos="2835"/>
          <w:tab w:val="clear" w:pos="3969"/>
          <w:tab w:val="clear" w:pos="5103"/>
          <w:tab w:val="clear" w:pos="6237"/>
          <w:tab w:val="clear" w:pos="7371"/>
          <w:tab w:val="left" w:pos="480"/>
          <w:tab w:val="num" w:pos="600"/>
        </w:tabs>
        <w:spacing w:after="240"/>
        <w:ind w:left="0" w:firstLine="289"/>
      </w:pPr>
      <w:r>
        <w:t>Adjudikazio-prozedura eta -sistema: irekia, lehiaketa bidez eta oinarrietan islatutako honako balorazio-irizpide hauek aplikatuz:</w:t>
      </w:r>
    </w:p>
    <w:tbl>
      <w:tblPr>
        <w:tblW w:w="8667" w:type="dxa"/>
        <w:jc w:val="center"/>
        <w:tblCellMar>
          <w:left w:w="70" w:type="dxa"/>
          <w:right w:w="70" w:type="dxa"/>
        </w:tblCellMar>
        <w:tblLook w:val="04A0" w:firstRow="1" w:lastRow="0" w:firstColumn="1" w:lastColumn="0" w:noHBand="0" w:noVBand="1"/>
      </w:tblPr>
      <w:tblGrid>
        <w:gridCol w:w="6713"/>
        <w:gridCol w:w="1954"/>
      </w:tblGrid>
      <w:tr w:rsidR="00DD2BAD" w:rsidRPr="000A2B37" w:rsidTr="004D22FC">
        <w:trPr>
          <w:trHeight w:val="284"/>
          <w:jc w:val="center"/>
        </w:trPr>
        <w:tc>
          <w:tcPr>
            <w:tcW w:w="6713" w:type="dxa"/>
            <w:tcBorders>
              <w:top w:val="single" w:sz="4" w:space="0" w:color="auto"/>
              <w:bottom w:val="single" w:sz="4" w:space="0" w:color="auto"/>
            </w:tcBorders>
            <w:shd w:val="clear" w:color="auto" w:fill="B8CCE4" w:themeFill="accent1" w:themeFillTint="66"/>
            <w:noWrap/>
            <w:vAlign w:val="center"/>
          </w:tcPr>
          <w:p w:rsidR="00DD2BAD" w:rsidRPr="000A2B37" w:rsidRDefault="00DD2BAD" w:rsidP="00DD2BAD">
            <w:pPr>
              <w:widowControl w:val="0"/>
              <w:spacing w:after="0"/>
              <w:ind w:firstLine="0"/>
              <w:rPr>
                <w:rFonts w:ascii="Arial" w:hAnsi="Arial" w:cs="Arial"/>
                <w:color w:val="000000"/>
                <w:sz w:val="18"/>
                <w:szCs w:val="18"/>
              </w:rPr>
            </w:pPr>
            <w:r>
              <w:rPr>
                <w:rFonts w:ascii="Arial" w:hAnsi="Arial"/>
                <w:color w:val="000000"/>
                <w:sz w:val="18"/>
                <w:szCs w:val="18"/>
              </w:rPr>
              <w:t>Balorazio-irizpideak</w:t>
            </w:r>
          </w:p>
        </w:tc>
        <w:tc>
          <w:tcPr>
            <w:tcW w:w="1954" w:type="dxa"/>
            <w:tcBorders>
              <w:top w:val="single" w:sz="4" w:space="0" w:color="auto"/>
              <w:bottom w:val="single" w:sz="4" w:space="0" w:color="auto"/>
            </w:tcBorders>
            <w:shd w:val="clear" w:color="auto" w:fill="B8CCE4" w:themeFill="accent1" w:themeFillTint="66"/>
            <w:vAlign w:val="center"/>
          </w:tcPr>
          <w:p w:rsidR="00DD2BAD" w:rsidRPr="000A2B37" w:rsidRDefault="00DD2BAD" w:rsidP="004D22FC">
            <w:pPr>
              <w:widowControl w:val="0"/>
              <w:spacing w:after="0"/>
              <w:ind w:left="284" w:firstLine="0"/>
              <w:jc w:val="right"/>
              <w:rPr>
                <w:rFonts w:ascii="Arial" w:hAnsi="Arial" w:cs="Arial"/>
                <w:color w:val="000000"/>
                <w:sz w:val="18"/>
                <w:szCs w:val="18"/>
              </w:rPr>
            </w:pPr>
            <w:r>
              <w:rPr>
                <w:rFonts w:ascii="Arial" w:hAnsi="Arial"/>
                <w:color w:val="000000"/>
                <w:sz w:val="18"/>
                <w:szCs w:val="18"/>
              </w:rPr>
              <w:t>Ehunekoa</w:t>
            </w:r>
          </w:p>
        </w:tc>
      </w:tr>
      <w:tr w:rsidR="00DD2BAD" w:rsidRPr="000A2B37" w:rsidTr="004D22FC">
        <w:trPr>
          <w:trHeight w:val="284"/>
          <w:jc w:val="center"/>
        </w:trPr>
        <w:tc>
          <w:tcPr>
            <w:tcW w:w="6713" w:type="dxa"/>
            <w:tcBorders>
              <w:top w:val="single" w:sz="4" w:space="0" w:color="auto"/>
              <w:bottom w:val="single" w:sz="2" w:space="0" w:color="auto"/>
            </w:tcBorders>
            <w:shd w:val="clear" w:color="auto" w:fill="auto"/>
            <w:noWrap/>
            <w:vAlign w:val="center"/>
          </w:tcPr>
          <w:p w:rsidR="00DD2BAD" w:rsidRPr="000A2B37" w:rsidRDefault="00DD2BAD" w:rsidP="004D22FC">
            <w:pPr>
              <w:spacing w:after="0"/>
              <w:ind w:firstLine="0"/>
              <w:rPr>
                <w:rFonts w:ascii="Arial Narrow" w:hAnsi="Arial Narrow"/>
                <w:color w:val="000000"/>
              </w:rPr>
            </w:pPr>
            <w:r>
              <w:rPr>
                <w:rFonts w:ascii="Arial Narrow" w:hAnsi="Arial Narrow"/>
                <w:color w:val="000000"/>
              </w:rPr>
              <w:t>Ekonomikoak</w:t>
            </w:r>
          </w:p>
        </w:tc>
        <w:tc>
          <w:tcPr>
            <w:tcW w:w="1954" w:type="dxa"/>
            <w:tcBorders>
              <w:top w:val="single" w:sz="4" w:space="0" w:color="auto"/>
              <w:bottom w:val="single" w:sz="2" w:space="0" w:color="auto"/>
            </w:tcBorders>
            <w:shd w:val="clear" w:color="auto" w:fill="auto"/>
            <w:noWrap/>
            <w:vAlign w:val="center"/>
          </w:tcPr>
          <w:p w:rsidR="00DD2BAD" w:rsidRPr="000A2B37" w:rsidRDefault="00DD2BAD" w:rsidP="004D22FC">
            <w:pPr>
              <w:spacing w:after="0"/>
              <w:ind w:left="56" w:firstLine="0"/>
              <w:jc w:val="right"/>
              <w:rPr>
                <w:rFonts w:ascii="Arial Narrow" w:hAnsi="Arial Narrow"/>
                <w:color w:val="000000"/>
              </w:rPr>
            </w:pPr>
            <w:r>
              <w:rPr>
                <w:rFonts w:ascii="Arial Narrow" w:hAnsi="Arial Narrow"/>
                <w:color w:val="000000"/>
              </w:rPr>
              <w:t>40</w:t>
            </w:r>
          </w:p>
        </w:tc>
      </w:tr>
      <w:tr w:rsidR="00DD2BAD" w:rsidRPr="000A2B37" w:rsidTr="004D22FC">
        <w:trPr>
          <w:trHeight w:val="284"/>
          <w:jc w:val="center"/>
        </w:trPr>
        <w:tc>
          <w:tcPr>
            <w:tcW w:w="6713" w:type="dxa"/>
            <w:tcBorders>
              <w:top w:val="single" w:sz="2" w:space="0" w:color="auto"/>
              <w:bottom w:val="single" w:sz="2" w:space="0" w:color="auto"/>
            </w:tcBorders>
            <w:shd w:val="clear" w:color="auto" w:fill="auto"/>
            <w:noWrap/>
            <w:vAlign w:val="center"/>
          </w:tcPr>
          <w:p w:rsidR="00DD2BAD" w:rsidRPr="000A2B37" w:rsidRDefault="00DD2BAD" w:rsidP="004D22FC">
            <w:pPr>
              <w:spacing w:after="0"/>
              <w:ind w:firstLine="0"/>
              <w:rPr>
                <w:rFonts w:ascii="Arial Narrow" w:hAnsi="Arial Narrow"/>
                <w:color w:val="000000"/>
              </w:rPr>
            </w:pPr>
            <w:r>
              <w:rPr>
                <w:rFonts w:ascii="Arial Narrow" w:hAnsi="Arial Narrow"/>
                <w:color w:val="000000"/>
              </w:rPr>
              <w:t>Eskaintzaileari dagozkionak</w:t>
            </w:r>
          </w:p>
        </w:tc>
        <w:tc>
          <w:tcPr>
            <w:tcW w:w="1954" w:type="dxa"/>
            <w:tcBorders>
              <w:top w:val="single" w:sz="2" w:space="0" w:color="auto"/>
              <w:bottom w:val="single" w:sz="2" w:space="0" w:color="auto"/>
            </w:tcBorders>
            <w:shd w:val="clear" w:color="auto" w:fill="auto"/>
            <w:noWrap/>
            <w:vAlign w:val="center"/>
          </w:tcPr>
          <w:p w:rsidR="00DD2BAD" w:rsidRPr="000A2B37" w:rsidRDefault="00DD2BAD" w:rsidP="004D22FC">
            <w:pPr>
              <w:spacing w:after="0"/>
              <w:ind w:left="56" w:firstLine="0"/>
              <w:jc w:val="right"/>
              <w:rPr>
                <w:rFonts w:ascii="Arial Narrow" w:hAnsi="Arial Narrow"/>
                <w:color w:val="000000"/>
              </w:rPr>
            </w:pPr>
            <w:r>
              <w:rPr>
                <w:rFonts w:ascii="Arial Narrow" w:hAnsi="Arial Narrow"/>
                <w:color w:val="000000"/>
              </w:rPr>
              <w:t>10</w:t>
            </w:r>
          </w:p>
        </w:tc>
      </w:tr>
      <w:tr w:rsidR="00DD2BAD" w:rsidRPr="000A2B37" w:rsidTr="004D22FC">
        <w:trPr>
          <w:trHeight w:val="284"/>
          <w:jc w:val="center"/>
        </w:trPr>
        <w:tc>
          <w:tcPr>
            <w:tcW w:w="6713" w:type="dxa"/>
            <w:tcBorders>
              <w:top w:val="single" w:sz="2" w:space="0" w:color="auto"/>
              <w:bottom w:val="single" w:sz="2" w:space="0" w:color="auto"/>
            </w:tcBorders>
            <w:shd w:val="clear" w:color="auto" w:fill="auto"/>
            <w:noWrap/>
            <w:vAlign w:val="center"/>
          </w:tcPr>
          <w:p w:rsidR="00DD2BAD" w:rsidRPr="000A2B37" w:rsidRDefault="00DD2BAD" w:rsidP="004D22FC">
            <w:pPr>
              <w:spacing w:after="0"/>
              <w:ind w:firstLine="0"/>
              <w:rPr>
                <w:rFonts w:ascii="Arial Narrow" w:hAnsi="Arial Narrow"/>
                <w:color w:val="000000"/>
              </w:rPr>
            </w:pPr>
            <w:r>
              <w:rPr>
                <w:rFonts w:ascii="Arial Narrow" w:hAnsi="Arial Narrow"/>
                <w:color w:val="000000"/>
              </w:rPr>
              <w:t>Negozio-planari dagozkionak</w:t>
            </w:r>
          </w:p>
        </w:tc>
        <w:tc>
          <w:tcPr>
            <w:tcW w:w="1954" w:type="dxa"/>
            <w:tcBorders>
              <w:top w:val="single" w:sz="2" w:space="0" w:color="auto"/>
              <w:bottom w:val="single" w:sz="2" w:space="0" w:color="auto"/>
            </w:tcBorders>
            <w:shd w:val="clear" w:color="auto" w:fill="auto"/>
            <w:noWrap/>
            <w:vAlign w:val="center"/>
          </w:tcPr>
          <w:p w:rsidR="00DD2BAD" w:rsidRPr="000A2B37" w:rsidRDefault="00DD2BAD" w:rsidP="004D22FC">
            <w:pPr>
              <w:spacing w:after="0"/>
              <w:ind w:left="56" w:firstLine="0"/>
              <w:jc w:val="right"/>
              <w:rPr>
                <w:rFonts w:ascii="Arial Narrow" w:hAnsi="Arial Narrow"/>
                <w:color w:val="000000"/>
              </w:rPr>
            </w:pPr>
            <w:r>
              <w:rPr>
                <w:rFonts w:ascii="Arial Narrow" w:hAnsi="Arial Narrow"/>
                <w:color w:val="000000"/>
              </w:rPr>
              <w:t>10</w:t>
            </w:r>
          </w:p>
        </w:tc>
      </w:tr>
      <w:tr w:rsidR="00DD2BAD" w:rsidRPr="000A2B37" w:rsidTr="004D22FC">
        <w:trPr>
          <w:trHeight w:val="284"/>
          <w:jc w:val="center"/>
        </w:trPr>
        <w:tc>
          <w:tcPr>
            <w:tcW w:w="6713" w:type="dxa"/>
            <w:tcBorders>
              <w:top w:val="single" w:sz="2" w:space="0" w:color="auto"/>
              <w:bottom w:val="single" w:sz="4" w:space="0" w:color="auto"/>
            </w:tcBorders>
            <w:shd w:val="clear" w:color="auto" w:fill="auto"/>
            <w:noWrap/>
            <w:vAlign w:val="center"/>
          </w:tcPr>
          <w:p w:rsidR="00DD2BAD" w:rsidRPr="000A2B37" w:rsidRDefault="00DD2BAD" w:rsidP="004D22FC">
            <w:pPr>
              <w:spacing w:after="0"/>
              <w:ind w:firstLine="0"/>
              <w:rPr>
                <w:rFonts w:ascii="Arial Narrow" w:hAnsi="Arial Narrow"/>
                <w:color w:val="000000"/>
              </w:rPr>
            </w:pPr>
            <w:r>
              <w:rPr>
                <w:rFonts w:ascii="Arial Narrow" w:hAnsi="Arial Narrow"/>
                <w:color w:val="000000"/>
              </w:rPr>
              <w:lastRenderedPageBreak/>
              <w:t>Teknikariak</w:t>
            </w:r>
          </w:p>
        </w:tc>
        <w:tc>
          <w:tcPr>
            <w:tcW w:w="1954" w:type="dxa"/>
            <w:tcBorders>
              <w:top w:val="single" w:sz="2" w:space="0" w:color="auto"/>
              <w:bottom w:val="single" w:sz="4" w:space="0" w:color="auto"/>
            </w:tcBorders>
            <w:shd w:val="clear" w:color="auto" w:fill="auto"/>
            <w:noWrap/>
            <w:vAlign w:val="center"/>
          </w:tcPr>
          <w:p w:rsidR="00DD2BAD" w:rsidRPr="000A2B37" w:rsidRDefault="00DD2BAD" w:rsidP="004D22FC">
            <w:pPr>
              <w:spacing w:after="0"/>
              <w:ind w:left="56" w:firstLine="0"/>
              <w:jc w:val="right"/>
              <w:rPr>
                <w:rFonts w:ascii="Arial Narrow" w:hAnsi="Arial Narrow"/>
                <w:color w:val="000000"/>
              </w:rPr>
            </w:pPr>
            <w:r>
              <w:rPr>
                <w:rFonts w:ascii="Arial Narrow" w:hAnsi="Arial Narrow"/>
                <w:color w:val="000000"/>
              </w:rPr>
              <w:t>40</w:t>
            </w:r>
          </w:p>
        </w:tc>
      </w:tr>
      <w:tr w:rsidR="00DD2BAD" w:rsidRPr="000A2B37" w:rsidTr="004D22FC">
        <w:trPr>
          <w:trHeight w:val="284"/>
          <w:jc w:val="center"/>
        </w:trPr>
        <w:tc>
          <w:tcPr>
            <w:tcW w:w="6713" w:type="dxa"/>
            <w:tcBorders>
              <w:top w:val="single" w:sz="4" w:space="0" w:color="auto"/>
              <w:bottom w:val="single" w:sz="4" w:space="0" w:color="auto"/>
            </w:tcBorders>
            <w:shd w:val="clear" w:color="auto" w:fill="B8CCE4" w:themeFill="accent1" w:themeFillTint="66"/>
            <w:noWrap/>
            <w:vAlign w:val="center"/>
          </w:tcPr>
          <w:p w:rsidR="00DD2BAD" w:rsidRPr="000A2B37" w:rsidRDefault="00DD2BAD" w:rsidP="004D22FC">
            <w:pPr>
              <w:widowControl w:val="0"/>
              <w:spacing w:after="0"/>
              <w:ind w:firstLine="0"/>
              <w:rPr>
                <w:rFonts w:ascii="Arial" w:hAnsi="Arial" w:cs="Arial"/>
                <w:color w:val="000000"/>
                <w:sz w:val="18"/>
                <w:szCs w:val="18"/>
              </w:rPr>
            </w:pPr>
            <w:r>
              <w:rPr>
                <w:rFonts w:ascii="Arial" w:hAnsi="Arial"/>
                <w:color w:val="000000"/>
                <w:sz w:val="18"/>
                <w:szCs w:val="18"/>
              </w:rPr>
              <w:t>Guztira</w:t>
            </w:r>
          </w:p>
        </w:tc>
        <w:tc>
          <w:tcPr>
            <w:tcW w:w="1954" w:type="dxa"/>
            <w:tcBorders>
              <w:top w:val="single" w:sz="4" w:space="0" w:color="auto"/>
              <w:bottom w:val="single" w:sz="4" w:space="0" w:color="auto"/>
            </w:tcBorders>
            <w:shd w:val="clear" w:color="auto" w:fill="B8CCE4" w:themeFill="accent1" w:themeFillTint="66"/>
            <w:noWrap/>
            <w:vAlign w:val="center"/>
          </w:tcPr>
          <w:p w:rsidR="00DD2BAD" w:rsidRPr="000A2B37" w:rsidRDefault="00DD2BAD" w:rsidP="00BE57C3">
            <w:pPr>
              <w:widowControl w:val="0"/>
              <w:spacing w:after="0"/>
              <w:ind w:left="284" w:firstLine="0"/>
              <w:jc w:val="right"/>
              <w:rPr>
                <w:rFonts w:ascii="Arial" w:hAnsi="Arial" w:cs="Arial"/>
                <w:color w:val="000000"/>
                <w:sz w:val="18"/>
                <w:szCs w:val="18"/>
              </w:rPr>
            </w:pPr>
            <w:r>
              <w:rPr>
                <w:rFonts w:ascii="Arial" w:hAnsi="Arial"/>
                <w:color w:val="000000"/>
                <w:sz w:val="18"/>
                <w:szCs w:val="18"/>
              </w:rPr>
              <w:t>100</w:t>
            </w:r>
          </w:p>
        </w:tc>
      </w:tr>
    </w:tbl>
    <w:p w:rsidR="006E4420" w:rsidRDefault="006E4420" w:rsidP="00BE57C3">
      <w:pPr>
        <w:pStyle w:val="texto"/>
        <w:tabs>
          <w:tab w:val="clear" w:pos="2835"/>
          <w:tab w:val="clear" w:pos="3969"/>
          <w:tab w:val="clear" w:pos="5103"/>
          <w:tab w:val="clear" w:pos="6237"/>
          <w:tab w:val="clear" w:pos="7371"/>
        </w:tabs>
        <w:spacing w:after="0"/>
        <w:ind w:left="289" w:firstLine="0"/>
      </w:pPr>
    </w:p>
    <w:p w:rsidR="000E5A01" w:rsidRDefault="000E5A01" w:rsidP="00BE57C3">
      <w:pPr>
        <w:pStyle w:val="texto"/>
        <w:tabs>
          <w:tab w:val="clear" w:pos="2835"/>
          <w:tab w:val="clear" w:pos="3969"/>
          <w:tab w:val="clear" w:pos="5103"/>
          <w:tab w:val="clear" w:pos="6237"/>
          <w:tab w:val="clear" w:pos="7371"/>
        </w:tabs>
        <w:spacing w:after="0"/>
        <w:ind w:left="289" w:firstLine="0"/>
      </w:pPr>
    </w:p>
    <w:p w:rsidR="00D62876" w:rsidRPr="00730B74" w:rsidRDefault="006E4420" w:rsidP="00730B74">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Publizitatea. Nazioko eta erregioko prentsan argitaratzen da 2005eko ma</w:t>
      </w:r>
      <w:r>
        <w:t>r</w:t>
      </w:r>
      <w:r>
        <w:t>txoaren 11n. Iragarki horrek jasotzen du informazio-bilera bat eginen dela e</w:t>
      </w:r>
      <w:r>
        <w:t>n</w:t>
      </w:r>
      <w:r>
        <w:t xml:space="preserve">presa interesdunekin, 2005eko martxoaren 17an. Bilera horretara 19 enpresa joan ziren guztira. Iragarki horiek baino lehen, 2005eko urtarrilean, sustapen logistiko-industrial handien arloko zortzi enpresa garrantzitsuenei gonbita egin zitzaien, eta proiektuaren aurkezpena bai Madrilen, bai Iruñean egin zen.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Lehiaketa dela-eta aipatu beharreko beste alderdi batzuk:</w:t>
      </w:r>
    </w:p>
    <w:p w:rsidR="006E4420" w:rsidRPr="006A41AE" w:rsidRDefault="006E4420" w:rsidP="006E4420">
      <w:pPr>
        <w:pStyle w:val="texto"/>
        <w:tabs>
          <w:tab w:val="clear" w:pos="2835"/>
          <w:tab w:val="clear" w:pos="3969"/>
          <w:tab w:val="clear" w:pos="5103"/>
          <w:tab w:val="clear" w:pos="6237"/>
          <w:tab w:val="clear" w:pos="7371"/>
        </w:tabs>
        <w:rPr>
          <w:spacing w:val="2"/>
          <w:szCs w:val="26"/>
        </w:rPr>
      </w:pPr>
      <w:r>
        <w:t>a) Adjudikazio-hartzaileak zabalkuntzaren udalez gaindiko plan sektorialean aurreikusitako nabeen azalera guztiaren gutxienez ere ehuneko 20 errent</w:t>
      </w:r>
      <w:r>
        <w:t>a</w:t>
      </w:r>
      <w:r>
        <w:t>mendu-araubidean ustiatzeko betebeharra hartzen du.</w:t>
      </w:r>
    </w:p>
    <w:p w:rsidR="006E4420" w:rsidRPr="00E708C7" w:rsidRDefault="006E4420" w:rsidP="006E4420">
      <w:pPr>
        <w:pStyle w:val="texto"/>
        <w:tabs>
          <w:tab w:val="clear" w:pos="2835"/>
          <w:tab w:val="clear" w:pos="3969"/>
          <w:tab w:val="clear" w:pos="5103"/>
          <w:tab w:val="clear" w:pos="6237"/>
          <w:tab w:val="clear" w:pos="7371"/>
        </w:tabs>
        <w:rPr>
          <w:szCs w:val="26"/>
        </w:rPr>
      </w:pPr>
      <w:r>
        <w:t>b) Eskaintzak, halaber, 3. eta 4. faseetako sistema orokor komunen deskrib</w:t>
      </w:r>
      <w:r>
        <w:t>a</w:t>
      </w:r>
      <w:r>
        <w:t>pena eta kostua jaso beharko ditu (hornikuntza, saneamendua, energia, kom</w:t>
      </w:r>
      <w:r>
        <w:t>u</w:t>
      </w:r>
      <w:r>
        <w:t xml:space="preserve">nikazioak, segurtasuna, bide orokorrak). </w:t>
      </w:r>
    </w:p>
    <w:p w:rsidR="006E4420" w:rsidRDefault="006E4420" w:rsidP="006E4420">
      <w:pPr>
        <w:pStyle w:val="texto"/>
        <w:tabs>
          <w:tab w:val="clear" w:pos="2835"/>
          <w:tab w:val="clear" w:pos="3969"/>
          <w:tab w:val="clear" w:pos="5103"/>
          <w:tab w:val="clear" w:pos="6237"/>
          <w:tab w:val="clear" w:pos="7371"/>
        </w:tabs>
        <w:rPr>
          <w:szCs w:val="26"/>
        </w:rPr>
      </w:pPr>
      <w:r>
        <w:t>c) Lizitatzaileek beren eskaintzan ibilgailu astunetarako aparkaleku bat eraiki eta giltza eskura entregatzea jaso beharko dute (lehendik dagoenaren z</w:t>
      </w:r>
      <w:r>
        <w:t>a</w:t>
      </w:r>
      <w:r>
        <w:t>balkuntza).</w:t>
      </w:r>
    </w:p>
    <w:p w:rsidR="006E4420" w:rsidRDefault="006E4420" w:rsidP="006E4420">
      <w:pPr>
        <w:pStyle w:val="texto"/>
        <w:tabs>
          <w:tab w:val="clear" w:pos="2835"/>
          <w:tab w:val="clear" w:pos="3969"/>
          <w:tab w:val="clear" w:pos="5103"/>
          <w:tab w:val="clear" w:pos="6237"/>
          <w:tab w:val="clear" w:pos="7371"/>
        </w:tabs>
        <w:rPr>
          <w:szCs w:val="26"/>
        </w:rPr>
      </w:pPr>
      <w:r>
        <w:t>d) CTP SA berrerosteko konpromisoa. Azalera-eskubidearen iraupen-epea iraganda adjudikazio-hartzaileak besterendu gabeko ondasunak geratzen badira, CTP SA haiek erosteko aukeraz baliatu ahalko da adjudikazio-hartzaileak e</w:t>
      </w:r>
      <w:r>
        <w:t>s</w:t>
      </w:r>
      <w:r>
        <w:t xml:space="preserve">kainitako prezio gaurkotuen arabera.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Lehiaketara, azkenean, eskaintza bakarra aurkeztu zen; hain zuzen ere, GHaren 1. eta 2. faseetako obren adjudikazio-hartzailea izan zen aldi baterako enpresa-elkartearena.</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Kontratazio-mahaiak bi txosten tekniko eskatu zituen, aldi baterako e</w:t>
      </w:r>
      <w:r>
        <w:t>n</w:t>
      </w:r>
      <w:r>
        <w:t>presa-elkarteak aurkeztutako proposamena aztertzeko —hainbat aldaera edo hobekuntza jasotzen ditu—, eta txosten horietan ondorioztatzen da propos</w:t>
      </w:r>
      <w:r>
        <w:t>a</w:t>
      </w:r>
      <w:r>
        <w:t>mena zabalkuntzarako udalez gaindiko plan sektorialaren zehaztapenetatik a</w:t>
      </w:r>
      <w:r>
        <w:t>l</w:t>
      </w:r>
      <w:r>
        <w:t>dentzen dela; ez direla behar bezala justifikatzen 4. faseari egoztekoak zaizkion sistema orokorren kostuak; ez direla eransten finantza-entitateen konprom</w:t>
      </w:r>
      <w:r>
        <w:t>i</w:t>
      </w:r>
      <w:r>
        <w:t>soak; aldi baterako enpresa-elkarteak baliabideak hartzea bermatzen duten f</w:t>
      </w:r>
      <w:r>
        <w:t>i</w:t>
      </w:r>
      <w:r>
        <w:t>nantza-entitateen konpromisoak ez direla eransten, eta ontzat ematen dela CTP SA sozietateak besterendu gabeko ondasunen gaineko erosketa-aukeraz bali</w:t>
      </w:r>
      <w:r>
        <w:t>a</w:t>
      </w:r>
      <w:r>
        <w:t>tuko dela behin azalera-eskubidearen indarraldia amaituta.</w:t>
      </w:r>
    </w:p>
    <w:p w:rsidR="006E4420" w:rsidRDefault="006E4420" w:rsidP="006E4420">
      <w:pPr>
        <w:pStyle w:val="texto"/>
        <w:tabs>
          <w:tab w:val="clear" w:pos="2835"/>
          <w:tab w:val="clear" w:pos="3969"/>
          <w:tab w:val="clear" w:pos="5103"/>
          <w:tab w:val="clear" w:pos="6237"/>
          <w:tab w:val="clear" w:pos="7371"/>
        </w:tabs>
        <w:rPr>
          <w:szCs w:val="26"/>
        </w:rPr>
      </w:pPr>
      <w:r>
        <w:t>Eskaintza ekonomikoari dagokionez, 15 milioi euroko kanonaren zenbatekoa eta ordainketa oinarrien araberakoak dira; bestalde, CTP SAk egindako salme</w:t>
      </w:r>
      <w:r>
        <w:t>n</w:t>
      </w:r>
      <w:r>
        <w:t xml:space="preserve">tengatik jaso beharreko portzentajea ehuneko bitik 2,5era igotzen da. </w:t>
      </w:r>
    </w:p>
    <w:p w:rsidR="006E4420" w:rsidRDefault="006E4420" w:rsidP="006E4420">
      <w:pPr>
        <w:pStyle w:val="texto"/>
        <w:tabs>
          <w:tab w:val="clear" w:pos="2835"/>
          <w:tab w:val="clear" w:pos="3969"/>
          <w:tab w:val="clear" w:pos="5103"/>
          <w:tab w:val="clear" w:pos="6237"/>
          <w:tab w:val="clear" w:pos="7371"/>
        </w:tabs>
        <w:rPr>
          <w:szCs w:val="26"/>
        </w:rPr>
      </w:pPr>
      <w:r>
        <w:lastRenderedPageBreak/>
        <w:t>Dokumentazioan ez dago jasota aurkeztutako proposamenaren oinarrietan aurreikusitako balorazio-irizpideak egiazki aplikatu izana.</w:t>
      </w:r>
    </w:p>
    <w:p w:rsidR="00D62876" w:rsidRPr="00730B74" w:rsidRDefault="006E4420" w:rsidP="00730B74">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Kontratazio-mahaiak, 2005eko ekainaren 23an egindako bilkuran, erabaki zuen kontratazio-organoari aldi baterako enpresa-elkartearen aldeko “behin-behineko” adjudikazio-proposamen bat aurkeztea, eta behin betikorako, berriz, baldintza gisa ezartzea enpresa-elkarteak zenbait baldintza bete ditzala; horien artean dago zabalkuntzaren udalez gaindiko plan sektorialaren aldaketa baten erredakzioa, plan hori aurkeztutako proposamenari egokitzeko —aurkeztutako aldaerak onartzen baitira— eta 4. faseari egoztekoak zaizkion sistema orok</w:t>
      </w:r>
      <w:r>
        <w:t>o</w:t>
      </w:r>
      <w:r>
        <w:t>rren kostua justifikatzeko. 2005eko ekainaren 27an, CTP SAren administrazio-kontseiluak erabaki zuen aipatutako behin-behineko adjudikazioa egitea, behin betikorako baldintza gisa jarriz aurreko baldintzak onartzea eta betetzea.</w:t>
      </w:r>
    </w:p>
    <w:p w:rsidR="006E4420" w:rsidRPr="00F475C7"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2006ko otsailean, mahaiak behin betiko adjudikaziorako proposamena au</w:t>
      </w:r>
      <w:r>
        <w:t>r</w:t>
      </w:r>
      <w:r>
        <w:t xml:space="preserve">keztu zuen txosten baten bitartez. Hartan, egiaztatzen da bete egin direla behin-behineko adjudikazioan jasotako betebeharrak. CTP SAren administrazio-kontseiluaren 2006ko martxoaren 1eko bilkuran hartutako erabakiaren bidez, aipatutako lehiaketa aldi baterako enpresa-elkarteari adjudikatu zitzaion, eta kontratua 2006ko martxoaren 17an formalizatu zen. </w:t>
      </w:r>
    </w:p>
    <w:p w:rsidR="006E4420" w:rsidRPr="001A3BC9" w:rsidRDefault="006E4420" w:rsidP="00CA4D96">
      <w:pPr>
        <w:pStyle w:val="texto"/>
        <w:tabs>
          <w:tab w:val="clear" w:pos="2835"/>
          <w:tab w:val="clear" w:pos="3969"/>
          <w:tab w:val="clear" w:pos="5103"/>
          <w:tab w:val="clear" w:pos="6237"/>
          <w:tab w:val="clear" w:pos="7371"/>
        </w:tabs>
        <w:rPr>
          <w:szCs w:val="26"/>
        </w:rPr>
      </w:pPr>
      <w:r>
        <w:t>Horrenbestez, kontratazio-prozedura publizitate-printzipioaren araberakoa izan da, bai eta aplikatzekoak diren gainerako oinarrizko printzipioen araber</w:t>
      </w:r>
      <w:r>
        <w:t>a</w:t>
      </w:r>
      <w:r>
        <w:t>koa ere. Gainera, une horretan enpresa publikoetan kudeatutako prozesuetan exigitzekoak ez diren izapide edo prozedurak aplikatu ziren: kontratazio-mahaiak, txosten teknikoak eta abar.</w:t>
      </w:r>
    </w:p>
    <w:p w:rsidR="006E4420" w:rsidRPr="00BF2CC0" w:rsidRDefault="006E4420" w:rsidP="006E4420">
      <w:pPr>
        <w:pStyle w:val="texto"/>
        <w:tabs>
          <w:tab w:val="clear" w:pos="2835"/>
          <w:tab w:val="clear" w:pos="3969"/>
          <w:tab w:val="clear" w:pos="5103"/>
          <w:tab w:val="clear" w:pos="6237"/>
          <w:tab w:val="clear" w:pos="7371"/>
        </w:tabs>
        <w:rPr>
          <w:szCs w:val="26"/>
        </w:rPr>
      </w:pPr>
      <w:r>
        <w:rPr>
          <w:b/>
          <w:szCs w:val="26"/>
        </w:rPr>
        <w:t>Berrogeita bigarrena.</w:t>
      </w:r>
      <w:r>
        <w:t xml:space="preserve"> 3. faserako sinatutako kontratuari buruz, honako a</w:t>
      </w:r>
      <w:r>
        <w:t>l</w:t>
      </w:r>
      <w:r>
        <w:t>derdi hauek aipatu behar ditugu:</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CTP SA sozietateak aldi baterako enpresa-elkartearen aldeko azalera-eskubide bat eratu zuen, 2021ko abenduaren 15era arteko indarraldiarekin.</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Aldi baterako enpresa-elkarteak CTP SAri 15 milioi euroko kanon bat o</w:t>
      </w:r>
      <w:r>
        <w:t>r</w:t>
      </w:r>
      <w:r>
        <w:t>dainduko dio guztira. Kanon hori urtero 1,5 milioi eurokoa izanen da, KPIar</w:t>
      </w:r>
      <w:r>
        <w:t>e</w:t>
      </w:r>
      <w:r>
        <w:t xml:space="preserve">kin gaurkotua, eta 10 urtez iraunen du. </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Aldi baterako enpresa-elkarteak konpromisoa hartzen du honako hauet</w:t>
      </w:r>
      <w:r>
        <w:t>a</w:t>
      </w:r>
      <w:r>
        <w:t>rako: CTP SAren kontura egitea 4. faseari egoztekoak zaizkion sistema orok</w:t>
      </w:r>
      <w:r>
        <w:t>o</w:t>
      </w:r>
      <w:r>
        <w:t>rren eraikuntza eta 3. fasean sartuta dagoen ibilgailu astunen aparkalekuaren zabaltzea, 2,2 eta 2,69 milioi euro ordainduta, hurrenez hurren.</w:t>
      </w:r>
    </w:p>
    <w:p w:rsidR="006E4420" w:rsidRPr="001A3BC9"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CTP SA sozietateak, lurzoruaren transmisioaren kontzeptuan, hura balor</w:t>
      </w:r>
      <w:r>
        <w:t>a</w:t>
      </w:r>
      <w:r>
        <w:t>tuta dagoen salmenta-prezioaren ehuneko bosta jasoko du. Alokairuaren k</w:t>
      </w:r>
      <w:r>
        <w:t>a</w:t>
      </w:r>
      <w:r>
        <w:t>suan, “aurreko portzentaje hori bera entregatu beharko du adjudikazio-hartzaileak lurzoruaren lagapenaren eskritura emateko unean, salmenta-prezioa erreferentziatzat harturik”.</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lastRenderedPageBreak/>
        <w:t>Aldi baterako enpresa-elkartearentzako kontrataziorako modalitate ekon</w:t>
      </w:r>
      <w:r>
        <w:t>o</w:t>
      </w:r>
      <w:r>
        <w:t>mikoak malgutzen dira, eta aipatzen da errentamendu-araubidean ustiatuko dela udalez gaindiko plan sektorialean aurreikusitako nabeen azalera osoaren gutx</w:t>
      </w:r>
      <w:r>
        <w:t>i</w:t>
      </w:r>
      <w:r>
        <w:t>enez ere ehuneko 20. Prezioetan jasota daude bai salmentako prezioak, bai al</w:t>
      </w:r>
      <w:r>
        <w:t>o</w:t>
      </w:r>
      <w:r>
        <w:t>kairukoak ere.</w:t>
      </w:r>
    </w:p>
    <w:p w:rsidR="006E4420" w:rsidRPr="0087776D"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pPr>
      <w:r>
        <w:t>Nabeen edo lursailen ondoz ondoko esku-aldatzeetarako, lehenengo e</w:t>
      </w:r>
      <w:r>
        <w:t>s</w:t>
      </w:r>
      <w:r>
        <w:t>kualdaketa egin eta hamar urtez, CTP SAren adostasuna beharko da aldez a</w:t>
      </w:r>
      <w:r>
        <w:t>u</w:t>
      </w:r>
      <w:r>
        <w:t xml:space="preserve">rretik. </w:t>
      </w:r>
    </w:p>
    <w:p w:rsidR="00BE57C3" w:rsidRDefault="006E4420" w:rsidP="00A31544">
      <w:pPr>
        <w:pStyle w:val="texto"/>
        <w:tabs>
          <w:tab w:val="clear" w:pos="2835"/>
          <w:tab w:val="clear" w:pos="3969"/>
          <w:tab w:val="clear" w:pos="5103"/>
          <w:tab w:val="clear" w:pos="6237"/>
          <w:tab w:val="clear" w:pos="7371"/>
        </w:tabs>
        <w:rPr>
          <w:szCs w:val="26"/>
        </w:rPr>
      </w:pPr>
      <w:r>
        <w:t>2007an, 3. fasearen urbanizazio-lanei ekin zitzaien; obra horiek 2012ko u</w:t>
      </w:r>
      <w:r>
        <w:t>z</w:t>
      </w:r>
      <w:r>
        <w:t>tailean amaitu ziren. Horren kostua 14,48 milioikoa izan zen.</w:t>
      </w:r>
    </w:p>
    <w:p w:rsidR="006E4420" w:rsidRDefault="006E4420" w:rsidP="006E4420">
      <w:pPr>
        <w:pStyle w:val="texto"/>
        <w:tabs>
          <w:tab w:val="clear" w:pos="2835"/>
          <w:tab w:val="clear" w:pos="3969"/>
          <w:tab w:val="clear" w:pos="5103"/>
          <w:tab w:val="clear" w:pos="6237"/>
          <w:tab w:val="clear" w:pos="7371"/>
        </w:tabs>
        <w:rPr>
          <w:szCs w:val="26"/>
        </w:rPr>
      </w:pPr>
      <w:r>
        <w:rPr>
          <w:b/>
          <w:szCs w:val="26"/>
        </w:rPr>
        <w:t>Berrogeita hirugarrena.</w:t>
      </w:r>
      <w:r>
        <w:t xml:space="preserve"> Hasierako kontratu hori dela-eta aldaketak egin z</w:t>
      </w:r>
      <w:r>
        <w:t>i</w:t>
      </w:r>
      <w:r>
        <w:t xml:space="preserve">ren 2007an eta 2012an. </w:t>
      </w:r>
    </w:p>
    <w:p w:rsidR="006E4420"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2007ko apirilaren 24an, CTP SAren administrazio kontseiluak kontratuaren aldaketa bat onetsi zuen, eragiketaren oreka ekonomikoa berregiteko eta haren amaiera egokia segurtatzeko. Hura bi aldeen interesetan eragina duten bi ing</w:t>
      </w:r>
      <w:r>
        <w:t>u</w:t>
      </w:r>
      <w:r>
        <w:t>ruabar berrirekin justifikatu zen: erabaki judizialen ondorioz lursailen desjab</w:t>
      </w:r>
      <w:r>
        <w:t>e</w:t>
      </w:r>
      <w:r>
        <w:t>tzearen kostua handitzea eta Eraikigintzaren Kode Tekniko berria 2006an ind</w:t>
      </w:r>
      <w:r>
        <w:t>a</w:t>
      </w:r>
      <w:r>
        <w:t>rrean sartzearekin eraikuntzaren kostuan gertatutako igoera garrantzitsua. Xede horrekin:</w:t>
      </w:r>
    </w:p>
    <w:p w:rsidR="006E4420" w:rsidRPr="0074125A" w:rsidRDefault="006E4420" w:rsidP="006E4420">
      <w:pPr>
        <w:pStyle w:val="texto"/>
        <w:tabs>
          <w:tab w:val="clear" w:pos="2835"/>
          <w:tab w:val="clear" w:pos="3969"/>
          <w:tab w:val="clear" w:pos="5103"/>
          <w:tab w:val="clear" w:pos="6237"/>
          <w:tab w:val="clear" w:pos="7371"/>
          <w:tab w:val="num" w:pos="600"/>
        </w:tabs>
        <w:rPr>
          <w:szCs w:val="26"/>
        </w:rPr>
      </w:pPr>
      <w:r>
        <w:t xml:space="preserve">a) Salmenta- eta errentamendu-prezioak igo ziren. </w:t>
      </w:r>
    </w:p>
    <w:p w:rsidR="006E4420" w:rsidRPr="0074125A" w:rsidRDefault="006E4420" w:rsidP="006E4420">
      <w:pPr>
        <w:pStyle w:val="texto"/>
        <w:tabs>
          <w:tab w:val="clear" w:pos="2835"/>
          <w:tab w:val="clear" w:pos="3969"/>
          <w:tab w:val="clear" w:pos="5103"/>
          <w:tab w:val="clear" w:pos="6237"/>
          <w:tab w:val="clear" w:pos="7371"/>
          <w:tab w:val="num" w:pos="600"/>
        </w:tabs>
        <w:rPr>
          <w:szCs w:val="26"/>
        </w:rPr>
      </w:pPr>
      <w:r>
        <w:t>b) CTP SAk salmenta-prezioetan duen partaidetza ehuneko bostetik ehuneko hamarrera igo zen.</w:t>
      </w:r>
    </w:p>
    <w:p w:rsidR="006E4420" w:rsidRPr="0074125A" w:rsidRDefault="006E4420" w:rsidP="006E4420">
      <w:pPr>
        <w:pStyle w:val="texto"/>
        <w:tabs>
          <w:tab w:val="clear" w:pos="2835"/>
          <w:tab w:val="clear" w:pos="3969"/>
          <w:tab w:val="clear" w:pos="5103"/>
          <w:tab w:val="clear" w:pos="6237"/>
          <w:tab w:val="clear" w:pos="7371"/>
          <w:tab w:val="num" w:pos="600"/>
        </w:tabs>
        <w:rPr>
          <w:szCs w:val="26"/>
        </w:rPr>
      </w:pPr>
      <w:r>
        <w:t>c) CTP SAren aldez aurretiko adostasuna lortzeko epea hamar urtetik bost urtera jaitsi zen ondoz ondoko eskualdatzeetan.</w:t>
      </w:r>
    </w:p>
    <w:p w:rsidR="006E4420" w:rsidRPr="0074125A" w:rsidRDefault="006E4420" w:rsidP="006E4420">
      <w:pPr>
        <w:pStyle w:val="texto"/>
        <w:tabs>
          <w:tab w:val="clear" w:pos="2835"/>
          <w:tab w:val="clear" w:pos="3969"/>
          <w:tab w:val="clear" w:pos="5103"/>
          <w:tab w:val="clear" w:pos="6237"/>
          <w:tab w:val="clear" w:pos="7371"/>
          <w:tab w:val="num" w:pos="600"/>
        </w:tabs>
        <w:rPr>
          <w:szCs w:val="26"/>
        </w:rPr>
      </w:pPr>
      <w:r>
        <w:t xml:space="preserve">d) Ekipamendu Komunitarioaren eta arlo balioaniztunaren eraikigarritasuna handitu zen eremu logistiko balioaniztunaren bulegoetako aprobetxamendu-galera konpentsatzeko. </w:t>
      </w:r>
    </w:p>
    <w:p w:rsidR="006E4420" w:rsidRPr="0074125A" w:rsidRDefault="006E4420" w:rsidP="006E4420">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szCs w:val="26"/>
        </w:rPr>
      </w:pPr>
      <w:r>
        <w:t>2012ko abenduaren 31n, kontratuaren beste aldaketa bat sinatu zen, eta hura, oro har, krisi ekonomikoarengatik eta, bereziki, higiezinen merkatuarekin justifikatu zen, bai eta kontratua gastuen eta diru-sarreren, kobratzen eta o</w:t>
      </w:r>
      <w:r>
        <w:t>r</w:t>
      </w:r>
      <w:r>
        <w:t>dainketen egutegi errealista bati egokitzeko beharrarekin ere. Hartara, besteak beste, honako erabaki hauek hartu ziren:</w:t>
      </w:r>
    </w:p>
    <w:p w:rsidR="006E4420" w:rsidRDefault="006E4420" w:rsidP="006E4420">
      <w:pPr>
        <w:pStyle w:val="texto"/>
        <w:tabs>
          <w:tab w:val="clear" w:pos="2835"/>
          <w:tab w:val="clear" w:pos="3969"/>
          <w:tab w:val="clear" w:pos="5103"/>
          <w:tab w:val="clear" w:pos="6237"/>
          <w:tab w:val="clear" w:pos="7371"/>
          <w:tab w:val="num" w:pos="600"/>
        </w:tabs>
        <w:rPr>
          <w:szCs w:val="26"/>
        </w:rPr>
      </w:pPr>
      <w:r>
        <w:t>a) Kanonaren KPIaren araberako gaurkotzea ez da 2013tik 2015era aplik</w:t>
      </w:r>
      <w:r>
        <w:t>a</w:t>
      </w:r>
      <w:r>
        <w:t>tuko.</w:t>
      </w:r>
    </w:p>
    <w:p w:rsidR="006E4420" w:rsidRPr="00FC762B" w:rsidRDefault="006E4420" w:rsidP="006E4420">
      <w:pPr>
        <w:pStyle w:val="texto"/>
        <w:tabs>
          <w:tab w:val="clear" w:pos="2835"/>
          <w:tab w:val="clear" w:pos="3969"/>
          <w:tab w:val="clear" w:pos="5103"/>
          <w:tab w:val="clear" w:pos="6237"/>
          <w:tab w:val="clear" w:pos="7371"/>
          <w:tab w:val="num" w:pos="600"/>
        </w:tabs>
        <w:rPr>
          <w:szCs w:val="26"/>
        </w:rPr>
      </w:pPr>
      <w:r>
        <w:t>b) Bi aldeek konpromisoa hartzen dute saneamendu-obrei dagokien 684.000 euroko kopurua (BEZik gabe) proportzio berdinean finantzatzeko.</w:t>
      </w:r>
    </w:p>
    <w:p w:rsidR="006E4420" w:rsidRDefault="006E4420" w:rsidP="006E4420">
      <w:pPr>
        <w:pStyle w:val="texto"/>
        <w:tabs>
          <w:tab w:val="clear" w:pos="2835"/>
          <w:tab w:val="clear" w:pos="3969"/>
          <w:tab w:val="clear" w:pos="5103"/>
          <w:tab w:val="clear" w:pos="6237"/>
          <w:tab w:val="clear" w:pos="7371"/>
          <w:tab w:val="num" w:pos="600"/>
        </w:tabs>
        <w:rPr>
          <w:szCs w:val="26"/>
        </w:rPr>
      </w:pPr>
      <w:r>
        <w:t>c) Mugaeguneratuta dauden eta exigitzekoak diren aurreko zorrei urtero eh</w:t>
      </w:r>
      <w:r>
        <w:t>u</w:t>
      </w:r>
      <w:r>
        <w:t>neko bosteko interes-sortzapena aplikatuko zaie.</w:t>
      </w:r>
    </w:p>
    <w:p w:rsidR="006E4420" w:rsidRPr="006A41AE" w:rsidRDefault="006E4420" w:rsidP="006E4420">
      <w:pPr>
        <w:pStyle w:val="texto"/>
        <w:tabs>
          <w:tab w:val="clear" w:pos="2835"/>
          <w:tab w:val="clear" w:pos="3969"/>
          <w:tab w:val="clear" w:pos="5103"/>
          <w:tab w:val="clear" w:pos="6237"/>
          <w:tab w:val="clear" w:pos="7371"/>
          <w:tab w:val="num" w:pos="600"/>
        </w:tabs>
        <w:rPr>
          <w:szCs w:val="26"/>
        </w:rPr>
      </w:pPr>
      <w:r>
        <w:lastRenderedPageBreak/>
        <w:t>d) Zenbait formularen bitartez bermatuko da sozietate kudeatzaileak aldi b</w:t>
      </w:r>
      <w:r>
        <w:t>a</w:t>
      </w:r>
      <w:r>
        <w:t>terako enpresa-elkartearen zorrak kobratuko dituela.</w:t>
      </w:r>
    </w:p>
    <w:p w:rsidR="00B56BB6" w:rsidRDefault="006E4420" w:rsidP="00D62876">
      <w:pPr>
        <w:pStyle w:val="texto"/>
        <w:tabs>
          <w:tab w:val="clear" w:pos="2835"/>
          <w:tab w:val="clear" w:pos="3969"/>
          <w:tab w:val="clear" w:pos="5103"/>
          <w:tab w:val="clear" w:pos="6237"/>
          <w:tab w:val="clear" w:pos="7371"/>
        </w:tabs>
        <w:spacing w:after="240"/>
        <w:rPr>
          <w:szCs w:val="26"/>
        </w:rPr>
      </w:pPr>
      <w:r>
        <w:rPr>
          <w:b/>
        </w:rPr>
        <w:t>Berrogeita laugarrena.</w:t>
      </w:r>
      <w:r>
        <w:t xml:space="preserve"> Aztertutako dokumentazioaren arabera, aldi bat</w:t>
      </w:r>
      <w:r>
        <w:t>e</w:t>
      </w:r>
      <w:r>
        <w:t>rako enpresa-elkarteak 3. fasean egindako obren zenbatekoa 27,62 milioi eur</w:t>
      </w:r>
      <w:r>
        <w:t>o</w:t>
      </w:r>
      <w:r>
        <w:t xml:space="preserve">koa izan da, BEZik gabe; hona hemen xehetasunak: </w:t>
      </w:r>
    </w:p>
    <w:tbl>
      <w:tblPr>
        <w:tblStyle w:val="TableNormal"/>
        <w:tblW w:w="0" w:type="auto"/>
        <w:jc w:val="center"/>
        <w:tblInd w:w="-112" w:type="dxa"/>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5057"/>
        <w:gridCol w:w="3620"/>
      </w:tblGrid>
      <w:tr w:rsidR="006E4420" w:rsidRPr="00DA5BC7" w:rsidTr="00D62876">
        <w:trPr>
          <w:trHeight w:val="284"/>
          <w:jc w:val="center"/>
        </w:trPr>
        <w:tc>
          <w:tcPr>
            <w:tcW w:w="5057" w:type="dxa"/>
            <w:tcBorders>
              <w:top w:val="single" w:sz="4" w:space="0" w:color="auto"/>
              <w:bottom w:val="single" w:sz="4" w:space="0" w:color="auto"/>
            </w:tcBorders>
            <w:shd w:val="clear" w:color="auto" w:fill="B8CCE4" w:themeFill="accent1" w:themeFillTint="66"/>
            <w:vAlign w:val="center"/>
          </w:tcPr>
          <w:p w:rsidR="006E4420" w:rsidRDefault="006E4420" w:rsidP="00BE57C3">
            <w:pPr>
              <w:spacing w:after="0"/>
              <w:ind w:left="86" w:firstLine="0"/>
              <w:jc w:val="left"/>
              <w:rPr>
                <w:rFonts w:ascii="Arial" w:hAnsi="Arial" w:cs="Arial"/>
                <w:color w:val="000000"/>
                <w:sz w:val="18"/>
                <w:szCs w:val="18"/>
              </w:rPr>
            </w:pPr>
            <w:r>
              <w:rPr>
                <w:rFonts w:ascii="Arial" w:hAnsi="Arial"/>
                <w:color w:val="000000"/>
                <w:sz w:val="18"/>
                <w:szCs w:val="18"/>
              </w:rPr>
              <w:t>Aldi baterako enpresa-elkarteren inbertsioa GHaren 3. fasean</w:t>
            </w:r>
          </w:p>
        </w:tc>
        <w:tc>
          <w:tcPr>
            <w:tcW w:w="3620" w:type="dxa"/>
            <w:tcBorders>
              <w:top w:val="single" w:sz="4" w:space="0" w:color="auto"/>
              <w:bottom w:val="single" w:sz="4" w:space="0" w:color="auto"/>
            </w:tcBorders>
            <w:shd w:val="clear" w:color="auto" w:fill="B8CCE4" w:themeFill="accent1" w:themeFillTint="66"/>
            <w:vAlign w:val="center"/>
          </w:tcPr>
          <w:p w:rsidR="006E4420" w:rsidRPr="005B3CA8" w:rsidRDefault="006E4420" w:rsidP="00BE57C3">
            <w:pPr>
              <w:spacing w:after="0"/>
              <w:ind w:left="141" w:right="86" w:firstLine="0"/>
              <w:jc w:val="right"/>
              <w:rPr>
                <w:rFonts w:ascii="Arial" w:hAnsi="Arial" w:cs="Arial"/>
                <w:color w:val="000000"/>
                <w:sz w:val="18"/>
                <w:szCs w:val="18"/>
              </w:rPr>
            </w:pPr>
            <w:r>
              <w:rPr>
                <w:rFonts w:ascii="Arial" w:hAnsi="Arial"/>
                <w:color w:val="000000"/>
                <w:sz w:val="18"/>
                <w:szCs w:val="18"/>
              </w:rPr>
              <w:t>Zenbatekoa (euroak, milioitan)</w:t>
            </w:r>
          </w:p>
        </w:tc>
      </w:tr>
      <w:tr w:rsidR="006E4420" w:rsidRPr="00612D84" w:rsidTr="00D62876">
        <w:trPr>
          <w:trHeight w:val="284"/>
          <w:jc w:val="center"/>
        </w:trPr>
        <w:tc>
          <w:tcPr>
            <w:tcW w:w="5057" w:type="dxa"/>
            <w:tcBorders>
              <w:top w:val="single" w:sz="4" w:space="0" w:color="auto"/>
            </w:tcBorders>
            <w:vAlign w:val="center"/>
          </w:tcPr>
          <w:p w:rsidR="006E4420" w:rsidRPr="002B74DB" w:rsidRDefault="006E4420" w:rsidP="00BE57C3">
            <w:pPr>
              <w:widowControl/>
              <w:spacing w:after="0"/>
              <w:ind w:left="86" w:firstLine="0"/>
              <w:jc w:val="left"/>
              <w:rPr>
                <w:rFonts w:ascii="Arial Narrow" w:hAnsi="Arial Narrow"/>
                <w:color w:val="000000"/>
                <w:sz w:val="20"/>
                <w:szCs w:val="20"/>
              </w:rPr>
            </w:pPr>
            <w:r>
              <w:rPr>
                <w:rFonts w:ascii="Arial Narrow" w:hAnsi="Arial Narrow"/>
                <w:color w:val="000000"/>
                <w:sz w:val="20"/>
                <w:szCs w:val="20"/>
              </w:rPr>
              <w:t>Urbanizazioa</w:t>
            </w:r>
          </w:p>
        </w:tc>
        <w:tc>
          <w:tcPr>
            <w:tcW w:w="3620" w:type="dxa"/>
            <w:tcBorders>
              <w:top w:val="single" w:sz="4" w:space="0" w:color="auto"/>
            </w:tcBorders>
            <w:vAlign w:val="center"/>
          </w:tcPr>
          <w:p w:rsidR="006E4420" w:rsidRPr="008E708D" w:rsidRDefault="006E4420" w:rsidP="00BE57C3">
            <w:pPr>
              <w:widowControl/>
              <w:spacing w:after="0"/>
              <w:ind w:left="141" w:right="86" w:firstLine="0"/>
              <w:jc w:val="right"/>
              <w:rPr>
                <w:rFonts w:ascii="Arial Narrow" w:hAnsi="Arial Narrow"/>
                <w:color w:val="000000"/>
                <w:sz w:val="20"/>
                <w:szCs w:val="20"/>
              </w:rPr>
            </w:pPr>
            <w:r>
              <w:rPr>
                <w:rFonts w:ascii="Arial Narrow" w:hAnsi="Arial Narrow"/>
                <w:color w:val="000000"/>
                <w:sz w:val="20"/>
                <w:szCs w:val="20"/>
              </w:rPr>
              <w:t>14,48</w:t>
            </w:r>
          </w:p>
        </w:tc>
      </w:tr>
      <w:tr w:rsidR="006E4420" w:rsidRPr="00612D84" w:rsidTr="00D62876">
        <w:trPr>
          <w:trHeight w:val="284"/>
          <w:jc w:val="center"/>
        </w:trPr>
        <w:tc>
          <w:tcPr>
            <w:tcW w:w="5057" w:type="dxa"/>
            <w:vAlign w:val="center"/>
          </w:tcPr>
          <w:p w:rsidR="006E4420" w:rsidRPr="002B74DB" w:rsidRDefault="006E4420" w:rsidP="00BE57C3">
            <w:pPr>
              <w:widowControl/>
              <w:spacing w:after="0"/>
              <w:ind w:left="86" w:firstLine="0"/>
              <w:jc w:val="left"/>
              <w:rPr>
                <w:rFonts w:ascii="Arial Narrow" w:hAnsi="Arial Narrow"/>
                <w:color w:val="000000"/>
                <w:sz w:val="20"/>
                <w:szCs w:val="20"/>
              </w:rPr>
            </w:pPr>
            <w:r>
              <w:rPr>
                <w:rFonts w:ascii="Arial Narrow" w:hAnsi="Arial Narrow"/>
                <w:color w:val="000000"/>
                <w:sz w:val="20"/>
                <w:szCs w:val="20"/>
              </w:rPr>
              <w:t>Eraikinak</w:t>
            </w:r>
          </w:p>
        </w:tc>
        <w:tc>
          <w:tcPr>
            <w:tcW w:w="3620" w:type="dxa"/>
            <w:vAlign w:val="center"/>
          </w:tcPr>
          <w:p w:rsidR="006E4420" w:rsidRPr="008E708D" w:rsidRDefault="006E4420" w:rsidP="00BE57C3">
            <w:pPr>
              <w:widowControl/>
              <w:spacing w:after="0"/>
              <w:ind w:left="141" w:right="86" w:firstLine="0"/>
              <w:jc w:val="right"/>
              <w:rPr>
                <w:rFonts w:ascii="Arial Narrow" w:hAnsi="Arial Narrow"/>
                <w:color w:val="000000"/>
                <w:sz w:val="20"/>
                <w:szCs w:val="20"/>
              </w:rPr>
            </w:pPr>
            <w:r>
              <w:rPr>
                <w:rFonts w:ascii="Arial Narrow" w:hAnsi="Arial Narrow"/>
                <w:color w:val="000000"/>
                <w:sz w:val="20"/>
                <w:szCs w:val="20"/>
              </w:rPr>
              <w:t>13,14</w:t>
            </w:r>
          </w:p>
        </w:tc>
      </w:tr>
      <w:tr w:rsidR="006E4420" w:rsidRPr="00612D84" w:rsidTr="00D62876">
        <w:trPr>
          <w:trHeight w:val="284"/>
          <w:jc w:val="center"/>
        </w:trPr>
        <w:tc>
          <w:tcPr>
            <w:tcW w:w="5057" w:type="dxa"/>
            <w:tcBorders>
              <w:bottom w:val="single" w:sz="4" w:space="0" w:color="auto"/>
            </w:tcBorders>
            <w:shd w:val="clear" w:color="auto" w:fill="B8CCE4" w:themeFill="accent1" w:themeFillTint="66"/>
            <w:vAlign w:val="center"/>
          </w:tcPr>
          <w:p w:rsidR="006E4420" w:rsidRPr="005B3CA8" w:rsidRDefault="006E4420" w:rsidP="00BE57C3">
            <w:pPr>
              <w:spacing w:after="0"/>
              <w:ind w:left="86" w:firstLine="0"/>
              <w:jc w:val="left"/>
              <w:rPr>
                <w:rFonts w:ascii="Arial" w:hAnsi="Arial" w:cs="Arial"/>
                <w:color w:val="000000"/>
                <w:sz w:val="18"/>
                <w:szCs w:val="18"/>
              </w:rPr>
            </w:pPr>
            <w:r>
              <w:rPr>
                <w:rFonts w:ascii="Arial" w:hAnsi="Arial"/>
                <w:color w:val="000000"/>
                <w:sz w:val="18"/>
                <w:szCs w:val="18"/>
              </w:rPr>
              <w:t>Guztira</w:t>
            </w:r>
          </w:p>
        </w:tc>
        <w:tc>
          <w:tcPr>
            <w:tcW w:w="3620" w:type="dxa"/>
            <w:tcBorders>
              <w:bottom w:val="single" w:sz="4" w:space="0" w:color="auto"/>
            </w:tcBorders>
            <w:shd w:val="clear" w:color="auto" w:fill="B8CCE4" w:themeFill="accent1" w:themeFillTint="66"/>
            <w:vAlign w:val="center"/>
          </w:tcPr>
          <w:p w:rsidR="006E4420" w:rsidRPr="005B3CA8" w:rsidRDefault="006E4420" w:rsidP="00BE57C3">
            <w:pPr>
              <w:spacing w:after="0"/>
              <w:ind w:left="141" w:right="86" w:firstLine="0"/>
              <w:jc w:val="right"/>
              <w:rPr>
                <w:rFonts w:ascii="Arial" w:hAnsi="Arial" w:cs="Arial"/>
                <w:color w:val="000000"/>
                <w:sz w:val="18"/>
                <w:szCs w:val="18"/>
              </w:rPr>
            </w:pPr>
            <w:r>
              <w:rPr>
                <w:rFonts w:ascii="Arial" w:hAnsi="Arial"/>
                <w:color w:val="000000"/>
                <w:sz w:val="18"/>
                <w:szCs w:val="18"/>
              </w:rPr>
              <w:t>27,62</w:t>
            </w:r>
          </w:p>
        </w:tc>
      </w:tr>
    </w:tbl>
    <w:p w:rsidR="006E4420" w:rsidRDefault="006E4420" w:rsidP="006A41AE">
      <w:pPr>
        <w:pStyle w:val="texto"/>
        <w:tabs>
          <w:tab w:val="clear" w:pos="2835"/>
          <w:tab w:val="clear" w:pos="3969"/>
          <w:tab w:val="clear" w:pos="5103"/>
          <w:tab w:val="clear" w:pos="6237"/>
          <w:tab w:val="clear" w:pos="7371"/>
        </w:tabs>
        <w:spacing w:after="0"/>
        <w:rPr>
          <w:szCs w:val="26"/>
        </w:rPr>
      </w:pPr>
    </w:p>
    <w:p w:rsidR="00953732" w:rsidRPr="0088262B" w:rsidRDefault="00953732" w:rsidP="00DA68E2">
      <w:pPr>
        <w:pStyle w:val="texto"/>
        <w:tabs>
          <w:tab w:val="clear" w:pos="2835"/>
          <w:tab w:val="clear" w:pos="3969"/>
          <w:tab w:val="clear" w:pos="5103"/>
          <w:tab w:val="clear" w:pos="6237"/>
          <w:tab w:val="clear" w:pos="7371"/>
        </w:tabs>
        <w:spacing w:after="180"/>
        <w:rPr>
          <w:szCs w:val="26"/>
        </w:rPr>
      </w:pPr>
      <w:r>
        <w:rPr>
          <w:b/>
        </w:rPr>
        <w:t xml:space="preserve">Berrogeita bosgarrena. </w:t>
      </w:r>
      <w:r>
        <w:t>GHan instalatutako enpresek eskatutako azalerari erreparatuta, hurrengo taulak erakusten du, portzentajean, haiek fase bakoitzean izan duten batez besteko tamaina:</w:t>
      </w:r>
    </w:p>
    <w:tbl>
      <w:tblPr>
        <w:tblStyle w:val="TableNormal"/>
        <w:tblW w:w="8868" w:type="dxa"/>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4367"/>
        <w:gridCol w:w="1417"/>
        <w:gridCol w:w="1887"/>
        <w:gridCol w:w="1197"/>
      </w:tblGrid>
      <w:tr w:rsidR="00953732" w:rsidRPr="00DA5BC7" w:rsidTr="00BE57C3">
        <w:trPr>
          <w:trHeight w:val="113"/>
          <w:jc w:val="center"/>
        </w:trPr>
        <w:tc>
          <w:tcPr>
            <w:tcW w:w="4367" w:type="dxa"/>
            <w:vMerge w:val="restart"/>
            <w:tcBorders>
              <w:top w:val="single" w:sz="4" w:space="0" w:color="auto"/>
            </w:tcBorders>
            <w:shd w:val="clear" w:color="auto" w:fill="B8CCE4" w:themeFill="accent1" w:themeFillTint="66"/>
            <w:vAlign w:val="center"/>
          </w:tcPr>
          <w:p w:rsidR="00953732" w:rsidRDefault="00953732" w:rsidP="00BE57C3">
            <w:pPr>
              <w:spacing w:after="0"/>
              <w:ind w:left="221" w:firstLine="0"/>
              <w:rPr>
                <w:rFonts w:ascii="Arial" w:hAnsi="Arial" w:cs="Arial"/>
                <w:color w:val="000000"/>
                <w:sz w:val="18"/>
                <w:szCs w:val="18"/>
              </w:rPr>
            </w:pPr>
            <w:r>
              <w:rPr>
                <w:rFonts w:ascii="Arial" w:hAnsi="Arial"/>
                <w:color w:val="000000"/>
                <w:sz w:val="18"/>
                <w:szCs w:val="18"/>
              </w:rPr>
              <w:t>Lurzatiak</w:t>
            </w:r>
          </w:p>
        </w:tc>
        <w:tc>
          <w:tcPr>
            <w:tcW w:w="4501" w:type="dxa"/>
            <w:gridSpan w:val="3"/>
            <w:tcBorders>
              <w:top w:val="single" w:sz="4" w:space="0" w:color="auto"/>
              <w:bottom w:val="single" w:sz="4" w:space="0" w:color="auto"/>
            </w:tcBorders>
            <w:shd w:val="clear" w:color="auto" w:fill="B8CCE4" w:themeFill="accent1" w:themeFillTint="66"/>
            <w:vAlign w:val="center"/>
          </w:tcPr>
          <w:p w:rsidR="00953732" w:rsidRDefault="00953732" w:rsidP="004D22FC">
            <w:pPr>
              <w:spacing w:after="0"/>
              <w:ind w:left="206" w:right="115" w:firstLine="0"/>
              <w:jc w:val="center"/>
              <w:rPr>
                <w:rFonts w:ascii="Arial" w:hAnsi="Arial" w:cs="Arial"/>
                <w:color w:val="000000"/>
                <w:sz w:val="18"/>
                <w:szCs w:val="18"/>
              </w:rPr>
            </w:pPr>
            <w:r>
              <w:rPr>
                <w:rFonts w:ascii="Arial" w:hAnsi="Arial"/>
                <w:color w:val="000000"/>
                <w:sz w:val="18"/>
                <w:szCs w:val="18"/>
              </w:rPr>
              <w:t>Azaleran portzentajea</w:t>
            </w:r>
          </w:p>
        </w:tc>
      </w:tr>
      <w:tr w:rsidR="00953732" w:rsidRPr="00DA5BC7" w:rsidTr="00BE57C3">
        <w:trPr>
          <w:trHeight w:val="113"/>
          <w:jc w:val="center"/>
        </w:trPr>
        <w:tc>
          <w:tcPr>
            <w:tcW w:w="4367" w:type="dxa"/>
            <w:vMerge/>
            <w:tcBorders>
              <w:bottom w:val="single" w:sz="4" w:space="0" w:color="auto"/>
            </w:tcBorders>
            <w:shd w:val="clear" w:color="auto" w:fill="B8CCE4" w:themeFill="accent1" w:themeFillTint="66"/>
            <w:vAlign w:val="center"/>
          </w:tcPr>
          <w:p w:rsidR="00953732" w:rsidRPr="005B3CA8" w:rsidRDefault="00953732" w:rsidP="00BE57C3">
            <w:pPr>
              <w:spacing w:after="0"/>
              <w:ind w:left="221" w:firstLine="0"/>
              <w:rPr>
                <w:rFonts w:ascii="Arial" w:hAnsi="Arial" w:cs="Arial"/>
                <w:color w:val="000000"/>
                <w:sz w:val="18"/>
                <w:szCs w:val="18"/>
                <w:lang w:eastAsia="es-ES"/>
              </w:rPr>
            </w:pPr>
          </w:p>
        </w:tc>
        <w:tc>
          <w:tcPr>
            <w:tcW w:w="1417" w:type="dxa"/>
            <w:tcBorders>
              <w:top w:val="single" w:sz="4" w:space="0" w:color="auto"/>
              <w:bottom w:val="single" w:sz="4" w:space="0" w:color="auto"/>
            </w:tcBorders>
            <w:shd w:val="clear" w:color="auto" w:fill="B8CCE4" w:themeFill="accent1" w:themeFillTint="66"/>
            <w:vAlign w:val="center"/>
          </w:tcPr>
          <w:p w:rsidR="00953732" w:rsidRPr="00DA5BC7" w:rsidRDefault="00953732" w:rsidP="004D22FC">
            <w:pPr>
              <w:spacing w:after="0"/>
              <w:ind w:right="131" w:firstLine="0"/>
              <w:jc w:val="right"/>
              <w:rPr>
                <w:rFonts w:ascii="Arial" w:hAnsi="Arial" w:cs="Arial"/>
                <w:color w:val="000000"/>
                <w:sz w:val="18"/>
                <w:szCs w:val="18"/>
              </w:rPr>
            </w:pPr>
            <w:r>
              <w:rPr>
                <w:rFonts w:ascii="Arial" w:hAnsi="Arial"/>
                <w:color w:val="000000"/>
                <w:sz w:val="18"/>
                <w:szCs w:val="18"/>
              </w:rPr>
              <w:t>+ 10.000 m</w:t>
            </w:r>
            <w:r>
              <w:rPr>
                <w:rFonts w:ascii="Arial" w:hAnsi="Arial"/>
                <w:color w:val="000000"/>
                <w:sz w:val="18"/>
                <w:szCs w:val="18"/>
                <w:vertAlign w:val="superscript"/>
              </w:rPr>
              <w:t>2</w:t>
            </w:r>
          </w:p>
        </w:tc>
        <w:tc>
          <w:tcPr>
            <w:tcW w:w="1887" w:type="dxa"/>
            <w:tcBorders>
              <w:top w:val="single" w:sz="4" w:space="0" w:color="auto"/>
              <w:bottom w:val="single" w:sz="4" w:space="0" w:color="auto"/>
            </w:tcBorders>
            <w:shd w:val="clear" w:color="auto" w:fill="B8CCE4" w:themeFill="accent1" w:themeFillTint="66"/>
            <w:vAlign w:val="center"/>
          </w:tcPr>
          <w:p w:rsidR="00953732" w:rsidRPr="00DA5BC7" w:rsidRDefault="00953732" w:rsidP="004D22FC">
            <w:pPr>
              <w:spacing w:after="0"/>
              <w:ind w:left="206" w:right="115" w:firstLine="0"/>
              <w:jc w:val="right"/>
              <w:rPr>
                <w:rFonts w:ascii="Arial" w:hAnsi="Arial" w:cs="Arial"/>
                <w:color w:val="000000"/>
                <w:sz w:val="18"/>
                <w:szCs w:val="18"/>
              </w:rPr>
            </w:pPr>
            <w:r>
              <w:rPr>
                <w:rFonts w:ascii="Arial" w:hAnsi="Arial"/>
                <w:color w:val="000000"/>
                <w:sz w:val="18"/>
                <w:szCs w:val="18"/>
              </w:rPr>
              <w:t>4.000 eta 10000 m</w:t>
            </w:r>
            <w:r>
              <w:rPr>
                <w:rFonts w:ascii="Arial" w:hAnsi="Arial"/>
                <w:color w:val="000000"/>
                <w:sz w:val="18"/>
                <w:szCs w:val="18"/>
                <w:vertAlign w:val="superscript"/>
              </w:rPr>
              <w:t xml:space="preserve">2 </w:t>
            </w:r>
            <w:r>
              <w:rPr>
                <w:rFonts w:ascii="Arial" w:hAnsi="Arial"/>
                <w:color w:val="000000"/>
                <w:sz w:val="18"/>
                <w:szCs w:val="18"/>
              </w:rPr>
              <w:t>bitarte</w:t>
            </w:r>
          </w:p>
        </w:tc>
        <w:tc>
          <w:tcPr>
            <w:tcW w:w="1197" w:type="dxa"/>
            <w:tcBorders>
              <w:top w:val="single" w:sz="4" w:space="0" w:color="auto"/>
              <w:bottom w:val="single" w:sz="4" w:space="0" w:color="auto"/>
            </w:tcBorders>
            <w:shd w:val="clear" w:color="auto" w:fill="B8CCE4" w:themeFill="accent1" w:themeFillTint="66"/>
            <w:vAlign w:val="center"/>
          </w:tcPr>
          <w:p w:rsidR="00953732" w:rsidRPr="00DA5BC7" w:rsidRDefault="00953732" w:rsidP="004D22FC">
            <w:pPr>
              <w:spacing w:after="0"/>
              <w:ind w:left="206" w:right="115" w:firstLine="0"/>
              <w:jc w:val="right"/>
              <w:rPr>
                <w:rFonts w:ascii="Arial" w:hAnsi="Arial" w:cs="Arial"/>
                <w:color w:val="000000"/>
                <w:sz w:val="18"/>
                <w:szCs w:val="18"/>
              </w:rPr>
            </w:pPr>
            <w:r>
              <w:rPr>
                <w:rFonts w:ascii="Arial" w:hAnsi="Arial"/>
                <w:color w:val="000000"/>
                <w:sz w:val="18"/>
                <w:szCs w:val="18"/>
              </w:rPr>
              <w:t>- 4.000 m</w:t>
            </w:r>
            <w:r>
              <w:rPr>
                <w:rFonts w:ascii="Arial" w:hAnsi="Arial"/>
                <w:color w:val="000000"/>
                <w:sz w:val="18"/>
                <w:szCs w:val="18"/>
                <w:vertAlign w:val="superscript"/>
              </w:rPr>
              <w:t>2</w:t>
            </w:r>
          </w:p>
        </w:tc>
      </w:tr>
      <w:tr w:rsidR="00953732" w:rsidRPr="00612D84" w:rsidTr="00BE57C3">
        <w:trPr>
          <w:trHeight w:val="255"/>
          <w:jc w:val="center"/>
        </w:trPr>
        <w:tc>
          <w:tcPr>
            <w:tcW w:w="4367" w:type="dxa"/>
            <w:tcBorders>
              <w:top w:val="single" w:sz="4" w:space="0" w:color="auto"/>
              <w:bottom w:val="single" w:sz="2" w:space="0" w:color="auto"/>
            </w:tcBorders>
            <w:vAlign w:val="center"/>
          </w:tcPr>
          <w:p w:rsidR="00953732" w:rsidRPr="008E708D" w:rsidRDefault="00953732" w:rsidP="00BE57C3">
            <w:pPr>
              <w:widowControl/>
              <w:spacing w:after="0"/>
              <w:ind w:left="221" w:firstLine="0"/>
              <w:rPr>
                <w:rFonts w:ascii="Arial Narrow" w:hAnsi="Arial Narrow"/>
                <w:color w:val="000000"/>
                <w:sz w:val="20"/>
                <w:szCs w:val="20"/>
              </w:rPr>
            </w:pPr>
            <w:r>
              <w:rPr>
                <w:rFonts w:ascii="Arial Narrow" w:hAnsi="Arial Narrow"/>
                <w:color w:val="000000"/>
                <w:sz w:val="20"/>
                <w:szCs w:val="20"/>
              </w:rPr>
              <w:t>1. fasea</w:t>
            </w:r>
          </w:p>
        </w:tc>
        <w:tc>
          <w:tcPr>
            <w:tcW w:w="1417" w:type="dxa"/>
            <w:tcBorders>
              <w:top w:val="single" w:sz="4" w:space="0" w:color="auto"/>
              <w:bottom w:val="single" w:sz="2" w:space="0" w:color="auto"/>
            </w:tcBorders>
            <w:vAlign w:val="center"/>
          </w:tcPr>
          <w:p w:rsidR="00953732" w:rsidRPr="008E708D" w:rsidRDefault="00953732" w:rsidP="004D22FC">
            <w:pPr>
              <w:widowControl/>
              <w:spacing w:after="0"/>
              <w:ind w:right="201" w:firstLine="0"/>
              <w:jc w:val="right"/>
              <w:rPr>
                <w:rFonts w:ascii="Arial Narrow" w:hAnsi="Arial Narrow"/>
                <w:color w:val="000000"/>
                <w:sz w:val="20"/>
                <w:szCs w:val="20"/>
              </w:rPr>
            </w:pPr>
            <w:r>
              <w:rPr>
                <w:rFonts w:ascii="Arial Narrow" w:hAnsi="Arial Narrow"/>
                <w:color w:val="000000"/>
                <w:sz w:val="20"/>
                <w:szCs w:val="20"/>
              </w:rPr>
              <w:t>49</w:t>
            </w:r>
          </w:p>
        </w:tc>
        <w:tc>
          <w:tcPr>
            <w:tcW w:w="1887" w:type="dxa"/>
            <w:tcBorders>
              <w:top w:val="single" w:sz="4" w:space="0" w:color="auto"/>
              <w:bottom w:val="single" w:sz="2" w:space="0" w:color="auto"/>
            </w:tcBorders>
            <w:vAlign w:val="center"/>
          </w:tcPr>
          <w:p w:rsidR="00953732" w:rsidRPr="008E708D" w:rsidRDefault="00953732" w:rsidP="004D22FC">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23</w:t>
            </w:r>
          </w:p>
        </w:tc>
        <w:tc>
          <w:tcPr>
            <w:tcW w:w="1197" w:type="dxa"/>
            <w:tcBorders>
              <w:top w:val="single" w:sz="4" w:space="0" w:color="auto"/>
              <w:bottom w:val="single" w:sz="2" w:space="0" w:color="auto"/>
            </w:tcBorders>
            <w:vAlign w:val="center"/>
          </w:tcPr>
          <w:p w:rsidR="00953732" w:rsidRPr="004D3465" w:rsidRDefault="00953732" w:rsidP="004D22FC">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28</w:t>
            </w:r>
          </w:p>
        </w:tc>
      </w:tr>
      <w:tr w:rsidR="00953732" w:rsidRPr="00612D84" w:rsidTr="00BE57C3">
        <w:trPr>
          <w:trHeight w:val="255"/>
          <w:jc w:val="center"/>
        </w:trPr>
        <w:tc>
          <w:tcPr>
            <w:tcW w:w="4367" w:type="dxa"/>
            <w:vAlign w:val="center"/>
          </w:tcPr>
          <w:p w:rsidR="00953732" w:rsidRPr="008E708D" w:rsidRDefault="00953732" w:rsidP="00BE57C3">
            <w:pPr>
              <w:widowControl/>
              <w:spacing w:after="0"/>
              <w:ind w:left="221" w:firstLine="0"/>
              <w:rPr>
                <w:rFonts w:ascii="Arial Narrow" w:hAnsi="Arial Narrow"/>
                <w:color w:val="000000"/>
                <w:sz w:val="20"/>
                <w:szCs w:val="20"/>
              </w:rPr>
            </w:pPr>
            <w:r>
              <w:rPr>
                <w:rFonts w:ascii="Arial Narrow" w:hAnsi="Arial Narrow"/>
                <w:color w:val="000000"/>
                <w:sz w:val="20"/>
                <w:szCs w:val="20"/>
              </w:rPr>
              <w:t>2. fasea</w:t>
            </w:r>
          </w:p>
        </w:tc>
        <w:tc>
          <w:tcPr>
            <w:tcW w:w="1417" w:type="dxa"/>
            <w:vAlign w:val="center"/>
          </w:tcPr>
          <w:p w:rsidR="00953732" w:rsidRPr="008E708D" w:rsidRDefault="00953732" w:rsidP="004D22FC">
            <w:pPr>
              <w:widowControl/>
              <w:spacing w:after="0"/>
              <w:ind w:right="201" w:firstLine="0"/>
              <w:jc w:val="right"/>
              <w:rPr>
                <w:rFonts w:ascii="Arial Narrow" w:hAnsi="Arial Narrow"/>
                <w:color w:val="000000"/>
                <w:sz w:val="20"/>
                <w:szCs w:val="20"/>
              </w:rPr>
            </w:pPr>
            <w:r>
              <w:rPr>
                <w:rFonts w:ascii="Arial Narrow" w:hAnsi="Arial Narrow"/>
                <w:color w:val="000000"/>
                <w:sz w:val="20"/>
                <w:szCs w:val="20"/>
              </w:rPr>
              <w:t>27</w:t>
            </w:r>
          </w:p>
        </w:tc>
        <w:tc>
          <w:tcPr>
            <w:tcW w:w="1887" w:type="dxa"/>
            <w:vAlign w:val="center"/>
          </w:tcPr>
          <w:p w:rsidR="00953732" w:rsidRPr="008E708D" w:rsidRDefault="00953732" w:rsidP="004D22FC">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38</w:t>
            </w:r>
          </w:p>
        </w:tc>
        <w:tc>
          <w:tcPr>
            <w:tcW w:w="1197" w:type="dxa"/>
            <w:vAlign w:val="center"/>
          </w:tcPr>
          <w:p w:rsidR="00953732" w:rsidRPr="004D3465" w:rsidRDefault="00953732" w:rsidP="004D22FC">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35</w:t>
            </w:r>
          </w:p>
        </w:tc>
      </w:tr>
      <w:tr w:rsidR="00953732" w:rsidRPr="00612D84" w:rsidTr="00BE57C3">
        <w:trPr>
          <w:trHeight w:val="255"/>
          <w:jc w:val="center"/>
        </w:trPr>
        <w:tc>
          <w:tcPr>
            <w:tcW w:w="4367" w:type="dxa"/>
            <w:vAlign w:val="center"/>
          </w:tcPr>
          <w:p w:rsidR="00953732" w:rsidRPr="008E708D" w:rsidRDefault="00953732" w:rsidP="00BE57C3">
            <w:pPr>
              <w:widowControl/>
              <w:spacing w:after="0"/>
              <w:ind w:left="221" w:firstLine="0"/>
              <w:rPr>
                <w:rFonts w:ascii="Arial Narrow" w:hAnsi="Arial Narrow"/>
                <w:color w:val="000000"/>
                <w:sz w:val="20"/>
                <w:szCs w:val="20"/>
              </w:rPr>
            </w:pPr>
            <w:r>
              <w:rPr>
                <w:rFonts w:ascii="Arial Narrow" w:hAnsi="Arial Narrow"/>
                <w:color w:val="000000"/>
                <w:sz w:val="20"/>
                <w:szCs w:val="20"/>
              </w:rPr>
              <w:t>3. fasea</w:t>
            </w:r>
          </w:p>
        </w:tc>
        <w:tc>
          <w:tcPr>
            <w:tcW w:w="1417" w:type="dxa"/>
            <w:vAlign w:val="center"/>
          </w:tcPr>
          <w:p w:rsidR="00953732" w:rsidRPr="008E708D" w:rsidRDefault="00953732" w:rsidP="004D22FC">
            <w:pPr>
              <w:widowControl/>
              <w:spacing w:after="0"/>
              <w:ind w:right="201" w:firstLine="0"/>
              <w:jc w:val="right"/>
              <w:rPr>
                <w:rFonts w:ascii="Arial Narrow" w:hAnsi="Arial Narrow"/>
                <w:color w:val="000000"/>
                <w:sz w:val="20"/>
                <w:szCs w:val="20"/>
              </w:rPr>
            </w:pPr>
            <w:r>
              <w:rPr>
                <w:rFonts w:ascii="Arial Narrow" w:hAnsi="Arial Narrow"/>
                <w:color w:val="000000"/>
                <w:sz w:val="20"/>
                <w:szCs w:val="20"/>
              </w:rPr>
              <w:t>88</w:t>
            </w:r>
          </w:p>
        </w:tc>
        <w:tc>
          <w:tcPr>
            <w:tcW w:w="1887" w:type="dxa"/>
            <w:vAlign w:val="center"/>
          </w:tcPr>
          <w:p w:rsidR="00953732" w:rsidRPr="008E708D" w:rsidRDefault="00953732" w:rsidP="004D22FC">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7</w:t>
            </w:r>
          </w:p>
        </w:tc>
        <w:tc>
          <w:tcPr>
            <w:tcW w:w="1197" w:type="dxa"/>
            <w:vAlign w:val="center"/>
          </w:tcPr>
          <w:p w:rsidR="00953732" w:rsidRPr="004D3465" w:rsidRDefault="00953732" w:rsidP="004D22FC">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5</w:t>
            </w:r>
          </w:p>
        </w:tc>
      </w:tr>
    </w:tbl>
    <w:p w:rsidR="00953732" w:rsidRPr="00953732" w:rsidRDefault="00953732" w:rsidP="000E5A01">
      <w:pPr>
        <w:pStyle w:val="texto"/>
        <w:tabs>
          <w:tab w:val="clear" w:pos="2835"/>
          <w:tab w:val="clear" w:pos="3969"/>
          <w:tab w:val="clear" w:pos="5103"/>
          <w:tab w:val="clear" w:pos="6237"/>
          <w:tab w:val="clear" w:pos="7371"/>
        </w:tabs>
        <w:spacing w:before="120" w:after="360"/>
        <w:rPr>
          <w:szCs w:val="26"/>
        </w:rPr>
      </w:pPr>
      <w:r>
        <w:t>Ikusten denez, 3. fasean, okupatutako lurzatien azaleretan nagusi dira 10.000 m</w:t>
      </w:r>
      <w:r>
        <w:rPr>
          <w:vertAlign w:val="superscript"/>
        </w:rPr>
        <w:t>2</w:t>
      </w:r>
      <w:r>
        <w:t xml:space="preserve">-tik gorako azalera dutenak. </w:t>
      </w:r>
    </w:p>
    <w:p w:rsidR="00484F27" w:rsidRDefault="00484F27" w:rsidP="00953732">
      <w:pPr>
        <w:pStyle w:val="atitulo2"/>
      </w:pPr>
      <w:bookmarkStart w:id="44" w:name="_Toc519583207"/>
      <w:r>
        <w:t>IV.7. Inbertsioak eta finantzaketa publikoa Garraioaren Hirian</w:t>
      </w:r>
      <w:bookmarkEnd w:id="44"/>
    </w:p>
    <w:p w:rsidR="00484F27" w:rsidRPr="006A41AE" w:rsidRDefault="006E4420" w:rsidP="00484F27">
      <w:pPr>
        <w:pStyle w:val="texto"/>
        <w:tabs>
          <w:tab w:val="clear" w:pos="2835"/>
          <w:tab w:val="clear" w:pos="3969"/>
          <w:tab w:val="clear" w:pos="5103"/>
          <w:tab w:val="clear" w:pos="6237"/>
          <w:tab w:val="clear" w:pos="7371"/>
        </w:tabs>
        <w:rPr>
          <w:spacing w:val="0"/>
          <w:szCs w:val="26"/>
        </w:rPr>
      </w:pPr>
      <w:r>
        <w:rPr>
          <w:b/>
        </w:rPr>
        <w:t xml:space="preserve">Berrogeita seigarrena. </w:t>
      </w:r>
      <w:r>
        <w:t>Garraioaren Hiriaren proiektua oraindik ere amaitu gabe dago; hori dela eta, ezin dugu esan inbertsio publikoen amaierako zenb</w:t>
      </w:r>
      <w:r>
        <w:t>a</w:t>
      </w:r>
      <w:r>
        <w:t xml:space="preserve">tekoa zein izan den, ez eta haren finantzaketa ere. </w:t>
      </w:r>
    </w:p>
    <w:p w:rsidR="006C7C5A" w:rsidRPr="00DA68E2" w:rsidRDefault="006E4420" w:rsidP="001D26FB">
      <w:pPr>
        <w:pStyle w:val="texto"/>
        <w:tabs>
          <w:tab w:val="clear" w:pos="2835"/>
          <w:tab w:val="clear" w:pos="3969"/>
          <w:tab w:val="clear" w:pos="5103"/>
          <w:tab w:val="clear" w:pos="6237"/>
          <w:tab w:val="clear" w:pos="7371"/>
        </w:tabs>
        <w:rPr>
          <w:spacing w:val="0"/>
          <w:szCs w:val="26"/>
        </w:rPr>
      </w:pPr>
      <w:r>
        <w:rPr>
          <w:b/>
          <w:szCs w:val="26"/>
        </w:rPr>
        <w:t>Berrogeita zazpigarrena.</w:t>
      </w:r>
      <w:r>
        <w:t xml:space="preserve"> 2017ko abenduaren 31n, GHan egindako inbe</w:t>
      </w:r>
      <w:r>
        <w:t>r</w:t>
      </w:r>
      <w:r>
        <w:t>tsio publiko garrantzitsuak 113,29 milioi eurokoak izan dira,  hurrengo taularen eta irudiaren arabera:</w:t>
      </w:r>
    </w:p>
    <w:tbl>
      <w:tblPr>
        <w:tblStyle w:val="TableNormal"/>
        <w:tblW w:w="8870" w:type="dxa"/>
        <w:jc w:val="center"/>
        <w:tblInd w:w="82" w:type="dxa"/>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2837"/>
        <w:gridCol w:w="1213"/>
        <w:gridCol w:w="1559"/>
        <w:gridCol w:w="1626"/>
        <w:gridCol w:w="1635"/>
      </w:tblGrid>
      <w:tr w:rsidR="00484F27" w:rsidRPr="00DA5BC7" w:rsidTr="006A41AE">
        <w:trPr>
          <w:trHeight w:val="255"/>
          <w:jc w:val="center"/>
        </w:trPr>
        <w:tc>
          <w:tcPr>
            <w:tcW w:w="2837" w:type="dxa"/>
            <w:tcBorders>
              <w:top w:val="single" w:sz="4" w:space="0" w:color="auto"/>
              <w:bottom w:val="single" w:sz="4" w:space="0" w:color="auto"/>
            </w:tcBorders>
            <w:shd w:val="clear" w:color="auto" w:fill="B8CCE4" w:themeFill="accent1" w:themeFillTint="66"/>
            <w:vAlign w:val="center"/>
          </w:tcPr>
          <w:p w:rsidR="00484F27" w:rsidRDefault="00484F27" w:rsidP="006A41AE">
            <w:pPr>
              <w:spacing w:after="0"/>
              <w:ind w:left="82" w:firstLine="0"/>
              <w:jc w:val="left"/>
              <w:rPr>
                <w:rFonts w:ascii="Arial" w:hAnsi="Arial" w:cs="Arial"/>
                <w:color w:val="000000"/>
                <w:sz w:val="18"/>
                <w:szCs w:val="18"/>
              </w:rPr>
            </w:pPr>
            <w:r>
              <w:rPr>
                <w:rFonts w:ascii="Arial" w:hAnsi="Arial"/>
                <w:color w:val="000000"/>
                <w:sz w:val="18"/>
                <w:szCs w:val="18"/>
              </w:rPr>
              <w:t>GHko inbertsio publikoak</w:t>
            </w:r>
          </w:p>
        </w:tc>
        <w:tc>
          <w:tcPr>
            <w:tcW w:w="1213" w:type="dxa"/>
            <w:tcBorders>
              <w:top w:val="single" w:sz="4" w:space="0" w:color="auto"/>
              <w:bottom w:val="single" w:sz="4" w:space="0" w:color="auto"/>
            </w:tcBorders>
            <w:shd w:val="clear" w:color="auto" w:fill="B8CCE4" w:themeFill="accent1" w:themeFillTint="66"/>
            <w:vAlign w:val="center"/>
          </w:tcPr>
          <w:p w:rsidR="00484F27" w:rsidRPr="005B3CA8" w:rsidRDefault="00484F27" w:rsidP="004D0436">
            <w:pPr>
              <w:spacing w:after="0"/>
              <w:ind w:left="284" w:hanging="284"/>
              <w:jc w:val="left"/>
              <w:rPr>
                <w:rFonts w:ascii="Arial" w:hAnsi="Arial" w:cs="Arial"/>
                <w:color w:val="000000"/>
                <w:sz w:val="18"/>
                <w:szCs w:val="18"/>
              </w:rPr>
            </w:pPr>
            <w:r>
              <w:rPr>
                <w:rFonts w:ascii="Arial" w:hAnsi="Arial"/>
                <w:color w:val="000000"/>
                <w:sz w:val="18"/>
                <w:szCs w:val="18"/>
              </w:rPr>
              <w:t>Komunak</w:t>
            </w:r>
          </w:p>
        </w:tc>
        <w:tc>
          <w:tcPr>
            <w:tcW w:w="1559" w:type="dxa"/>
            <w:tcBorders>
              <w:top w:val="single" w:sz="4" w:space="0" w:color="auto"/>
              <w:bottom w:val="single" w:sz="4" w:space="0" w:color="auto"/>
            </w:tcBorders>
            <w:shd w:val="clear" w:color="auto" w:fill="B8CCE4" w:themeFill="accent1" w:themeFillTint="66"/>
            <w:vAlign w:val="center"/>
          </w:tcPr>
          <w:p w:rsidR="00484F27" w:rsidRPr="00DA5BC7" w:rsidRDefault="00484F27" w:rsidP="004D0436">
            <w:pPr>
              <w:spacing w:after="0"/>
              <w:ind w:left="206" w:right="131" w:firstLine="0"/>
              <w:jc w:val="right"/>
              <w:rPr>
                <w:rFonts w:ascii="Arial" w:hAnsi="Arial" w:cs="Arial"/>
                <w:color w:val="000000"/>
                <w:sz w:val="18"/>
                <w:szCs w:val="18"/>
              </w:rPr>
            </w:pPr>
            <w:r>
              <w:rPr>
                <w:rFonts w:ascii="Arial" w:hAnsi="Arial"/>
                <w:color w:val="000000"/>
                <w:sz w:val="18"/>
                <w:szCs w:val="18"/>
              </w:rPr>
              <w:t>1. eta 2. f</w:t>
            </w:r>
            <w:r>
              <w:rPr>
                <w:rFonts w:ascii="Arial" w:hAnsi="Arial"/>
                <w:color w:val="000000"/>
                <w:sz w:val="18"/>
                <w:szCs w:val="18"/>
              </w:rPr>
              <w:t>a</w:t>
            </w:r>
            <w:r>
              <w:rPr>
                <w:rFonts w:ascii="Arial" w:hAnsi="Arial"/>
                <w:color w:val="000000"/>
                <w:sz w:val="18"/>
                <w:szCs w:val="18"/>
              </w:rPr>
              <w:t>seak</w:t>
            </w:r>
          </w:p>
        </w:tc>
        <w:tc>
          <w:tcPr>
            <w:tcW w:w="1626" w:type="dxa"/>
            <w:tcBorders>
              <w:top w:val="single" w:sz="4" w:space="0" w:color="auto"/>
              <w:bottom w:val="single" w:sz="4" w:space="0" w:color="auto"/>
            </w:tcBorders>
            <w:shd w:val="clear" w:color="auto" w:fill="B8CCE4" w:themeFill="accent1" w:themeFillTint="66"/>
            <w:vAlign w:val="center"/>
          </w:tcPr>
          <w:p w:rsidR="00484F27" w:rsidRPr="00DA5BC7" w:rsidRDefault="00484F27" w:rsidP="004D0436">
            <w:pPr>
              <w:spacing w:after="0"/>
              <w:ind w:left="206" w:right="115" w:firstLine="0"/>
              <w:jc w:val="right"/>
              <w:rPr>
                <w:rFonts w:ascii="Arial" w:hAnsi="Arial" w:cs="Arial"/>
                <w:color w:val="000000"/>
                <w:sz w:val="18"/>
                <w:szCs w:val="18"/>
              </w:rPr>
            </w:pPr>
            <w:r>
              <w:rPr>
                <w:rFonts w:ascii="Arial" w:hAnsi="Arial"/>
                <w:color w:val="000000"/>
                <w:sz w:val="18"/>
                <w:szCs w:val="18"/>
              </w:rPr>
              <w:t>3. eta 4. faseak</w:t>
            </w:r>
          </w:p>
        </w:tc>
        <w:tc>
          <w:tcPr>
            <w:tcW w:w="1635" w:type="dxa"/>
            <w:tcBorders>
              <w:top w:val="single" w:sz="4" w:space="0" w:color="auto"/>
              <w:bottom w:val="single" w:sz="4" w:space="0" w:color="auto"/>
            </w:tcBorders>
            <w:shd w:val="clear" w:color="auto" w:fill="B8CCE4" w:themeFill="accent1" w:themeFillTint="66"/>
            <w:vAlign w:val="center"/>
          </w:tcPr>
          <w:p w:rsidR="00484F27" w:rsidRPr="00DA5BC7" w:rsidRDefault="00484F27" w:rsidP="004D0436">
            <w:pPr>
              <w:spacing w:after="0"/>
              <w:ind w:left="206" w:right="115" w:firstLine="0"/>
              <w:jc w:val="right"/>
              <w:rPr>
                <w:rFonts w:ascii="Arial" w:hAnsi="Arial" w:cs="Arial"/>
                <w:color w:val="000000"/>
                <w:sz w:val="18"/>
                <w:szCs w:val="18"/>
              </w:rPr>
            </w:pPr>
            <w:r>
              <w:rPr>
                <w:rFonts w:ascii="Arial" w:hAnsi="Arial"/>
                <w:color w:val="000000"/>
                <w:sz w:val="18"/>
                <w:szCs w:val="18"/>
              </w:rPr>
              <w:t>Guztira</w:t>
            </w:r>
          </w:p>
        </w:tc>
      </w:tr>
      <w:tr w:rsidR="00484F27" w:rsidRPr="00612D84" w:rsidTr="006A41AE">
        <w:trPr>
          <w:trHeight w:val="255"/>
          <w:jc w:val="center"/>
        </w:trPr>
        <w:tc>
          <w:tcPr>
            <w:tcW w:w="2837" w:type="dxa"/>
            <w:tcBorders>
              <w:top w:val="single" w:sz="4" w:space="0" w:color="auto"/>
              <w:bottom w:val="single" w:sz="2" w:space="0" w:color="auto"/>
            </w:tcBorders>
            <w:vAlign w:val="center"/>
          </w:tcPr>
          <w:p w:rsidR="00484F27" w:rsidRPr="007F08A5" w:rsidRDefault="00484F27" w:rsidP="006A41AE">
            <w:pPr>
              <w:widowControl/>
              <w:spacing w:after="0"/>
              <w:ind w:left="82" w:right="115" w:firstLine="0"/>
              <w:jc w:val="left"/>
              <w:rPr>
                <w:rFonts w:ascii="Arial Narrow" w:hAnsi="Arial Narrow"/>
                <w:color w:val="000000"/>
                <w:sz w:val="20"/>
                <w:szCs w:val="20"/>
              </w:rPr>
            </w:pPr>
            <w:r>
              <w:rPr>
                <w:rFonts w:ascii="Arial Narrow" w:hAnsi="Arial Narrow"/>
                <w:color w:val="000000"/>
                <w:sz w:val="20"/>
                <w:szCs w:val="20"/>
              </w:rPr>
              <w:t>Kanpoko azpiegiturak</w:t>
            </w:r>
          </w:p>
        </w:tc>
        <w:tc>
          <w:tcPr>
            <w:tcW w:w="1213" w:type="dxa"/>
            <w:tcBorders>
              <w:top w:val="single" w:sz="4" w:space="0" w:color="auto"/>
              <w:bottom w:val="single" w:sz="2" w:space="0" w:color="auto"/>
            </w:tcBorders>
            <w:vAlign w:val="center"/>
          </w:tcPr>
          <w:p w:rsidR="00484F27" w:rsidRPr="008A528D" w:rsidRDefault="00E56FD3" w:rsidP="00E56FD3">
            <w:pPr>
              <w:spacing w:after="0"/>
              <w:ind w:left="206" w:right="115" w:firstLine="0"/>
              <w:jc w:val="right"/>
              <w:rPr>
                <w:rFonts w:ascii="Arial Narrow" w:hAnsi="Arial Narrow"/>
                <w:color w:val="000000"/>
                <w:sz w:val="20"/>
                <w:szCs w:val="20"/>
              </w:rPr>
            </w:pPr>
            <w:r>
              <w:rPr>
                <w:rFonts w:ascii="Arial Narrow" w:hAnsi="Arial Narrow"/>
                <w:color w:val="000000"/>
                <w:sz w:val="20"/>
                <w:szCs w:val="20"/>
              </w:rPr>
              <w:t>11.114.976</w:t>
            </w:r>
          </w:p>
        </w:tc>
        <w:tc>
          <w:tcPr>
            <w:tcW w:w="1559" w:type="dxa"/>
            <w:tcBorders>
              <w:top w:val="single" w:sz="4" w:space="0" w:color="auto"/>
              <w:bottom w:val="single" w:sz="2" w:space="0" w:color="auto"/>
            </w:tcBorders>
            <w:vAlign w:val="center"/>
          </w:tcPr>
          <w:p w:rsidR="00484F27" w:rsidRPr="008A528D" w:rsidRDefault="00484F27" w:rsidP="004D0436">
            <w:pPr>
              <w:spacing w:after="0"/>
              <w:ind w:firstLineChars="100" w:firstLine="220"/>
              <w:jc w:val="right"/>
              <w:rPr>
                <w:rFonts w:ascii="Arial Narrow" w:hAnsi="Arial Narrow" w:cs="Calibri"/>
                <w:color w:val="000000"/>
                <w:lang w:val="es-ES" w:eastAsia="es-ES"/>
              </w:rPr>
            </w:pPr>
          </w:p>
        </w:tc>
        <w:tc>
          <w:tcPr>
            <w:tcW w:w="1626" w:type="dxa"/>
            <w:tcBorders>
              <w:top w:val="single" w:sz="4" w:space="0" w:color="auto"/>
              <w:bottom w:val="single" w:sz="2" w:space="0" w:color="auto"/>
            </w:tcBorders>
            <w:vAlign w:val="center"/>
          </w:tcPr>
          <w:p w:rsidR="00484F27" w:rsidRPr="008A528D" w:rsidRDefault="00484F27" w:rsidP="004D0436">
            <w:pPr>
              <w:spacing w:after="0"/>
              <w:ind w:firstLineChars="100" w:firstLine="220"/>
              <w:jc w:val="right"/>
              <w:rPr>
                <w:rFonts w:ascii="Arial Narrow" w:hAnsi="Arial Narrow" w:cs="Calibri"/>
                <w:color w:val="000000"/>
                <w:lang w:val="es-ES" w:eastAsia="es-ES"/>
              </w:rPr>
            </w:pPr>
          </w:p>
        </w:tc>
        <w:tc>
          <w:tcPr>
            <w:tcW w:w="1635" w:type="dxa"/>
            <w:tcBorders>
              <w:top w:val="single" w:sz="4" w:space="0" w:color="auto"/>
              <w:bottom w:val="single" w:sz="2" w:space="0" w:color="auto"/>
            </w:tcBorders>
            <w:vAlign w:val="center"/>
          </w:tcPr>
          <w:p w:rsidR="00484F27" w:rsidRPr="008A528D" w:rsidRDefault="00E56FD3" w:rsidP="004D0436">
            <w:pPr>
              <w:spacing w:after="0"/>
              <w:ind w:left="206" w:right="115" w:firstLine="0"/>
              <w:jc w:val="right"/>
              <w:rPr>
                <w:rFonts w:ascii="Arial Narrow" w:hAnsi="Arial Narrow"/>
                <w:color w:val="000000"/>
                <w:sz w:val="20"/>
                <w:szCs w:val="20"/>
              </w:rPr>
            </w:pPr>
            <w:r>
              <w:rPr>
                <w:rFonts w:ascii="Arial Narrow" w:hAnsi="Arial Narrow"/>
                <w:color w:val="000000"/>
                <w:sz w:val="20"/>
                <w:szCs w:val="20"/>
              </w:rPr>
              <w:t>11.114.976</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rPr>
            </w:pPr>
            <w:r>
              <w:rPr>
                <w:rFonts w:ascii="Arial Narrow" w:hAnsi="Arial Narrow"/>
                <w:color w:val="000000"/>
                <w:sz w:val="20"/>
                <w:szCs w:val="20"/>
              </w:rPr>
              <w:t>Lursailen desjabetzea</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17.472.452</w:t>
            </w:r>
          </w:p>
        </w:tc>
        <w:tc>
          <w:tcPr>
            <w:tcW w:w="1626" w:type="dxa"/>
            <w:tcBorders>
              <w:top w:val="single" w:sz="2" w:space="0" w:color="auto"/>
            </w:tcBorders>
            <w:vAlign w:val="center"/>
          </w:tcPr>
          <w:p w:rsidR="00484F27" w:rsidRPr="007F08A5" w:rsidRDefault="00647BAD"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74.413.752</w:t>
            </w:r>
          </w:p>
        </w:tc>
        <w:tc>
          <w:tcPr>
            <w:tcW w:w="1635" w:type="dxa"/>
            <w:tcBorders>
              <w:top w:val="single" w:sz="2" w:space="0" w:color="auto"/>
            </w:tcBorders>
            <w:vAlign w:val="center"/>
          </w:tcPr>
          <w:p w:rsidR="00484F27" w:rsidRPr="00405EBB" w:rsidRDefault="00647BAD" w:rsidP="004D0436">
            <w:pPr>
              <w:spacing w:after="0"/>
              <w:ind w:left="206" w:right="115" w:firstLine="0"/>
              <w:jc w:val="right"/>
              <w:rPr>
                <w:rFonts w:ascii="Arial Narrow" w:hAnsi="Arial Narrow"/>
                <w:color w:val="000000"/>
                <w:sz w:val="20"/>
                <w:szCs w:val="20"/>
              </w:rPr>
            </w:pPr>
            <w:r>
              <w:rPr>
                <w:rFonts w:ascii="Arial Narrow" w:hAnsi="Arial Narrow"/>
                <w:color w:val="000000"/>
                <w:sz w:val="20"/>
                <w:szCs w:val="20"/>
              </w:rPr>
              <w:t>91.886.204</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rPr>
            </w:pPr>
            <w:r>
              <w:rPr>
                <w:rFonts w:ascii="Arial Narrow" w:hAnsi="Arial Narrow"/>
                <w:color w:val="000000"/>
                <w:sz w:val="20"/>
                <w:szCs w:val="20"/>
              </w:rPr>
              <w:t>Zabalkuntzarako udalez gaindiko plan sektorialaren proiektua</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626"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220.935</w:t>
            </w:r>
          </w:p>
        </w:tc>
        <w:tc>
          <w:tcPr>
            <w:tcW w:w="1635" w:type="dxa"/>
            <w:tcBorders>
              <w:top w:val="single" w:sz="2" w:space="0" w:color="auto"/>
            </w:tcBorders>
            <w:vAlign w:val="center"/>
          </w:tcPr>
          <w:p w:rsidR="00484F27" w:rsidRPr="00405EBB" w:rsidRDefault="00484F27" w:rsidP="004D0436">
            <w:pPr>
              <w:spacing w:after="0"/>
              <w:ind w:left="206" w:right="115" w:firstLine="0"/>
              <w:jc w:val="right"/>
              <w:rPr>
                <w:rFonts w:ascii="Arial Narrow" w:hAnsi="Arial Narrow"/>
                <w:color w:val="000000"/>
                <w:sz w:val="20"/>
                <w:szCs w:val="20"/>
              </w:rPr>
            </w:pPr>
            <w:r>
              <w:rPr>
                <w:rFonts w:ascii="Arial Narrow" w:hAnsi="Arial Narrow"/>
                <w:color w:val="000000"/>
                <w:sz w:val="20"/>
                <w:szCs w:val="20"/>
              </w:rPr>
              <w:t>220.935</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rPr>
            </w:pPr>
            <w:r>
              <w:rPr>
                <w:rFonts w:ascii="Arial Narrow" w:hAnsi="Arial Narrow"/>
                <w:color w:val="000000"/>
                <w:sz w:val="20"/>
                <w:szCs w:val="20"/>
              </w:rPr>
              <w:t>Ibilgailu astunen aparkalekua</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1.274.203</w:t>
            </w:r>
          </w:p>
        </w:tc>
        <w:tc>
          <w:tcPr>
            <w:tcW w:w="1626"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4.017.596</w:t>
            </w:r>
          </w:p>
        </w:tc>
        <w:tc>
          <w:tcPr>
            <w:tcW w:w="1635" w:type="dxa"/>
            <w:tcBorders>
              <w:top w:val="single" w:sz="2" w:space="0" w:color="auto"/>
            </w:tcBorders>
            <w:vAlign w:val="center"/>
          </w:tcPr>
          <w:p w:rsidR="00484F27" w:rsidRPr="00405EBB" w:rsidRDefault="00484F27" w:rsidP="004D0436">
            <w:pPr>
              <w:spacing w:after="0"/>
              <w:ind w:left="206" w:right="115" w:firstLine="0"/>
              <w:jc w:val="right"/>
              <w:rPr>
                <w:rFonts w:ascii="Arial Narrow" w:hAnsi="Arial Narrow"/>
                <w:color w:val="000000"/>
                <w:sz w:val="20"/>
                <w:szCs w:val="20"/>
              </w:rPr>
            </w:pPr>
            <w:r>
              <w:rPr>
                <w:rFonts w:ascii="Arial Narrow" w:hAnsi="Arial Narrow"/>
                <w:color w:val="000000"/>
                <w:sz w:val="20"/>
                <w:szCs w:val="20"/>
              </w:rPr>
              <w:t>5.291.799</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rPr>
            </w:pPr>
            <w:r>
              <w:rPr>
                <w:rFonts w:ascii="Arial Narrow" w:hAnsi="Arial Narrow"/>
                <w:color w:val="000000"/>
                <w:sz w:val="20"/>
                <w:szCs w:val="20"/>
              </w:rPr>
              <w:t>Bulegoetarako eraikinak</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1.722.824</w:t>
            </w:r>
          </w:p>
        </w:tc>
        <w:tc>
          <w:tcPr>
            <w:tcW w:w="1626"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635" w:type="dxa"/>
            <w:tcBorders>
              <w:top w:val="single" w:sz="2" w:space="0" w:color="auto"/>
            </w:tcBorders>
            <w:vAlign w:val="center"/>
          </w:tcPr>
          <w:p w:rsidR="00484F27" w:rsidRPr="00405EBB" w:rsidRDefault="00484F27" w:rsidP="004D0436">
            <w:pPr>
              <w:spacing w:after="0"/>
              <w:ind w:left="206" w:right="115" w:firstLine="0"/>
              <w:jc w:val="right"/>
              <w:rPr>
                <w:rFonts w:ascii="Arial Narrow" w:hAnsi="Arial Narrow"/>
                <w:color w:val="000000"/>
                <w:sz w:val="20"/>
                <w:szCs w:val="20"/>
              </w:rPr>
            </w:pPr>
            <w:r>
              <w:rPr>
                <w:rFonts w:ascii="Arial Narrow" w:hAnsi="Arial Narrow"/>
                <w:color w:val="000000"/>
                <w:sz w:val="20"/>
                <w:szCs w:val="20"/>
              </w:rPr>
              <w:t>1.722.824</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rPr>
            </w:pPr>
            <w:r>
              <w:rPr>
                <w:rFonts w:ascii="Arial Narrow" w:hAnsi="Arial Narrow"/>
                <w:color w:val="000000"/>
                <w:sz w:val="20"/>
                <w:szCs w:val="20"/>
              </w:rPr>
              <w:t>Sistema orokorrak</w:t>
            </w:r>
          </w:p>
        </w:tc>
        <w:tc>
          <w:tcPr>
            <w:tcW w:w="1213"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lang w:eastAsia="es-ES"/>
              </w:rPr>
            </w:pPr>
          </w:p>
        </w:tc>
        <w:tc>
          <w:tcPr>
            <w:tcW w:w="1626"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2.388.186</w:t>
            </w:r>
          </w:p>
        </w:tc>
        <w:tc>
          <w:tcPr>
            <w:tcW w:w="1635" w:type="dxa"/>
            <w:tcBorders>
              <w:top w:val="single" w:sz="2" w:space="0" w:color="auto"/>
            </w:tcBorders>
            <w:vAlign w:val="center"/>
          </w:tcPr>
          <w:p w:rsidR="00484F27" w:rsidRPr="007F08A5"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2.388.186</w:t>
            </w:r>
          </w:p>
        </w:tc>
      </w:tr>
      <w:tr w:rsidR="00484F27" w:rsidRPr="00612D84" w:rsidTr="006A41AE">
        <w:trPr>
          <w:trHeight w:val="255"/>
          <w:jc w:val="center"/>
        </w:trPr>
        <w:tc>
          <w:tcPr>
            <w:tcW w:w="2837" w:type="dxa"/>
            <w:tcBorders>
              <w:top w:val="single" w:sz="2" w:space="0" w:color="auto"/>
            </w:tcBorders>
            <w:vAlign w:val="center"/>
          </w:tcPr>
          <w:p w:rsidR="00484F27" w:rsidRPr="007F08A5" w:rsidRDefault="00484F27" w:rsidP="006A41AE">
            <w:pPr>
              <w:widowControl/>
              <w:spacing w:after="0"/>
              <w:ind w:left="82" w:firstLine="0"/>
              <w:jc w:val="left"/>
              <w:rPr>
                <w:rFonts w:ascii="Arial Narrow" w:hAnsi="Arial Narrow"/>
                <w:color w:val="000000"/>
                <w:sz w:val="20"/>
                <w:szCs w:val="20"/>
              </w:rPr>
            </w:pPr>
            <w:r>
              <w:rPr>
                <w:rFonts w:ascii="Arial Narrow" w:hAnsi="Arial Narrow"/>
                <w:color w:val="000000"/>
                <w:sz w:val="20"/>
                <w:szCs w:val="20"/>
              </w:rPr>
              <w:t>Saneamendua eta hornidura</w:t>
            </w:r>
          </w:p>
        </w:tc>
        <w:tc>
          <w:tcPr>
            <w:tcW w:w="1213" w:type="dxa"/>
            <w:tcBorders>
              <w:top w:val="single" w:sz="2" w:space="0" w:color="auto"/>
            </w:tcBorders>
            <w:vAlign w:val="center"/>
          </w:tcPr>
          <w:p w:rsidR="00484F27" w:rsidRPr="008E708D" w:rsidRDefault="00484F27" w:rsidP="004D0436">
            <w:pPr>
              <w:widowControl/>
              <w:spacing w:after="0"/>
              <w:ind w:left="206" w:right="115" w:firstLine="0"/>
              <w:jc w:val="right"/>
              <w:rPr>
                <w:rFonts w:ascii="Arial Narrow" w:hAnsi="Arial Narrow"/>
                <w:color w:val="000000"/>
                <w:sz w:val="20"/>
                <w:szCs w:val="20"/>
                <w:lang w:eastAsia="es-ES"/>
              </w:rPr>
            </w:pPr>
          </w:p>
        </w:tc>
        <w:tc>
          <w:tcPr>
            <w:tcW w:w="1559" w:type="dxa"/>
            <w:tcBorders>
              <w:top w:val="single" w:sz="2" w:space="0" w:color="auto"/>
            </w:tcBorders>
            <w:vAlign w:val="center"/>
          </w:tcPr>
          <w:p w:rsidR="00484F27" w:rsidRPr="008E708D" w:rsidRDefault="00484F27" w:rsidP="004D0436">
            <w:pPr>
              <w:widowControl/>
              <w:spacing w:after="0"/>
              <w:ind w:left="206" w:right="115" w:firstLine="0"/>
              <w:jc w:val="right"/>
              <w:rPr>
                <w:rFonts w:ascii="Arial Narrow" w:hAnsi="Arial Narrow"/>
                <w:color w:val="000000"/>
                <w:sz w:val="20"/>
                <w:szCs w:val="20"/>
                <w:lang w:eastAsia="es-ES"/>
              </w:rPr>
            </w:pPr>
          </w:p>
        </w:tc>
        <w:tc>
          <w:tcPr>
            <w:tcW w:w="1626" w:type="dxa"/>
            <w:tcBorders>
              <w:top w:val="single" w:sz="2" w:space="0" w:color="auto"/>
            </w:tcBorders>
            <w:vAlign w:val="center"/>
          </w:tcPr>
          <w:p w:rsidR="00484F27" w:rsidRPr="008E708D"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342.000</w:t>
            </w:r>
          </w:p>
        </w:tc>
        <w:tc>
          <w:tcPr>
            <w:tcW w:w="1635" w:type="dxa"/>
            <w:tcBorders>
              <w:top w:val="single" w:sz="2" w:space="0" w:color="auto"/>
            </w:tcBorders>
            <w:vAlign w:val="center"/>
          </w:tcPr>
          <w:p w:rsidR="00484F27" w:rsidRPr="008E708D"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342.000</w:t>
            </w:r>
          </w:p>
        </w:tc>
      </w:tr>
      <w:tr w:rsidR="00484F27" w:rsidRPr="00583102" w:rsidTr="006A41AE">
        <w:trPr>
          <w:trHeight w:val="255"/>
          <w:jc w:val="center"/>
        </w:trPr>
        <w:tc>
          <w:tcPr>
            <w:tcW w:w="2837" w:type="dxa"/>
            <w:tcBorders>
              <w:top w:val="single" w:sz="2" w:space="0" w:color="auto"/>
            </w:tcBorders>
            <w:vAlign w:val="center"/>
          </w:tcPr>
          <w:p w:rsidR="00484F27" w:rsidRPr="00583102" w:rsidRDefault="00484F27" w:rsidP="006A41AE">
            <w:pPr>
              <w:widowControl/>
              <w:spacing w:after="0"/>
              <w:ind w:left="82" w:firstLine="0"/>
              <w:jc w:val="left"/>
              <w:rPr>
                <w:rFonts w:ascii="Arial Narrow" w:hAnsi="Arial Narrow"/>
                <w:color w:val="000000"/>
                <w:sz w:val="20"/>
                <w:szCs w:val="20"/>
              </w:rPr>
            </w:pPr>
            <w:r>
              <w:rPr>
                <w:rFonts w:ascii="Arial Narrow" w:hAnsi="Arial Narrow"/>
                <w:color w:val="000000"/>
                <w:sz w:val="20"/>
                <w:szCs w:val="20"/>
              </w:rPr>
              <w:t>Gutxiengoan dauden bazkideen akz</w:t>
            </w:r>
            <w:r>
              <w:rPr>
                <w:rFonts w:ascii="Arial Narrow" w:hAnsi="Arial Narrow"/>
                <w:color w:val="000000"/>
                <w:sz w:val="20"/>
                <w:szCs w:val="20"/>
              </w:rPr>
              <w:t>i</w:t>
            </w:r>
            <w:r>
              <w:rPr>
                <w:rFonts w:ascii="Arial Narrow" w:hAnsi="Arial Narrow"/>
                <w:color w:val="000000"/>
                <w:sz w:val="20"/>
                <w:szCs w:val="20"/>
              </w:rPr>
              <w:t>oak erostea</w:t>
            </w:r>
          </w:p>
        </w:tc>
        <w:tc>
          <w:tcPr>
            <w:tcW w:w="1213" w:type="dxa"/>
            <w:tcBorders>
              <w:top w:val="single" w:sz="2" w:space="0" w:color="auto"/>
            </w:tcBorders>
            <w:vAlign w:val="center"/>
          </w:tcPr>
          <w:p w:rsidR="00484F27" w:rsidRPr="00583102" w:rsidRDefault="00484F27" w:rsidP="004D0436">
            <w:pPr>
              <w:spacing w:after="0"/>
              <w:ind w:left="206" w:right="115" w:firstLine="0"/>
              <w:jc w:val="right"/>
              <w:rPr>
                <w:rFonts w:ascii="Arial Narrow" w:hAnsi="Arial Narrow"/>
                <w:color w:val="000000"/>
                <w:sz w:val="20"/>
                <w:szCs w:val="20"/>
              </w:rPr>
            </w:pPr>
            <w:r>
              <w:rPr>
                <w:rFonts w:ascii="Arial Narrow" w:hAnsi="Arial Narrow"/>
                <w:color w:val="000000"/>
                <w:sz w:val="20"/>
                <w:szCs w:val="20"/>
              </w:rPr>
              <w:t>135.225</w:t>
            </w:r>
          </w:p>
        </w:tc>
        <w:tc>
          <w:tcPr>
            <w:tcW w:w="1559" w:type="dxa"/>
            <w:tcBorders>
              <w:top w:val="single" w:sz="2" w:space="0" w:color="auto"/>
            </w:tcBorders>
            <w:vAlign w:val="center"/>
          </w:tcPr>
          <w:p w:rsidR="00484F27" w:rsidRPr="00583102" w:rsidRDefault="00484F27" w:rsidP="004D0436">
            <w:pPr>
              <w:widowControl/>
              <w:spacing w:after="0"/>
              <w:ind w:left="206" w:right="115" w:firstLine="0"/>
              <w:jc w:val="right"/>
              <w:rPr>
                <w:rFonts w:ascii="Arial Narrow" w:hAnsi="Arial Narrow"/>
                <w:color w:val="000000"/>
                <w:sz w:val="20"/>
                <w:szCs w:val="20"/>
                <w:lang w:eastAsia="es-ES"/>
              </w:rPr>
            </w:pPr>
          </w:p>
        </w:tc>
        <w:tc>
          <w:tcPr>
            <w:tcW w:w="1626" w:type="dxa"/>
            <w:tcBorders>
              <w:top w:val="single" w:sz="2" w:space="0" w:color="auto"/>
            </w:tcBorders>
            <w:vAlign w:val="center"/>
          </w:tcPr>
          <w:p w:rsidR="00484F27" w:rsidRPr="00583102" w:rsidRDefault="00484F27" w:rsidP="004D0436">
            <w:pPr>
              <w:widowControl/>
              <w:spacing w:after="0"/>
              <w:ind w:left="206" w:right="115" w:firstLine="0"/>
              <w:jc w:val="right"/>
              <w:rPr>
                <w:rFonts w:ascii="Arial Narrow" w:hAnsi="Arial Narrow"/>
                <w:color w:val="000000"/>
                <w:sz w:val="20"/>
                <w:szCs w:val="20"/>
                <w:lang w:eastAsia="es-ES"/>
              </w:rPr>
            </w:pPr>
          </w:p>
        </w:tc>
        <w:tc>
          <w:tcPr>
            <w:tcW w:w="1635" w:type="dxa"/>
            <w:tcBorders>
              <w:top w:val="single" w:sz="2" w:space="0" w:color="auto"/>
            </w:tcBorders>
            <w:vAlign w:val="center"/>
          </w:tcPr>
          <w:p w:rsidR="00484F27" w:rsidRPr="00583102" w:rsidRDefault="00484F27" w:rsidP="004D0436">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135.225</w:t>
            </w:r>
          </w:p>
        </w:tc>
      </w:tr>
      <w:tr w:rsidR="00B313BF" w:rsidRPr="00583102" w:rsidTr="006A41AE">
        <w:trPr>
          <w:trHeight w:val="255"/>
          <w:jc w:val="center"/>
        </w:trPr>
        <w:tc>
          <w:tcPr>
            <w:tcW w:w="2837" w:type="dxa"/>
            <w:tcBorders>
              <w:top w:val="single" w:sz="4" w:space="0" w:color="auto"/>
              <w:bottom w:val="single" w:sz="4" w:space="0" w:color="auto"/>
            </w:tcBorders>
            <w:vAlign w:val="center"/>
          </w:tcPr>
          <w:p w:rsidR="00B313BF" w:rsidRPr="00B313BF" w:rsidRDefault="00B313BF" w:rsidP="006A41AE">
            <w:pPr>
              <w:widowControl/>
              <w:spacing w:after="0"/>
              <w:ind w:left="82" w:firstLine="0"/>
              <w:jc w:val="left"/>
              <w:rPr>
                <w:rFonts w:ascii="Arial Narrow" w:hAnsi="Arial Narrow"/>
                <w:color w:val="000000"/>
                <w:sz w:val="20"/>
                <w:szCs w:val="20"/>
              </w:rPr>
            </w:pPr>
            <w:r>
              <w:rPr>
                <w:rFonts w:ascii="Arial Narrow" w:hAnsi="Arial Narrow"/>
                <w:color w:val="000000"/>
                <w:sz w:val="20"/>
                <w:szCs w:val="20"/>
              </w:rPr>
              <w:t>4. faseko zelaitzea (Nasuvinsa)</w:t>
            </w:r>
          </w:p>
        </w:tc>
        <w:tc>
          <w:tcPr>
            <w:tcW w:w="1213" w:type="dxa"/>
            <w:tcBorders>
              <w:top w:val="single" w:sz="4" w:space="0" w:color="auto"/>
              <w:bottom w:val="single" w:sz="4" w:space="0" w:color="auto"/>
            </w:tcBorders>
            <w:vAlign w:val="center"/>
          </w:tcPr>
          <w:p w:rsidR="00B313BF" w:rsidRPr="00B313BF" w:rsidRDefault="00B313BF" w:rsidP="00B313BF">
            <w:pPr>
              <w:widowControl/>
              <w:spacing w:after="0"/>
              <w:ind w:left="206" w:right="115" w:firstLine="0"/>
              <w:jc w:val="right"/>
              <w:rPr>
                <w:rFonts w:ascii="Arial Narrow" w:hAnsi="Arial Narrow"/>
                <w:color w:val="000000"/>
                <w:sz w:val="20"/>
                <w:szCs w:val="20"/>
                <w:lang w:eastAsia="es-ES"/>
              </w:rPr>
            </w:pPr>
          </w:p>
        </w:tc>
        <w:tc>
          <w:tcPr>
            <w:tcW w:w="1559" w:type="dxa"/>
            <w:tcBorders>
              <w:top w:val="single" w:sz="4" w:space="0" w:color="auto"/>
              <w:bottom w:val="single" w:sz="4" w:space="0" w:color="auto"/>
            </w:tcBorders>
            <w:vAlign w:val="center"/>
          </w:tcPr>
          <w:p w:rsidR="00B313BF" w:rsidRPr="00B313BF" w:rsidRDefault="00B313BF" w:rsidP="00B313BF">
            <w:pPr>
              <w:widowControl/>
              <w:spacing w:after="0"/>
              <w:ind w:left="206" w:right="115" w:firstLine="0"/>
              <w:jc w:val="right"/>
              <w:rPr>
                <w:rFonts w:ascii="Arial Narrow" w:hAnsi="Arial Narrow"/>
                <w:color w:val="000000"/>
                <w:sz w:val="20"/>
                <w:szCs w:val="20"/>
                <w:lang w:eastAsia="es-ES"/>
              </w:rPr>
            </w:pPr>
          </w:p>
        </w:tc>
        <w:tc>
          <w:tcPr>
            <w:tcW w:w="1626" w:type="dxa"/>
            <w:tcBorders>
              <w:top w:val="single" w:sz="4" w:space="0" w:color="auto"/>
              <w:bottom w:val="single" w:sz="4" w:space="0" w:color="auto"/>
            </w:tcBorders>
            <w:vAlign w:val="center"/>
          </w:tcPr>
          <w:p w:rsidR="00B313BF" w:rsidRPr="00B313BF" w:rsidRDefault="00B313BF" w:rsidP="00B313BF">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185.293</w:t>
            </w:r>
          </w:p>
        </w:tc>
        <w:tc>
          <w:tcPr>
            <w:tcW w:w="1635" w:type="dxa"/>
            <w:tcBorders>
              <w:top w:val="single" w:sz="4" w:space="0" w:color="auto"/>
              <w:bottom w:val="single" w:sz="4" w:space="0" w:color="auto"/>
            </w:tcBorders>
            <w:vAlign w:val="center"/>
          </w:tcPr>
          <w:p w:rsidR="00B313BF" w:rsidRPr="00B313BF" w:rsidRDefault="00B313BF" w:rsidP="00B313BF">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185.293</w:t>
            </w:r>
          </w:p>
        </w:tc>
      </w:tr>
      <w:tr w:rsidR="00484F27" w:rsidRPr="00612D84" w:rsidTr="006A41AE">
        <w:trPr>
          <w:trHeight w:val="255"/>
          <w:jc w:val="center"/>
        </w:trPr>
        <w:tc>
          <w:tcPr>
            <w:tcW w:w="2837" w:type="dxa"/>
            <w:tcBorders>
              <w:top w:val="single" w:sz="4" w:space="0" w:color="auto"/>
              <w:bottom w:val="single" w:sz="4" w:space="0" w:color="auto"/>
            </w:tcBorders>
            <w:shd w:val="clear" w:color="auto" w:fill="B8CCE4" w:themeFill="accent1" w:themeFillTint="66"/>
            <w:vAlign w:val="center"/>
          </w:tcPr>
          <w:p w:rsidR="00484F27" w:rsidRPr="005B3CA8" w:rsidRDefault="00484F27" w:rsidP="006A41AE">
            <w:pPr>
              <w:spacing w:after="0"/>
              <w:ind w:left="82" w:firstLine="0"/>
              <w:jc w:val="left"/>
              <w:rPr>
                <w:rFonts w:ascii="Arial" w:hAnsi="Arial" w:cs="Arial"/>
                <w:color w:val="000000"/>
                <w:sz w:val="18"/>
                <w:szCs w:val="18"/>
              </w:rPr>
            </w:pPr>
            <w:r>
              <w:rPr>
                <w:rFonts w:ascii="Arial" w:hAnsi="Arial"/>
                <w:color w:val="000000"/>
                <w:sz w:val="18"/>
                <w:szCs w:val="18"/>
              </w:rPr>
              <w:t>Guztizkoa 2017-12-31n</w:t>
            </w:r>
          </w:p>
        </w:tc>
        <w:tc>
          <w:tcPr>
            <w:tcW w:w="1213" w:type="dxa"/>
            <w:tcBorders>
              <w:top w:val="single" w:sz="4" w:space="0" w:color="auto"/>
              <w:bottom w:val="single" w:sz="4" w:space="0" w:color="auto"/>
            </w:tcBorders>
            <w:shd w:val="clear" w:color="auto" w:fill="B8CCE4" w:themeFill="accent1" w:themeFillTint="66"/>
            <w:vAlign w:val="center"/>
          </w:tcPr>
          <w:p w:rsidR="00484F27" w:rsidRPr="005B3CA8" w:rsidRDefault="00647BAD" w:rsidP="004D0436">
            <w:pPr>
              <w:spacing w:after="0"/>
              <w:ind w:left="284" w:right="-12" w:firstLine="0"/>
              <w:jc w:val="right"/>
              <w:rPr>
                <w:rFonts w:ascii="Arial" w:hAnsi="Arial" w:cs="Arial"/>
                <w:color w:val="000000"/>
                <w:sz w:val="18"/>
                <w:szCs w:val="18"/>
              </w:rPr>
            </w:pPr>
            <w:r>
              <w:rPr>
                <w:rFonts w:ascii="Arial" w:hAnsi="Arial"/>
                <w:color w:val="000000"/>
                <w:sz w:val="18"/>
                <w:szCs w:val="18"/>
              </w:rPr>
              <w:t>11.250.201</w:t>
            </w:r>
          </w:p>
        </w:tc>
        <w:tc>
          <w:tcPr>
            <w:tcW w:w="1559" w:type="dxa"/>
            <w:tcBorders>
              <w:top w:val="single" w:sz="4" w:space="0" w:color="auto"/>
              <w:bottom w:val="single" w:sz="4" w:space="0" w:color="auto"/>
            </w:tcBorders>
            <w:shd w:val="clear" w:color="auto" w:fill="B8CCE4" w:themeFill="accent1" w:themeFillTint="66"/>
            <w:vAlign w:val="center"/>
          </w:tcPr>
          <w:p w:rsidR="00484F27" w:rsidRPr="005B3CA8" w:rsidRDefault="00484F27" w:rsidP="004D0436">
            <w:pPr>
              <w:spacing w:after="0"/>
              <w:ind w:left="284" w:right="162" w:firstLine="0"/>
              <w:jc w:val="right"/>
              <w:rPr>
                <w:rFonts w:ascii="Arial" w:hAnsi="Arial" w:cs="Arial"/>
                <w:color w:val="000000"/>
                <w:sz w:val="18"/>
                <w:szCs w:val="18"/>
              </w:rPr>
            </w:pPr>
            <w:r>
              <w:rPr>
                <w:rFonts w:ascii="Arial" w:hAnsi="Arial"/>
                <w:color w:val="000000"/>
                <w:sz w:val="18"/>
                <w:szCs w:val="18"/>
              </w:rPr>
              <w:t>20.469.479</w:t>
            </w:r>
          </w:p>
        </w:tc>
        <w:tc>
          <w:tcPr>
            <w:tcW w:w="1626" w:type="dxa"/>
            <w:tcBorders>
              <w:top w:val="single" w:sz="4" w:space="0" w:color="auto"/>
              <w:bottom w:val="single" w:sz="4" w:space="0" w:color="auto"/>
            </w:tcBorders>
            <w:shd w:val="clear" w:color="auto" w:fill="B8CCE4" w:themeFill="accent1" w:themeFillTint="66"/>
            <w:vAlign w:val="center"/>
          </w:tcPr>
          <w:p w:rsidR="00484F27" w:rsidRPr="005B3CA8" w:rsidRDefault="00647BAD" w:rsidP="004D0436">
            <w:pPr>
              <w:spacing w:after="0"/>
              <w:ind w:left="284" w:right="115" w:firstLine="0"/>
              <w:jc w:val="right"/>
              <w:rPr>
                <w:rFonts w:ascii="Arial" w:hAnsi="Arial" w:cs="Arial"/>
                <w:color w:val="000000"/>
                <w:sz w:val="18"/>
                <w:szCs w:val="18"/>
              </w:rPr>
            </w:pPr>
            <w:r>
              <w:rPr>
                <w:rFonts w:ascii="Arial" w:hAnsi="Arial"/>
                <w:color w:val="000000"/>
                <w:sz w:val="18"/>
                <w:szCs w:val="18"/>
              </w:rPr>
              <w:t>81.567.762</w:t>
            </w:r>
          </w:p>
        </w:tc>
        <w:tc>
          <w:tcPr>
            <w:tcW w:w="1635" w:type="dxa"/>
            <w:tcBorders>
              <w:top w:val="single" w:sz="4" w:space="0" w:color="auto"/>
              <w:bottom w:val="single" w:sz="4" w:space="0" w:color="auto"/>
            </w:tcBorders>
            <w:shd w:val="clear" w:color="auto" w:fill="B8CCE4" w:themeFill="accent1" w:themeFillTint="66"/>
            <w:vAlign w:val="center"/>
          </w:tcPr>
          <w:p w:rsidR="00484F27" w:rsidRPr="005B3CA8" w:rsidRDefault="00647BAD" w:rsidP="00B313BF">
            <w:pPr>
              <w:spacing w:after="0"/>
              <w:ind w:left="284" w:right="115" w:firstLine="0"/>
              <w:jc w:val="right"/>
              <w:rPr>
                <w:rFonts w:ascii="Arial" w:hAnsi="Arial" w:cs="Arial"/>
                <w:color w:val="000000"/>
                <w:sz w:val="18"/>
                <w:szCs w:val="18"/>
              </w:rPr>
            </w:pPr>
            <w:r>
              <w:rPr>
                <w:rFonts w:ascii="Arial" w:hAnsi="Arial"/>
                <w:color w:val="000000"/>
                <w:sz w:val="18"/>
                <w:szCs w:val="18"/>
              </w:rPr>
              <w:t>113.287.442</w:t>
            </w:r>
          </w:p>
        </w:tc>
      </w:tr>
    </w:tbl>
    <w:p w:rsidR="00484F27" w:rsidRDefault="00484F27" w:rsidP="00484F27">
      <w:pPr>
        <w:pStyle w:val="texto"/>
        <w:tabs>
          <w:tab w:val="clear" w:pos="2835"/>
          <w:tab w:val="clear" w:pos="3969"/>
          <w:tab w:val="clear" w:pos="5103"/>
          <w:tab w:val="clear" w:pos="6237"/>
          <w:tab w:val="clear" w:pos="7371"/>
        </w:tabs>
        <w:rPr>
          <w:szCs w:val="26"/>
        </w:rPr>
      </w:pPr>
    </w:p>
    <w:p w:rsidR="00E56FD3" w:rsidRDefault="00647BAD" w:rsidP="00647BAD">
      <w:pPr>
        <w:pStyle w:val="texto"/>
        <w:tabs>
          <w:tab w:val="clear" w:pos="2835"/>
          <w:tab w:val="clear" w:pos="3969"/>
          <w:tab w:val="clear" w:pos="5103"/>
          <w:tab w:val="clear" w:pos="6237"/>
          <w:tab w:val="clear" w:pos="7371"/>
        </w:tabs>
        <w:jc w:val="center"/>
        <w:rPr>
          <w:szCs w:val="26"/>
        </w:rPr>
      </w:pPr>
      <w:r>
        <w:rPr>
          <w:noProof/>
          <w:lang w:val="es-ES" w:eastAsia="es-ES"/>
        </w:rPr>
        <w:drawing>
          <wp:inline distT="0" distB="0" distL="0" distR="0" wp14:anchorId="3068FA29" wp14:editId="4651D06F">
            <wp:extent cx="4572000" cy="2743200"/>
            <wp:effectExtent l="38100" t="0" r="19050" b="1905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84F27" w:rsidRDefault="00484F27" w:rsidP="00484F27">
      <w:pPr>
        <w:pStyle w:val="texto"/>
        <w:tabs>
          <w:tab w:val="clear" w:pos="2835"/>
          <w:tab w:val="clear" w:pos="3969"/>
          <w:tab w:val="clear" w:pos="5103"/>
          <w:tab w:val="clear" w:pos="6237"/>
          <w:tab w:val="clear" w:pos="7371"/>
        </w:tabs>
        <w:rPr>
          <w:szCs w:val="26"/>
        </w:rPr>
      </w:pPr>
      <w:r>
        <w:t>Guztizko zenbatekotik, nabarmendu behar dugu ehuneko 81 lurzorua desj</w:t>
      </w:r>
      <w:r>
        <w:t>a</w:t>
      </w:r>
      <w:r>
        <w:t>betzeen ordainketaren bitartez eskuratzeari dagokiola, eta  ehuneko 10 Naf</w:t>
      </w:r>
      <w:r>
        <w:t>a</w:t>
      </w:r>
      <w:r>
        <w:t xml:space="preserve">rroako Gobernuak zuzenean egindako kanpoko azpiegiturei dagokiela; ehuneko sei GHaren barruan sozietate kudeatzaileak eskuratutako higiezinei dagokie (eraikinak eta ibilgailu astunetarako aparkaleku bat), eta gainerakoa, funtsean sistema orokorretan egindako beste inbertsio batzuei dagokie. </w:t>
      </w:r>
    </w:p>
    <w:p w:rsidR="00484F27" w:rsidRDefault="00484F27" w:rsidP="00484F27">
      <w:pPr>
        <w:pStyle w:val="texto"/>
        <w:tabs>
          <w:tab w:val="clear" w:pos="2835"/>
          <w:tab w:val="clear" w:pos="3969"/>
          <w:tab w:val="clear" w:pos="5103"/>
          <w:tab w:val="clear" w:pos="6237"/>
          <w:tab w:val="clear" w:pos="7371"/>
        </w:tabs>
        <w:rPr>
          <w:szCs w:val="26"/>
        </w:rPr>
      </w:pPr>
      <w:r>
        <w:t>Faseei erreparatuta, 1.ak eta 2.ak inbertitutako guztiaren ehuneko 18 egiten dute; 3. eta 4. faseek, berriz, haren ehuneko 72 egiten dute. Faseen arteko bal</w:t>
      </w:r>
      <w:r>
        <w:t>o</w:t>
      </w:r>
      <w:r>
        <w:t>razio hori bereziki desjabetzeen kostuak azaltzen du.</w:t>
      </w:r>
    </w:p>
    <w:p w:rsidR="00484F27" w:rsidRDefault="006E4420" w:rsidP="00803A49">
      <w:pPr>
        <w:pStyle w:val="texto"/>
        <w:tabs>
          <w:tab w:val="clear" w:pos="2835"/>
          <w:tab w:val="clear" w:pos="3969"/>
          <w:tab w:val="clear" w:pos="5103"/>
          <w:tab w:val="clear" w:pos="6237"/>
          <w:tab w:val="clear" w:pos="7371"/>
        </w:tabs>
        <w:spacing w:after="240"/>
        <w:rPr>
          <w:szCs w:val="26"/>
        </w:rPr>
      </w:pPr>
      <w:r>
        <w:rPr>
          <w:b/>
        </w:rPr>
        <w:t>Berrogeita zortzigarrena.</w:t>
      </w:r>
      <w:r>
        <w:t xml:space="preserve"> GHak zuzenean lortutako finantzaketa —zeina heldu baita sozietate kudeatzaileak bere jardueraren beraren eta Nafarroako Gobernuaren ekarpenen bidez lortutako diru-sarreretatik— 105,18 milioi eur</w:t>
      </w:r>
      <w:r>
        <w:t>o</w:t>
      </w:r>
      <w:r>
        <w:t xml:space="preserve">koa da, honako taula eta irudi honen arabera: </w:t>
      </w:r>
    </w:p>
    <w:tbl>
      <w:tblPr>
        <w:tblStyle w:val="TableNormal"/>
        <w:tblW w:w="8775" w:type="dxa"/>
        <w:jc w:val="center"/>
        <w:tblInd w:w="-13" w:type="dxa"/>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3578"/>
        <w:gridCol w:w="1275"/>
        <w:gridCol w:w="1174"/>
        <w:gridCol w:w="1283"/>
        <w:gridCol w:w="1465"/>
      </w:tblGrid>
      <w:tr w:rsidR="00484F27" w:rsidRPr="00DA5BC7" w:rsidTr="00803A49">
        <w:trPr>
          <w:trHeight w:val="284"/>
          <w:jc w:val="center"/>
        </w:trPr>
        <w:tc>
          <w:tcPr>
            <w:tcW w:w="3578" w:type="dxa"/>
            <w:tcBorders>
              <w:top w:val="single" w:sz="4" w:space="0" w:color="auto"/>
              <w:bottom w:val="single" w:sz="4" w:space="0" w:color="auto"/>
            </w:tcBorders>
            <w:shd w:val="clear" w:color="auto" w:fill="B8CCE4" w:themeFill="accent1" w:themeFillTint="66"/>
            <w:vAlign w:val="center"/>
          </w:tcPr>
          <w:p w:rsidR="00484F27" w:rsidRDefault="00484F27" w:rsidP="006A41AE">
            <w:pPr>
              <w:spacing w:after="0"/>
              <w:ind w:firstLine="0"/>
              <w:rPr>
                <w:rFonts w:ascii="Arial" w:hAnsi="Arial" w:cs="Arial"/>
                <w:color w:val="000000"/>
                <w:sz w:val="18"/>
                <w:szCs w:val="18"/>
              </w:rPr>
            </w:pPr>
            <w:r>
              <w:rPr>
                <w:rFonts w:ascii="Arial" w:hAnsi="Arial"/>
                <w:color w:val="000000"/>
                <w:sz w:val="18"/>
                <w:szCs w:val="18"/>
              </w:rPr>
              <w:t>GHaren finantzaketa</w:t>
            </w:r>
          </w:p>
        </w:tc>
        <w:tc>
          <w:tcPr>
            <w:tcW w:w="1275" w:type="dxa"/>
            <w:tcBorders>
              <w:top w:val="single" w:sz="4" w:space="0" w:color="auto"/>
              <w:bottom w:val="single" w:sz="4" w:space="0" w:color="auto"/>
            </w:tcBorders>
            <w:shd w:val="clear" w:color="auto" w:fill="B8CCE4" w:themeFill="accent1" w:themeFillTint="66"/>
            <w:vAlign w:val="center"/>
          </w:tcPr>
          <w:p w:rsidR="00484F27" w:rsidRPr="005B3CA8" w:rsidRDefault="00484F27" w:rsidP="006A41AE">
            <w:pPr>
              <w:spacing w:after="0"/>
              <w:ind w:left="142" w:right="141" w:firstLine="0"/>
              <w:jc w:val="right"/>
              <w:rPr>
                <w:rFonts w:ascii="Arial" w:hAnsi="Arial" w:cs="Arial"/>
                <w:color w:val="000000"/>
                <w:sz w:val="18"/>
                <w:szCs w:val="18"/>
              </w:rPr>
            </w:pPr>
            <w:r>
              <w:rPr>
                <w:rFonts w:ascii="Arial" w:hAnsi="Arial"/>
                <w:color w:val="000000"/>
                <w:sz w:val="18"/>
                <w:szCs w:val="18"/>
              </w:rPr>
              <w:t>Komunak</w:t>
            </w:r>
          </w:p>
        </w:tc>
        <w:tc>
          <w:tcPr>
            <w:tcW w:w="1174" w:type="dxa"/>
            <w:tcBorders>
              <w:top w:val="single" w:sz="4" w:space="0" w:color="auto"/>
              <w:bottom w:val="single" w:sz="4" w:space="0" w:color="auto"/>
            </w:tcBorders>
            <w:shd w:val="clear" w:color="auto" w:fill="B8CCE4" w:themeFill="accent1" w:themeFillTint="66"/>
            <w:vAlign w:val="center"/>
          </w:tcPr>
          <w:p w:rsidR="00484F27" w:rsidRPr="00DA5BC7" w:rsidRDefault="00484F27" w:rsidP="006A41AE">
            <w:pPr>
              <w:spacing w:after="0"/>
              <w:ind w:left="37" w:right="-1" w:firstLine="0"/>
              <w:jc w:val="right"/>
              <w:rPr>
                <w:rFonts w:ascii="Arial" w:hAnsi="Arial" w:cs="Arial"/>
                <w:color w:val="000000"/>
                <w:sz w:val="18"/>
                <w:szCs w:val="18"/>
              </w:rPr>
            </w:pPr>
            <w:r>
              <w:rPr>
                <w:rFonts w:ascii="Arial" w:hAnsi="Arial"/>
                <w:color w:val="000000"/>
                <w:sz w:val="18"/>
                <w:szCs w:val="18"/>
              </w:rPr>
              <w:t>1. eta 2. f</w:t>
            </w:r>
            <w:r>
              <w:rPr>
                <w:rFonts w:ascii="Arial" w:hAnsi="Arial"/>
                <w:color w:val="000000"/>
                <w:sz w:val="18"/>
                <w:szCs w:val="18"/>
              </w:rPr>
              <w:t>a</w:t>
            </w:r>
            <w:r>
              <w:rPr>
                <w:rFonts w:ascii="Arial" w:hAnsi="Arial"/>
                <w:color w:val="000000"/>
                <w:sz w:val="18"/>
                <w:szCs w:val="18"/>
              </w:rPr>
              <w:t>seak</w:t>
            </w:r>
          </w:p>
        </w:tc>
        <w:tc>
          <w:tcPr>
            <w:tcW w:w="1283" w:type="dxa"/>
            <w:tcBorders>
              <w:top w:val="single" w:sz="4" w:space="0" w:color="auto"/>
              <w:bottom w:val="single" w:sz="4" w:space="0" w:color="auto"/>
            </w:tcBorders>
            <w:shd w:val="clear" w:color="auto" w:fill="B8CCE4" w:themeFill="accent1" w:themeFillTint="66"/>
            <w:vAlign w:val="center"/>
          </w:tcPr>
          <w:p w:rsidR="00484F27" w:rsidRPr="00DA5BC7" w:rsidRDefault="00484F27" w:rsidP="006A41AE">
            <w:pPr>
              <w:spacing w:after="0"/>
              <w:ind w:left="107" w:firstLine="0"/>
              <w:jc w:val="right"/>
              <w:rPr>
                <w:rFonts w:ascii="Arial" w:hAnsi="Arial" w:cs="Arial"/>
                <w:color w:val="000000"/>
                <w:sz w:val="18"/>
                <w:szCs w:val="18"/>
              </w:rPr>
            </w:pPr>
            <w:r>
              <w:rPr>
                <w:rFonts w:ascii="Arial" w:hAnsi="Arial"/>
                <w:color w:val="000000"/>
                <w:sz w:val="18"/>
                <w:szCs w:val="18"/>
              </w:rPr>
              <w:t>3. eta 4. f</w:t>
            </w:r>
            <w:r>
              <w:rPr>
                <w:rFonts w:ascii="Arial" w:hAnsi="Arial"/>
                <w:color w:val="000000"/>
                <w:sz w:val="18"/>
                <w:szCs w:val="18"/>
              </w:rPr>
              <w:t>a</w:t>
            </w:r>
            <w:r>
              <w:rPr>
                <w:rFonts w:ascii="Arial" w:hAnsi="Arial"/>
                <w:color w:val="000000"/>
                <w:sz w:val="18"/>
                <w:szCs w:val="18"/>
              </w:rPr>
              <w:t>seak</w:t>
            </w:r>
          </w:p>
        </w:tc>
        <w:tc>
          <w:tcPr>
            <w:tcW w:w="1465" w:type="dxa"/>
            <w:tcBorders>
              <w:top w:val="single" w:sz="4" w:space="0" w:color="auto"/>
              <w:bottom w:val="single" w:sz="4" w:space="0" w:color="auto"/>
            </w:tcBorders>
            <w:shd w:val="clear" w:color="auto" w:fill="B8CCE4" w:themeFill="accent1" w:themeFillTint="66"/>
            <w:vAlign w:val="center"/>
          </w:tcPr>
          <w:p w:rsidR="00484F27" w:rsidRPr="00DA5BC7" w:rsidRDefault="00484F27" w:rsidP="006A41AE">
            <w:pPr>
              <w:spacing w:after="0"/>
              <w:ind w:left="206" w:right="115" w:firstLine="0"/>
              <w:jc w:val="right"/>
              <w:rPr>
                <w:rFonts w:ascii="Arial" w:hAnsi="Arial" w:cs="Arial"/>
                <w:color w:val="000000"/>
                <w:sz w:val="18"/>
                <w:szCs w:val="18"/>
              </w:rPr>
            </w:pPr>
            <w:r>
              <w:rPr>
                <w:rFonts w:ascii="Arial" w:hAnsi="Arial"/>
                <w:color w:val="000000"/>
                <w:sz w:val="18"/>
                <w:szCs w:val="18"/>
              </w:rPr>
              <w:t>Guztira</w:t>
            </w:r>
          </w:p>
        </w:tc>
      </w:tr>
      <w:tr w:rsidR="00484F27" w:rsidRPr="00C33F56" w:rsidTr="00803A49">
        <w:trPr>
          <w:trHeight w:val="284"/>
          <w:jc w:val="center"/>
        </w:trPr>
        <w:tc>
          <w:tcPr>
            <w:tcW w:w="3578" w:type="dxa"/>
            <w:tcBorders>
              <w:top w:val="single" w:sz="4" w:space="0" w:color="auto"/>
            </w:tcBorders>
            <w:vAlign w:val="center"/>
          </w:tcPr>
          <w:p w:rsidR="00484F27" w:rsidRPr="00C33F56" w:rsidRDefault="00484F27" w:rsidP="006A41AE">
            <w:pPr>
              <w:widowControl/>
              <w:spacing w:after="0"/>
              <w:ind w:firstLine="0"/>
              <w:rPr>
                <w:rFonts w:ascii="Arial Narrow" w:hAnsi="Arial Narrow"/>
                <w:color w:val="000000"/>
                <w:sz w:val="20"/>
                <w:szCs w:val="20"/>
              </w:rPr>
            </w:pPr>
            <w:r>
              <w:rPr>
                <w:rFonts w:ascii="Arial Narrow" w:hAnsi="Arial Narrow"/>
                <w:color w:val="000000"/>
                <w:sz w:val="20"/>
                <w:szCs w:val="20"/>
              </w:rPr>
              <w:t>NGaren kapital-gehikuntzak</w:t>
            </w:r>
          </w:p>
        </w:tc>
        <w:tc>
          <w:tcPr>
            <w:tcW w:w="1275" w:type="dxa"/>
            <w:tcBorders>
              <w:top w:val="single" w:sz="4" w:space="0" w:color="auto"/>
            </w:tcBorders>
            <w:vAlign w:val="center"/>
          </w:tcPr>
          <w:p w:rsidR="00484F27" w:rsidRPr="00B91961" w:rsidRDefault="00484F27" w:rsidP="006A41AE">
            <w:pPr>
              <w:widowControl/>
              <w:spacing w:after="0"/>
              <w:ind w:left="142" w:right="141" w:firstLine="0"/>
              <w:jc w:val="right"/>
              <w:rPr>
                <w:rFonts w:ascii="Arial Narrow" w:hAnsi="Arial Narrow"/>
                <w:sz w:val="20"/>
                <w:szCs w:val="20"/>
              </w:rPr>
            </w:pPr>
            <w:r>
              <w:rPr>
                <w:rFonts w:ascii="Arial Narrow" w:hAnsi="Arial Narrow"/>
                <w:sz w:val="20"/>
                <w:szCs w:val="20"/>
              </w:rPr>
              <w:t>15.670.139</w:t>
            </w:r>
          </w:p>
        </w:tc>
        <w:tc>
          <w:tcPr>
            <w:tcW w:w="1174" w:type="dxa"/>
            <w:tcBorders>
              <w:top w:val="single" w:sz="4" w:space="0" w:color="auto"/>
            </w:tcBorders>
            <w:vAlign w:val="center"/>
          </w:tcPr>
          <w:p w:rsidR="00484F27" w:rsidRPr="00C33F56" w:rsidRDefault="00484F27" w:rsidP="006A41AE">
            <w:pPr>
              <w:widowControl/>
              <w:spacing w:after="0"/>
              <w:ind w:left="37" w:right="-1" w:firstLine="0"/>
              <w:jc w:val="right"/>
              <w:rPr>
                <w:rFonts w:ascii="Arial Narrow" w:hAnsi="Arial Narrow"/>
                <w:color w:val="000000"/>
                <w:sz w:val="20"/>
                <w:szCs w:val="20"/>
                <w:lang w:eastAsia="es-ES"/>
              </w:rPr>
            </w:pPr>
          </w:p>
        </w:tc>
        <w:tc>
          <w:tcPr>
            <w:tcW w:w="1283" w:type="dxa"/>
            <w:tcBorders>
              <w:top w:val="single" w:sz="4" w:space="0" w:color="auto"/>
            </w:tcBorders>
            <w:vAlign w:val="center"/>
          </w:tcPr>
          <w:p w:rsidR="00484F27" w:rsidRPr="00C33F56" w:rsidRDefault="00484F27" w:rsidP="006A41AE">
            <w:pPr>
              <w:widowControl/>
              <w:spacing w:after="0"/>
              <w:ind w:left="107" w:firstLine="0"/>
              <w:jc w:val="right"/>
              <w:rPr>
                <w:rFonts w:ascii="Arial Narrow" w:hAnsi="Arial Narrow"/>
                <w:color w:val="000000"/>
                <w:sz w:val="20"/>
                <w:szCs w:val="20"/>
                <w:lang w:eastAsia="es-ES"/>
              </w:rPr>
            </w:pPr>
          </w:p>
        </w:tc>
        <w:tc>
          <w:tcPr>
            <w:tcW w:w="1465" w:type="dxa"/>
            <w:tcBorders>
              <w:top w:val="single" w:sz="4" w:space="0" w:color="auto"/>
            </w:tcBorders>
            <w:vAlign w:val="center"/>
          </w:tcPr>
          <w:p w:rsidR="00484F27" w:rsidRPr="00C33F56" w:rsidRDefault="00484F27" w:rsidP="006A41AE">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15.670.139</w:t>
            </w:r>
          </w:p>
        </w:tc>
      </w:tr>
      <w:tr w:rsidR="00484F27" w:rsidRPr="00C33F56" w:rsidTr="00803A49">
        <w:trPr>
          <w:trHeight w:val="284"/>
          <w:jc w:val="center"/>
        </w:trPr>
        <w:tc>
          <w:tcPr>
            <w:tcW w:w="3578" w:type="dxa"/>
            <w:tcBorders>
              <w:top w:val="single" w:sz="4" w:space="0" w:color="auto"/>
            </w:tcBorders>
            <w:vAlign w:val="center"/>
          </w:tcPr>
          <w:p w:rsidR="00484F27" w:rsidRPr="00C33F56" w:rsidRDefault="00484F27" w:rsidP="006A41AE">
            <w:pPr>
              <w:widowControl/>
              <w:spacing w:after="0"/>
              <w:ind w:firstLine="0"/>
              <w:rPr>
                <w:rFonts w:ascii="Arial Narrow" w:hAnsi="Arial Narrow"/>
                <w:color w:val="000000"/>
                <w:sz w:val="20"/>
                <w:szCs w:val="20"/>
              </w:rPr>
            </w:pPr>
            <w:r>
              <w:rPr>
                <w:rFonts w:ascii="Arial Narrow" w:hAnsi="Arial Narrow"/>
                <w:color w:val="000000"/>
                <w:sz w:val="20"/>
                <w:szCs w:val="20"/>
              </w:rPr>
              <w:t>CPEN bazkidearen ekarpenak</w:t>
            </w:r>
          </w:p>
        </w:tc>
        <w:tc>
          <w:tcPr>
            <w:tcW w:w="1275" w:type="dxa"/>
            <w:tcBorders>
              <w:top w:val="single" w:sz="4" w:space="0" w:color="auto"/>
            </w:tcBorders>
            <w:vAlign w:val="center"/>
          </w:tcPr>
          <w:p w:rsidR="00484F27" w:rsidRPr="00B91961" w:rsidRDefault="00484F27" w:rsidP="006A41AE">
            <w:pPr>
              <w:widowControl/>
              <w:spacing w:after="0"/>
              <w:ind w:left="142" w:right="141" w:firstLine="0"/>
              <w:jc w:val="right"/>
              <w:rPr>
                <w:rFonts w:ascii="Arial Narrow" w:hAnsi="Arial Narrow"/>
                <w:sz w:val="20"/>
                <w:szCs w:val="20"/>
              </w:rPr>
            </w:pPr>
            <w:r>
              <w:rPr>
                <w:rFonts w:ascii="Arial Narrow" w:hAnsi="Arial Narrow"/>
                <w:sz w:val="20"/>
                <w:szCs w:val="20"/>
              </w:rPr>
              <w:t>2.091.540</w:t>
            </w:r>
          </w:p>
        </w:tc>
        <w:tc>
          <w:tcPr>
            <w:tcW w:w="1174" w:type="dxa"/>
            <w:tcBorders>
              <w:top w:val="single" w:sz="4" w:space="0" w:color="auto"/>
            </w:tcBorders>
            <w:vAlign w:val="center"/>
          </w:tcPr>
          <w:p w:rsidR="00484F27" w:rsidRPr="00C33F56" w:rsidRDefault="00484F27" w:rsidP="006A41AE">
            <w:pPr>
              <w:spacing w:after="0"/>
              <w:ind w:left="37" w:right="-1" w:firstLine="0"/>
              <w:jc w:val="right"/>
              <w:rPr>
                <w:rFonts w:ascii="Arial Narrow" w:hAnsi="Arial Narrow"/>
                <w:color w:val="000000"/>
                <w:lang w:eastAsia="es-ES"/>
              </w:rPr>
            </w:pPr>
          </w:p>
        </w:tc>
        <w:tc>
          <w:tcPr>
            <w:tcW w:w="1283" w:type="dxa"/>
            <w:tcBorders>
              <w:top w:val="single" w:sz="4" w:space="0" w:color="auto"/>
            </w:tcBorders>
            <w:vAlign w:val="center"/>
          </w:tcPr>
          <w:p w:rsidR="00484F27" w:rsidRPr="00C33F56" w:rsidRDefault="00484F27" w:rsidP="006A41AE">
            <w:pPr>
              <w:spacing w:after="0"/>
              <w:ind w:left="107" w:firstLine="0"/>
              <w:jc w:val="right"/>
              <w:rPr>
                <w:rFonts w:ascii="Arial Narrow" w:hAnsi="Arial Narrow"/>
                <w:color w:val="000000"/>
                <w:lang w:eastAsia="es-ES"/>
              </w:rPr>
            </w:pPr>
          </w:p>
        </w:tc>
        <w:tc>
          <w:tcPr>
            <w:tcW w:w="1465" w:type="dxa"/>
            <w:tcBorders>
              <w:top w:val="single" w:sz="4" w:space="0" w:color="auto"/>
            </w:tcBorders>
            <w:vAlign w:val="center"/>
          </w:tcPr>
          <w:p w:rsidR="00484F27" w:rsidRPr="00C33F56" w:rsidRDefault="00484F27" w:rsidP="006A41AE">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2.091.540</w:t>
            </w:r>
          </w:p>
        </w:tc>
      </w:tr>
      <w:tr w:rsidR="00484F27" w:rsidRPr="006A5D48" w:rsidTr="00803A49">
        <w:trPr>
          <w:trHeight w:val="284"/>
          <w:jc w:val="center"/>
        </w:trPr>
        <w:tc>
          <w:tcPr>
            <w:tcW w:w="3578" w:type="dxa"/>
            <w:tcBorders>
              <w:top w:val="single" w:sz="4" w:space="0" w:color="auto"/>
            </w:tcBorders>
            <w:vAlign w:val="center"/>
          </w:tcPr>
          <w:p w:rsidR="00484F27" w:rsidRPr="006A5D48" w:rsidRDefault="00484F27" w:rsidP="006A41AE">
            <w:pPr>
              <w:widowControl/>
              <w:spacing w:after="0"/>
              <w:ind w:firstLine="0"/>
              <w:rPr>
                <w:rFonts w:ascii="Arial Narrow" w:hAnsi="Arial Narrow"/>
                <w:color w:val="000000"/>
                <w:sz w:val="20"/>
                <w:szCs w:val="20"/>
              </w:rPr>
            </w:pPr>
            <w:r>
              <w:rPr>
                <w:rFonts w:ascii="Arial Narrow" w:hAnsi="Arial Narrow"/>
                <w:color w:val="000000"/>
                <w:sz w:val="20"/>
                <w:szCs w:val="20"/>
              </w:rPr>
              <w:t>NGaren diru-laguntza, 5/2017 FLaren kreditu bereziaz</w:t>
            </w:r>
          </w:p>
        </w:tc>
        <w:tc>
          <w:tcPr>
            <w:tcW w:w="1275" w:type="dxa"/>
            <w:tcBorders>
              <w:top w:val="single" w:sz="4" w:space="0" w:color="auto"/>
            </w:tcBorders>
            <w:vAlign w:val="center"/>
          </w:tcPr>
          <w:p w:rsidR="00484F27" w:rsidRPr="006A5D48"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6A5D48" w:rsidRDefault="00484F27" w:rsidP="006A41AE">
            <w:pPr>
              <w:widowControl/>
              <w:spacing w:after="0"/>
              <w:ind w:left="37" w:right="-1" w:firstLine="0"/>
              <w:jc w:val="right"/>
              <w:rPr>
                <w:rFonts w:ascii="Arial Narrow" w:hAnsi="Arial Narrow"/>
                <w:color w:val="000000"/>
                <w:sz w:val="20"/>
                <w:szCs w:val="20"/>
                <w:lang w:eastAsia="es-ES"/>
              </w:rPr>
            </w:pPr>
          </w:p>
        </w:tc>
        <w:tc>
          <w:tcPr>
            <w:tcW w:w="1283" w:type="dxa"/>
            <w:tcBorders>
              <w:top w:val="single" w:sz="4" w:space="0" w:color="auto"/>
            </w:tcBorders>
            <w:vAlign w:val="center"/>
          </w:tcPr>
          <w:p w:rsidR="00484F27" w:rsidRPr="006A5D48" w:rsidRDefault="00484F27" w:rsidP="006A41AE">
            <w:pPr>
              <w:spacing w:after="0"/>
              <w:ind w:left="107" w:firstLine="0"/>
              <w:jc w:val="right"/>
              <w:rPr>
                <w:rFonts w:ascii="Arial Narrow" w:hAnsi="Arial Narrow"/>
                <w:color w:val="000000"/>
                <w:sz w:val="20"/>
                <w:szCs w:val="20"/>
              </w:rPr>
            </w:pPr>
            <w:r>
              <w:rPr>
                <w:rFonts w:ascii="Arial Narrow" w:hAnsi="Arial Narrow"/>
                <w:color w:val="000000"/>
                <w:sz w:val="20"/>
                <w:szCs w:val="20"/>
              </w:rPr>
              <w:t>51.365.000</w:t>
            </w:r>
          </w:p>
        </w:tc>
        <w:tc>
          <w:tcPr>
            <w:tcW w:w="1465" w:type="dxa"/>
            <w:tcBorders>
              <w:top w:val="single" w:sz="4" w:space="0" w:color="auto"/>
            </w:tcBorders>
            <w:vAlign w:val="center"/>
          </w:tcPr>
          <w:p w:rsidR="00484F27" w:rsidRPr="006A5D48" w:rsidRDefault="00484F27" w:rsidP="006A41AE">
            <w:pPr>
              <w:spacing w:after="0"/>
              <w:ind w:left="206" w:right="115" w:firstLine="0"/>
              <w:jc w:val="right"/>
              <w:rPr>
                <w:rFonts w:ascii="Arial Narrow" w:hAnsi="Arial Narrow"/>
                <w:color w:val="000000"/>
                <w:sz w:val="20"/>
                <w:szCs w:val="20"/>
              </w:rPr>
            </w:pPr>
            <w:r>
              <w:rPr>
                <w:rFonts w:ascii="Arial Narrow" w:hAnsi="Arial Narrow"/>
                <w:color w:val="000000"/>
                <w:sz w:val="20"/>
                <w:szCs w:val="20"/>
              </w:rPr>
              <w:t>51.365.000</w:t>
            </w:r>
          </w:p>
        </w:tc>
      </w:tr>
      <w:tr w:rsidR="00484F27" w:rsidRPr="00612D84" w:rsidTr="00803A49">
        <w:trPr>
          <w:trHeight w:val="284"/>
          <w:jc w:val="center"/>
        </w:trPr>
        <w:tc>
          <w:tcPr>
            <w:tcW w:w="3578" w:type="dxa"/>
            <w:tcBorders>
              <w:top w:val="single" w:sz="4" w:space="0" w:color="auto"/>
            </w:tcBorders>
            <w:vAlign w:val="center"/>
          </w:tcPr>
          <w:p w:rsidR="00484F27" w:rsidRPr="007F08A5" w:rsidRDefault="00484F27" w:rsidP="006A41AE">
            <w:pPr>
              <w:widowControl/>
              <w:spacing w:after="0"/>
              <w:ind w:firstLine="0"/>
              <w:rPr>
                <w:rFonts w:ascii="Arial Narrow" w:hAnsi="Arial Narrow"/>
                <w:color w:val="000000"/>
                <w:sz w:val="20"/>
                <w:szCs w:val="20"/>
              </w:rPr>
            </w:pPr>
            <w:r>
              <w:rPr>
                <w:rFonts w:ascii="Arial Narrow" w:hAnsi="Arial Narrow"/>
                <w:color w:val="000000"/>
                <w:sz w:val="20"/>
                <w:szCs w:val="20"/>
              </w:rPr>
              <w:t xml:space="preserve">NGaren kapitaleko diru-laguntzak </w:t>
            </w:r>
            <w:r>
              <w:rPr>
                <w:rFonts w:ascii="Arial Narrow" w:hAnsi="Arial Narrow"/>
                <w:color w:val="000000"/>
                <w:sz w:val="20"/>
                <w:szCs w:val="20"/>
                <w:vertAlign w:val="superscript"/>
              </w:rPr>
              <w:t>(1)</w:t>
            </w:r>
          </w:p>
        </w:tc>
        <w:tc>
          <w:tcPr>
            <w:tcW w:w="1275" w:type="dxa"/>
            <w:tcBorders>
              <w:top w:val="single" w:sz="4" w:space="0" w:color="auto"/>
            </w:tcBorders>
            <w:vAlign w:val="center"/>
          </w:tcPr>
          <w:p w:rsidR="00484F27" w:rsidRPr="008E708D"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8E708D" w:rsidRDefault="00484F27" w:rsidP="006A41AE">
            <w:pPr>
              <w:widowControl/>
              <w:spacing w:after="0"/>
              <w:ind w:left="37" w:right="-1" w:firstLine="0"/>
              <w:jc w:val="right"/>
              <w:rPr>
                <w:rFonts w:ascii="Arial Narrow" w:hAnsi="Arial Narrow"/>
                <w:color w:val="000000"/>
                <w:sz w:val="20"/>
                <w:szCs w:val="20"/>
              </w:rPr>
            </w:pPr>
            <w:r>
              <w:rPr>
                <w:rFonts w:ascii="Arial Narrow" w:hAnsi="Arial Narrow"/>
                <w:color w:val="000000"/>
                <w:sz w:val="20"/>
                <w:szCs w:val="20"/>
              </w:rPr>
              <w:t>1.414.187</w:t>
            </w:r>
          </w:p>
        </w:tc>
        <w:tc>
          <w:tcPr>
            <w:tcW w:w="1283" w:type="dxa"/>
            <w:tcBorders>
              <w:top w:val="single" w:sz="4" w:space="0" w:color="auto"/>
            </w:tcBorders>
            <w:vAlign w:val="center"/>
          </w:tcPr>
          <w:p w:rsidR="00484F27" w:rsidRPr="008E708D" w:rsidRDefault="00484F27" w:rsidP="006A41AE">
            <w:pPr>
              <w:widowControl/>
              <w:spacing w:after="0"/>
              <w:ind w:left="107" w:firstLine="0"/>
              <w:jc w:val="right"/>
              <w:rPr>
                <w:rFonts w:ascii="Arial Narrow" w:hAnsi="Arial Narrow"/>
                <w:color w:val="000000"/>
                <w:sz w:val="20"/>
                <w:szCs w:val="20"/>
                <w:lang w:eastAsia="es-ES"/>
              </w:rPr>
            </w:pPr>
          </w:p>
        </w:tc>
        <w:tc>
          <w:tcPr>
            <w:tcW w:w="1465" w:type="dxa"/>
            <w:tcBorders>
              <w:top w:val="single" w:sz="4" w:space="0" w:color="auto"/>
            </w:tcBorders>
            <w:vAlign w:val="center"/>
          </w:tcPr>
          <w:p w:rsidR="00484F27" w:rsidRPr="008E708D" w:rsidRDefault="00484F27" w:rsidP="006A41AE">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1.414.187</w:t>
            </w:r>
          </w:p>
        </w:tc>
      </w:tr>
      <w:tr w:rsidR="00484F27" w:rsidRPr="00612D84" w:rsidTr="00803A49">
        <w:trPr>
          <w:trHeight w:val="284"/>
          <w:jc w:val="center"/>
        </w:trPr>
        <w:tc>
          <w:tcPr>
            <w:tcW w:w="3578" w:type="dxa"/>
            <w:tcBorders>
              <w:top w:val="single" w:sz="4" w:space="0" w:color="auto"/>
            </w:tcBorders>
            <w:vAlign w:val="center"/>
          </w:tcPr>
          <w:p w:rsidR="00484F27" w:rsidRPr="007F08A5" w:rsidRDefault="00484F27" w:rsidP="006A41AE">
            <w:pPr>
              <w:widowControl/>
              <w:spacing w:after="0"/>
              <w:ind w:firstLine="0"/>
              <w:rPr>
                <w:rFonts w:ascii="Arial Narrow" w:hAnsi="Arial Narrow"/>
                <w:color w:val="000000"/>
                <w:sz w:val="20"/>
                <w:szCs w:val="20"/>
              </w:rPr>
            </w:pPr>
            <w:r>
              <w:rPr>
                <w:rFonts w:ascii="Arial Narrow" w:hAnsi="Arial Narrow"/>
                <w:color w:val="000000"/>
                <w:sz w:val="20"/>
                <w:szCs w:val="20"/>
              </w:rPr>
              <w:t xml:space="preserve">NGaren ustiatzerako diru-laguntzak </w:t>
            </w:r>
            <w:r>
              <w:rPr>
                <w:rFonts w:ascii="Arial Narrow" w:hAnsi="Arial Narrow"/>
                <w:color w:val="000000"/>
                <w:sz w:val="20"/>
                <w:szCs w:val="20"/>
                <w:vertAlign w:val="superscript"/>
              </w:rPr>
              <w:t>(1)</w:t>
            </w:r>
          </w:p>
        </w:tc>
        <w:tc>
          <w:tcPr>
            <w:tcW w:w="1275" w:type="dxa"/>
            <w:tcBorders>
              <w:top w:val="single" w:sz="4" w:space="0" w:color="auto"/>
            </w:tcBorders>
            <w:vAlign w:val="center"/>
          </w:tcPr>
          <w:p w:rsidR="00484F27" w:rsidRPr="007F08A5"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7F08A5" w:rsidRDefault="00484F27" w:rsidP="006A41AE">
            <w:pPr>
              <w:widowControl/>
              <w:spacing w:after="0"/>
              <w:ind w:left="37" w:right="-1" w:firstLine="0"/>
              <w:jc w:val="right"/>
              <w:rPr>
                <w:rFonts w:ascii="Arial Narrow" w:hAnsi="Arial Narrow"/>
                <w:color w:val="000000"/>
                <w:sz w:val="20"/>
                <w:szCs w:val="20"/>
              </w:rPr>
            </w:pPr>
            <w:r>
              <w:rPr>
                <w:rFonts w:ascii="Arial Narrow" w:hAnsi="Arial Narrow"/>
                <w:color w:val="000000"/>
                <w:sz w:val="20"/>
                <w:szCs w:val="20"/>
              </w:rPr>
              <w:t>4.000.000</w:t>
            </w:r>
          </w:p>
        </w:tc>
        <w:tc>
          <w:tcPr>
            <w:tcW w:w="1283" w:type="dxa"/>
            <w:tcBorders>
              <w:top w:val="single" w:sz="4" w:space="0" w:color="auto"/>
            </w:tcBorders>
            <w:vAlign w:val="center"/>
          </w:tcPr>
          <w:p w:rsidR="00484F27" w:rsidRPr="007F08A5" w:rsidRDefault="00484F27" w:rsidP="006A41AE">
            <w:pPr>
              <w:widowControl/>
              <w:spacing w:after="0"/>
              <w:ind w:left="107" w:firstLine="0"/>
              <w:jc w:val="right"/>
              <w:rPr>
                <w:rFonts w:ascii="Arial Narrow" w:hAnsi="Arial Narrow"/>
                <w:color w:val="000000"/>
                <w:sz w:val="20"/>
                <w:szCs w:val="20"/>
                <w:lang w:eastAsia="es-ES"/>
              </w:rPr>
            </w:pPr>
          </w:p>
        </w:tc>
        <w:tc>
          <w:tcPr>
            <w:tcW w:w="1465" w:type="dxa"/>
            <w:tcBorders>
              <w:top w:val="single" w:sz="4" w:space="0" w:color="auto"/>
            </w:tcBorders>
            <w:vAlign w:val="center"/>
          </w:tcPr>
          <w:p w:rsidR="00484F27" w:rsidRPr="007F08A5" w:rsidRDefault="00484F27" w:rsidP="006A41AE">
            <w:pPr>
              <w:widowControl/>
              <w:spacing w:after="0"/>
              <w:ind w:left="206" w:right="115" w:firstLine="0"/>
              <w:jc w:val="right"/>
              <w:rPr>
                <w:rFonts w:ascii="Arial Narrow" w:hAnsi="Arial Narrow"/>
                <w:color w:val="000000"/>
                <w:sz w:val="20"/>
                <w:szCs w:val="20"/>
              </w:rPr>
            </w:pPr>
            <w:r>
              <w:rPr>
                <w:rFonts w:ascii="Arial Narrow" w:hAnsi="Arial Narrow"/>
                <w:color w:val="000000"/>
                <w:sz w:val="20"/>
                <w:szCs w:val="20"/>
              </w:rPr>
              <w:t>4.000.000</w:t>
            </w:r>
          </w:p>
        </w:tc>
      </w:tr>
      <w:tr w:rsidR="00484F27" w:rsidRPr="00612D84" w:rsidTr="00803A49">
        <w:trPr>
          <w:trHeight w:val="284"/>
          <w:jc w:val="center"/>
        </w:trPr>
        <w:tc>
          <w:tcPr>
            <w:tcW w:w="3578" w:type="dxa"/>
            <w:tcBorders>
              <w:top w:val="single" w:sz="4" w:space="0" w:color="auto"/>
            </w:tcBorders>
            <w:vAlign w:val="center"/>
          </w:tcPr>
          <w:p w:rsidR="00484F27" w:rsidRPr="007F08A5" w:rsidRDefault="00484F27" w:rsidP="006A41AE">
            <w:pPr>
              <w:widowControl/>
              <w:spacing w:after="0"/>
              <w:ind w:firstLine="0"/>
              <w:rPr>
                <w:rFonts w:ascii="Arial Narrow" w:hAnsi="Arial Narrow"/>
                <w:color w:val="000000"/>
                <w:sz w:val="20"/>
                <w:szCs w:val="20"/>
              </w:rPr>
            </w:pPr>
            <w:r>
              <w:rPr>
                <w:rFonts w:ascii="Arial Narrow" w:hAnsi="Arial Narrow"/>
                <w:color w:val="000000"/>
                <w:sz w:val="20"/>
                <w:szCs w:val="20"/>
              </w:rPr>
              <w:t>Lursailen salmenten gaineko portzentajearen diru-sarrerak</w:t>
            </w:r>
          </w:p>
        </w:tc>
        <w:tc>
          <w:tcPr>
            <w:tcW w:w="1275" w:type="dxa"/>
            <w:tcBorders>
              <w:top w:val="single" w:sz="4" w:space="0" w:color="auto"/>
            </w:tcBorders>
            <w:vAlign w:val="center"/>
          </w:tcPr>
          <w:p w:rsidR="00484F27" w:rsidRPr="007F08A5"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647BAD" w:rsidRDefault="00484F27" w:rsidP="006A41AE">
            <w:pPr>
              <w:widowControl/>
              <w:spacing w:after="0"/>
              <w:ind w:left="37" w:right="-1" w:firstLine="0"/>
              <w:jc w:val="right"/>
              <w:rPr>
                <w:rFonts w:ascii="Arial Narrow" w:hAnsi="Arial Narrow"/>
                <w:sz w:val="20"/>
                <w:szCs w:val="20"/>
              </w:rPr>
            </w:pPr>
            <w:r>
              <w:rPr>
                <w:rFonts w:ascii="Arial Narrow" w:hAnsi="Arial Narrow"/>
                <w:sz w:val="20"/>
                <w:szCs w:val="20"/>
              </w:rPr>
              <w:t>5.839.175</w:t>
            </w:r>
          </w:p>
        </w:tc>
        <w:tc>
          <w:tcPr>
            <w:tcW w:w="1283" w:type="dxa"/>
            <w:tcBorders>
              <w:top w:val="single" w:sz="4" w:space="0" w:color="auto"/>
            </w:tcBorders>
            <w:vAlign w:val="center"/>
          </w:tcPr>
          <w:p w:rsidR="00484F27" w:rsidRPr="00647BAD" w:rsidRDefault="00484F27" w:rsidP="006A41AE">
            <w:pPr>
              <w:widowControl/>
              <w:spacing w:after="0"/>
              <w:ind w:left="107" w:firstLine="0"/>
              <w:jc w:val="right"/>
              <w:rPr>
                <w:rFonts w:ascii="Arial Narrow" w:hAnsi="Arial Narrow"/>
                <w:sz w:val="20"/>
                <w:szCs w:val="20"/>
              </w:rPr>
            </w:pPr>
            <w:r>
              <w:rPr>
                <w:rFonts w:ascii="Arial Narrow" w:hAnsi="Arial Narrow"/>
                <w:sz w:val="20"/>
                <w:szCs w:val="20"/>
              </w:rPr>
              <w:t>4.798.147</w:t>
            </w:r>
          </w:p>
        </w:tc>
        <w:tc>
          <w:tcPr>
            <w:tcW w:w="1465" w:type="dxa"/>
            <w:tcBorders>
              <w:top w:val="single" w:sz="4" w:space="0" w:color="auto"/>
            </w:tcBorders>
            <w:vAlign w:val="center"/>
          </w:tcPr>
          <w:p w:rsidR="00484F27" w:rsidRPr="00647BAD" w:rsidRDefault="00484F27" w:rsidP="006A41AE">
            <w:pPr>
              <w:spacing w:after="0"/>
              <w:ind w:left="206" w:right="115" w:firstLine="0"/>
              <w:jc w:val="right"/>
              <w:rPr>
                <w:rFonts w:ascii="Arial Narrow" w:hAnsi="Arial Narrow"/>
                <w:sz w:val="20"/>
                <w:szCs w:val="20"/>
              </w:rPr>
            </w:pPr>
            <w:r>
              <w:rPr>
                <w:rFonts w:ascii="Arial Narrow" w:hAnsi="Arial Narrow"/>
                <w:sz w:val="20"/>
                <w:szCs w:val="20"/>
              </w:rPr>
              <w:t>10.637.322</w:t>
            </w:r>
          </w:p>
        </w:tc>
      </w:tr>
      <w:tr w:rsidR="00484F27" w:rsidRPr="00612D84" w:rsidTr="00803A49">
        <w:trPr>
          <w:trHeight w:val="284"/>
          <w:jc w:val="center"/>
        </w:trPr>
        <w:tc>
          <w:tcPr>
            <w:tcW w:w="3578" w:type="dxa"/>
            <w:tcBorders>
              <w:top w:val="single" w:sz="4" w:space="0" w:color="auto"/>
            </w:tcBorders>
            <w:vAlign w:val="center"/>
          </w:tcPr>
          <w:p w:rsidR="00484F27" w:rsidRPr="007F08A5" w:rsidRDefault="00484F27" w:rsidP="006A41AE">
            <w:pPr>
              <w:widowControl/>
              <w:spacing w:after="0"/>
              <w:ind w:firstLine="0"/>
              <w:rPr>
                <w:rFonts w:ascii="Arial Narrow" w:hAnsi="Arial Narrow"/>
                <w:color w:val="000000"/>
                <w:sz w:val="20"/>
                <w:szCs w:val="20"/>
              </w:rPr>
            </w:pPr>
            <w:r>
              <w:rPr>
                <w:rFonts w:ascii="Arial Narrow" w:hAnsi="Arial Narrow"/>
                <w:color w:val="000000"/>
                <w:sz w:val="20"/>
                <w:szCs w:val="20"/>
              </w:rPr>
              <w:t>Aldi baterako enpresa-elkarteak sortutako k</w:t>
            </w:r>
            <w:r>
              <w:rPr>
                <w:rFonts w:ascii="Arial Narrow" w:hAnsi="Arial Narrow"/>
                <w:color w:val="000000"/>
                <w:sz w:val="20"/>
                <w:szCs w:val="20"/>
              </w:rPr>
              <w:t>a</w:t>
            </w:r>
            <w:r>
              <w:rPr>
                <w:rFonts w:ascii="Arial Narrow" w:hAnsi="Arial Narrow"/>
                <w:color w:val="000000"/>
                <w:sz w:val="20"/>
                <w:szCs w:val="20"/>
              </w:rPr>
              <w:t xml:space="preserve">nona </w:t>
            </w:r>
            <w:r>
              <w:rPr>
                <w:rFonts w:ascii="Arial Narrow" w:hAnsi="Arial Narrow"/>
                <w:color w:val="000000"/>
                <w:sz w:val="20"/>
                <w:szCs w:val="20"/>
                <w:vertAlign w:val="superscript"/>
              </w:rPr>
              <w:t>(2)</w:t>
            </w:r>
          </w:p>
        </w:tc>
        <w:tc>
          <w:tcPr>
            <w:tcW w:w="1275" w:type="dxa"/>
            <w:tcBorders>
              <w:top w:val="single" w:sz="4" w:space="0" w:color="auto"/>
            </w:tcBorders>
            <w:vAlign w:val="center"/>
          </w:tcPr>
          <w:p w:rsidR="00484F27" w:rsidRPr="007F08A5" w:rsidRDefault="00484F27" w:rsidP="006A41AE">
            <w:pPr>
              <w:widowControl/>
              <w:spacing w:after="0"/>
              <w:ind w:left="142" w:right="141" w:firstLine="0"/>
              <w:jc w:val="right"/>
              <w:rPr>
                <w:rFonts w:ascii="Arial Narrow" w:hAnsi="Arial Narrow"/>
                <w:color w:val="000000"/>
                <w:sz w:val="20"/>
                <w:szCs w:val="20"/>
                <w:lang w:eastAsia="es-ES"/>
              </w:rPr>
            </w:pPr>
          </w:p>
        </w:tc>
        <w:tc>
          <w:tcPr>
            <w:tcW w:w="1174" w:type="dxa"/>
            <w:tcBorders>
              <w:top w:val="single" w:sz="4" w:space="0" w:color="auto"/>
            </w:tcBorders>
            <w:vAlign w:val="center"/>
          </w:tcPr>
          <w:p w:rsidR="00484F27" w:rsidRPr="007F08A5" w:rsidRDefault="00484F27" w:rsidP="006A41AE">
            <w:pPr>
              <w:widowControl/>
              <w:spacing w:after="0"/>
              <w:ind w:left="37" w:right="-1" w:firstLine="0"/>
              <w:jc w:val="right"/>
              <w:rPr>
                <w:rFonts w:ascii="Arial Narrow" w:hAnsi="Arial Narrow"/>
                <w:color w:val="000000"/>
                <w:sz w:val="20"/>
                <w:szCs w:val="20"/>
                <w:lang w:eastAsia="es-ES"/>
              </w:rPr>
            </w:pPr>
          </w:p>
        </w:tc>
        <w:tc>
          <w:tcPr>
            <w:tcW w:w="1283" w:type="dxa"/>
            <w:tcBorders>
              <w:top w:val="single" w:sz="4" w:space="0" w:color="auto"/>
            </w:tcBorders>
            <w:vAlign w:val="center"/>
          </w:tcPr>
          <w:p w:rsidR="00484F27" w:rsidRPr="007F08A5" w:rsidRDefault="00484F27" w:rsidP="006A41AE">
            <w:pPr>
              <w:widowControl/>
              <w:spacing w:after="0"/>
              <w:ind w:left="107" w:firstLine="0"/>
              <w:jc w:val="right"/>
              <w:rPr>
                <w:rFonts w:ascii="Arial Narrow" w:hAnsi="Arial Narrow"/>
                <w:color w:val="000000"/>
                <w:sz w:val="20"/>
                <w:szCs w:val="20"/>
              </w:rPr>
            </w:pPr>
            <w:r>
              <w:rPr>
                <w:rFonts w:ascii="Arial Narrow" w:hAnsi="Arial Narrow"/>
                <w:color w:val="000000"/>
                <w:sz w:val="20"/>
                <w:szCs w:val="20"/>
              </w:rPr>
              <w:t>20.002.095</w:t>
            </w:r>
          </w:p>
        </w:tc>
        <w:tc>
          <w:tcPr>
            <w:tcW w:w="1465" w:type="dxa"/>
            <w:tcBorders>
              <w:top w:val="single" w:sz="4" w:space="0" w:color="auto"/>
            </w:tcBorders>
            <w:vAlign w:val="center"/>
          </w:tcPr>
          <w:p w:rsidR="00484F27" w:rsidRPr="00405EBB" w:rsidRDefault="00484F27" w:rsidP="006A41AE">
            <w:pPr>
              <w:spacing w:after="0"/>
              <w:ind w:left="206" w:right="115" w:firstLine="0"/>
              <w:jc w:val="right"/>
              <w:rPr>
                <w:rFonts w:ascii="Arial Narrow" w:hAnsi="Arial Narrow"/>
                <w:color w:val="000000"/>
                <w:sz w:val="20"/>
                <w:szCs w:val="20"/>
              </w:rPr>
            </w:pPr>
            <w:r>
              <w:rPr>
                <w:rFonts w:ascii="Arial Narrow" w:hAnsi="Arial Narrow"/>
                <w:color w:val="000000"/>
                <w:sz w:val="20"/>
                <w:szCs w:val="20"/>
              </w:rPr>
              <w:t>20.002.095</w:t>
            </w:r>
          </w:p>
        </w:tc>
      </w:tr>
      <w:tr w:rsidR="00484F27" w:rsidRPr="00612D84" w:rsidTr="00803A49">
        <w:trPr>
          <w:trHeight w:val="284"/>
          <w:jc w:val="center"/>
        </w:trPr>
        <w:tc>
          <w:tcPr>
            <w:tcW w:w="3578" w:type="dxa"/>
            <w:tcBorders>
              <w:bottom w:val="single" w:sz="4" w:space="0" w:color="auto"/>
            </w:tcBorders>
            <w:shd w:val="clear" w:color="auto" w:fill="B8CCE4" w:themeFill="accent1" w:themeFillTint="66"/>
            <w:vAlign w:val="center"/>
          </w:tcPr>
          <w:p w:rsidR="00484F27" w:rsidRPr="005B3CA8" w:rsidRDefault="00484F27" w:rsidP="006A41AE">
            <w:pPr>
              <w:spacing w:after="0"/>
              <w:ind w:firstLine="0"/>
              <w:rPr>
                <w:rFonts w:ascii="Arial" w:hAnsi="Arial" w:cs="Arial"/>
                <w:color w:val="000000"/>
                <w:sz w:val="18"/>
                <w:szCs w:val="18"/>
              </w:rPr>
            </w:pPr>
            <w:r>
              <w:rPr>
                <w:rFonts w:ascii="Arial" w:hAnsi="Arial"/>
                <w:color w:val="000000"/>
                <w:sz w:val="18"/>
                <w:szCs w:val="18"/>
              </w:rPr>
              <w:t>Guztizkoa 2017-12-31n</w:t>
            </w:r>
          </w:p>
        </w:tc>
        <w:tc>
          <w:tcPr>
            <w:tcW w:w="1275" w:type="dxa"/>
            <w:tcBorders>
              <w:bottom w:val="single" w:sz="4" w:space="0" w:color="auto"/>
            </w:tcBorders>
            <w:shd w:val="clear" w:color="auto" w:fill="B8CCE4" w:themeFill="accent1" w:themeFillTint="66"/>
            <w:vAlign w:val="center"/>
          </w:tcPr>
          <w:p w:rsidR="00484F27" w:rsidRPr="005B3CA8" w:rsidRDefault="00484F27" w:rsidP="006A41AE">
            <w:pPr>
              <w:spacing w:after="0"/>
              <w:ind w:left="142" w:right="141" w:firstLine="0"/>
              <w:jc w:val="right"/>
              <w:rPr>
                <w:rFonts w:ascii="Arial" w:hAnsi="Arial" w:cs="Arial"/>
                <w:color w:val="000000"/>
                <w:sz w:val="18"/>
                <w:szCs w:val="18"/>
              </w:rPr>
            </w:pPr>
            <w:r>
              <w:rPr>
                <w:rFonts w:ascii="Arial" w:hAnsi="Arial"/>
                <w:color w:val="000000"/>
                <w:sz w:val="18"/>
                <w:szCs w:val="18"/>
              </w:rPr>
              <w:t>17.761.679</w:t>
            </w:r>
          </w:p>
        </w:tc>
        <w:tc>
          <w:tcPr>
            <w:tcW w:w="1174" w:type="dxa"/>
            <w:tcBorders>
              <w:bottom w:val="single" w:sz="4" w:space="0" w:color="auto"/>
            </w:tcBorders>
            <w:shd w:val="clear" w:color="auto" w:fill="B8CCE4" w:themeFill="accent1" w:themeFillTint="66"/>
            <w:vAlign w:val="center"/>
          </w:tcPr>
          <w:p w:rsidR="00484F27" w:rsidRPr="00E3179F" w:rsidRDefault="00484F27" w:rsidP="006A41AE">
            <w:pPr>
              <w:spacing w:after="0"/>
              <w:ind w:leftChars="19" w:left="38" w:right="-1" w:firstLine="0"/>
              <w:jc w:val="right"/>
              <w:rPr>
                <w:rFonts w:ascii="Arial" w:eastAsia="Times New Roman" w:hAnsi="Arial" w:cs="Arial"/>
                <w:color w:val="000000"/>
                <w:sz w:val="18"/>
                <w:szCs w:val="18"/>
              </w:rPr>
            </w:pPr>
            <w:r>
              <w:rPr>
                <w:rFonts w:ascii="Arial" w:hAnsi="Arial"/>
                <w:color w:val="000000"/>
                <w:sz w:val="18"/>
                <w:szCs w:val="18"/>
              </w:rPr>
              <w:t>11.253.362</w:t>
            </w:r>
          </w:p>
        </w:tc>
        <w:tc>
          <w:tcPr>
            <w:tcW w:w="1283" w:type="dxa"/>
            <w:tcBorders>
              <w:bottom w:val="single" w:sz="4" w:space="0" w:color="auto"/>
            </w:tcBorders>
            <w:shd w:val="clear" w:color="auto" w:fill="B8CCE4" w:themeFill="accent1" w:themeFillTint="66"/>
            <w:vAlign w:val="center"/>
          </w:tcPr>
          <w:p w:rsidR="00484F27" w:rsidRPr="00E3179F" w:rsidRDefault="00484F27" w:rsidP="006A41AE">
            <w:pPr>
              <w:spacing w:after="0"/>
              <w:ind w:left="107" w:firstLine="0"/>
              <w:jc w:val="right"/>
              <w:rPr>
                <w:rFonts w:ascii="Arial" w:eastAsia="Times New Roman" w:hAnsi="Arial" w:cs="Arial"/>
                <w:color w:val="000000"/>
                <w:sz w:val="18"/>
                <w:szCs w:val="18"/>
              </w:rPr>
            </w:pPr>
            <w:r>
              <w:rPr>
                <w:rFonts w:ascii="Arial" w:hAnsi="Arial"/>
                <w:color w:val="000000"/>
                <w:sz w:val="18"/>
                <w:szCs w:val="18"/>
              </w:rPr>
              <w:t>76.165.242</w:t>
            </w:r>
          </w:p>
        </w:tc>
        <w:tc>
          <w:tcPr>
            <w:tcW w:w="1465" w:type="dxa"/>
            <w:tcBorders>
              <w:bottom w:val="single" w:sz="4" w:space="0" w:color="auto"/>
            </w:tcBorders>
            <w:shd w:val="clear" w:color="auto" w:fill="B8CCE4" w:themeFill="accent1" w:themeFillTint="66"/>
            <w:vAlign w:val="center"/>
          </w:tcPr>
          <w:p w:rsidR="00484F27" w:rsidRPr="00E3179F" w:rsidRDefault="00484F27" w:rsidP="006A41AE">
            <w:pPr>
              <w:spacing w:after="0"/>
              <w:ind w:left="19" w:right="56" w:firstLineChars="10" w:firstLine="18"/>
              <w:jc w:val="right"/>
              <w:rPr>
                <w:rFonts w:ascii="Arial" w:eastAsia="Times New Roman" w:hAnsi="Arial" w:cs="Arial"/>
                <w:color w:val="000000"/>
                <w:sz w:val="18"/>
                <w:szCs w:val="18"/>
              </w:rPr>
            </w:pPr>
            <w:r>
              <w:rPr>
                <w:rFonts w:ascii="Arial" w:hAnsi="Arial"/>
                <w:color w:val="000000"/>
                <w:sz w:val="18"/>
                <w:szCs w:val="18"/>
              </w:rPr>
              <w:t>105.180.283</w:t>
            </w:r>
          </w:p>
        </w:tc>
      </w:tr>
    </w:tbl>
    <w:p w:rsidR="00484F27" w:rsidRPr="00803A49" w:rsidRDefault="00803A49" w:rsidP="00803A49">
      <w:pPr>
        <w:spacing w:before="60" w:after="0"/>
        <w:ind w:left="84" w:firstLine="0"/>
        <w:jc w:val="left"/>
        <w:rPr>
          <w:rFonts w:ascii="Arial Narrow" w:eastAsia="Calibri" w:hAnsi="Arial Narrow"/>
          <w:color w:val="000000"/>
          <w:sz w:val="18"/>
          <w:szCs w:val="18"/>
        </w:rPr>
      </w:pPr>
      <w:r>
        <w:rPr>
          <w:rFonts w:ascii="Arial Narrow" w:hAnsi="Arial Narrow"/>
          <w:color w:val="000000"/>
          <w:vertAlign w:val="superscript"/>
        </w:rPr>
        <w:t>(1)</w:t>
      </w:r>
      <w:r>
        <w:rPr>
          <w:rFonts w:ascii="Arial Narrow" w:hAnsi="Arial Narrow"/>
          <w:color w:val="000000"/>
        </w:rPr>
        <w:t xml:space="preserve"> </w:t>
      </w:r>
      <w:r>
        <w:rPr>
          <w:rFonts w:ascii="Arial Narrow" w:hAnsi="Arial Narrow"/>
          <w:color w:val="000000"/>
          <w:sz w:val="18"/>
          <w:szCs w:val="18"/>
        </w:rPr>
        <w:t>Berariaz bideratuak 1. faseko desjabetzeak finantzatzera</w:t>
      </w:r>
    </w:p>
    <w:p w:rsidR="00484F27" w:rsidRPr="00803A49" w:rsidRDefault="00803A49" w:rsidP="00803A49">
      <w:pPr>
        <w:spacing w:after="0"/>
        <w:ind w:left="84" w:firstLine="0"/>
        <w:jc w:val="left"/>
        <w:rPr>
          <w:rFonts w:ascii="Arial Narrow" w:eastAsia="Calibri" w:hAnsi="Arial Narrow"/>
          <w:color w:val="000000"/>
        </w:rPr>
      </w:pPr>
      <w:r>
        <w:rPr>
          <w:rFonts w:ascii="Arial Narrow" w:hAnsi="Arial Narrow"/>
          <w:color w:val="000000"/>
          <w:vertAlign w:val="superscript"/>
        </w:rPr>
        <w:lastRenderedPageBreak/>
        <w:t>(2)</w:t>
      </w:r>
      <w:r>
        <w:rPr>
          <w:rFonts w:ascii="Arial Narrow" w:hAnsi="Arial Narrow"/>
          <w:color w:val="000000"/>
        </w:rPr>
        <w:t xml:space="preserve"> </w:t>
      </w:r>
      <w:r>
        <w:rPr>
          <w:rFonts w:ascii="Arial Narrow" w:hAnsi="Arial Narrow"/>
          <w:color w:val="000000"/>
          <w:sz w:val="18"/>
          <w:szCs w:val="18"/>
        </w:rPr>
        <w:t>2017ko abenduaren 31n, aldi baterako enpresa-elkartek 8,79 milioi euroko zorra dauka guztira kontzeptu horrengatik (BEZa barne)</w:t>
      </w:r>
    </w:p>
    <w:p w:rsidR="00484F27" w:rsidRDefault="00484F27" w:rsidP="00803A49">
      <w:pPr>
        <w:pStyle w:val="texto"/>
        <w:tabs>
          <w:tab w:val="clear" w:pos="2835"/>
          <w:tab w:val="clear" w:pos="3969"/>
          <w:tab w:val="clear" w:pos="5103"/>
          <w:tab w:val="clear" w:pos="6237"/>
          <w:tab w:val="clear" w:pos="7371"/>
        </w:tabs>
        <w:spacing w:after="240"/>
        <w:ind w:firstLine="0"/>
        <w:rPr>
          <w:szCs w:val="26"/>
        </w:rPr>
      </w:pPr>
    </w:p>
    <w:p w:rsidR="00484F27" w:rsidRDefault="00484F27" w:rsidP="00484F27">
      <w:pPr>
        <w:pStyle w:val="texto"/>
        <w:tabs>
          <w:tab w:val="clear" w:pos="2835"/>
          <w:tab w:val="clear" w:pos="3969"/>
          <w:tab w:val="clear" w:pos="5103"/>
          <w:tab w:val="clear" w:pos="6237"/>
          <w:tab w:val="clear" w:pos="7371"/>
        </w:tabs>
        <w:ind w:firstLine="0"/>
        <w:jc w:val="center"/>
        <w:rPr>
          <w:szCs w:val="26"/>
        </w:rPr>
      </w:pPr>
      <w:r>
        <w:rPr>
          <w:noProof/>
          <w:lang w:val="es-ES" w:eastAsia="es-ES"/>
        </w:rPr>
        <w:drawing>
          <wp:inline distT="0" distB="0" distL="0" distR="0" wp14:anchorId="4BB60E7C" wp14:editId="225694EC">
            <wp:extent cx="4572000" cy="2743200"/>
            <wp:effectExtent l="38100" t="0" r="19050" b="1905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62071" w:rsidRDefault="00484F27" w:rsidP="00484F27">
      <w:pPr>
        <w:pStyle w:val="texto"/>
        <w:tabs>
          <w:tab w:val="clear" w:pos="2835"/>
          <w:tab w:val="clear" w:pos="3969"/>
          <w:tab w:val="clear" w:pos="5103"/>
          <w:tab w:val="clear" w:pos="6237"/>
          <w:tab w:val="clear" w:pos="7371"/>
        </w:tabs>
        <w:rPr>
          <w:szCs w:val="26"/>
        </w:rPr>
      </w:pPr>
      <w:r>
        <w:t>Guztizko zenbateko horretatik, ehuneko 54 Nafarroako Gobernuak ema</w:t>
      </w:r>
      <w:r>
        <w:t>n</w:t>
      </w:r>
      <w:r>
        <w:t>dako diru-laguntzetatik etorri da; ehuneko 29 sozietate kudeatzailearen merk</w:t>
      </w:r>
      <w:r>
        <w:t>a</w:t>
      </w:r>
      <w:r>
        <w:t>taritza-jardueratik etorri da, eta ehuneko 17, azkenik, Nafarroako Gobernuak ordaindutako kapital-gehikuntzetatik eta sozietate kudeatzailearen bazkide b</w:t>
      </w:r>
      <w:r>
        <w:t>a</w:t>
      </w:r>
      <w:r>
        <w:t xml:space="preserve">karraren ekarpenetatik (NEKP). </w:t>
      </w:r>
    </w:p>
    <w:p w:rsidR="009F0CB8" w:rsidRPr="00803A49" w:rsidRDefault="009F0CB8" w:rsidP="009F0CB8">
      <w:pPr>
        <w:pStyle w:val="texto"/>
        <w:tabs>
          <w:tab w:val="clear" w:pos="2835"/>
          <w:tab w:val="clear" w:pos="3969"/>
          <w:tab w:val="clear" w:pos="5103"/>
          <w:tab w:val="clear" w:pos="6237"/>
          <w:tab w:val="clear" w:pos="7371"/>
        </w:tabs>
        <w:rPr>
          <w:szCs w:val="26"/>
        </w:rPr>
      </w:pPr>
      <w:r>
        <w:t>Halaber, aipatu beharra dago ezen 2007ko maiatzean, sozietate kudeatzaileak hiru kreditu formalizatu zituela IGHaren zabalkuntza partzialki finantzatzeko, 13 milioi euroko mugarekin eta 10 urteko indarraldiarekin. Gaur egun, kreditu-linea horiek deuseztatuta daude.</w:t>
      </w:r>
    </w:p>
    <w:p w:rsidR="00B91961" w:rsidRDefault="00B91961" w:rsidP="00DA68E2">
      <w:pPr>
        <w:pStyle w:val="texto"/>
        <w:tabs>
          <w:tab w:val="clear" w:pos="2835"/>
          <w:tab w:val="clear" w:pos="3969"/>
          <w:tab w:val="clear" w:pos="5103"/>
          <w:tab w:val="clear" w:pos="6237"/>
          <w:tab w:val="clear" w:pos="7371"/>
        </w:tabs>
        <w:spacing w:after="200"/>
        <w:rPr>
          <w:szCs w:val="26"/>
        </w:rPr>
      </w:pPr>
      <w:r>
        <w:rPr>
          <w:b/>
          <w:szCs w:val="26"/>
        </w:rPr>
        <w:t>Berrogeita bederatzigarrena.</w:t>
      </w:r>
      <w:r>
        <w:t xml:space="preserve"> Informazio-ondorioetarako, eta eskura d</w:t>
      </w:r>
      <w:r>
        <w:t>a</w:t>
      </w:r>
      <w:r>
        <w:t>goen dokumentazioari jarraituz, aldi baterako enpresa-elkarteak IGHan 2017. urtearen amaierara arte egindako inbertsioak guztira 87,50 milioi eurokoak dira; horietatik, ehuneko 40 urbanizazioari dagozkio eta ehuneko 60, berriz, nabeen eraikuntzari. Honako hauek dira haiei buruzko zehaztasunak, fasez fase (euroak, milioitan):</w:t>
      </w:r>
    </w:p>
    <w:tbl>
      <w:tblPr>
        <w:tblStyle w:val="TableNormal"/>
        <w:tblW w:w="0" w:type="auto"/>
        <w:jc w:val="center"/>
        <w:tblBorders>
          <w:top w:val="single" w:sz="2" w:space="0" w:color="auto"/>
          <w:bottom w:val="single" w:sz="2" w:space="0" w:color="auto"/>
          <w:insideH w:val="single" w:sz="2" w:space="0" w:color="auto"/>
        </w:tblBorders>
        <w:tblLayout w:type="fixed"/>
        <w:tblLook w:val="01E0" w:firstRow="1" w:lastRow="1" w:firstColumn="1" w:lastColumn="1" w:noHBand="0" w:noVBand="0"/>
      </w:tblPr>
      <w:tblGrid>
        <w:gridCol w:w="4863"/>
        <w:gridCol w:w="1822"/>
        <w:gridCol w:w="1068"/>
        <w:gridCol w:w="1036"/>
      </w:tblGrid>
      <w:tr w:rsidR="00B91961" w:rsidRPr="00DA5BC7" w:rsidTr="00803A49">
        <w:trPr>
          <w:trHeight w:val="284"/>
          <w:jc w:val="center"/>
        </w:trPr>
        <w:tc>
          <w:tcPr>
            <w:tcW w:w="4863" w:type="dxa"/>
            <w:tcBorders>
              <w:top w:val="single" w:sz="4" w:space="0" w:color="auto"/>
              <w:bottom w:val="single" w:sz="4" w:space="0" w:color="auto"/>
            </w:tcBorders>
            <w:shd w:val="clear" w:color="auto" w:fill="B8CCE4" w:themeFill="accent1" w:themeFillTint="66"/>
            <w:vAlign w:val="center"/>
          </w:tcPr>
          <w:p w:rsidR="00B91961" w:rsidRDefault="00B91961" w:rsidP="00BE57C3">
            <w:pPr>
              <w:spacing w:after="0"/>
              <w:ind w:left="142" w:firstLine="0"/>
              <w:jc w:val="left"/>
              <w:rPr>
                <w:rFonts w:ascii="Arial" w:hAnsi="Arial" w:cs="Arial"/>
                <w:color w:val="000000"/>
                <w:sz w:val="18"/>
                <w:szCs w:val="18"/>
              </w:rPr>
            </w:pPr>
            <w:r>
              <w:rPr>
                <w:rFonts w:ascii="Arial" w:hAnsi="Arial"/>
                <w:color w:val="000000"/>
                <w:sz w:val="18"/>
                <w:szCs w:val="18"/>
              </w:rPr>
              <w:t>Inbertsioa</w:t>
            </w:r>
          </w:p>
        </w:tc>
        <w:tc>
          <w:tcPr>
            <w:tcW w:w="1822" w:type="dxa"/>
            <w:tcBorders>
              <w:top w:val="single" w:sz="4" w:space="0" w:color="auto"/>
              <w:bottom w:val="single" w:sz="4" w:space="0" w:color="auto"/>
            </w:tcBorders>
            <w:shd w:val="clear" w:color="auto" w:fill="B8CCE4" w:themeFill="accent1" w:themeFillTint="66"/>
            <w:vAlign w:val="center"/>
          </w:tcPr>
          <w:p w:rsidR="00B91961" w:rsidRPr="005B3CA8" w:rsidRDefault="00B91961" w:rsidP="00803A49">
            <w:pPr>
              <w:spacing w:after="0"/>
              <w:ind w:left="99" w:right="22" w:firstLine="0"/>
              <w:jc w:val="right"/>
              <w:rPr>
                <w:rFonts w:ascii="Arial" w:hAnsi="Arial" w:cs="Arial"/>
                <w:color w:val="000000"/>
                <w:sz w:val="18"/>
                <w:szCs w:val="18"/>
              </w:rPr>
            </w:pPr>
            <w:r>
              <w:rPr>
                <w:rFonts w:ascii="Arial" w:hAnsi="Arial"/>
                <w:color w:val="000000"/>
                <w:sz w:val="18"/>
                <w:szCs w:val="18"/>
              </w:rPr>
              <w:t>1. fasea</w:t>
            </w:r>
          </w:p>
        </w:tc>
        <w:tc>
          <w:tcPr>
            <w:tcW w:w="1068" w:type="dxa"/>
            <w:tcBorders>
              <w:top w:val="single" w:sz="4" w:space="0" w:color="auto"/>
              <w:bottom w:val="single" w:sz="4" w:space="0" w:color="auto"/>
            </w:tcBorders>
            <w:shd w:val="clear" w:color="auto" w:fill="B8CCE4" w:themeFill="accent1" w:themeFillTint="66"/>
            <w:vAlign w:val="center"/>
          </w:tcPr>
          <w:p w:rsidR="00B91961" w:rsidRPr="00DA5BC7" w:rsidRDefault="00B91961" w:rsidP="00803A49">
            <w:pPr>
              <w:spacing w:after="0"/>
              <w:ind w:firstLine="0"/>
              <w:jc w:val="right"/>
              <w:rPr>
                <w:rFonts w:ascii="Arial" w:hAnsi="Arial" w:cs="Arial"/>
                <w:color w:val="000000"/>
                <w:sz w:val="18"/>
                <w:szCs w:val="18"/>
              </w:rPr>
            </w:pPr>
            <w:r>
              <w:rPr>
                <w:rFonts w:ascii="Arial" w:hAnsi="Arial"/>
                <w:color w:val="000000"/>
                <w:sz w:val="18"/>
                <w:szCs w:val="18"/>
              </w:rPr>
              <w:t>2. fasea</w:t>
            </w:r>
          </w:p>
        </w:tc>
        <w:tc>
          <w:tcPr>
            <w:tcW w:w="1036" w:type="dxa"/>
            <w:tcBorders>
              <w:top w:val="single" w:sz="4" w:space="0" w:color="auto"/>
              <w:bottom w:val="single" w:sz="4" w:space="0" w:color="auto"/>
            </w:tcBorders>
            <w:shd w:val="clear" w:color="auto" w:fill="B8CCE4" w:themeFill="accent1" w:themeFillTint="66"/>
            <w:vAlign w:val="center"/>
          </w:tcPr>
          <w:p w:rsidR="00B91961" w:rsidRPr="00DA5BC7" w:rsidRDefault="00B91961" w:rsidP="00803A49">
            <w:pPr>
              <w:spacing w:after="0"/>
              <w:ind w:left="44" w:right="115" w:firstLine="0"/>
              <w:jc w:val="right"/>
              <w:rPr>
                <w:rFonts w:ascii="Arial" w:hAnsi="Arial" w:cs="Arial"/>
                <w:color w:val="000000"/>
                <w:sz w:val="18"/>
                <w:szCs w:val="18"/>
              </w:rPr>
            </w:pPr>
            <w:r>
              <w:rPr>
                <w:rFonts w:ascii="Arial" w:hAnsi="Arial"/>
                <w:color w:val="000000"/>
                <w:sz w:val="18"/>
                <w:szCs w:val="18"/>
              </w:rPr>
              <w:t>3. fasea</w:t>
            </w:r>
          </w:p>
        </w:tc>
      </w:tr>
      <w:tr w:rsidR="00B91961" w:rsidRPr="00C33F56" w:rsidTr="00803A49">
        <w:trPr>
          <w:trHeight w:val="284"/>
          <w:jc w:val="center"/>
        </w:trPr>
        <w:tc>
          <w:tcPr>
            <w:tcW w:w="4863" w:type="dxa"/>
            <w:tcBorders>
              <w:top w:val="single" w:sz="4" w:space="0" w:color="auto"/>
              <w:bottom w:val="single" w:sz="2" w:space="0" w:color="auto"/>
            </w:tcBorders>
            <w:vAlign w:val="center"/>
          </w:tcPr>
          <w:p w:rsidR="00B91961" w:rsidRPr="00C33F56" w:rsidRDefault="00B91961" w:rsidP="00BE57C3">
            <w:pPr>
              <w:widowControl/>
              <w:spacing w:after="0"/>
              <w:ind w:left="142" w:firstLine="0"/>
              <w:jc w:val="left"/>
              <w:rPr>
                <w:rFonts w:ascii="Arial Narrow" w:hAnsi="Arial Narrow"/>
                <w:color w:val="000000"/>
                <w:sz w:val="20"/>
                <w:szCs w:val="20"/>
              </w:rPr>
            </w:pPr>
            <w:r>
              <w:rPr>
                <w:rFonts w:ascii="Arial Narrow" w:hAnsi="Arial Narrow"/>
                <w:color w:val="000000"/>
                <w:sz w:val="20"/>
                <w:szCs w:val="20"/>
              </w:rPr>
              <w:t>Urbanizazioa</w:t>
            </w:r>
          </w:p>
        </w:tc>
        <w:tc>
          <w:tcPr>
            <w:tcW w:w="1822" w:type="dxa"/>
            <w:tcBorders>
              <w:top w:val="single" w:sz="4" w:space="0" w:color="auto"/>
              <w:bottom w:val="single" w:sz="2" w:space="0" w:color="auto"/>
            </w:tcBorders>
            <w:vAlign w:val="center"/>
          </w:tcPr>
          <w:p w:rsidR="00B91961" w:rsidRPr="00C33F56" w:rsidRDefault="00B91961" w:rsidP="00803A49">
            <w:pPr>
              <w:widowControl/>
              <w:spacing w:after="0"/>
              <w:ind w:left="99" w:right="22" w:firstLine="0"/>
              <w:jc w:val="right"/>
              <w:rPr>
                <w:rFonts w:ascii="Arial Narrow" w:hAnsi="Arial Narrow"/>
                <w:color w:val="000000"/>
                <w:sz w:val="20"/>
                <w:szCs w:val="20"/>
              </w:rPr>
            </w:pPr>
            <w:r>
              <w:rPr>
                <w:rFonts w:ascii="Arial Narrow" w:hAnsi="Arial Narrow"/>
                <w:color w:val="000000"/>
                <w:sz w:val="20"/>
                <w:szCs w:val="20"/>
              </w:rPr>
              <w:t>15,40</w:t>
            </w:r>
          </w:p>
        </w:tc>
        <w:tc>
          <w:tcPr>
            <w:tcW w:w="1068" w:type="dxa"/>
            <w:tcBorders>
              <w:top w:val="single" w:sz="4" w:space="0" w:color="auto"/>
              <w:bottom w:val="single" w:sz="2" w:space="0" w:color="auto"/>
            </w:tcBorders>
            <w:vAlign w:val="center"/>
          </w:tcPr>
          <w:p w:rsidR="00B91961" w:rsidRPr="00C33F56" w:rsidRDefault="00B91961" w:rsidP="00803A49">
            <w:pPr>
              <w:widowControl/>
              <w:spacing w:after="0"/>
              <w:ind w:firstLine="0"/>
              <w:jc w:val="right"/>
              <w:rPr>
                <w:rFonts w:ascii="Arial Narrow" w:hAnsi="Arial Narrow"/>
                <w:color w:val="000000"/>
                <w:sz w:val="20"/>
                <w:szCs w:val="20"/>
              </w:rPr>
            </w:pPr>
            <w:r>
              <w:rPr>
                <w:rFonts w:ascii="Arial Narrow" w:hAnsi="Arial Narrow"/>
                <w:color w:val="000000"/>
                <w:sz w:val="20"/>
                <w:szCs w:val="20"/>
              </w:rPr>
              <w:t>5,02</w:t>
            </w:r>
          </w:p>
        </w:tc>
        <w:tc>
          <w:tcPr>
            <w:tcW w:w="1036" w:type="dxa"/>
            <w:tcBorders>
              <w:top w:val="single" w:sz="4" w:space="0" w:color="auto"/>
              <w:bottom w:val="single" w:sz="2" w:space="0" w:color="auto"/>
            </w:tcBorders>
            <w:vAlign w:val="center"/>
          </w:tcPr>
          <w:p w:rsidR="00B91961" w:rsidRPr="00C33F56" w:rsidRDefault="00B91961" w:rsidP="00803A49">
            <w:pPr>
              <w:widowControl/>
              <w:spacing w:after="0"/>
              <w:ind w:left="44" w:right="115" w:firstLine="0"/>
              <w:jc w:val="right"/>
              <w:rPr>
                <w:rFonts w:ascii="Arial Narrow" w:hAnsi="Arial Narrow"/>
                <w:color w:val="000000"/>
                <w:sz w:val="20"/>
                <w:szCs w:val="20"/>
              </w:rPr>
            </w:pPr>
            <w:r>
              <w:rPr>
                <w:rFonts w:ascii="Arial Narrow" w:hAnsi="Arial Narrow"/>
                <w:color w:val="000000"/>
                <w:sz w:val="20"/>
                <w:szCs w:val="20"/>
              </w:rPr>
              <w:t>14,48</w:t>
            </w:r>
          </w:p>
        </w:tc>
      </w:tr>
      <w:tr w:rsidR="00B91961" w:rsidRPr="00C33F56" w:rsidTr="004E1C2E">
        <w:trPr>
          <w:trHeight w:val="284"/>
          <w:jc w:val="center"/>
        </w:trPr>
        <w:tc>
          <w:tcPr>
            <w:tcW w:w="4863" w:type="dxa"/>
            <w:tcBorders>
              <w:top w:val="single" w:sz="2" w:space="0" w:color="auto"/>
              <w:bottom w:val="single" w:sz="4" w:space="0" w:color="auto"/>
            </w:tcBorders>
            <w:vAlign w:val="center"/>
          </w:tcPr>
          <w:p w:rsidR="00B91961" w:rsidRPr="00C33F56" w:rsidRDefault="00B91961" w:rsidP="00BE57C3">
            <w:pPr>
              <w:widowControl/>
              <w:spacing w:after="0"/>
              <w:ind w:left="142" w:firstLine="0"/>
              <w:jc w:val="left"/>
              <w:rPr>
                <w:rFonts w:ascii="Arial Narrow" w:hAnsi="Arial Narrow"/>
                <w:color w:val="000000"/>
                <w:sz w:val="20"/>
                <w:szCs w:val="20"/>
              </w:rPr>
            </w:pPr>
            <w:r>
              <w:rPr>
                <w:rFonts w:ascii="Arial Narrow" w:hAnsi="Arial Narrow"/>
                <w:color w:val="000000"/>
                <w:sz w:val="20"/>
                <w:szCs w:val="20"/>
              </w:rPr>
              <w:t>Nabeak eraikitzea</w:t>
            </w:r>
          </w:p>
        </w:tc>
        <w:tc>
          <w:tcPr>
            <w:tcW w:w="1822" w:type="dxa"/>
            <w:tcBorders>
              <w:top w:val="single" w:sz="2" w:space="0" w:color="auto"/>
              <w:bottom w:val="single" w:sz="4" w:space="0" w:color="auto"/>
            </w:tcBorders>
            <w:vAlign w:val="center"/>
          </w:tcPr>
          <w:p w:rsidR="00B91961" w:rsidRPr="00C33F56" w:rsidRDefault="00B91961" w:rsidP="00803A49">
            <w:pPr>
              <w:widowControl/>
              <w:spacing w:after="0"/>
              <w:ind w:left="99" w:right="22" w:firstLine="0"/>
              <w:jc w:val="right"/>
              <w:rPr>
                <w:rFonts w:ascii="Arial Narrow" w:hAnsi="Arial Narrow"/>
                <w:color w:val="000000"/>
                <w:sz w:val="20"/>
                <w:szCs w:val="20"/>
              </w:rPr>
            </w:pPr>
            <w:r>
              <w:rPr>
                <w:rFonts w:ascii="Arial Narrow" w:hAnsi="Arial Narrow"/>
                <w:color w:val="000000"/>
                <w:sz w:val="20"/>
                <w:szCs w:val="20"/>
              </w:rPr>
              <w:t>25,87</w:t>
            </w:r>
          </w:p>
        </w:tc>
        <w:tc>
          <w:tcPr>
            <w:tcW w:w="1068" w:type="dxa"/>
            <w:tcBorders>
              <w:top w:val="single" w:sz="2" w:space="0" w:color="auto"/>
              <w:bottom w:val="single" w:sz="4" w:space="0" w:color="auto"/>
            </w:tcBorders>
            <w:vAlign w:val="center"/>
          </w:tcPr>
          <w:p w:rsidR="00B91961" w:rsidRPr="00C33F56" w:rsidRDefault="00B91961" w:rsidP="00803A49">
            <w:pPr>
              <w:widowControl/>
              <w:spacing w:after="0"/>
              <w:ind w:left="206" w:firstLine="0"/>
              <w:jc w:val="right"/>
              <w:rPr>
                <w:rFonts w:ascii="Arial Narrow" w:hAnsi="Arial Narrow"/>
                <w:color w:val="000000"/>
                <w:sz w:val="20"/>
                <w:szCs w:val="20"/>
              </w:rPr>
            </w:pPr>
            <w:r>
              <w:rPr>
                <w:rFonts w:ascii="Arial Narrow" w:hAnsi="Arial Narrow"/>
                <w:color w:val="000000"/>
                <w:sz w:val="20"/>
                <w:szCs w:val="20"/>
              </w:rPr>
              <w:t>13,59</w:t>
            </w:r>
          </w:p>
        </w:tc>
        <w:tc>
          <w:tcPr>
            <w:tcW w:w="1036" w:type="dxa"/>
            <w:tcBorders>
              <w:top w:val="single" w:sz="2" w:space="0" w:color="auto"/>
              <w:bottom w:val="single" w:sz="4" w:space="0" w:color="auto"/>
            </w:tcBorders>
            <w:vAlign w:val="center"/>
          </w:tcPr>
          <w:p w:rsidR="00B91961" w:rsidRPr="00C33F56" w:rsidRDefault="00B91961" w:rsidP="00803A49">
            <w:pPr>
              <w:widowControl/>
              <w:spacing w:after="0"/>
              <w:ind w:left="44" w:right="115" w:firstLine="0"/>
              <w:jc w:val="right"/>
              <w:rPr>
                <w:rFonts w:ascii="Arial Narrow" w:hAnsi="Arial Narrow"/>
                <w:color w:val="000000"/>
                <w:sz w:val="20"/>
                <w:szCs w:val="20"/>
              </w:rPr>
            </w:pPr>
            <w:r>
              <w:rPr>
                <w:rFonts w:ascii="Arial Narrow" w:hAnsi="Arial Narrow"/>
                <w:color w:val="000000"/>
                <w:sz w:val="20"/>
                <w:szCs w:val="20"/>
              </w:rPr>
              <w:t>13,14</w:t>
            </w:r>
          </w:p>
        </w:tc>
      </w:tr>
      <w:tr w:rsidR="00B91961" w:rsidRPr="005B3CA8" w:rsidTr="004E1C2E">
        <w:trPr>
          <w:trHeight w:val="284"/>
          <w:jc w:val="center"/>
        </w:trPr>
        <w:tc>
          <w:tcPr>
            <w:tcW w:w="4863" w:type="dxa"/>
            <w:tcBorders>
              <w:top w:val="single" w:sz="4" w:space="0" w:color="auto"/>
              <w:bottom w:val="single" w:sz="4" w:space="0" w:color="auto"/>
            </w:tcBorders>
            <w:shd w:val="clear" w:color="auto" w:fill="B8CCE4" w:themeFill="accent1" w:themeFillTint="66"/>
            <w:vAlign w:val="center"/>
          </w:tcPr>
          <w:p w:rsidR="00B91961" w:rsidRPr="005B3CA8" w:rsidRDefault="00B91961" w:rsidP="00BE57C3">
            <w:pPr>
              <w:spacing w:after="0"/>
              <w:ind w:left="142" w:firstLine="0"/>
              <w:jc w:val="left"/>
              <w:rPr>
                <w:rFonts w:ascii="Arial" w:hAnsi="Arial" w:cs="Arial"/>
                <w:color w:val="000000"/>
                <w:sz w:val="18"/>
                <w:szCs w:val="18"/>
              </w:rPr>
            </w:pPr>
            <w:r>
              <w:rPr>
                <w:rFonts w:ascii="Arial" w:hAnsi="Arial"/>
                <w:color w:val="000000"/>
                <w:sz w:val="18"/>
                <w:szCs w:val="18"/>
              </w:rPr>
              <w:t>Guztira</w:t>
            </w:r>
          </w:p>
        </w:tc>
        <w:tc>
          <w:tcPr>
            <w:tcW w:w="1822" w:type="dxa"/>
            <w:tcBorders>
              <w:top w:val="single" w:sz="4" w:space="0" w:color="auto"/>
              <w:bottom w:val="single" w:sz="4" w:space="0" w:color="auto"/>
            </w:tcBorders>
            <w:shd w:val="clear" w:color="auto" w:fill="B8CCE4" w:themeFill="accent1" w:themeFillTint="66"/>
            <w:vAlign w:val="center"/>
          </w:tcPr>
          <w:p w:rsidR="00B91961" w:rsidRPr="005B3CA8" w:rsidRDefault="00B91961" w:rsidP="00803A49">
            <w:pPr>
              <w:spacing w:after="0"/>
              <w:ind w:left="99" w:right="22" w:firstLine="0"/>
              <w:jc w:val="right"/>
              <w:rPr>
                <w:rFonts w:ascii="Arial" w:hAnsi="Arial" w:cs="Arial"/>
                <w:color w:val="000000"/>
                <w:sz w:val="18"/>
                <w:szCs w:val="18"/>
              </w:rPr>
            </w:pPr>
            <w:r>
              <w:rPr>
                <w:rFonts w:ascii="Arial" w:hAnsi="Arial"/>
                <w:color w:val="000000"/>
                <w:sz w:val="18"/>
                <w:szCs w:val="18"/>
              </w:rPr>
              <w:t>41,27</w:t>
            </w:r>
          </w:p>
        </w:tc>
        <w:tc>
          <w:tcPr>
            <w:tcW w:w="1068" w:type="dxa"/>
            <w:tcBorders>
              <w:top w:val="single" w:sz="4" w:space="0" w:color="auto"/>
              <w:bottom w:val="single" w:sz="4" w:space="0" w:color="auto"/>
            </w:tcBorders>
            <w:shd w:val="clear" w:color="auto" w:fill="B8CCE4" w:themeFill="accent1" w:themeFillTint="66"/>
            <w:vAlign w:val="center"/>
          </w:tcPr>
          <w:p w:rsidR="00B91961" w:rsidRPr="00966604" w:rsidRDefault="00B91961" w:rsidP="00803A49">
            <w:pPr>
              <w:spacing w:after="0"/>
              <w:ind w:left="206" w:firstLineChars="200" w:firstLine="360"/>
              <w:jc w:val="right"/>
              <w:rPr>
                <w:rFonts w:ascii="Arial Narrow" w:hAnsi="Arial Narrow"/>
                <w:color w:val="000000"/>
                <w:sz w:val="20"/>
                <w:szCs w:val="20"/>
              </w:rPr>
            </w:pPr>
            <w:r>
              <w:rPr>
                <w:rFonts w:ascii="Arial" w:hAnsi="Arial"/>
                <w:color w:val="000000"/>
                <w:sz w:val="18"/>
                <w:szCs w:val="18"/>
              </w:rPr>
              <w:t>18,61</w:t>
            </w:r>
          </w:p>
        </w:tc>
        <w:tc>
          <w:tcPr>
            <w:tcW w:w="1036" w:type="dxa"/>
            <w:tcBorders>
              <w:top w:val="single" w:sz="4" w:space="0" w:color="auto"/>
              <w:bottom w:val="single" w:sz="4" w:space="0" w:color="auto"/>
            </w:tcBorders>
            <w:shd w:val="clear" w:color="auto" w:fill="B8CCE4" w:themeFill="accent1" w:themeFillTint="66"/>
            <w:vAlign w:val="center"/>
          </w:tcPr>
          <w:p w:rsidR="00B91961" w:rsidRPr="002B581F" w:rsidRDefault="00B91961" w:rsidP="00803A49">
            <w:pPr>
              <w:spacing w:after="0"/>
              <w:ind w:left="44" w:right="115" w:firstLineChars="200" w:firstLine="360"/>
              <w:jc w:val="right"/>
              <w:rPr>
                <w:rFonts w:ascii="Arial" w:hAnsi="Arial" w:cs="Arial"/>
                <w:color w:val="000000"/>
                <w:sz w:val="18"/>
                <w:szCs w:val="18"/>
              </w:rPr>
            </w:pPr>
            <w:r>
              <w:rPr>
                <w:rFonts w:ascii="Arial" w:hAnsi="Arial"/>
                <w:color w:val="000000"/>
                <w:sz w:val="18"/>
                <w:szCs w:val="18"/>
              </w:rPr>
              <w:t>27,62</w:t>
            </w:r>
          </w:p>
        </w:tc>
      </w:tr>
    </w:tbl>
    <w:p w:rsidR="00B91961" w:rsidRPr="00B91961" w:rsidRDefault="00B91961" w:rsidP="00DA68E2">
      <w:pPr>
        <w:pStyle w:val="texto"/>
        <w:tabs>
          <w:tab w:val="clear" w:pos="2835"/>
          <w:tab w:val="clear" w:pos="3969"/>
          <w:tab w:val="clear" w:pos="5103"/>
          <w:tab w:val="clear" w:pos="6237"/>
          <w:tab w:val="clear" w:pos="7371"/>
        </w:tabs>
        <w:spacing w:before="180" w:after="240"/>
        <w:rPr>
          <w:szCs w:val="26"/>
        </w:rPr>
      </w:pPr>
      <w:r>
        <w:t>Ez dago jasota aldi baterako enpresa-elkarteak GHa kudeatu dituen ekitaldi</w:t>
      </w:r>
      <w:r>
        <w:t>e</w:t>
      </w:r>
      <w:r>
        <w:t>tan lortu dituen emaitza ekonomikoari buruzko informaziorik.</w:t>
      </w:r>
    </w:p>
    <w:p w:rsidR="009C7803" w:rsidRDefault="009C7803" w:rsidP="005136BB">
      <w:pPr>
        <w:pStyle w:val="atitulo2"/>
      </w:pPr>
      <w:bookmarkStart w:id="45" w:name="_Toc519583208"/>
      <w:r>
        <w:lastRenderedPageBreak/>
        <w:t>IV.8. Garraioaren Hiriaren 4. fasearen garapena</w:t>
      </w:r>
      <w:bookmarkEnd w:id="45"/>
    </w:p>
    <w:p w:rsidR="00361B67" w:rsidRDefault="00E42E17" w:rsidP="00803A49">
      <w:pPr>
        <w:pStyle w:val="texto"/>
        <w:tabs>
          <w:tab w:val="clear" w:pos="2835"/>
          <w:tab w:val="clear" w:pos="3969"/>
          <w:tab w:val="clear" w:pos="5103"/>
          <w:tab w:val="clear" w:pos="6237"/>
          <w:tab w:val="clear" w:pos="7371"/>
        </w:tabs>
        <w:spacing w:after="240"/>
        <w:rPr>
          <w:szCs w:val="26"/>
        </w:rPr>
      </w:pPr>
      <w:r>
        <w:rPr>
          <w:b/>
          <w:szCs w:val="26"/>
        </w:rPr>
        <w:t>Berrogeita hamargarrena.</w:t>
      </w:r>
      <w:r>
        <w:t xml:space="preserve"> Hasiera batean, fase horren lehentasunezko he</w:t>
      </w:r>
      <w:r>
        <w:t>l</w:t>
      </w:r>
      <w:r>
        <w:t>burua zen —hala jasota zegoen 2004an onetsitako zabalkuntzarako udalez gaindiko plan sektorialean— trenbide-garraioan intermodalitatea lortzea, RE</w:t>
      </w:r>
      <w:r>
        <w:t>N</w:t>
      </w:r>
      <w:r>
        <w:t>FEren sarearekiko zuzeneko konexiorako trenbide-adar baten bitartez, Noaingo zentro logistikoarekin lotuta. Aipatutako udalez gaindiko plan sektorialaren testu bateginari jarraituz, fase horren azalera 382.738 m</w:t>
      </w:r>
      <w:r>
        <w:rPr>
          <w:vertAlign w:val="superscript"/>
        </w:rPr>
        <w:t>2</w:t>
      </w:r>
      <w:r>
        <w:t>-koa da, eta honako taula honetan islatzen diren eremu desberdinetan xehakatzen da:</w:t>
      </w:r>
    </w:p>
    <w:tbl>
      <w:tblPr>
        <w:tblW w:w="8763" w:type="dxa"/>
        <w:jc w:val="center"/>
        <w:tblCellMar>
          <w:left w:w="70" w:type="dxa"/>
          <w:right w:w="70" w:type="dxa"/>
        </w:tblCellMar>
        <w:tblLook w:val="04A0" w:firstRow="1" w:lastRow="0" w:firstColumn="1" w:lastColumn="0" w:noHBand="0" w:noVBand="1"/>
      </w:tblPr>
      <w:tblGrid>
        <w:gridCol w:w="7854"/>
        <w:gridCol w:w="1075"/>
      </w:tblGrid>
      <w:tr w:rsidR="00960563" w:rsidRPr="00DC3CE7" w:rsidTr="0062585B">
        <w:trPr>
          <w:trHeight w:val="255"/>
          <w:jc w:val="center"/>
        </w:trPr>
        <w:tc>
          <w:tcPr>
            <w:tcW w:w="7854" w:type="dxa"/>
            <w:tcBorders>
              <w:top w:val="single" w:sz="4" w:space="0" w:color="auto"/>
              <w:bottom w:val="single" w:sz="4" w:space="0" w:color="auto"/>
            </w:tcBorders>
            <w:shd w:val="clear" w:color="auto" w:fill="B8CCE4" w:themeFill="accent1" w:themeFillTint="66"/>
            <w:noWrap/>
            <w:vAlign w:val="center"/>
            <w:hideMark/>
          </w:tcPr>
          <w:p w:rsidR="00960563" w:rsidRPr="000A2B37" w:rsidRDefault="00C21173" w:rsidP="00C21173">
            <w:pPr>
              <w:widowControl w:val="0"/>
              <w:spacing w:after="0"/>
              <w:ind w:firstLine="0"/>
              <w:jc w:val="left"/>
              <w:rPr>
                <w:rFonts w:ascii="Arial" w:hAnsi="Arial" w:cs="Arial"/>
                <w:color w:val="000000"/>
                <w:sz w:val="18"/>
                <w:szCs w:val="18"/>
              </w:rPr>
            </w:pPr>
            <w:r>
              <w:rPr>
                <w:rFonts w:ascii="Arial" w:hAnsi="Arial"/>
                <w:color w:val="000000"/>
                <w:sz w:val="18"/>
                <w:szCs w:val="18"/>
              </w:rPr>
              <w:t>GHaren 4.a. fasea/azalera (m</w:t>
            </w:r>
            <w:r>
              <w:rPr>
                <w:rFonts w:ascii="Arial" w:hAnsi="Arial"/>
                <w:color w:val="000000"/>
                <w:sz w:val="18"/>
                <w:szCs w:val="18"/>
                <w:vertAlign w:val="superscript"/>
              </w:rPr>
              <w:t>2</w:t>
            </w:r>
            <w:r>
              <w:rPr>
                <w:rFonts w:ascii="Arial" w:hAnsi="Arial"/>
                <w:color w:val="000000"/>
                <w:sz w:val="18"/>
                <w:szCs w:val="18"/>
              </w:rPr>
              <w:t>)</w:t>
            </w:r>
          </w:p>
        </w:tc>
        <w:tc>
          <w:tcPr>
            <w:tcW w:w="909" w:type="dxa"/>
            <w:tcBorders>
              <w:top w:val="single" w:sz="4" w:space="0" w:color="auto"/>
              <w:bottom w:val="single" w:sz="4" w:space="0" w:color="auto"/>
            </w:tcBorders>
            <w:shd w:val="clear" w:color="auto" w:fill="B8CCE4" w:themeFill="accent1" w:themeFillTint="66"/>
            <w:vAlign w:val="center"/>
            <w:hideMark/>
          </w:tcPr>
          <w:p w:rsidR="00960563" w:rsidRPr="000A2B37" w:rsidRDefault="00960563" w:rsidP="004D4827">
            <w:pPr>
              <w:widowControl w:val="0"/>
              <w:spacing w:after="0"/>
              <w:ind w:left="284" w:firstLine="0"/>
              <w:jc w:val="left"/>
              <w:rPr>
                <w:rFonts w:ascii="Arial" w:hAnsi="Arial" w:cs="Arial"/>
                <w:color w:val="000000"/>
                <w:sz w:val="18"/>
                <w:szCs w:val="18"/>
              </w:rPr>
            </w:pPr>
            <w:r>
              <w:rPr>
                <w:rFonts w:ascii="Arial" w:hAnsi="Arial"/>
                <w:color w:val="000000"/>
                <w:sz w:val="18"/>
                <w:szCs w:val="18"/>
              </w:rPr>
              <w:t>4. fasea</w:t>
            </w:r>
          </w:p>
        </w:tc>
      </w:tr>
      <w:tr w:rsidR="00960563" w:rsidRPr="00DC3CE7" w:rsidTr="0062585B">
        <w:trPr>
          <w:trHeight w:val="255"/>
          <w:jc w:val="center"/>
        </w:trPr>
        <w:tc>
          <w:tcPr>
            <w:tcW w:w="7854" w:type="dxa"/>
            <w:tcBorders>
              <w:top w:val="single" w:sz="4"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rPr>
            </w:pPr>
            <w:r>
              <w:rPr>
                <w:rFonts w:ascii="Arial Narrow" w:hAnsi="Arial Narrow"/>
                <w:color w:val="000000"/>
              </w:rPr>
              <w:t>Bideak eta azpiegiturak</w:t>
            </w:r>
          </w:p>
        </w:tc>
        <w:tc>
          <w:tcPr>
            <w:tcW w:w="909" w:type="dxa"/>
            <w:tcBorders>
              <w:top w:val="single" w:sz="4"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rPr>
            </w:pPr>
            <w:r>
              <w:rPr>
                <w:rFonts w:ascii="Arial Narrow" w:hAnsi="Arial Narrow"/>
                <w:color w:val="000000"/>
              </w:rPr>
              <w:t>76.682</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rPr>
            </w:pPr>
            <w:r>
              <w:rPr>
                <w:rFonts w:ascii="Arial Narrow" w:hAnsi="Arial Narrow"/>
                <w:color w:val="000000"/>
              </w:rPr>
              <w:t>Berdeguneak</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rPr>
            </w:pPr>
            <w:r>
              <w:rPr>
                <w:rFonts w:ascii="Arial Narrow" w:hAnsi="Arial Narrow"/>
                <w:color w:val="000000"/>
              </w:rPr>
              <w:t>76.348</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rPr>
            </w:pPr>
            <w:r>
              <w:rPr>
                <w:rFonts w:ascii="Arial Narrow" w:hAnsi="Arial Narrow"/>
                <w:color w:val="000000"/>
              </w:rPr>
              <w:t>Zuzkiduretarako guneak</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rPr>
            </w:pPr>
            <w:r>
              <w:rPr>
                <w:rFonts w:ascii="Arial Narrow" w:hAnsi="Arial Narrow"/>
                <w:color w:val="000000"/>
              </w:rPr>
              <w:t>13.055</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rPr>
            </w:pPr>
            <w:r>
              <w:rPr>
                <w:rFonts w:ascii="Arial Narrow" w:hAnsi="Arial Narrow"/>
                <w:color w:val="000000"/>
              </w:rPr>
              <w:t>Plataforma intermodala</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rPr>
            </w:pPr>
            <w:r>
              <w:rPr>
                <w:rFonts w:ascii="Arial Narrow" w:hAnsi="Arial Narrow"/>
                <w:color w:val="000000"/>
              </w:rPr>
              <w:t>65.648</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rPr>
            </w:pPr>
            <w:r>
              <w:rPr>
                <w:rFonts w:ascii="Arial Narrow" w:hAnsi="Arial Narrow"/>
                <w:color w:val="000000"/>
              </w:rPr>
              <w:t>Gune intermodaleko nabeak</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rPr>
            </w:pPr>
            <w:r>
              <w:rPr>
                <w:rFonts w:ascii="Arial Narrow" w:hAnsi="Arial Narrow"/>
                <w:color w:val="000000"/>
              </w:rPr>
              <w:t>53.181</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auto"/>
            <w:noWrap/>
            <w:vAlign w:val="center"/>
            <w:hideMark/>
          </w:tcPr>
          <w:p w:rsidR="00960563" w:rsidRPr="000A2B37" w:rsidRDefault="00960563" w:rsidP="00803A49">
            <w:pPr>
              <w:spacing w:after="0"/>
              <w:ind w:firstLine="0"/>
              <w:jc w:val="left"/>
              <w:rPr>
                <w:rFonts w:ascii="Arial Narrow" w:hAnsi="Arial Narrow"/>
                <w:color w:val="000000"/>
              </w:rPr>
            </w:pPr>
            <w:r>
              <w:rPr>
                <w:rFonts w:ascii="Arial Narrow" w:hAnsi="Arial Narrow"/>
                <w:color w:val="000000"/>
              </w:rPr>
              <w:t>Eraikin atxikietan egindako nabeak</w:t>
            </w:r>
          </w:p>
        </w:tc>
        <w:tc>
          <w:tcPr>
            <w:tcW w:w="909" w:type="dxa"/>
            <w:tcBorders>
              <w:top w:val="single" w:sz="2" w:space="0" w:color="auto"/>
              <w:bottom w:val="single" w:sz="2" w:space="0" w:color="auto"/>
            </w:tcBorders>
            <w:shd w:val="clear" w:color="auto" w:fill="auto"/>
            <w:noWrap/>
            <w:vAlign w:val="center"/>
          </w:tcPr>
          <w:p w:rsidR="00960563" w:rsidRPr="000A2B37" w:rsidRDefault="00960563" w:rsidP="004D4827">
            <w:pPr>
              <w:spacing w:after="0"/>
              <w:ind w:left="56" w:firstLine="0"/>
              <w:jc w:val="right"/>
              <w:rPr>
                <w:rFonts w:ascii="Arial Narrow" w:hAnsi="Arial Narrow"/>
                <w:color w:val="000000"/>
              </w:rPr>
            </w:pPr>
            <w:r>
              <w:rPr>
                <w:rFonts w:ascii="Arial Narrow" w:hAnsi="Arial Narrow"/>
                <w:color w:val="000000"/>
              </w:rPr>
              <w:t>97.824</w:t>
            </w:r>
          </w:p>
        </w:tc>
      </w:tr>
      <w:tr w:rsidR="00960563" w:rsidRPr="00DC3CE7" w:rsidTr="0062585B">
        <w:trPr>
          <w:trHeight w:val="255"/>
          <w:jc w:val="center"/>
        </w:trPr>
        <w:tc>
          <w:tcPr>
            <w:tcW w:w="7854" w:type="dxa"/>
            <w:tcBorders>
              <w:top w:val="single" w:sz="2" w:space="0" w:color="auto"/>
              <w:bottom w:val="single" w:sz="2" w:space="0" w:color="auto"/>
            </w:tcBorders>
            <w:shd w:val="clear" w:color="auto" w:fill="B8CCE4" w:themeFill="accent1" w:themeFillTint="66"/>
            <w:noWrap/>
            <w:vAlign w:val="center"/>
            <w:hideMark/>
          </w:tcPr>
          <w:p w:rsidR="00960563" w:rsidRPr="000A2B37" w:rsidRDefault="00960563" w:rsidP="00803A49">
            <w:pPr>
              <w:widowControl w:val="0"/>
              <w:spacing w:after="0"/>
              <w:ind w:firstLine="0"/>
              <w:jc w:val="left"/>
              <w:rPr>
                <w:rFonts w:ascii="Arial" w:hAnsi="Arial" w:cs="Arial"/>
                <w:color w:val="000000"/>
                <w:sz w:val="18"/>
                <w:szCs w:val="18"/>
              </w:rPr>
            </w:pPr>
            <w:r>
              <w:rPr>
                <w:rFonts w:ascii="Arial" w:hAnsi="Arial"/>
                <w:color w:val="000000"/>
                <w:sz w:val="18"/>
                <w:szCs w:val="18"/>
              </w:rPr>
              <w:t>Zabalkuntzaren azalera, guztira</w:t>
            </w:r>
          </w:p>
        </w:tc>
        <w:tc>
          <w:tcPr>
            <w:tcW w:w="909" w:type="dxa"/>
            <w:tcBorders>
              <w:top w:val="single" w:sz="2" w:space="0" w:color="auto"/>
              <w:bottom w:val="single" w:sz="2" w:space="0" w:color="auto"/>
            </w:tcBorders>
            <w:shd w:val="clear" w:color="auto" w:fill="B8CCE4" w:themeFill="accent1" w:themeFillTint="66"/>
            <w:noWrap/>
            <w:vAlign w:val="center"/>
          </w:tcPr>
          <w:p w:rsidR="00960563" w:rsidRPr="000A2B37" w:rsidRDefault="00960563" w:rsidP="004D4827">
            <w:pPr>
              <w:widowControl w:val="0"/>
              <w:spacing w:after="0"/>
              <w:ind w:left="284" w:firstLine="0"/>
              <w:jc w:val="right"/>
              <w:rPr>
                <w:rFonts w:ascii="Arial" w:hAnsi="Arial" w:cs="Arial"/>
                <w:color w:val="000000"/>
                <w:sz w:val="18"/>
                <w:szCs w:val="18"/>
              </w:rPr>
            </w:pPr>
            <w:r>
              <w:rPr>
                <w:rFonts w:ascii="Arial" w:hAnsi="Arial"/>
                <w:color w:val="000000"/>
                <w:sz w:val="18"/>
                <w:szCs w:val="18"/>
              </w:rPr>
              <w:t>382.738</w:t>
            </w:r>
          </w:p>
        </w:tc>
      </w:tr>
      <w:tr w:rsidR="00960563" w:rsidRPr="00DC3CE7" w:rsidTr="0062585B">
        <w:trPr>
          <w:trHeight w:val="255"/>
          <w:jc w:val="center"/>
        </w:trPr>
        <w:tc>
          <w:tcPr>
            <w:tcW w:w="7854" w:type="dxa"/>
            <w:tcBorders>
              <w:top w:val="single" w:sz="2" w:space="0" w:color="auto"/>
              <w:bottom w:val="single" w:sz="4" w:space="0" w:color="auto"/>
            </w:tcBorders>
            <w:shd w:val="clear" w:color="auto" w:fill="B8CCE4" w:themeFill="accent1" w:themeFillTint="66"/>
            <w:noWrap/>
            <w:vAlign w:val="center"/>
          </w:tcPr>
          <w:p w:rsidR="00960563" w:rsidRPr="000A2B37" w:rsidRDefault="00960563" w:rsidP="00803A49">
            <w:pPr>
              <w:widowControl w:val="0"/>
              <w:spacing w:after="0"/>
              <w:ind w:firstLine="0"/>
              <w:jc w:val="left"/>
              <w:rPr>
                <w:rFonts w:ascii="Arial" w:hAnsi="Arial" w:cs="Arial"/>
                <w:color w:val="000000"/>
                <w:sz w:val="18"/>
                <w:szCs w:val="18"/>
              </w:rPr>
            </w:pPr>
            <w:r>
              <w:rPr>
                <w:rFonts w:ascii="Arial" w:hAnsi="Arial"/>
                <w:color w:val="000000"/>
                <w:sz w:val="18"/>
                <w:szCs w:val="18"/>
              </w:rPr>
              <w:t>Azalera eraikia, guztira</w:t>
            </w:r>
          </w:p>
        </w:tc>
        <w:tc>
          <w:tcPr>
            <w:tcW w:w="909" w:type="dxa"/>
            <w:tcBorders>
              <w:top w:val="single" w:sz="2" w:space="0" w:color="auto"/>
              <w:bottom w:val="single" w:sz="4" w:space="0" w:color="auto"/>
            </w:tcBorders>
            <w:shd w:val="clear" w:color="auto" w:fill="B8CCE4" w:themeFill="accent1" w:themeFillTint="66"/>
            <w:noWrap/>
            <w:vAlign w:val="center"/>
          </w:tcPr>
          <w:p w:rsidR="00960563" w:rsidRPr="000A2B37" w:rsidRDefault="00960563" w:rsidP="004D4827">
            <w:pPr>
              <w:widowControl w:val="0"/>
              <w:spacing w:after="0"/>
              <w:ind w:left="284" w:firstLine="0"/>
              <w:jc w:val="right"/>
              <w:rPr>
                <w:rFonts w:ascii="Arial" w:hAnsi="Arial" w:cs="Arial"/>
                <w:color w:val="000000"/>
                <w:sz w:val="18"/>
                <w:szCs w:val="18"/>
              </w:rPr>
            </w:pPr>
            <w:r>
              <w:rPr>
                <w:rFonts w:ascii="Arial" w:hAnsi="Arial"/>
                <w:color w:val="000000"/>
                <w:sz w:val="18"/>
                <w:szCs w:val="18"/>
              </w:rPr>
              <w:t>161.461</w:t>
            </w:r>
          </w:p>
        </w:tc>
      </w:tr>
    </w:tbl>
    <w:p w:rsidR="00530F50" w:rsidRPr="00DA68E2" w:rsidRDefault="00530F50" w:rsidP="00DA68E2">
      <w:pPr>
        <w:pStyle w:val="texto"/>
        <w:tabs>
          <w:tab w:val="clear" w:pos="2835"/>
          <w:tab w:val="clear" w:pos="3969"/>
          <w:tab w:val="clear" w:pos="5103"/>
          <w:tab w:val="clear" w:pos="6237"/>
          <w:tab w:val="clear" w:pos="7371"/>
        </w:tabs>
        <w:spacing w:before="120" w:after="120"/>
        <w:rPr>
          <w:spacing w:val="-4"/>
          <w:szCs w:val="26"/>
        </w:rPr>
      </w:pPr>
      <w:r>
        <w:t>Azalera horretatik, ehuneko 31 inguru intermodalitatearekin lotuta dago.</w:t>
      </w:r>
    </w:p>
    <w:p w:rsidR="001A3BC9" w:rsidRDefault="001A3BC9" w:rsidP="00530F50">
      <w:pPr>
        <w:pStyle w:val="texto"/>
        <w:tabs>
          <w:tab w:val="clear" w:pos="2835"/>
          <w:tab w:val="clear" w:pos="3969"/>
          <w:tab w:val="clear" w:pos="5103"/>
          <w:tab w:val="clear" w:pos="6237"/>
          <w:tab w:val="clear" w:pos="7371"/>
        </w:tabs>
        <w:rPr>
          <w:szCs w:val="26"/>
        </w:rPr>
      </w:pPr>
      <w:r>
        <w:t>4. faserako lursailen desjabetzearen kostua 25 milioi euro ingurukoa da.</w:t>
      </w:r>
    </w:p>
    <w:p w:rsidR="00550133" w:rsidRPr="0062585B" w:rsidRDefault="00B91961" w:rsidP="00550133">
      <w:pPr>
        <w:pStyle w:val="texto"/>
        <w:tabs>
          <w:tab w:val="clear" w:pos="2835"/>
          <w:tab w:val="clear" w:pos="3969"/>
          <w:tab w:val="clear" w:pos="5103"/>
          <w:tab w:val="clear" w:pos="6237"/>
          <w:tab w:val="clear" w:pos="7371"/>
        </w:tabs>
        <w:rPr>
          <w:spacing w:val="0"/>
          <w:szCs w:val="26"/>
        </w:rPr>
      </w:pPr>
      <w:r>
        <w:rPr>
          <w:b/>
          <w:szCs w:val="26"/>
        </w:rPr>
        <w:t>Berrogeita hamaikagarrena.</w:t>
      </w:r>
      <w:r>
        <w:t xml:space="preserve"> Ondoren –2010ean– egin ziren bideragarrit</w:t>
      </w:r>
      <w:r>
        <w:t>a</w:t>
      </w:r>
      <w:r>
        <w:t>sun-azterlanek, epe ertainean, baztertu egiten dute GHak trenbide-sarearekiko zuzeneko sarbidea izatea, bai kostu handiarengatik, bai bere eremu fisikoan 750 m-tik gorako luzera duten trenbideak edukitzeko ezintasunarengatik eta eskaera errealaren bolumenari buruzko zalantzarengatik ere. Planteatzen den aukerako helburua da Garraioaren Hiriaren eta Noaingo Zentro Logistikoaren (RENFE) arteko ahal den eta osagarritasun handiena lortzea.</w:t>
      </w:r>
    </w:p>
    <w:p w:rsidR="00723779" w:rsidRDefault="00B56BB6" w:rsidP="00550133">
      <w:pPr>
        <w:pStyle w:val="texto"/>
        <w:tabs>
          <w:tab w:val="clear" w:pos="2835"/>
          <w:tab w:val="clear" w:pos="3969"/>
          <w:tab w:val="clear" w:pos="5103"/>
          <w:tab w:val="clear" w:pos="6237"/>
          <w:tab w:val="clear" w:pos="7371"/>
        </w:tabs>
        <w:rPr>
          <w:szCs w:val="26"/>
        </w:rPr>
      </w:pPr>
      <w:r>
        <w:rPr>
          <w:b/>
          <w:szCs w:val="26"/>
        </w:rPr>
        <w:t>Berrogeita hamabigarrena.</w:t>
      </w:r>
      <w:r>
        <w:t xml:space="preserve"> Gaur egun, aipatutako bideragarritasun-azterlanaren arabera, Nasuvinsa planteatzen ari da Nafarroako Gobernuak 2017ko irailean zabalkuntzarako aurkeztu zuen udalez gaindiko plan sektorial</w:t>
      </w:r>
      <w:r>
        <w:t>a</w:t>
      </w:r>
      <w:r>
        <w:t>ren beste aldaketa bat egitea. Aldaketa horretan aurreikusten da ukitutako lu</w:t>
      </w:r>
      <w:r>
        <w:t>r</w:t>
      </w:r>
      <w:r>
        <w:t>sailaren erabileretan aldaketa bat egitea —zabaltzen da, garraioak eta logistikak berezko dituenetara ez ezik, beste edozein erabilera industrialera ere—, eta N</w:t>
      </w:r>
      <w:r>
        <w:t>a</w:t>
      </w:r>
      <w:r>
        <w:t>suvinsak zuzenean hartzen ditu bere gain lurzorua urbanizatzeko eta merkatur</w:t>
      </w:r>
      <w:r>
        <w:t>a</w:t>
      </w:r>
      <w:r>
        <w:t>tzeko lanak. Nasuvinsa sozietateak lursailen ehuneko 100 gordetzen du.</w:t>
      </w:r>
    </w:p>
    <w:p w:rsidR="005C6B99" w:rsidRPr="00A21E93" w:rsidRDefault="006E4420" w:rsidP="00803A49">
      <w:pPr>
        <w:pStyle w:val="texto"/>
        <w:tabs>
          <w:tab w:val="clear" w:pos="2835"/>
          <w:tab w:val="clear" w:pos="3969"/>
          <w:tab w:val="clear" w:pos="5103"/>
          <w:tab w:val="clear" w:pos="6237"/>
          <w:tab w:val="clear" w:pos="7371"/>
        </w:tabs>
        <w:spacing w:after="240"/>
        <w:rPr>
          <w:szCs w:val="26"/>
        </w:rPr>
      </w:pPr>
      <w:r>
        <w:rPr>
          <w:b/>
          <w:szCs w:val="26"/>
        </w:rPr>
        <w:t>Berrogeita hamahirugarrena.</w:t>
      </w:r>
      <w:r>
        <w:t xml:space="preserve"> 2017ko abenduaren 31n, Nasuvinsak guztira 185.293 euro inbertitu ditu urbanizazio-lan horietan, funtsean lurzorua zela</w:t>
      </w:r>
      <w:r>
        <w:t>i</w:t>
      </w:r>
      <w:r>
        <w:t>tzeko jarduketetan.</w:t>
      </w:r>
    </w:p>
    <w:p w:rsidR="00F61F33" w:rsidRDefault="00F61F33" w:rsidP="00256E83">
      <w:pPr>
        <w:pStyle w:val="atitulo2"/>
      </w:pPr>
      <w:bookmarkStart w:id="46" w:name="_Toc519583209"/>
      <w:r>
        <w:lastRenderedPageBreak/>
        <w:t>IV.9. Garraioaren Hiriaren okupazio-maila</w:t>
      </w:r>
      <w:bookmarkEnd w:id="46"/>
    </w:p>
    <w:p w:rsidR="003F5FC2" w:rsidRPr="00181EF1" w:rsidRDefault="006E4420" w:rsidP="00F61F33">
      <w:pPr>
        <w:pStyle w:val="texto"/>
        <w:tabs>
          <w:tab w:val="clear" w:pos="2835"/>
          <w:tab w:val="clear" w:pos="3969"/>
          <w:tab w:val="clear" w:pos="5103"/>
          <w:tab w:val="clear" w:pos="6237"/>
          <w:tab w:val="clear" w:pos="7371"/>
        </w:tabs>
        <w:rPr>
          <w:szCs w:val="26"/>
        </w:rPr>
      </w:pPr>
      <w:r>
        <w:rPr>
          <w:b/>
          <w:szCs w:val="26"/>
        </w:rPr>
        <w:t>Berrogeita hamalaugarrena.</w:t>
      </w:r>
      <w:r>
        <w:t xml:space="preserve"> GHaren 1. eta 2. faseak guztiz okupatuta daude.</w:t>
      </w:r>
      <w:r>
        <w:rPr>
          <w:color w:val="FF0000"/>
          <w:szCs w:val="26"/>
        </w:rPr>
        <w:t xml:space="preserve"> </w:t>
      </w:r>
      <w:r>
        <w:t>Ondorio gisa, esan dezakegu bi fase horiek merkataritzaren ikuspuntutik arrakasta bat izan zirela, garraioarekin eta logistikarekin lotutako zerbitzuet</w:t>
      </w:r>
      <w:r>
        <w:t>a</w:t>
      </w:r>
      <w:r>
        <w:t>rako okupazioari begiratuta.</w:t>
      </w:r>
    </w:p>
    <w:p w:rsidR="003F5FC2" w:rsidRDefault="006E4420" w:rsidP="00410583">
      <w:pPr>
        <w:pStyle w:val="texto"/>
        <w:tabs>
          <w:tab w:val="clear" w:pos="2835"/>
          <w:tab w:val="clear" w:pos="3969"/>
          <w:tab w:val="clear" w:pos="5103"/>
          <w:tab w:val="clear" w:pos="6237"/>
          <w:tab w:val="clear" w:pos="7371"/>
        </w:tabs>
        <w:rPr>
          <w:szCs w:val="26"/>
        </w:rPr>
      </w:pPr>
      <w:r>
        <w:rPr>
          <w:b/>
          <w:szCs w:val="26"/>
        </w:rPr>
        <w:t>Berrogeita hamabosgarrena.</w:t>
      </w:r>
      <w:r>
        <w:t xml:space="preserve"> GHaren zabalkuntzaren garapenaren hasiera —funtsean, 3. fasean zentratua— denboran bat dator krisi ekonomikoarekin, eta horrek eragin oso zuzena izan zuen okupazioan, eskaria nabarmen jaitsi z</w:t>
      </w:r>
      <w:r>
        <w:t>e</w:t>
      </w:r>
      <w:r>
        <w:t>lako.</w:t>
      </w:r>
    </w:p>
    <w:p w:rsidR="003F5FC2" w:rsidRDefault="003F5FC2" w:rsidP="00F61F33">
      <w:pPr>
        <w:pStyle w:val="texto"/>
        <w:tabs>
          <w:tab w:val="clear" w:pos="2835"/>
          <w:tab w:val="clear" w:pos="3969"/>
          <w:tab w:val="clear" w:pos="5103"/>
          <w:tab w:val="clear" w:pos="6237"/>
          <w:tab w:val="clear" w:pos="7371"/>
        </w:tabs>
        <w:rPr>
          <w:szCs w:val="26"/>
        </w:rPr>
      </w:pPr>
      <w:r>
        <w:t xml:space="preserve">Horren guztiaren emaitza da 3. fase horren okupazio maila ehuneko 54aren ingurukoa dela. Gaur egun, Nasuvinsak lursailen ehuneko 46ari eusten dio. </w:t>
      </w:r>
    </w:p>
    <w:p w:rsidR="00F61F33" w:rsidRDefault="00F61F33" w:rsidP="00F61F33">
      <w:pPr>
        <w:pStyle w:val="texto"/>
        <w:tabs>
          <w:tab w:val="clear" w:pos="2835"/>
          <w:tab w:val="clear" w:pos="3969"/>
          <w:tab w:val="clear" w:pos="5103"/>
          <w:tab w:val="clear" w:pos="6237"/>
          <w:tab w:val="clear" w:pos="7371"/>
        </w:tabs>
        <w:rPr>
          <w:szCs w:val="26"/>
        </w:rPr>
      </w:pPr>
      <w:r>
        <w:t>4. fasea oraindik ere behin betiko egituratzeko eta diseinatzeko fasean dago. Nabarmendu behar dugu lursail horiek hobekien aztertu eta baloratutakoen a</w:t>
      </w:r>
      <w:r>
        <w:t>r</w:t>
      </w:r>
      <w:r>
        <w:t>tean daudela Iruñerriko Mankomunitateak hondakin organikoak eta ontziak tr</w:t>
      </w:r>
      <w:r>
        <w:t>a</w:t>
      </w:r>
      <w:r>
        <w:t xml:space="preserve">tatzeko planta bat instalatzeko aukerari begira. </w:t>
      </w:r>
    </w:p>
    <w:p w:rsidR="004B5EA5" w:rsidRPr="009975EB" w:rsidRDefault="004B5EA5" w:rsidP="004B5EA5">
      <w:pPr>
        <w:pStyle w:val="texto"/>
        <w:tabs>
          <w:tab w:val="clear" w:pos="2835"/>
          <w:tab w:val="clear" w:pos="3969"/>
          <w:tab w:val="clear" w:pos="5103"/>
          <w:tab w:val="clear" w:pos="6237"/>
          <w:tab w:val="clear" w:pos="7371"/>
        </w:tabs>
        <w:rPr>
          <w:szCs w:val="26"/>
        </w:rPr>
      </w:pPr>
      <w:r>
        <w:rPr>
          <w:b/>
          <w:szCs w:val="26"/>
        </w:rPr>
        <w:t>Berrogeita hamaseigarrena.</w:t>
      </w:r>
      <w:r>
        <w:t xml:space="preserve"> Zerbitzu osagarrietarako —bulegoak— zu</w:t>
      </w:r>
      <w:r>
        <w:t>z</w:t>
      </w:r>
      <w:r>
        <w:t>kitu ziren lau eraikinetatik, hiru gaur egun erabilerarik gabe daude eta bat eh</w:t>
      </w:r>
      <w:r>
        <w:t>u</w:t>
      </w:r>
      <w:r>
        <w:t>neko 50ean okupatuta dago.</w:t>
      </w:r>
    </w:p>
    <w:p w:rsidR="004B5EA5" w:rsidRDefault="004B5EA5" w:rsidP="004B5EA5">
      <w:pPr>
        <w:pStyle w:val="texto"/>
        <w:tabs>
          <w:tab w:val="clear" w:pos="2835"/>
          <w:tab w:val="clear" w:pos="3969"/>
          <w:tab w:val="clear" w:pos="5103"/>
          <w:tab w:val="clear" w:pos="6237"/>
          <w:tab w:val="clear" w:pos="7371"/>
        </w:tabs>
        <w:rPr>
          <w:szCs w:val="26"/>
        </w:rPr>
      </w:pPr>
      <w:r>
        <w:t>Halaber, nabarmendu beharra daukagu ibilgailu astunen eta salgai arrisk</w:t>
      </w:r>
      <w:r>
        <w:t>u</w:t>
      </w:r>
      <w:r>
        <w:t>tsuen aparkalekuaren garrantzia, 54.700 m</w:t>
      </w:r>
      <w:r>
        <w:rPr>
          <w:vertAlign w:val="superscript"/>
        </w:rPr>
        <w:t>2</w:t>
      </w:r>
      <w:r>
        <w:t>-ko zabalera baitu —eragina du bai 1. fasean, bai 3.ean—; 475 toki daude guztira.</w:t>
      </w:r>
    </w:p>
    <w:p w:rsidR="00700BE1" w:rsidRDefault="006E4420" w:rsidP="000E5A01">
      <w:pPr>
        <w:pStyle w:val="texto"/>
        <w:tabs>
          <w:tab w:val="clear" w:pos="2835"/>
          <w:tab w:val="clear" w:pos="3969"/>
          <w:tab w:val="clear" w:pos="5103"/>
          <w:tab w:val="clear" w:pos="6237"/>
          <w:tab w:val="clear" w:pos="7371"/>
        </w:tabs>
        <w:rPr>
          <w:rFonts w:ascii="Arial" w:hAnsi="Arial"/>
          <w:bCs/>
          <w:iCs/>
          <w:color w:val="000000"/>
          <w:spacing w:val="10"/>
          <w:kern w:val="28"/>
          <w:sz w:val="25"/>
          <w:szCs w:val="26"/>
        </w:rPr>
      </w:pPr>
      <w:r>
        <w:rPr>
          <w:b/>
          <w:szCs w:val="26"/>
        </w:rPr>
        <w:t>Berrogeita hamazazpigarrena.</w:t>
      </w:r>
      <w:r>
        <w:t xml:space="preserve"> Ez dago jasota Garraioaren Hirian instalat</w:t>
      </w:r>
      <w:r>
        <w:t>u</w:t>
      </w:r>
      <w:r>
        <w:t>tako enpresen kopuruari buruzko azterlanik edo jarraipenik egin denik. Egunk</w:t>
      </w:r>
      <w:r>
        <w:t>a</w:t>
      </w:r>
      <w:r>
        <w:t xml:space="preserve">rietako albisteen arabera, 130 enpresa inguru ezarri dira, eta 2.500 langileri eman diete lana. </w:t>
      </w:r>
    </w:p>
    <w:p w:rsidR="00261535" w:rsidRDefault="003D49B1" w:rsidP="003D49B1">
      <w:pPr>
        <w:pStyle w:val="atitulo2"/>
      </w:pPr>
      <w:bookmarkStart w:id="47" w:name="_Toc519583210"/>
      <w:r>
        <w:t>IV.10. Gomendioak</w:t>
      </w:r>
      <w:bookmarkEnd w:id="47"/>
    </w:p>
    <w:p w:rsidR="007E59BD" w:rsidRPr="007E59BD" w:rsidRDefault="007E59BD" w:rsidP="001E6D45">
      <w:pPr>
        <w:pStyle w:val="texto"/>
        <w:tabs>
          <w:tab w:val="clear" w:pos="2835"/>
          <w:tab w:val="clear" w:pos="3969"/>
          <w:tab w:val="clear" w:pos="5103"/>
          <w:tab w:val="clear" w:pos="6237"/>
          <w:tab w:val="clear" w:pos="7371"/>
        </w:tabs>
        <w:rPr>
          <w:szCs w:val="26"/>
        </w:rPr>
      </w:pPr>
      <w:r>
        <w:t>Egindako lanetik, honako gomendio hauek nabarmendu nahi ditugu:</w:t>
      </w:r>
    </w:p>
    <w:p w:rsidR="007E59BD" w:rsidRPr="007E59BD" w:rsidRDefault="007E59BD" w:rsidP="007E59B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Tamaina eta baliabide publikoen bolumen hori duen azpiegitura orok gu</w:t>
      </w:r>
      <w:r>
        <w:rPr>
          <w:i/>
          <w:szCs w:val="26"/>
        </w:rPr>
        <w:t>z</w:t>
      </w:r>
      <w:r>
        <w:rPr>
          <w:i/>
          <w:szCs w:val="26"/>
        </w:rPr>
        <w:t>tiz babestuta eta planifikatuta egon behar du, eta ase beharreko beharrizanei, garapen, faseei eta bideragarritasun-planei buruzko azterlanak eduki behar ditu, errentagarritasuna ikuspuntu ekonomikotik zein sozialetik aztertzeko.</w:t>
      </w:r>
    </w:p>
    <w:p w:rsidR="007E59BD" w:rsidRPr="00212336" w:rsidRDefault="00EF0368" w:rsidP="007E59BD">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pacing w:val="2"/>
          <w:szCs w:val="26"/>
        </w:rPr>
      </w:pPr>
      <w:r>
        <w:rPr>
          <w:i/>
          <w:szCs w:val="26"/>
        </w:rPr>
        <w:t>Sortutako informazio guztia egoki artxibatzea, haren erantzukizuna duen entitatearen aldaketak zein diren ere.</w:t>
      </w:r>
    </w:p>
    <w:p w:rsidR="00174B05" w:rsidRPr="00E66CD1" w:rsidRDefault="002D256F" w:rsidP="00E66CD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Desjabetze-prozesuetan, ahaleginak egitea prezioak Administrazioaren prezio-orrian finkatzeko, termino errealista eta denboran eman diren pronu</w:t>
      </w:r>
      <w:r>
        <w:rPr>
          <w:i/>
          <w:szCs w:val="26"/>
        </w:rPr>
        <w:t>n</w:t>
      </w:r>
      <w:r>
        <w:rPr>
          <w:i/>
          <w:szCs w:val="26"/>
        </w:rPr>
        <w:t>tziamendu judizialekin bat datozenetan.</w:t>
      </w:r>
    </w:p>
    <w:p w:rsidR="00663BF2" w:rsidRDefault="00663BF2" w:rsidP="002D256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lastRenderedPageBreak/>
        <w:t>Obren gaineko eta adjudikazio-hartzailearen kudeaketaren gaineko ko</w:t>
      </w:r>
      <w:r>
        <w:rPr>
          <w:i/>
          <w:szCs w:val="26"/>
        </w:rPr>
        <w:t>n</w:t>
      </w:r>
      <w:r>
        <w:rPr>
          <w:i/>
          <w:szCs w:val="26"/>
        </w:rPr>
        <w:t>trola hobetzea, jarraipen eraginkorragoa egiteko, dagokion kontratuko term</w:t>
      </w:r>
      <w:r>
        <w:rPr>
          <w:i/>
          <w:szCs w:val="26"/>
        </w:rPr>
        <w:t>i</w:t>
      </w:r>
      <w:r>
        <w:rPr>
          <w:i/>
          <w:szCs w:val="26"/>
        </w:rPr>
        <w:t>noen arabera.</w:t>
      </w:r>
    </w:p>
    <w:p w:rsidR="00F37143" w:rsidRPr="00E66CD1" w:rsidRDefault="00EC6025" w:rsidP="002D256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Aldi baterako enpresa-elkarteari 3. fasean sinatutako alokairu-kontratuak eskatzea</w:t>
      </w:r>
      <w:r w:rsidR="00F93209">
        <w:rPr>
          <w:rStyle w:val="Refdenotaalpie"/>
          <w:i/>
          <w:szCs w:val="26"/>
        </w:rPr>
        <w:footnoteReference w:id="5"/>
      </w:r>
      <w:r>
        <w:rPr>
          <w:i/>
          <w:szCs w:val="26"/>
        </w:rPr>
        <w:t>.</w:t>
      </w:r>
    </w:p>
    <w:p w:rsidR="00E66CD1" w:rsidRDefault="00E66CD1" w:rsidP="00E66CD1">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Egiazki eta behar beste bermatzea aldi baterako enpresa-elkarteak ordai</w:t>
      </w:r>
      <w:r>
        <w:rPr>
          <w:i/>
          <w:szCs w:val="26"/>
        </w:rPr>
        <w:t>n</w:t>
      </w:r>
      <w:r>
        <w:rPr>
          <w:i/>
          <w:szCs w:val="26"/>
        </w:rPr>
        <w:t>tzeke dauden zorrak kobratuko dituela.</w:t>
      </w:r>
    </w:p>
    <w:p w:rsidR="002D256F" w:rsidRDefault="002D256F" w:rsidP="002D256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Garraioaren Hiriaren 4. fasearen behin betiko egituratzea amaitzea, hari errentagarritasuna ateratze aldera.</w:t>
      </w:r>
    </w:p>
    <w:p w:rsidR="002D256F" w:rsidRDefault="002D256F" w:rsidP="002D256F">
      <w:pPr>
        <w:pStyle w:val="texto"/>
        <w:numPr>
          <w:ilvl w:val="0"/>
          <w:numId w:val="1"/>
        </w:numPr>
        <w:tabs>
          <w:tab w:val="clear" w:pos="502"/>
          <w:tab w:val="clear" w:pos="2835"/>
          <w:tab w:val="clear" w:pos="3969"/>
          <w:tab w:val="clear" w:pos="5103"/>
          <w:tab w:val="clear" w:pos="6237"/>
          <w:tab w:val="clear" w:pos="7371"/>
          <w:tab w:val="left" w:pos="480"/>
          <w:tab w:val="num" w:pos="600"/>
        </w:tabs>
        <w:ind w:left="0" w:firstLine="290"/>
        <w:rPr>
          <w:i/>
          <w:szCs w:val="26"/>
        </w:rPr>
      </w:pPr>
      <w:r>
        <w:rPr>
          <w:i/>
          <w:szCs w:val="26"/>
        </w:rPr>
        <w:t>3. fasearen azalera-eskubidearen indarraldia amaitzen denean, aztertzea arrazoizkoa ote den erosketa-aukera aplikatzea, kasua bada, adjudikazio-hartzaileak besterentzeke dituen ondasunei.</w:t>
      </w:r>
    </w:p>
    <w:p w:rsidR="0062585B" w:rsidRPr="00941AF7" w:rsidRDefault="0062585B" w:rsidP="0062585B">
      <w:pPr>
        <w:pStyle w:val="texto"/>
        <w:tabs>
          <w:tab w:val="clear" w:pos="2835"/>
          <w:tab w:val="clear" w:pos="3969"/>
          <w:tab w:val="clear" w:pos="5103"/>
          <w:tab w:val="clear" w:pos="6237"/>
          <w:tab w:val="clear" w:pos="7371"/>
        </w:tabs>
      </w:pPr>
      <w:r>
        <w:t>Ignacio Cabeza del Salvador auditorea arduratu da lan honetaz, eta hark pr</w:t>
      </w:r>
      <w:r>
        <w:t>o</w:t>
      </w:r>
      <w:r>
        <w:t>posatuta eman da txosten hau, indarrean dagoen araudiak aurreikusitako izap</w:t>
      </w:r>
      <w:r>
        <w:t>i</w:t>
      </w:r>
      <w:r>
        <w:t>deak bete ondoren.</w:t>
      </w:r>
    </w:p>
    <w:p w:rsidR="0062585B" w:rsidRPr="0062585B" w:rsidRDefault="0062585B" w:rsidP="00066CC0">
      <w:pPr>
        <w:pStyle w:val="texto"/>
        <w:tabs>
          <w:tab w:val="clear" w:pos="2835"/>
          <w:tab w:val="clear" w:pos="3969"/>
          <w:tab w:val="clear" w:pos="5103"/>
          <w:tab w:val="clear" w:pos="6237"/>
          <w:tab w:val="clear" w:pos="7371"/>
        </w:tabs>
        <w:spacing w:before="240" w:after="0"/>
        <w:jc w:val="center"/>
        <w:rPr>
          <w:szCs w:val="26"/>
        </w:rPr>
      </w:pPr>
      <w:r>
        <w:t>Iruñean, 2018ko ekainaren 1ean</w:t>
      </w:r>
    </w:p>
    <w:p w:rsidR="0062585B" w:rsidRDefault="0062585B" w:rsidP="00066CC0">
      <w:pPr>
        <w:pStyle w:val="texto"/>
        <w:tabs>
          <w:tab w:val="clear" w:pos="2835"/>
          <w:tab w:val="clear" w:pos="3969"/>
          <w:tab w:val="clear" w:pos="5103"/>
          <w:tab w:val="clear" w:pos="6237"/>
          <w:tab w:val="clear" w:pos="7371"/>
        </w:tabs>
        <w:spacing w:after="0"/>
        <w:jc w:val="center"/>
        <w:rPr>
          <w:szCs w:val="26"/>
        </w:rPr>
      </w:pPr>
      <w:r>
        <w:t>Lehendakaria,</w:t>
      </w:r>
    </w:p>
    <w:p w:rsidR="00066CC0" w:rsidRDefault="00066CC0" w:rsidP="0062585B">
      <w:pPr>
        <w:pStyle w:val="texto"/>
        <w:tabs>
          <w:tab w:val="clear" w:pos="2835"/>
          <w:tab w:val="clear" w:pos="3969"/>
          <w:tab w:val="clear" w:pos="5103"/>
          <w:tab w:val="clear" w:pos="6237"/>
          <w:tab w:val="clear" w:pos="7371"/>
        </w:tabs>
        <w:jc w:val="center"/>
        <w:rPr>
          <w:szCs w:val="26"/>
        </w:rPr>
      </w:pPr>
    </w:p>
    <w:p w:rsidR="00066CC0" w:rsidRDefault="00066CC0" w:rsidP="0062585B">
      <w:pPr>
        <w:pStyle w:val="texto"/>
        <w:tabs>
          <w:tab w:val="clear" w:pos="2835"/>
          <w:tab w:val="clear" w:pos="3969"/>
          <w:tab w:val="clear" w:pos="5103"/>
          <w:tab w:val="clear" w:pos="6237"/>
          <w:tab w:val="clear" w:pos="7371"/>
        </w:tabs>
        <w:jc w:val="center"/>
        <w:rPr>
          <w:szCs w:val="26"/>
        </w:rPr>
      </w:pPr>
    </w:p>
    <w:p w:rsidR="00066CC0" w:rsidRPr="0062585B" w:rsidRDefault="00066CC0" w:rsidP="0062585B">
      <w:pPr>
        <w:pStyle w:val="texto"/>
        <w:tabs>
          <w:tab w:val="clear" w:pos="2835"/>
          <w:tab w:val="clear" w:pos="3969"/>
          <w:tab w:val="clear" w:pos="5103"/>
          <w:tab w:val="clear" w:pos="6237"/>
          <w:tab w:val="clear" w:pos="7371"/>
        </w:tabs>
        <w:jc w:val="center"/>
        <w:rPr>
          <w:szCs w:val="26"/>
        </w:rPr>
      </w:pPr>
    </w:p>
    <w:p w:rsidR="0062585B" w:rsidRDefault="0062585B" w:rsidP="0062585B">
      <w:pPr>
        <w:pStyle w:val="texto"/>
        <w:tabs>
          <w:tab w:val="clear" w:pos="2835"/>
          <w:tab w:val="clear" w:pos="3969"/>
          <w:tab w:val="clear" w:pos="5103"/>
          <w:tab w:val="clear" w:pos="6237"/>
          <w:tab w:val="clear" w:pos="7371"/>
        </w:tabs>
        <w:jc w:val="center"/>
        <w:rPr>
          <w:szCs w:val="26"/>
        </w:rPr>
      </w:pPr>
      <w:r>
        <w:t>Asunción Olaechea Estanga</w:t>
      </w:r>
    </w:p>
    <w:p w:rsidR="00326359" w:rsidRDefault="00326359" w:rsidP="0062585B">
      <w:pPr>
        <w:pStyle w:val="texto"/>
        <w:tabs>
          <w:tab w:val="clear" w:pos="2835"/>
          <w:tab w:val="clear" w:pos="3969"/>
          <w:tab w:val="clear" w:pos="5103"/>
          <w:tab w:val="clear" w:pos="6237"/>
          <w:tab w:val="clear" w:pos="7371"/>
        </w:tabs>
        <w:jc w:val="center"/>
        <w:rPr>
          <w:szCs w:val="26"/>
        </w:rPr>
        <w:sectPr w:rsidR="00326359" w:rsidSect="00AE5E7A">
          <w:headerReference w:type="even" r:id="rId20"/>
          <w:footerReference w:type="default" r:id="rId21"/>
          <w:pgSz w:w="11907" w:h="16840" w:code="9"/>
          <w:pgMar w:top="2109" w:right="1559" w:bottom="1644" w:left="1559" w:header="369" w:footer="136" w:gutter="0"/>
          <w:pgNumType w:start="3"/>
          <w:cols w:space="720"/>
          <w:docGrid w:linePitch="360"/>
        </w:sectPr>
      </w:pPr>
    </w:p>
    <w:p w:rsidR="00CC66E9" w:rsidRPr="00533807" w:rsidRDefault="00722009" w:rsidP="00533807">
      <w:pPr>
        <w:pStyle w:val="atitulo1"/>
        <w:jc w:val="center"/>
        <w:rPr>
          <w:bCs/>
        </w:rPr>
      </w:pPr>
      <w:bookmarkStart w:id="48" w:name="_Toc519583211"/>
      <w:r>
        <w:lastRenderedPageBreak/>
        <w:t>BEHIN-BEHINEKO TXOSTENARI AURKEZTUTAKO ALEGAZIOAK</w:t>
      </w:r>
      <w:bookmarkEnd w:id="48"/>
    </w:p>
    <w:p w:rsidR="009B4D5C" w:rsidRPr="001D5367" w:rsidRDefault="009B4D5C" w:rsidP="009B4D5C">
      <w:pPr>
        <w:rPr>
          <w:rFonts w:ascii="Helvetica LT Std" w:hAnsi="Helvetica LT Std"/>
        </w:rPr>
      </w:pPr>
      <w:r>
        <w:rPr>
          <w:rFonts w:ascii="Helvetica LT Std" w:hAnsi="Helvetica LT Std"/>
        </w:rPr>
        <w:t xml:space="preserve">NASUVINSA - NAVARRA DE SUELO Y VIVIENDA SA </w:t>
      </w:r>
    </w:p>
    <w:p w:rsidR="009B4D5C" w:rsidRPr="001D5367" w:rsidRDefault="009B4D5C" w:rsidP="009B4D5C">
      <w:pPr>
        <w:rPr>
          <w:rFonts w:ascii="Helvetica LT Std" w:hAnsi="Helvetica LT Std"/>
        </w:rPr>
      </w:pPr>
      <w:r>
        <w:rPr>
          <w:rFonts w:ascii="Helvetica LT Std" w:hAnsi="Helvetica LT Std"/>
        </w:rPr>
        <w:t>Iruñerriko Garraioaren Hiriari buruz Kontuen Ganberak egindako txostenari buruzko argip</w:t>
      </w:r>
      <w:r>
        <w:rPr>
          <w:rFonts w:ascii="Helvetica LT Std" w:hAnsi="Helvetica LT Std"/>
        </w:rPr>
        <w:t>e</w:t>
      </w:r>
      <w:r>
        <w:rPr>
          <w:rFonts w:ascii="Helvetica LT Std" w:hAnsi="Helvetica LT Std"/>
        </w:rPr>
        <w:t xml:space="preserve">nak </w:t>
      </w:r>
    </w:p>
    <w:p w:rsidR="009B4D5C" w:rsidRPr="001D5367" w:rsidRDefault="009B4D5C" w:rsidP="009B4D5C">
      <w:pPr>
        <w:rPr>
          <w:rFonts w:ascii="Helvetica LT Std" w:hAnsi="Helvetica LT Std"/>
        </w:rPr>
      </w:pPr>
      <w:r>
        <w:rPr>
          <w:rFonts w:ascii="Helvetica LT Std" w:hAnsi="Helvetica LT Std"/>
        </w:rPr>
        <w:t>Txostenaren amaieran, 4. fasearen garapenari buruz ari dela, aipatzen da Nasuvinsa pla</w:t>
      </w:r>
      <w:r>
        <w:rPr>
          <w:rFonts w:ascii="Helvetica LT Std" w:hAnsi="Helvetica LT Std"/>
        </w:rPr>
        <w:t>n</w:t>
      </w:r>
      <w:r>
        <w:rPr>
          <w:rFonts w:ascii="Helvetica LT Std" w:hAnsi="Helvetica LT Std"/>
        </w:rPr>
        <w:t xml:space="preserve">teatzen ari dela udalez gaindiko plan sektoriala berriz aldatzea, eta aldaketa hori 2017ko irailean hasia dela eta aurreikusitako erabilerak zabaltzea jasotzen duela. </w:t>
      </w:r>
    </w:p>
    <w:p w:rsidR="009B4D5C" w:rsidRPr="001D5367" w:rsidRDefault="009B4D5C" w:rsidP="009B4D5C">
      <w:pPr>
        <w:rPr>
          <w:rFonts w:ascii="Helvetica LT Std" w:hAnsi="Helvetica LT Std"/>
        </w:rPr>
      </w:pPr>
      <w:r>
        <w:rPr>
          <w:rFonts w:ascii="Helvetica LT Std" w:hAnsi="Helvetica LT Std"/>
        </w:rPr>
        <w:t>Egia da udalez gaindiko plan sektorialaren aldaketa-proposamenean parte hartzeko proz</w:t>
      </w:r>
      <w:r>
        <w:rPr>
          <w:rFonts w:ascii="Helvetica LT Std" w:hAnsi="Helvetica LT Std"/>
        </w:rPr>
        <w:t>e</w:t>
      </w:r>
      <w:r>
        <w:rPr>
          <w:rFonts w:ascii="Helvetica LT Std" w:hAnsi="Helvetica LT Std"/>
        </w:rPr>
        <w:t xml:space="preserve">sua egin zela. Honako helburu hauek zituen: </w:t>
      </w:r>
    </w:p>
    <w:p w:rsidR="009B4D5C" w:rsidRPr="001D5367" w:rsidRDefault="009B4D5C" w:rsidP="009B4D5C">
      <w:pPr>
        <w:rPr>
          <w:rFonts w:ascii="Helvetica LT Std" w:hAnsi="Helvetica LT Std"/>
        </w:rPr>
      </w:pPr>
      <w:r>
        <w:rPr>
          <w:rFonts w:ascii="Helvetica LT Std" w:hAnsi="Helvetica LT Std"/>
        </w:rPr>
        <w:t xml:space="preserve">a) Aurreikusitako erabilerak zabaltzea </w:t>
      </w:r>
    </w:p>
    <w:p w:rsidR="009B4D5C" w:rsidRPr="001D5367" w:rsidRDefault="009B4D5C" w:rsidP="009B4D5C">
      <w:pPr>
        <w:rPr>
          <w:rFonts w:ascii="Helvetica LT Std" w:hAnsi="Helvetica LT Std"/>
        </w:rPr>
      </w:pPr>
      <w:r>
        <w:rPr>
          <w:rFonts w:ascii="Helvetica LT Std" w:hAnsi="Helvetica LT Std"/>
        </w:rPr>
        <w:t xml:space="preserve">b) 4. fasean aurreikusitako antolamendua aldatzea, hasieran aurreikusitakoa baino tamaina handiagoko lurzatien plano bat definituz. </w:t>
      </w:r>
    </w:p>
    <w:p w:rsidR="009B4D5C" w:rsidRPr="001D5367" w:rsidRDefault="009B4D5C" w:rsidP="009B4D5C">
      <w:pPr>
        <w:rPr>
          <w:rFonts w:ascii="Helvetica LT Std" w:hAnsi="Helvetica LT Std"/>
        </w:rPr>
      </w:pPr>
      <w:r>
        <w:rPr>
          <w:rFonts w:ascii="Helvetica LT Std" w:hAnsi="Helvetica LT Std"/>
        </w:rPr>
        <w:t>Parte hartzeko prozesuan aurkeztutako ekarpenak izan ziren soilik udalez gaindiko plan se</w:t>
      </w:r>
      <w:r>
        <w:rPr>
          <w:rFonts w:ascii="Helvetica LT Std" w:hAnsi="Helvetica LT Std"/>
        </w:rPr>
        <w:t>k</w:t>
      </w:r>
      <w:r>
        <w:rPr>
          <w:rFonts w:ascii="Helvetica LT Std" w:hAnsi="Helvetica LT Std"/>
        </w:rPr>
        <w:t xml:space="preserve">torialean une horretara arte aurreikusitako erabilerei eustea planteatzen zutenak. </w:t>
      </w:r>
    </w:p>
    <w:p w:rsidR="009B4D5C" w:rsidRPr="001D5367" w:rsidRDefault="009B4D5C" w:rsidP="009B4D5C">
      <w:pPr>
        <w:rPr>
          <w:rFonts w:ascii="Helvetica LT Std" w:hAnsi="Helvetica LT Std"/>
        </w:rPr>
      </w:pPr>
      <w:r>
        <w:rPr>
          <w:rFonts w:ascii="Helvetica LT Std" w:hAnsi="Helvetica LT Std"/>
        </w:rPr>
        <w:t>Hori guztia dela eta, segurua da Nasuvinsak jarraituko duela hura aldatzen, planteatutako antolamenduari dagokionez, horrekin eremuaren etorkizuna bideragarriago egiteko, eta aurreikus</w:t>
      </w:r>
      <w:r>
        <w:rPr>
          <w:rFonts w:ascii="Helvetica LT Std" w:hAnsi="Helvetica LT Std"/>
        </w:rPr>
        <w:t>i</w:t>
      </w:r>
      <w:r>
        <w:rPr>
          <w:rFonts w:ascii="Helvetica LT Std" w:hAnsi="Helvetica LT Std"/>
        </w:rPr>
        <w:t xml:space="preserve">tako erabilerak zabaltzeko aukerari buruz erabaki beharko du. Gaur egun, erabaki hori hartu gabe dago oraindik. </w:t>
      </w:r>
    </w:p>
    <w:p w:rsidR="009B4D5C" w:rsidRPr="001D5367" w:rsidRDefault="009B4D5C" w:rsidP="009B4D5C">
      <w:pPr>
        <w:rPr>
          <w:rFonts w:ascii="Helvetica LT Std" w:hAnsi="Helvetica LT Std"/>
        </w:rPr>
      </w:pPr>
      <w:r>
        <w:rPr>
          <w:rFonts w:ascii="Helvetica LT Std" w:hAnsi="Helvetica LT Std"/>
        </w:rPr>
        <w:t xml:space="preserve">Iruñean, 2018ko maiatzaren 30ean </w:t>
      </w:r>
    </w:p>
    <w:p w:rsidR="009B4D5C" w:rsidRDefault="009B4D5C" w:rsidP="009B4D5C">
      <w:pPr>
        <w:rPr>
          <w:rFonts w:ascii="Helvetica LT Std" w:hAnsi="Helvetica LT Std"/>
        </w:rPr>
      </w:pPr>
      <w:r>
        <w:rPr>
          <w:rFonts w:ascii="Helvetica LT Std" w:hAnsi="Helvetica LT Std"/>
        </w:rPr>
        <w:t>Jose Mª Aierdi Fernandez de Barrena, Nasuvinsako zuzendari-kudeatzailea</w:t>
      </w:r>
    </w:p>
    <w:p w:rsidR="009B4D5C" w:rsidRDefault="009B4D5C" w:rsidP="009B4D5C">
      <w:pPr>
        <w:rPr>
          <w:rFonts w:ascii="Helvetica LT Std" w:hAnsi="Helvetica LT Std"/>
        </w:rPr>
      </w:pPr>
      <w:r>
        <w:rPr>
          <w:rFonts w:ascii="Helvetica LT Std" w:hAnsi="Helvetica LT Std"/>
        </w:rPr>
        <w:t>NAFARROAKO GOBERNUKO SUSTAPENEKO KONTSEILARI OHIA</w:t>
      </w:r>
    </w:p>
    <w:p w:rsidR="009B4D5C" w:rsidRPr="001D5367" w:rsidRDefault="009B4D5C" w:rsidP="009B4D5C">
      <w:pPr>
        <w:rPr>
          <w:rFonts w:ascii="Helvetica LT Std" w:hAnsi="Helvetica LT Std"/>
        </w:rPr>
      </w:pPr>
      <w:r>
        <w:rPr>
          <w:rFonts w:ascii="Helvetica LT Std" w:hAnsi="Helvetica LT Std"/>
        </w:rPr>
        <w:t>Luis Zarraluqui Ortigosa jaunak, Nafarroako Gobernuko Sustapeneko kontseilari ohia denak, honako alegazio hauek aurkezten ditu Iruñerriko Garraioaren Hiriari buruzko behin-behineko fisk</w:t>
      </w:r>
      <w:r>
        <w:rPr>
          <w:rFonts w:ascii="Helvetica LT Std" w:hAnsi="Helvetica LT Std"/>
        </w:rPr>
        <w:t>a</w:t>
      </w:r>
      <w:r>
        <w:rPr>
          <w:rFonts w:ascii="Helvetica LT Std" w:hAnsi="Helvetica LT Std"/>
        </w:rPr>
        <w:t xml:space="preserve">lizazio-txostena (1991-2017) dela eta: </w:t>
      </w:r>
    </w:p>
    <w:p w:rsidR="009B4D5C" w:rsidRPr="001D5367" w:rsidRDefault="009B4D5C" w:rsidP="009B4D5C">
      <w:pPr>
        <w:rPr>
          <w:rFonts w:ascii="Helvetica LT Std" w:hAnsi="Helvetica LT Std"/>
        </w:rPr>
      </w:pPr>
      <w:r>
        <w:rPr>
          <w:rFonts w:ascii="Helvetica LT Std" w:hAnsi="Helvetica LT Std"/>
        </w:rPr>
        <w:t xml:space="preserve">1. 19. ondorioa dela eta, iradokitzen dugu, egoera hobeki uler dadin, hirugarren lerrokadan honako eduki hau gehitzea: </w:t>
      </w:r>
    </w:p>
    <w:p w:rsidR="009B4D5C" w:rsidRPr="001D5367" w:rsidRDefault="009B4D5C" w:rsidP="009B4D5C">
      <w:pPr>
        <w:rPr>
          <w:rFonts w:ascii="Helvetica LT Std" w:hAnsi="Helvetica LT Std"/>
        </w:rPr>
      </w:pPr>
      <w:r>
        <w:rPr>
          <w:rFonts w:ascii="Helvetica LT Std" w:hAnsi="Helvetica LT Std"/>
        </w:rPr>
        <w:t>Nafarroako Gobernuaren erabakia, 2015eko martxoaren 18koa, zeinak adierazten baitu N</w:t>
      </w:r>
      <w:r>
        <w:rPr>
          <w:rFonts w:ascii="Helvetica LT Std" w:hAnsi="Helvetica LT Std"/>
        </w:rPr>
        <w:t>a</w:t>
      </w:r>
      <w:r>
        <w:rPr>
          <w:rFonts w:ascii="Helvetica LT Std" w:hAnsi="Helvetica LT Std"/>
        </w:rPr>
        <w:t>farroako Gobernuak eutsi nahi diela aurreko hitzarmenean hartutako konpromisoei eta Nasuvinsari sostengua ematen jarraitu nahi diela GHaren garapenean, bereziki lursailak eskuratzeko zenbat</w:t>
      </w:r>
      <w:r>
        <w:rPr>
          <w:rFonts w:ascii="Helvetica LT Std" w:hAnsi="Helvetica LT Std"/>
        </w:rPr>
        <w:t>e</w:t>
      </w:r>
      <w:r>
        <w:rPr>
          <w:rFonts w:ascii="Helvetica LT Std" w:hAnsi="Helvetica LT Std"/>
        </w:rPr>
        <w:t xml:space="preserve">koei dagokienez. Erabaki hori hartu zen sozietate publiko hori babesteko —azken batean, GHaren garapenerako eta kudeaketarako aurrez sortutako beste sozietate batzuen eskubideen jaraunslea zen— desjabetzeen prezioari buruzko auzi judizialetako balizko kontrako epai baten aurrean —une horretan auzi horiek erabakitzeko zeuden—, horrekin bideragarritasuna bermatuz.  </w:t>
      </w:r>
    </w:p>
    <w:p w:rsidR="009B4D5C" w:rsidRDefault="009B4D5C" w:rsidP="009B4D5C">
      <w:pPr>
        <w:rPr>
          <w:rFonts w:ascii="Helvetica LT Std" w:hAnsi="Helvetica LT Std"/>
        </w:rPr>
      </w:pPr>
      <w:r>
        <w:rPr>
          <w:rFonts w:ascii="Helvetica LT Std" w:hAnsi="Helvetica LT Std"/>
        </w:rPr>
        <w:t>2. 32. ondorioaren azken paragrafoa. Baieztatzen da sozietate kudeatzaileak ez duela jas</w:t>
      </w:r>
      <w:r>
        <w:rPr>
          <w:rFonts w:ascii="Helvetica LT Std" w:hAnsi="Helvetica LT Std"/>
        </w:rPr>
        <w:t>o</w:t>
      </w:r>
      <w:r>
        <w:rPr>
          <w:rFonts w:ascii="Helvetica LT Std" w:hAnsi="Helvetica LT Std"/>
        </w:rPr>
        <w:t>tzen alokairurako nabeei dagozkien diru-sarreren portzentaje bat, eta baieztatzen da hori aldi bat</w:t>
      </w:r>
      <w:r>
        <w:rPr>
          <w:rFonts w:ascii="Helvetica LT Std" w:hAnsi="Helvetica LT Std"/>
        </w:rPr>
        <w:t>e</w:t>
      </w:r>
      <w:r>
        <w:rPr>
          <w:rFonts w:ascii="Helvetica LT Std" w:hAnsi="Helvetica LT Std"/>
        </w:rPr>
        <w:t>rako enpresa-elkartearekin sinatutako kontratuaren ez-betetze bat dela.</w:t>
      </w:r>
    </w:p>
    <w:p w:rsidR="009B4D5C" w:rsidRPr="001D5367" w:rsidRDefault="009B4D5C" w:rsidP="009B4D5C">
      <w:pPr>
        <w:rPr>
          <w:rFonts w:ascii="Helvetica LT Std" w:hAnsi="Helvetica LT Std"/>
        </w:rPr>
      </w:pPr>
      <w:r>
        <w:rPr>
          <w:rFonts w:ascii="Helvetica LT Std" w:hAnsi="Helvetica LT Std"/>
        </w:rPr>
        <w:t>Kontratu hori ez daukadan arren, eta horregatik ezin dut dokumentu bidez jaso, badakit emakidadunak ez zuela baieztatu den kontratu betebehar hori; hori dela eta, ez ginateke egonen ez-betetze baten aurrean, txostenak nabarmentzen duenez. Hori dela eta, uste dut ondorioetan ageri den iruzkin hori ez dela zuzena eta kendu egin beharko litzatekeela.</w:t>
      </w:r>
    </w:p>
    <w:p w:rsidR="009B4D5C" w:rsidRPr="001D5367" w:rsidRDefault="009B4D5C" w:rsidP="009B4D5C">
      <w:pPr>
        <w:rPr>
          <w:rFonts w:ascii="Helvetica LT Std" w:hAnsi="Helvetica LT Std"/>
        </w:rPr>
      </w:pPr>
      <w:r>
        <w:rPr>
          <w:rFonts w:ascii="Helvetica LT Std" w:hAnsi="Helvetica LT Std"/>
        </w:rPr>
        <w:t>3. 33. ondorioa. Bigarren paragrafoaren azken esaldian honako hau esaten da: “Ez dago b</w:t>
      </w:r>
      <w:r>
        <w:rPr>
          <w:rFonts w:ascii="Helvetica LT Std" w:hAnsi="Helvetica LT Std"/>
        </w:rPr>
        <w:t>e</w:t>
      </w:r>
      <w:r>
        <w:rPr>
          <w:rFonts w:ascii="Helvetica LT Std" w:hAnsi="Helvetica LT Std"/>
        </w:rPr>
        <w:t>rariaz jasota berme horien entregatzea bete izana”. Hori aipatzen da ordaintzeko dagoen zorra e</w:t>
      </w:r>
      <w:r>
        <w:rPr>
          <w:rFonts w:ascii="Helvetica LT Std" w:hAnsi="Helvetica LT Std"/>
        </w:rPr>
        <w:t>s</w:t>
      </w:r>
      <w:r>
        <w:rPr>
          <w:rFonts w:ascii="Helvetica LT Std" w:hAnsi="Helvetica LT Std"/>
        </w:rPr>
        <w:t xml:space="preserve">taltzeko behar adinako berme hipotekarioei dagokienez. </w:t>
      </w:r>
    </w:p>
    <w:p w:rsidR="009B4D5C" w:rsidRPr="001D5367" w:rsidRDefault="009B4D5C" w:rsidP="009B4D5C">
      <w:pPr>
        <w:rPr>
          <w:rFonts w:ascii="Helvetica LT Std" w:hAnsi="Helvetica LT Std"/>
        </w:rPr>
      </w:pPr>
      <w:r>
        <w:rPr>
          <w:rFonts w:ascii="Helvetica LT Std" w:hAnsi="Helvetica LT Std"/>
        </w:rPr>
        <w:t>Aurreko kasuan bezala, gogoan dut hirugarren faseko lurzati baten azalera-eskubidea e</w:t>
      </w:r>
      <w:r>
        <w:rPr>
          <w:rFonts w:ascii="Helvetica LT Std" w:hAnsi="Helvetica LT Std"/>
        </w:rPr>
        <w:t>n</w:t>
      </w:r>
      <w:r>
        <w:rPr>
          <w:rFonts w:ascii="Helvetica LT Std" w:hAnsi="Helvetica LT Std"/>
        </w:rPr>
        <w:t>tregatzea sinatu zela, salerosketa  moduan, garai hartan aldi baterako enpresa-elkarteak Nasuvi</w:t>
      </w:r>
      <w:r>
        <w:rPr>
          <w:rFonts w:ascii="Helvetica LT Std" w:hAnsi="Helvetica LT Std"/>
        </w:rPr>
        <w:t>n</w:t>
      </w:r>
      <w:r>
        <w:rPr>
          <w:rFonts w:ascii="Helvetica LT Std" w:hAnsi="Helvetica LT Std"/>
        </w:rPr>
        <w:lastRenderedPageBreak/>
        <w:t xml:space="preserve">sarekin zeukan zorra deuseztatzeko. Salerosketa hori segur aski 2014. urtean zehar egin zen, baina gai hori ez daukat dokumentu bidez jasota. </w:t>
      </w:r>
    </w:p>
    <w:p w:rsidR="009B4D5C" w:rsidRPr="001D5367" w:rsidRDefault="009B4D5C" w:rsidP="009B4D5C">
      <w:pPr>
        <w:rPr>
          <w:rFonts w:ascii="Helvetica LT Std" w:hAnsi="Helvetica LT Std"/>
        </w:rPr>
      </w:pPr>
      <w:r>
        <w:rPr>
          <w:rFonts w:ascii="Helvetica LT Std" w:hAnsi="Helvetica LT Std"/>
        </w:rPr>
        <w:t>2015ean zehar, eta batez ere 2015eko ekainetik aurrera, hilabete hartan utzi bainuen ko</w:t>
      </w:r>
      <w:r>
        <w:rPr>
          <w:rFonts w:ascii="Helvetica LT Std" w:hAnsi="Helvetica LT Std"/>
        </w:rPr>
        <w:t>n</w:t>
      </w:r>
      <w:r>
        <w:rPr>
          <w:rFonts w:ascii="Helvetica LT Std" w:hAnsi="Helvetica LT Std"/>
        </w:rPr>
        <w:t xml:space="preserve">tseilari kargua, ez dakit lurzoruaren beste eskuratzerik izan den aldi baterako enpresa-elkarteak kanonaren ordainketan metatutako zorrak konpentsatzeko. </w:t>
      </w:r>
    </w:p>
    <w:p w:rsidR="009B4D5C" w:rsidRPr="001D5367" w:rsidRDefault="009B4D5C" w:rsidP="009B4D5C">
      <w:pPr>
        <w:rPr>
          <w:rFonts w:ascii="Helvetica LT Std" w:hAnsi="Helvetica LT Std"/>
        </w:rPr>
      </w:pPr>
      <w:r>
        <w:rPr>
          <w:rFonts w:ascii="Helvetica LT Std" w:hAnsi="Helvetica LT Std"/>
        </w:rPr>
        <w:t>Gainera, nire ustez aipatutako azalera-eskubidea entregatu zela egiaztatzekotan, agian o</w:t>
      </w:r>
      <w:r>
        <w:rPr>
          <w:rFonts w:ascii="Helvetica LT Std" w:hAnsi="Helvetica LT Std"/>
        </w:rPr>
        <w:t>n</w:t>
      </w:r>
      <w:r>
        <w:rPr>
          <w:rFonts w:ascii="Helvetica LT Std" w:hAnsi="Helvetica LT Std"/>
        </w:rPr>
        <w:t>dorioaren hirugarren paragrafoan kobratzeke ageri den kopuruaren zenbatekoa doitu beharko litz</w:t>
      </w:r>
      <w:r>
        <w:rPr>
          <w:rFonts w:ascii="Helvetica LT Std" w:hAnsi="Helvetica LT Std"/>
        </w:rPr>
        <w:t>a</w:t>
      </w:r>
      <w:r>
        <w:rPr>
          <w:rFonts w:ascii="Helvetica LT Std" w:hAnsi="Helvetica LT Std"/>
        </w:rPr>
        <w:t xml:space="preserve">teke. </w:t>
      </w:r>
    </w:p>
    <w:p w:rsidR="009B4D5C" w:rsidRPr="001D5367" w:rsidRDefault="009B4D5C" w:rsidP="009B4D5C">
      <w:pPr>
        <w:rPr>
          <w:rFonts w:ascii="Helvetica LT Std" w:hAnsi="Helvetica LT Std"/>
        </w:rPr>
      </w:pPr>
      <w:r>
        <w:rPr>
          <w:rFonts w:ascii="Helvetica LT Std" w:hAnsi="Helvetica LT Std"/>
        </w:rPr>
        <w:t xml:space="preserve">4. Lehenengo gomendioa (lehenengo buleta): </w:t>
      </w:r>
    </w:p>
    <w:p w:rsidR="009B4D5C" w:rsidRPr="001D5367" w:rsidRDefault="009B4D5C" w:rsidP="009B4D5C">
      <w:pPr>
        <w:rPr>
          <w:rFonts w:ascii="Helvetica LT Std" w:hAnsi="Helvetica LT Std"/>
        </w:rPr>
      </w:pPr>
      <w:r>
        <w:rPr>
          <w:rFonts w:ascii="Helvetica LT Std" w:hAnsi="Helvetica LT Std"/>
        </w:rPr>
        <w:t>Guztiz ados nago hain agerikoa den gomendioarekin. Halere, uste dut ezin dela hirugarren gomendiotik bereizi (hirugarren buleta). Nire ustez, epaitegiek desjabetzerako finkatutako balioa aurreikusten ezinezkoa zen, eta produktuen amaierako prezioan izan zuen ondorioari begira —lurzatietan nahiz nabeetan— GHaren beraren sustapenaren oinarrian dagoen prezio-atalasetik gora dago. Hori dela eta, nire iradokizuna da gomendio hori zabal dadila, lehenengo gomendio h</w:t>
      </w:r>
      <w:r>
        <w:rPr>
          <w:rFonts w:ascii="Helvetica LT Std" w:hAnsi="Helvetica LT Std"/>
        </w:rPr>
        <w:t>o</w:t>
      </w:r>
      <w:r>
        <w:rPr>
          <w:rFonts w:ascii="Helvetica LT Std" w:hAnsi="Helvetica LT Std"/>
        </w:rPr>
        <w:t xml:space="preserve">rri honako eduki hau duen paragrafo bat gehituz: </w:t>
      </w:r>
    </w:p>
    <w:p w:rsidR="009B4D5C" w:rsidRPr="001D5367" w:rsidRDefault="009B4D5C" w:rsidP="009B4D5C">
      <w:pPr>
        <w:rPr>
          <w:rFonts w:ascii="Helvetica LT Std" w:hAnsi="Helvetica LT Std"/>
        </w:rPr>
      </w:pPr>
      <w:r>
        <w:rPr>
          <w:rFonts w:ascii="Helvetica LT Std" w:hAnsi="Helvetica LT Std"/>
        </w:rPr>
        <w:t xml:space="preserve">Arreta berezia eduki beharko da lurzoruaren kostuari buruzko aurreikuspenetan, horrek gero operazio horien bideragarritasunean izan dezakeen eraginarengatik. </w:t>
      </w:r>
    </w:p>
    <w:p w:rsidR="009B4D5C" w:rsidRPr="001D5367" w:rsidRDefault="009B4D5C" w:rsidP="009B4D5C">
      <w:pPr>
        <w:rPr>
          <w:rFonts w:ascii="Helvetica LT Std" w:hAnsi="Helvetica LT Std"/>
        </w:rPr>
      </w:pPr>
      <w:r>
        <w:rPr>
          <w:rFonts w:ascii="Helvetica LT Std" w:hAnsi="Helvetica LT Std"/>
        </w:rPr>
        <w:t xml:space="preserve">5. Hirugarren gomendioaren amaieran (hirugarren buleta) paragrafo bat gehitzea: </w:t>
      </w:r>
    </w:p>
    <w:p w:rsidR="009B4D5C" w:rsidRDefault="009B4D5C" w:rsidP="009B4D5C">
      <w:pPr>
        <w:rPr>
          <w:rFonts w:ascii="Helvetica LT Std" w:hAnsi="Helvetica LT Std"/>
        </w:rPr>
      </w:pPr>
      <w:r>
        <w:rPr>
          <w:rFonts w:ascii="Helvetica LT Std" w:hAnsi="Helvetica LT Std"/>
        </w:rPr>
        <w:t>Prezio-orrietan desjabetzearen prezioa finkatzerakoan, lurzorua lortzeko sistema horretara joz gero, kontuan hartuko dira lursailen merkatuari eta inguruan egon daitezkeen sustapen pribat</w:t>
      </w:r>
      <w:r>
        <w:rPr>
          <w:rFonts w:ascii="Helvetica LT Std" w:hAnsi="Helvetica LT Std"/>
        </w:rPr>
        <w:t>u</w:t>
      </w:r>
      <w:r>
        <w:rPr>
          <w:rFonts w:ascii="Helvetica LT Std" w:hAnsi="Helvetica LT Std"/>
        </w:rPr>
        <w:t xml:space="preserve">etako eraikuntzaren kostuei hobekien doitzen zaizkion hipotesiak eta parametroak. </w:t>
      </w:r>
    </w:p>
    <w:p w:rsidR="009B4D5C" w:rsidRPr="001D5367" w:rsidRDefault="009B4D5C" w:rsidP="009B4D5C">
      <w:pPr>
        <w:rPr>
          <w:rFonts w:ascii="Helvetica LT Std" w:hAnsi="Helvetica LT Std"/>
        </w:rPr>
      </w:pPr>
      <w:r>
        <w:rPr>
          <w:rFonts w:ascii="Helvetica LT Std" w:hAnsi="Helvetica LT Std"/>
        </w:rPr>
        <w:t>6. Bosgarren gomendioa (bosgarren buleta). Paragrafoaren bigarren esaldian aipatzen d</w:t>
      </w:r>
      <w:r>
        <w:rPr>
          <w:rFonts w:ascii="Helvetica LT Std" w:hAnsi="Helvetica LT Std"/>
        </w:rPr>
        <w:t>e</w:t>
      </w:r>
      <w:r>
        <w:rPr>
          <w:rFonts w:ascii="Helvetica LT Std" w:hAnsi="Helvetica LT Std"/>
        </w:rPr>
        <w:t>nari dagokionez, “eta”-ren ondoren, litekeena da ezabatu behar izatea, idazki honen bigarren al</w:t>
      </w:r>
      <w:r>
        <w:rPr>
          <w:rFonts w:ascii="Helvetica LT Std" w:hAnsi="Helvetica LT Std"/>
        </w:rPr>
        <w:t>e</w:t>
      </w:r>
      <w:r>
        <w:rPr>
          <w:rFonts w:ascii="Helvetica LT Std" w:hAnsi="Helvetica LT Std"/>
        </w:rPr>
        <w:t xml:space="preserve">gazioan aipatutakoarengatik.  </w:t>
      </w:r>
    </w:p>
    <w:p w:rsidR="009B4D5C" w:rsidRPr="001D5367" w:rsidRDefault="009B4D5C" w:rsidP="009B4D5C">
      <w:pPr>
        <w:rPr>
          <w:rFonts w:ascii="Helvetica LT Std" w:hAnsi="Helvetica LT Std"/>
        </w:rPr>
      </w:pPr>
      <w:r>
        <w:rPr>
          <w:rFonts w:ascii="Helvetica LT Std" w:hAnsi="Helvetica LT Std"/>
        </w:rPr>
        <w:t>7. Seigarren gomendioa (seigarren buleta). Egiaztatzen bada 3. alegazioan aipatu dudan o</w:t>
      </w:r>
      <w:r>
        <w:rPr>
          <w:rFonts w:ascii="Helvetica LT Std" w:hAnsi="Helvetica LT Std"/>
        </w:rPr>
        <w:t>r</w:t>
      </w:r>
      <w:r>
        <w:rPr>
          <w:rFonts w:ascii="Helvetica LT Std" w:hAnsi="Helvetica LT Std"/>
        </w:rPr>
        <w:t>dainketa, ulertzen dut ordaintzeke dauden kopuruen ordainketa “bermatzeko” modu bat izanen l</w:t>
      </w:r>
      <w:r>
        <w:rPr>
          <w:rFonts w:ascii="Helvetica LT Std" w:hAnsi="Helvetica LT Std"/>
        </w:rPr>
        <w:t>i</w:t>
      </w:r>
      <w:r>
        <w:rPr>
          <w:rFonts w:ascii="Helvetica LT Std" w:hAnsi="Helvetica LT Std"/>
        </w:rPr>
        <w:t xml:space="preserve">tzatekeela azalera-eskubidea berriz ere saltzea; honezkero egina behar zuen horrek. Hori dela eta, nire proposamena da gomendio hori berriz idaztea, honela edo antzeko moduren batera: </w:t>
      </w:r>
    </w:p>
    <w:p w:rsidR="009B4D5C" w:rsidRPr="001D5367" w:rsidRDefault="009B4D5C" w:rsidP="009B4D5C">
      <w:pPr>
        <w:rPr>
          <w:rFonts w:ascii="Helvetica LT Std" w:hAnsi="Helvetica LT Std"/>
        </w:rPr>
      </w:pPr>
      <w:r>
        <w:rPr>
          <w:rFonts w:ascii="Helvetica LT Std" w:hAnsi="Helvetica LT Std"/>
        </w:rPr>
        <w:t>Aldi baterako enpresa-elkarteak ordaintzeke dituen zorrak deuseztatzea, dagokion azalera-eskubidea entregatuz, haren salerosketa kontratu baten bitartez. Formula hori etorkizunean errep</w:t>
      </w:r>
      <w:r>
        <w:rPr>
          <w:rFonts w:ascii="Helvetica LT Std" w:hAnsi="Helvetica LT Std"/>
        </w:rPr>
        <w:t>i</w:t>
      </w:r>
      <w:r>
        <w:rPr>
          <w:rFonts w:ascii="Helvetica LT Std" w:hAnsi="Helvetica LT Std"/>
        </w:rPr>
        <w:t xml:space="preserve">katzea, aldizka. </w:t>
      </w:r>
    </w:p>
    <w:p w:rsidR="009B4D5C" w:rsidRPr="001D5367" w:rsidRDefault="009B4D5C" w:rsidP="009B4D5C">
      <w:pPr>
        <w:rPr>
          <w:rFonts w:ascii="Helvetica LT Std" w:hAnsi="Helvetica LT Std"/>
        </w:rPr>
      </w:pPr>
      <w:r>
        <w:rPr>
          <w:rFonts w:ascii="Helvetica LT Std" w:hAnsi="Helvetica LT Std"/>
        </w:rPr>
        <w:t xml:space="preserve">2018-05-30 </w:t>
      </w:r>
    </w:p>
    <w:p w:rsidR="009B4D5C" w:rsidRPr="001D5367" w:rsidRDefault="009B4D5C" w:rsidP="009B4D5C">
      <w:pPr>
        <w:rPr>
          <w:rFonts w:ascii="Helvetica LT Std" w:hAnsi="Helvetica LT Std"/>
        </w:rPr>
      </w:pPr>
      <w:r>
        <w:rPr>
          <w:rFonts w:ascii="Helvetica LT Std" w:hAnsi="Helvetica LT Std"/>
        </w:rPr>
        <w:t xml:space="preserve">Luis Zarraluqui Ortigosa </w:t>
      </w:r>
    </w:p>
    <w:p w:rsidR="009B4D5C" w:rsidRDefault="009B4D5C" w:rsidP="009B4D5C">
      <w:pPr>
        <w:rPr>
          <w:rFonts w:ascii="Helvetica LT Std" w:hAnsi="Helvetica LT Std"/>
        </w:rPr>
      </w:pPr>
      <w:r>
        <w:rPr>
          <w:rFonts w:ascii="Helvetica LT Std" w:hAnsi="Helvetica LT Std"/>
        </w:rPr>
        <w:t>SANCO-GM aldi baterako enpresa-elkartea</w:t>
      </w:r>
    </w:p>
    <w:p w:rsidR="009B4D5C" w:rsidRPr="001D5367" w:rsidRDefault="009B4D5C" w:rsidP="009B4D5C">
      <w:pPr>
        <w:rPr>
          <w:rFonts w:ascii="Helvetica LT Std" w:hAnsi="Helvetica LT Std"/>
        </w:rPr>
      </w:pPr>
      <w:r>
        <w:rPr>
          <w:rFonts w:ascii="Helvetica LT Std" w:hAnsi="Helvetica LT Std"/>
        </w:rPr>
        <w:t xml:space="preserve">Ángel-María García Clavijo Nafarroan Kontuen Ganberaren aurrean agertu eta egokien den moduan honako hau adierazten dut: </w:t>
      </w:r>
    </w:p>
    <w:p w:rsidR="009B4D5C" w:rsidRPr="001D5367" w:rsidRDefault="009B4D5C" w:rsidP="009B4D5C">
      <w:pPr>
        <w:rPr>
          <w:rFonts w:ascii="Helvetica LT Std" w:hAnsi="Helvetica LT Std"/>
        </w:rPr>
      </w:pPr>
      <w:r>
        <w:rPr>
          <w:rFonts w:ascii="Helvetica LT Std" w:hAnsi="Helvetica LT Std"/>
        </w:rPr>
        <w:t>1.- Nafarroako Kontuen Ganberaren 2018ko maiatzaren 18ko ebazpena aipatzen da; haren bidez, erabaki zen Sanco-GM aldi baterako enpresa-elkarteari helaraztea “Iruñerriko Garraioaren Hiriari buruzko behin-behineko txostena (1991-2017)”, auditore Ignacio Cabeza del Salvador ja</w:t>
      </w:r>
      <w:r>
        <w:rPr>
          <w:rFonts w:ascii="Helvetica LT Std" w:hAnsi="Helvetica LT Std"/>
        </w:rPr>
        <w:t>u</w:t>
      </w:r>
      <w:r>
        <w:rPr>
          <w:rFonts w:ascii="Helvetica LT Std" w:hAnsi="Helvetica LT Std"/>
        </w:rPr>
        <w:t>nak proposatuta eman dena; eta gure aldi baterako enpresa-elkarteari alegazioak aurkezteko iz</w:t>
      </w:r>
      <w:r>
        <w:rPr>
          <w:rFonts w:ascii="Helvetica LT Std" w:hAnsi="Helvetica LT Std"/>
        </w:rPr>
        <w:t>a</w:t>
      </w:r>
      <w:r>
        <w:rPr>
          <w:rFonts w:ascii="Helvetica LT Std" w:hAnsi="Helvetica LT Std"/>
        </w:rPr>
        <w:t xml:space="preserve">pidea eskaintzen zaio. Izapide horretarako epea maiatzaren 30ean amaitzen da. </w:t>
      </w:r>
    </w:p>
    <w:p w:rsidR="009B4D5C" w:rsidRPr="001D5367" w:rsidRDefault="009B4D5C" w:rsidP="009B4D5C">
      <w:pPr>
        <w:rPr>
          <w:rFonts w:ascii="Helvetica LT Std" w:hAnsi="Helvetica LT Std"/>
        </w:rPr>
      </w:pPr>
      <w:r>
        <w:rPr>
          <w:rFonts w:ascii="Helvetica LT Std" w:hAnsi="Helvetica LT Std"/>
        </w:rPr>
        <w:t xml:space="preserve">II.- Ezer baino lehen, eta orokorrean, aldi baterako enpresa-elkarte honek azpimarratu nahi du nolako seriotasunez eta zorroztasunez ekin dion Kontuen Ganberak aipatutako behin-behineko txostena egiteari, eta haren gogoetetako bakarrean ere zalantzan ez jartzea Sanco-GM enpresa-elkartearen jokaeraren seriotasuna eta zorroztasuna, Iruñeko Garraioaren Hiria izenaz ezagutzen denaren lehenengo eta bigarren faseen hasierako adjudikaziotik hasi eta gaur arte. </w:t>
      </w:r>
    </w:p>
    <w:p w:rsidR="009B4D5C" w:rsidRPr="001D5367" w:rsidRDefault="009B4D5C" w:rsidP="009B4D5C">
      <w:pPr>
        <w:rPr>
          <w:rFonts w:ascii="Helvetica LT Std" w:hAnsi="Helvetica LT Std"/>
        </w:rPr>
      </w:pPr>
      <w:r>
        <w:rPr>
          <w:rFonts w:ascii="Helvetica LT Std" w:hAnsi="Helvetica LT Std"/>
        </w:rPr>
        <w:lastRenderedPageBreak/>
        <w:t xml:space="preserve">III.- Hala eta guztiz ere, alegazioak aurkezteko emandako epearen laburrak eta idazki honen helburuak berak edukia luzeagoa izatea eta dokumentu gehiago edukitzea —eta operazioa ongi bukatzeko gainditu behar izan diren eta oraindik ere gainditu behar diren zailtasunen erreferentzia xeheagoak ematea— eragozten eta galarazten duten arren, Sanco-GM enpresa-elkarteak gogoeta orokor bat egin nahi du Garraioaren Hiriaren proiektuari buruz, eta zehaztapen zehatzago batzuk, berriz, idatzi den txostenean jasotako iritzi batzuei buruz. </w:t>
      </w:r>
    </w:p>
    <w:p w:rsidR="009B4D5C" w:rsidRPr="001D5367" w:rsidRDefault="009B4D5C" w:rsidP="009B4D5C">
      <w:pPr>
        <w:rPr>
          <w:rFonts w:ascii="Helvetica LT Std" w:hAnsi="Helvetica LT Std"/>
        </w:rPr>
      </w:pPr>
      <w:r>
        <w:rPr>
          <w:rFonts w:ascii="Helvetica LT Std" w:hAnsi="Helvetica LT Std"/>
        </w:rPr>
        <w:t>IV.- Gogoeta orokor gisa, aldi baterako enpresa-elkarte honek esan beharra dauka Iruñeko Garraioaren Hiria sortu zela eta kudeatu izan dela Iruñerriko garraioaren eta logistikaren sektor</w:t>
      </w:r>
      <w:r>
        <w:rPr>
          <w:rFonts w:ascii="Helvetica LT Std" w:hAnsi="Helvetica LT Std"/>
        </w:rPr>
        <w:t>e</w:t>
      </w:r>
      <w:r>
        <w:rPr>
          <w:rFonts w:ascii="Helvetica LT Std" w:hAnsi="Helvetica LT Std"/>
        </w:rPr>
        <w:t>rako proiektu estrategiko baten gisara, eta Nafarroako Gobernuak zuzenean kontrolatu izan duela tresna izaerako sozietate publiko baten bitartez: hasiera batean Terminal de Transportes de la Comarca de Pamplona SA eta gaur egun, sozietate-aldaketa batzuen ondoren, Nasuvinsa. Aipat</w:t>
      </w:r>
      <w:r>
        <w:rPr>
          <w:rFonts w:ascii="Helvetica LT Std" w:hAnsi="Helvetica LT Std"/>
        </w:rPr>
        <w:t>u</w:t>
      </w:r>
      <w:r>
        <w:rPr>
          <w:rFonts w:ascii="Helvetica LT Std" w:hAnsi="Helvetica LT Std"/>
        </w:rPr>
        <w:t>tako kontrol publikoa, salmenta-prezioen mugatzea, Nafarroako Gobernuak tasatuak baitira, eta adjudikazio-hartzaileari exigitu zaizkion kalitate-estandar jasoak direla eta, Sanco-GM aldi baterako enpresa-elkartearen jarduketan beti aldez aurreko baimena behar izan da proiektuaren exekuzio</w:t>
      </w:r>
      <w:r>
        <w:rPr>
          <w:rFonts w:ascii="Helvetica LT Std" w:hAnsi="Helvetica LT Std"/>
        </w:rPr>
        <w:t>a</w:t>
      </w:r>
      <w:r>
        <w:rPr>
          <w:rFonts w:ascii="Helvetica LT Std" w:hAnsi="Helvetica LT Std"/>
        </w:rPr>
        <w:t>rekin zerikusia zuten erabaki guztietarako. Gogoeta orokor horretan oinarrituta, nabarmendu beh</w:t>
      </w:r>
      <w:r>
        <w:rPr>
          <w:rFonts w:ascii="Helvetica LT Std" w:hAnsi="Helvetica LT Std"/>
        </w:rPr>
        <w:t>a</w:t>
      </w:r>
      <w:r>
        <w:rPr>
          <w:rFonts w:ascii="Helvetica LT Std" w:hAnsi="Helvetica LT Std"/>
        </w:rPr>
        <w:t>rra dago, azkenik, 1991tik ez dela inongo irregulartasunik detektatu aldi baterako enpresa-elkartearen kudeaketa ekonomikoan, haren gardentasuna auzitan jar dezakeena edo Nafarroako Gobernuak ezarritakoez eta sustatutakoez bestelako kanpoko interesen esku-sartzea izateari b</w:t>
      </w:r>
      <w:r>
        <w:rPr>
          <w:rFonts w:ascii="Helvetica LT Std" w:hAnsi="Helvetica LT Std"/>
        </w:rPr>
        <w:t>u</w:t>
      </w:r>
      <w:r>
        <w:rPr>
          <w:rFonts w:ascii="Helvetica LT Std" w:hAnsi="Helvetica LT Std"/>
        </w:rPr>
        <w:t>ruzko zalantza elika dezakeena; eta Garraioaren Hiriaren hirugarren fasean aldi baterako enpresa-elkartean sortu diren arazo finantzarioek, Nasuvinsan eragina izan dutenek, gure aldi baterako e</w:t>
      </w:r>
      <w:r>
        <w:rPr>
          <w:rFonts w:ascii="Helvetica LT Std" w:hAnsi="Helvetica LT Std"/>
        </w:rPr>
        <w:t>n</w:t>
      </w:r>
      <w:r>
        <w:rPr>
          <w:rFonts w:ascii="Helvetica LT Std" w:hAnsi="Helvetica LT Std"/>
        </w:rPr>
        <w:t>presa-elkarteaz kanpoko jatorri ezagun bat izan dutela: 2007an hasi zen enpresa-krisi orokorra. Izan ere, krisi horrek eragin garrantzitsua izan du garraioaren eta logistikaren sektorean, eta eragin oso larria higiezinen sektorean; eta horrek guztiak —ustekabekoa eta tamaina handikoa izan baita— muturreko aldaketa bat ekarri du kasuko inguruabarretan, hain zuzen ere Garraioaren H</w:t>
      </w:r>
      <w:r>
        <w:rPr>
          <w:rFonts w:ascii="Helvetica LT Std" w:hAnsi="Helvetica LT Std"/>
        </w:rPr>
        <w:t>i</w:t>
      </w:r>
      <w:r>
        <w:rPr>
          <w:rFonts w:ascii="Helvetica LT Std" w:hAnsi="Helvetica LT Std"/>
        </w:rPr>
        <w:t xml:space="preserve">riaren hirugarren fasearen garapen-oinarriak ezartzeko garaian. </w:t>
      </w:r>
    </w:p>
    <w:p w:rsidR="009B4D5C" w:rsidRPr="001D5367" w:rsidRDefault="009B4D5C" w:rsidP="009B4D5C">
      <w:pPr>
        <w:rPr>
          <w:rFonts w:ascii="Helvetica LT Std" w:hAnsi="Helvetica LT Std"/>
        </w:rPr>
      </w:pPr>
      <w:r>
        <w:rPr>
          <w:rFonts w:ascii="Helvetica LT Std" w:hAnsi="Helvetica LT Std"/>
        </w:rPr>
        <w:t xml:space="preserve">V.- Aurreko gogoeta orokor hori eginda, komeni da honako alegazio hauek egitea behin-behineko txostenean jasotako ondorio eta gomendioei buruz: </w:t>
      </w:r>
    </w:p>
    <w:p w:rsidR="009B4D5C" w:rsidRPr="001D5367" w:rsidRDefault="009B4D5C" w:rsidP="009B4D5C">
      <w:pPr>
        <w:rPr>
          <w:rFonts w:ascii="Helvetica LT Std" w:hAnsi="Helvetica LT Std"/>
        </w:rPr>
      </w:pPr>
      <w:r>
        <w:rPr>
          <w:rFonts w:ascii="Helvetica LT Std" w:hAnsi="Helvetica LT Std"/>
        </w:rPr>
        <w:t xml:space="preserve">1.a. Errentamenduan dauden nabeak. </w:t>
      </w:r>
    </w:p>
    <w:p w:rsidR="009B4D5C" w:rsidRPr="001D5367" w:rsidRDefault="009B4D5C" w:rsidP="009B4D5C">
      <w:pPr>
        <w:rPr>
          <w:rFonts w:ascii="Helvetica LT Std" w:hAnsi="Helvetica LT Std"/>
        </w:rPr>
      </w:pPr>
      <w:r>
        <w:rPr>
          <w:rFonts w:ascii="Helvetica LT Std" w:hAnsi="Helvetica LT Std"/>
        </w:rPr>
        <w:t xml:space="preserve">32. ondorioa eta bosgarren gomendioa direla eta, esan behar dugu Sango-GM ez dagoela ados txostenean aipatutako kontratuaren ez-betetzeari buruzko salaketarekin. </w:t>
      </w:r>
    </w:p>
    <w:p w:rsidR="009B4D5C" w:rsidRPr="001D5367" w:rsidRDefault="009B4D5C" w:rsidP="009B4D5C">
      <w:pPr>
        <w:rPr>
          <w:rFonts w:ascii="Helvetica LT Std" w:hAnsi="Helvetica LT Std"/>
        </w:rPr>
      </w:pPr>
      <w:r>
        <w:rPr>
          <w:rFonts w:ascii="Helvetica LT Std" w:hAnsi="Helvetica LT Std"/>
        </w:rPr>
        <w:t>Hirugarren fasearen adjudikazio-kontratuan, hirugarren klausulan, adjudikazio-hartzaileari ezarri zitzaion udalez gaindiko plan sektorialean aurreikusitako nabeen guztizko azaleraren % 20 errentamendu-araubidean ustiatzea. Gaur egun, udalez gaindiko plan sektorialean aurreikusitako lurzatien 386.613,33 metro koadroetatik 71.513,75 metro koadro errentan emanda daude, eta hori guztizkoaren % 18,643 da (eta saldutako azalera osoaren % 30,173, azalera oso hori 237.010,56 m koadrokoa baita); hori dela eta, portzentaje berari eutsiz gero, errentan emandako azalerak a</w:t>
      </w:r>
      <w:r>
        <w:rPr>
          <w:rFonts w:ascii="Helvetica LT Std" w:hAnsi="Helvetica LT Std"/>
        </w:rPr>
        <w:t>z</w:t>
      </w:r>
      <w:r>
        <w:rPr>
          <w:rFonts w:ascii="Helvetica LT Std" w:hAnsi="Helvetica LT Std"/>
        </w:rPr>
        <w:t>kenean konprometitutako proportzioa gainditu ahalko du. Iruñerriko Garraio Hiriaren 3. fasean be</w:t>
      </w:r>
      <w:r>
        <w:rPr>
          <w:rFonts w:ascii="Helvetica LT Std" w:hAnsi="Helvetica LT Std"/>
        </w:rPr>
        <w:t>s</w:t>
      </w:r>
      <w:r>
        <w:rPr>
          <w:rFonts w:ascii="Helvetica LT Std" w:hAnsi="Helvetica LT Std"/>
        </w:rPr>
        <w:t xml:space="preserve">terentzeko modukoak diren lurzatien zerrenda duen orria gehitu dugu. </w:t>
      </w:r>
    </w:p>
    <w:p w:rsidR="009B4D5C" w:rsidRPr="001D5367" w:rsidRDefault="009B4D5C" w:rsidP="009B4D5C">
      <w:pPr>
        <w:rPr>
          <w:rFonts w:ascii="Helvetica LT Std" w:hAnsi="Helvetica LT Std"/>
        </w:rPr>
      </w:pPr>
      <w:r>
        <w:rPr>
          <w:rFonts w:ascii="Helvetica LT Std" w:hAnsi="Helvetica LT Std"/>
        </w:rPr>
        <w:t>Ez dago berariazko kontratu-betebehar gisa jasota Nasuvinsari entregatzea errentan ema</w:t>
      </w:r>
      <w:r>
        <w:rPr>
          <w:rFonts w:ascii="Helvetica LT Std" w:hAnsi="Helvetica LT Std"/>
        </w:rPr>
        <w:t>n</w:t>
      </w:r>
      <w:r>
        <w:rPr>
          <w:rFonts w:ascii="Helvetica LT Std" w:hAnsi="Helvetica LT Std"/>
        </w:rPr>
        <w:t xml:space="preserve">dako higiezinen zerrenda; hori dela eta, ezin da ondorioztatu puntu horren inongo ez-betetzerik izan denik. Hala eta guztiz ere, Garraioaren Hirian errentan emandako nabeen zerrenda gehitu dugu. </w:t>
      </w:r>
    </w:p>
    <w:p w:rsidR="009B4D5C" w:rsidRPr="001D5367" w:rsidRDefault="009B4D5C" w:rsidP="009B4D5C">
      <w:pPr>
        <w:rPr>
          <w:rFonts w:ascii="Helvetica LT Std" w:hAnsi="Helvetica LT Std"/>
        </w:rPr>
      </w:pPr>
      <w:r>
        <w:rPr>
          <w:rFonts w:ascii="Helvetica LT Std" w:hAnsi="Helvetica LT Std"/>
        </w:rPr>
        <w:t>Errentan emanda dauden eta azalera-eskubidea azkenduta duten nabeei dagokienez, N</w:t>
      </w:r>
      <w:r>
        <w:rPr>
          <w:rFonts w:ascii="Helvetica LT Std" w:hAnsi="Helvetica LT Std"/>
        </w:rPr>
        <w:t>a</w:t>
      </w:r>
      <w:r>
        <w:rPr>
          <w:rFonts w:ascii="Helvetica LT Std" w:hAnsi="Helvetica LT Std"/>
        </w:rPr>
        <w:t xml:space="preserve">suvinsak salmentaren kasuan zegokion prezioaren partaidetza jaso du. Horixe da EA 03.1 lurzatian egindako nabearen kasua, zeina gaur egun Decathloni errentan emanda baitago. </w:t>
      </w:r>
    </w:p>
    <w:p w:rsidR="009B4D5C" w:rsidRPr="001D5367" w:rsidRDefault="009B4D5C" w:rsidP="009B4D5C">
      <w:pPr>
        <w:rPr>
          <w:rFonts w:ascii="Helvetica LT Std" w:hAnsi="Helvetica LT Std"/>
        </w:rPr>
      </w:pPr>
      <w:r>
        <w:rPr>
          <w:rFonts w:ascii="Helvetica LT Std" w:hAnsi="Helvetica LT Std"/>
        </w:rPr>
        <w:t>Errentan emanda dauden eta gaur egun oraindik ere azalera-eskubidea eratuta duten n</w:t>
      </w:r>
      <w:r>
        <w:rPr>
          <w:rFonts w:ascii="Helvetica LT Std" w:hAnsi="Helvetica LT Std"/>
        </w:rPr>
        <w:t>a</w:t>
      </w:r>
      <w:r>
        <w:rPr>
          <w:rFonts w:ascii="Helvetica LT Std" w:hAnsi="Helvetica LT Std"/>
        </w:rPr>
        <w:t xml:space="preserve">been eskubide hori azkentzen denean, Nasuvinsak salmenta-prezioaren dagokion portzentajea jasoko du.  </w:t>
      </w:r>
    </w:p>
    <w:p w:rsidR="009B4D5C" w:rsidRPr="001D5367" w:rsidRDefault="009B4D5C" w:rsidP="009B4D5C">
      <w:pPr>
        <w:rPr>
          <w:rFonts w:ascii="Helvetica LT Std" w:hAnsi="Helvetica LT Std"/>
        </w:rPr>
      </w:pPr>
      <w:r>
        <w:rPr>
          <w:rFonts w:ascii="Helvetica LT Std" w:hAnsi="Helvetica LT Std"/>
        </w:rPr>
        <w:t xml:space="preserve">2.a. Bermeak. </w:t>
      </w:r>
    </w:p>
    <w:p w:rsidR="009B4D5C" w:rsidRPr="001D5367" w:rsidRDefault="009B4D5C" w:rsidP="009B4D5C">
      <w:pPr>
        <w:rPr>
          <w:rFonts w:ascii="Helvetica LT Std" w:hAnsi="Helvetica LT Std"/>
        </w:rPr>
      </w:pPr>
      <w:r>
        <w:rPr>
          <w:rFonts w:ascii="Helvetica LT Std" w:hAnsi="Helvetica LT Std"/>
        </w:rPr>
        <w:lastRenderedPageBreak/>
        <w:t xml:space="preserve">33. ondorioa eta seigarren gomendioa direla eta, esan behar dugu oraingoan ere Sanco-GM ez dagoela ados. </w:t>
      </w:r>
    </w:p>
    <w:p w:rsidR="009B4D5C" w:rsidRPr="001D5367" w:rsidRDefault="009B4D5C" w:rsidP="009B4D5C">
      <w:pPr>
        <w:rPr>
          <w:rFonts w:ascii="Helvetica LT Std" w:hAnsi="Helvetica LT Std"/>
        </w:rPr>
      </w:pPr>
      <w:r>
        <w:rPr>
          <w:rFonts w:ascii="Helvetica LT Std" w:hAnsi="Helvetica LT Std"/>
        </w:rPr>
        <w:t>Txostenean esaten da ezen hirugarren fasearen adjudikazio-kontratuaren aldaketatik a</w:t>
      </w:r>
      <w:r>
        <w:rPr>
          <w:rFonts w:ascii="Helvetica LT Std" w:hAnsi="Helvetica LT Std"/>
        </w:rPr>
        <w:t>u</w:t>
      </w:r>
      <w:r>
        <w:rPr>
          <w:rFonts w:ascii="Helvetica LT Std" w:hAnsi="Helvetica LT Std"/>
        </w:rPr>
        <w:t>rrera —2012an hitzartu zen— aldi baterako enpresa-elkarteak mugaeguneratutako zor garbiaren behar adinako berme hipotekarioa entregatu beharko duela, eta 2017ko abenduan sortutako k</w:t>
      </w:r>
      <w:r>
        <w:rPr>
          <w:rFonts w:ascii="Helvetica LT Std" w:hAnsi="Helvetica LT Std"/>
        </w:rPr>
        <w:t>a</w:t>
      </w:r>
      <w:r>
        <w:rPr>
          <w:rFonts w:ascii="Helvetica LT Std" w:hAnsi="Helvetica LT Std"/>
        </w:rPr>
        <w:t xml:space="preserve">nona —BEZa barne— 19,58 milioikoa dela; kopuru horretatik, oraindik ere guztira 8,79 milioi daude kobratzeke (interesak barne, ehuneko bosteko urteko tasa nominalaren arabera); hori dela eta, aldi baterako enpresa-elkarteari gomendatzen zaio egiazki eta behar beste berma dezala ordaintzeke dauden zorren kobrantza. </w:t>
      </w:r>
    </w:p>
    <w:p w:rsidR="009B4D5C" w:rsidRPr="001D5367" w:rsidRDefault="009B4D5C" w:rsidP="009B4D5C">
      <w:pPr>
        <w:rPr>
          <w:rFonts w:ascii="Helvetica LT Std" w:hAnsi="Helvetica LT Std"/>
        </w:rPr>
      </w:pPr>
      <w:r>
        <w:rPr>
          <w:rFonts w:ascii="Helvetica LT Std" w:hAnsi="Helvetica LT Std"/>
        </w:rPr>
        <w:t>2012ko hitzarmenaren arabera —laugarren ituna— kobrantzarako eta zorren ordainketarako berme gisa, bai kanonetarako (BEZa barne) (2012. urteari zegokionetik hasita) bai saneamendu-lan batzuetarako Mankomunitatearekin zegoen hitzarmenak sor lezakeen zorrerako ere, hitzartu zen ANLk (gaur egun, Nasuvinsa) lurzatien edo/eta nabeen guztizko salmenta-prezioaren % 28 jasoko zuela (BEZa barne), eta hori prezio beraren gaineko % 10ari gehituko litzaiokeela —lurzoruaren lagapenarengatik lehendik zegokiona da hori—, eta hartara guztizko salmenta-prezioaren % 10 jasotzetik % 38 jasotzera pasako zela.  Etorkizuneko zorra bermatzearen ko</w:t>
      </w:r>
      <w:r>
        <w:rPr>
          <w:rFonts w:ascii="Helvetica LT Std" w:hAnsi="Helvetica LT Std"/>
        </w:rPr>
        <w:t>n</w:t>
      </w:r>
      <w:r>
        <w:rPr>
          <w:rFonts w:ascii="Helvetica LT Std" w:hAnsi="Helvetica LT Std"/>
        </w:rPr>
        <w:t>tzeptuan itundutako partaidetzaren igoera horretaz gainera, 2012ko aipatutako hitzarmenaren bo</w:t>
      </w:r>
      <w:r>
        <w:rPr>
          <w:rFonts w:ascii="Helvetica LT Std" w:hAnsi="Helvetica LT Std"/>
        </w:rPr>
        <w:t>s</w:t>
      </w:r>
      <w:r>
        <w:rPr>
          <w:rFonts w:ascii="Helvetica LT Std" w:hAnsi="Helvetica LT Std"/>
        </w:rPr>
        <w:t>garren itunean adostu zen ezen, etorkizuneko zorra bermatzearen kontzeptuan bezalaxe, Nas</w:t>
      </w:r>
      <w:r>
        <w:rPr>
          <w:rFonts w:ascii="Helvetica LT Std" w:hAnsi="Helvetica LT Std"/>
        </w:rPr>
        <w:t>u</w:t>
      </w:r>
      <w:r>
        <w:rPr>
          <w:rFonts w:ascii="Helvetica LT Std" w:hAnsi="Helvetica LT Std"/>
        </w:rPr>
        <w:t>vinsak Decathlonen nabearen etorkizuneko salmentaren balizko kasuaren prezio garbiaren ga</w:t>
      </w:r>
      <w:r>
        <w:rPr>
          <w:rFonts w:ascii="Helvetica LT Std" w:hAnsi="Helvetica LT Std"/>
        </w:rPr>
        <w:t>i</w:t>
      </w:r>
      <w:r>
        <w:rPr>
          <w:rFonts w:ascii="Helvetica LT Std" w:hAnsi="Helvetica LT Std"/>
        </w:rPr>
        <w:t xml:space="preserve">nean % 10 jasoko zuela. </w:t>
      </w:r>
    </w:p>
    <w:p w:rsidR="009B4D5C" w:rsidRPr="001D5367" w:rsidRDefault="009B4D5C" w:rsidP="009B4D5C">
      <w:pPr>
        <w:rPr>
          <w:rFonts w:ascii="Helvetica LT Std" w:hAnsi="Helvetica LT Std"/>
        </w:rPr>
      </w:pPr>
      <w:r>
        <w:rPr>
          <w:rFonts w:ascii="Helvetica LT Std" w:hAnsi="Helvetica LT Std"/>
        </w:rPr>
        <w:t>Hitzartutako bermeak, beraz, nabeen eta lurzatien eta Decathloni errentan emandako n</w:t>
      </w:r>
      <w:r>
        <w:rPr>
          <w:rFonts w:ascii="Helvetica LT Std" w:hAnsi="Helvetica LT Std"/>
        </w:rPr>
        <w:t>a</w:t>
      </w:r>
      <w:r>
        <w:rPr>
          <w:rFonts w:ascii="Helvetica LT Std" w:hAnsi="Helvetica LT Std"/>
        </w:rPr>
        <w:t>bearen salmenta-prezioko partaidetzaren handitzeak izan ziren, Nasuvinsaren aldekoak, eta, h</w:t>
      </w:r>
      <w:r>
        <w:rPr>
          <w:rFonts w:ascii="Helvetica LT Std" w:hAnsi="Helvetica LT Std"/>
        </w:rPr>
        <w:t>o</w:t>
      </w:r>
      <w:r>
        <w:rPr>
          <w:rFonts w:ascii="Helvetica LT Std" w:hAnsi="Helvetica LT Std"/>
        </w:rPr>
        <w:t xml:space="preserve">rrenbestez, salmenta horiek egiten direnean gauzatuko dira. </w:t>
      </w:r>
    </w:p>
    <w:p w:rsidR="009B4D5C" w:rsidRPr="001D5367" w:rsidRDefault="009B4D5C" w:rsidP="009B4D5C">
      <w:pPr>
        <w:rPr>
          <w:rFonts w:ascii="Helvetica LT Std" w:hAnsi="Helvetica LT Std"/>
        </w:rPr>
      </w:pPr>
      <w:r>
        <w:rPr>
          <w:rFonts w:ascii="Helvetica LT Std" w:hAnsi="Helvetica LT Std"/>
        </w:rPr>
        <w:t>Berme horietaz gainera, aldi baterako enpresa-elkarteak konpromisoa hartu zuen 2013ko abenduaren 31 baino lehen EM03, EM04 eta EM05 arloetan zenbait lurzatiren gaineko berme h</w:t>
      </w:r>
      <w:r>
        <w:rPr>
          <w:rFonts w:ascii="Helvetica LT Std" w:hAnsi="Helvetica LT Std"/>
        </w:rPr>
        <w:t>i</w:t>
      </w:r>
      <w:r>
        <w:rPr>
          <w:rFonts w:ascii="Helvetica LT Std" w:hAnsi="Helvetica LT Std"/>
        </w:rPr>
        <w:t xml:space="preserve">potekarioa emateko. </w:t>
      </w:r>
    </w:p>
    <w:p w:rsidR="009B4D5C" w:rsidRPr="001D5367" w:rsidRDefault="009B4D5C" w:rsidP="009B4D5C">
      <w:pPr>
        <w:rPr>
          <w:rFonts w:ascii="Helvetica LT Std" w:hAnsi="Helvetica LT Std"/>
        </w:rPr>
      </w:pPr>
      <w:r>
        <w:rPr>
          <w:rFonts w:ascii="Helvetica LT Std" w:hAnsi="Helvetica LT Std"/>
        </w:rPr>
        <w:t xml:space="preserve"> ANLk bere garaian ez zuen exigitu aipatutako konpromisoa eraginkorra izatea eta gauz</w:t>
      </w:r>
      <w:r>
        <w:rPr>
          <w:rFonts w:ascii="Helvetica LT Std" w:hAnsi="Helvetica LT Std"/>
        </w:rPr>
        <w:t>a</w:t>
      </w:r>
      <w:r>
        <w:rPr>
          <w:rFonts w:ascii="Helvetica LT Std" w:hAnsi="Helvetica LT Std"/>
        </w:rPr>
        <w:t>tzea; horren arrazoiak honako hauek dira, gure aldi baterako enpresa-elkartearen ustez: eraiki b</w:t>
      </w:r>
      <w:r>
        <w:rPr>
          <w:rFonts w:ascii="Helvetica LT Std" w:hAnsi="Helvetica LT Std"/>
        </w:rPr>
        <w:t>e</w:t>
      </w:r>
      <w:r>
        <w:rPr>
          <w:rFonts w:ascii="Helvetica LT Std" w:hAnsi="Helvetica LT Std"/>
        </w:rPr>
        <w:t>rritako nabeen, lurzatien eta Decathlonen nabearen salmenta-prezioen gaineko partaidetza hand</w:t>
      </w:r>
      <w:r>
        <w:rPr>
          <w:rFonts w:ascii="Helvetica LT Std" w:hAnsi="Helvetica LT Std"/>
        </w:rPr>
        <w:t>i</w:t>
      </w:r>
      <w:r>
        <w:rPr>
          <w:rFonts w:ascii="Helvetica LT Std" w:hAnsi="Helvetica LT Std"/>
        </w:rPr>
        <w:t>tzearekin emandako bermea nahikoa izatea; berme hori —ANLk bere egindakoa— eratu, deuse</w:t>
      </w:r>
      <w:r>
        <w:rPr>
          <w:rFonts w:ascii="Helvetica LT Std" w:hAnsi="Helvetica LT Std"/>
        </w:rPr>
        <w:t>z</w:t>
      </w:r>
      <w:r>
        <w:rPr>
          <w:rFonts w:ascii="Helvetica LT Std" w:hAnsi="Helvetica LT Std"/>
        </w:rPr>
        <w:t xml:space="preserve">tatu eta berritzeak kostu handia izanen lukeela; eta bere iraupen-epearen muga-egunean azalera-eskubidea deuseztatzeak eta une horretan dagoen zorrarekin egin beharreko likidazioak beraiekin dakarten bermea. </w:t>
      </w:r>
    </w:p>
    <w:p w:rsidR="009B4D5C" w:rsidRPr="001D5367" w:rsidRDefault="009B4D5C" w:rsidP="009B4D5C">
      <w:pPr>
        <w:rPr>
          <w:rFonts w:ascii="Helvetica LT Std" w:hAnsi="Helvetica LT Std"/>
        </w:rPr>
      </w:pPr>
      <w:r>
        <w:rPr>
          <w:rFonts w:ascii="Helvetica LT Std" w:hAnsi="Helvetica LT Std"/>
        </w:rPr>
        <w:t>Aipatutako bermeez gainera, zeinak hitzartu baitziren 2012an adjudikazio-kontratuan egi</w:t>
      </w:r>
      <w:r>
        <w:rPr>
          <w:rFonts w:ascii="Helvetica LT Std" w:hAnsi="Helvetica LT Std"/>
        </w:rPr>
        <w:t>n</w:t>
      </w:r>
      <w:r>
        <w:rPr>
          <w:rFonts w:ascii="Helvetica LT Std" w:hAnsi="Helvetica LT Std"/>
        </w:rPr>
        <w:t>dako aldaketan, jasota dago Nasuvinsaren aldeko beste berme bat badagoela, EA02.2 lurzatiaren gainean eratua, 2014ko urriaren 31n sinatutako salerosketako kontratu pribatuaren indarrez. H</w:t>
      </w:r>
      <w:r>
        <w:rPr>
          <w:rFonts w:ascii="Helvetica LT Std" w:hAnsi="Helvetica LT Std"/>
        </w:rPr>
        <w:t>o</w:t>
      </w:r>
      <w:r>
        <w:rPr>
          <w:rFonts w:ascii="Helvetica LT Std" w:hAnsi="Helvetica LT Std"/>
        </w:rPr>
        <w:t xml:space="preserve">rren bidez bermatzen da lurzati hori, laugarren klausulan ezarritakoaren arabera, atxikitzen zaiola Sanco-GMk etorkizunean Nasuvinsari ordaindu ezinezko zorren ordainketari. Ganberak onetsitako behin-behineko txostenean, ez da berme hori aipatzen, zalantzarik gabe kontratu hori existitzen dela ez jakiteagatik eta nahi gabe aipatu ez delako. Kontratuaren kopia gehitu dugu. </w:t>
      </w:r>
    </w:p>
    <w:p w:rsidR="009B4D5C" w:rsidRPr="001D5367" w:rsidRDefault="009B4D5C" w:rsidP="009B4D5C">
      <w:pPr>
        <w:rPr>
          <w:rFonts w:ascii="Helvetica LT Std" w:hAnsi="Helvetica LT Std"/>
        </w:rPr>
      </w:pPr>
      <w:r>
        <w:rPr>
          <w:rFonts w:ascii="Helvetica LT Std" w:hAnsi="Helvetica LT Std"/>
        </w:rPr>
        <w:t xml:space="preserve">3.a Garraioaren Hiriaren erabileren zabalkuntza. </w:t>
      </w:r>
    </w:p>
    <w:p w:rsidR="009B4D5C" w:rsidRPr="001D5367" w:rsidRDefault="009B4D5C" w:rsidP="009B4D5C">
      <w:pPr>
        <w:rPr>
          <w:rFonts w:ascii="Helvetica LT Std" w:hAnsi="Helvetica LT Std"/>
        </w:rPr>
      </w:pPr>
      <w:r>
        <w:rPr>
          <w:rFonts w:ascii="Helvetica LT Std" w:hAnsi="Helvetica LT Std"/>
        </w:rPr>
        <w:t>Txosteneko 55. ondorioak eta zazpigarren gomendiok aipatzen dute Iruñerriko Mankomun</w:t>
      </w:r>
      <w:r>
        <w:rPr>
          <w:rFonts w:ascii="Helvetica LT Std" w:hAnsi="Helvetica LT Std"/>
        </w:rPr>
        <w:t>i</w:t>
      </w:r>
      <w:r>
        <w:rPr>
          <w:rFonts w:ascii="Helvetica LT Std" w:hAnsi="Helvetica LT Std"/>
        </w:rPr>
        <w:t>tateak laugarren faseko erabilerak zabaldu nahi dituela, haien artean egon dadin hondakin organ</w:t>
      </w:r>
      <w:r>
        <w:rPr>
          <w:rFonts w:ascii="Helvetica LT Std" w:hAnsi="Helvetica LT Std"/>
        </w:rPr>
        <w:t>i</w:t>
      </w:r>
      <w:r>
        <w:rPr>
          <w:rFonts w:ascii="Helvetica LT Std" w:hAnsi="Helvetica LT Std"/>
        </w:rPr>
        <w:t>koen eta mankomunitate horrek kudeatzen dituen ontzien tratamendua. Gure aldi baterako e</w:t>
      </w:r>
      <w:r>
        <w:rPr>
          <w:rFonts w:ascii="Helvetica LT Std" w:hAnsi="Helvetica LT Std"/>
        </w:rPr>
        <w:t>n</w:t>
      </w:r>
      <w:r>
        <w:rPr>
          <w:rFonts w:ascii="Helvetica LT Std" w:hAnsi="Helvetica LT Std"/>
        </w:rPr>
        <w:t xml:space="preserve">presa-elkarteak aurreratzen du planteatu den erabilera-zabalkuntzaren alde dagoela. </w:t>
      </w:r>
    </w:p>
    <w:p w:rsidR="009B4D5C" w:rsidRPr="001D5367" w:rsidRDefault="009B4D5C" w:rsidP="009B4D5C">
      <w:pPr>
        <w:rPr>
          <w:rFonts w:ascii="Helvetica LT Std" w:hAnsi="Helvetica LT Std"/>
        </w:rPr>
      </w:pPr>
      <w:r>
        <w:rPr>
          <w:rFonts w:ascii="Helvetica LT Std" w:hAnsi="Helvetica LT Std"/>
        </w:rPr>
        <w:t>Egiazki, egungo egoerak, salerosketa 2007ko krisi ekonomikoa hasi zenetik geraturik dag</w:t>
      </w:r>
      <w:r>
        <w:rPr>
          <w:rFonts w:ascii="Helvetica LT Std" w:hAnsi="Helvetica LT Std"/>
        </w:rPr>
        <w:t>o</w:t>
      </w:r>
      <w:r>
        <w:rPr>
          <w:rFonts w:ascii="Helvetica LT Std" w:hAnsi="Helvetica LT Std"/>
        </w:rPr>
        <w:t>enean, agerian jarri du edo garraioaren eta logistikaren sektoreari higiezinen aktiboetan inbert</w:t>
      </w:r>
      <w:r>
        <w:rPr>
          <w:rFonts w:ascii="Helvetica LT Std" w:hAnsi="Helvetica LT Std"/>
        </w:rPr>
        <w:t>i</w:t>
      </w:r>
      <w:r>
        <w:rPr>
          <w:rFonts w:ascii="Helvetica LT Std" w:hAnsi="Helvetica LT Std"/>
        </w:rPr>
        <w:t>tzeko interesa agortu zaiola, edo interes hori denboran geraturik edo mantsoturik dagoela, eta h</w:t>
      </w:r>
      <w:r>
        <w:rPr>
          <w:rFonts w:ascii="Helvetica LT Std" w:hAnsi="Helvetica LT Std"/>
        </w:rPr>
        <w:t>a</w:t>
      </w:r>
      <w:r>
        <w:rPr>
          <w:rFonts w:ascii="Helvetica LT Std" w:hAnsi="Helvetica LT Std"/>
        </w:rPr>
        <w:t xml:space="preserve">lako punturaino gertatu dela hori non arriskuan jartzen baita proiektuaren bideragarritasuna bera. Horrenbestez, gomendagarritzat jotzen da Garraioaren Hiriaren laugarren fasea beste erabilera batzuetara zabaltzea, zeren eta ez baitie sarrera murrizten garraioaren eta logistikaren enpresariei, </w:t>
      </w:r>
      <w:r>
        <w:rPr>
          <w:rFonts w:ascii="Helvetica LT Std" w:hAnsi="Helvetica LT Std"/>
        </w:rPr>
        <w:lastRenderedPageBreak/>
        <w:t>baina aldi berean proiektuaren bideragarritasun ekonomikoa bermatu ahal duten beste sektore b</w:t>
      </w:r>
      <w:r>
        <w:rPr>
          <w:rFonts w:ascii="Helvetica LT Std" w:hAnsi="Helvetica LT Std"/>
        </w:rPr>
        <w:t>a</w:t>
      </w:r>
      <w:r>
        <w:rPr>
          <w:rFonts w:ascii="Helvetica LT Std" w:hAnsi="Helvetica LT Std"/>
        </w:rPr>
        <w:t xml:space="preserve">tzuei zabaltzen baitzaie, proiektuaren etekinak eta zamak orekatzea eta guztiz banatzea bideratuz; izan ere, gaur egun, garraioaren eta logistikaren sektoreak nekez bere gain hartu eta bana ditzake etekin eta zama guzti-guztiak.  </w:t>
      </w:r>
    </w:p>
    <w:p w:rsidR="009B4D5C" w:rsidRPr="001D5367" w:rsidRDefault="009B4D5C" w:rsidP="009B4D5C">
      <w:pPr>
        <w:rPr>
          <w:rFonts w:ascii="Helvetica LT Std" w:hAnsi="Helvetica LT Std"/>
        </w:rPr>
      </w:pPr>
      <w:r>
        <w:rPr>
          <w:rFonts w:ascii="Helvetica LT Std" w:hAnsi="Helvetica LT Std"/>
        </w:rPr>
        <w:t xml:space="preserve">Iruñerriko Mankomunitateak interesa erakutsi du laugarren fasearengatik ez ezik, hirugarren fasearengatik ere, zeren eta behar beste lursail baitauzka erantzuna emateko berehalakoak eta luzaezinak diren beharrizanei, Europako araudiak ezarritakoei. Egin nahi den erabilera kaltegabea da, zeren eta ezarri beharreko tratamendu-prozesuek kalitate-estandar handienak eta teknologia aurreratuena baitaukate, eta ez baitiote inongo kalterik eragiten inguruneari; aldi berean, ez ditu lursailen erreserbak agortzen, garraioaren eta logistikaren erabilera-eskari gehiago gertatzen bada ere. </w:t>
      </w:r>
    </w:p>
    <w:p w:rsidR="009B4D5C" w:rsidRPr="001D5367" w:rsidRDefault="009B4D5C" w:rsidP="009B4D5C">
      <w:pPr>
        <w:rPr>
          <w:rFonts w:ascii="Helvetica LT Std" w:hAnsi="Helvetica LT Std"/>
        </w:rPr>
      </w:pPr>
      <w:r>
        <w:rPr>
          <w:rFonts w:ascii="Helvetica LT Std" w:hAnsi="Helvetica LT Std"/>
        </w:rPr>
        <w:t>Esandakoaren arabera, aldi baterako enpresa-elkarteak komenigarritzat jotzen du udalez gaindiko plan sektorialaren aldaketa puntual baten izapidetzea hastea, erabileretan tokia egiteko, bai laugarren fasean, bai hirugarrenean ere, garraioarekin eta logistikarekin bateragarriak diren beste batzuei, une zailak pairatzen ari den eta etorkizunean interes publikoak kaltetu ditzakeen Garraioaren Hiriari segurtasuna eta bideragarritasun ekonomikoa eman ahal diotenak, planteat</w:t>
      </w:r>
      <w:r>
        <w:rPr>
          <w:rFonts w:ascii="Helvetica LT Std" w:hAnsi="Helvetica LT Std"/>
        </w:rPr>
        <w:t>u</w:t>
      </w:r>
      <w:r>
        <w:rPr>
          <w:rFonts w:ascii="Helvetica LT Std" w:hAnsi="Helvetica LT Std"/>
        </w:rPr>
        <w:t xml:space="preserve">tako zabaltzearekin merkatuak xurga lezakeena onartuz. </w:t>
      </w:r>
    </w:p>
    <w:p w:rsidR="009B4D5C" w:rsidRPr="001D5367" w:rsidRDefault="009B4D5C" w:rsidP="009B4D5C">
      <w:pPr>
        <w:rPr>
          <w:rFonts w:ascii="Helvetica LT Std" w:hAnsi="Helvetica LT Std"/>
        </w:rPr>
      </w:pPr>
      <w:r>
        <w:rPr>
          <w:rFonts w:ascii="Helvetica LT Std" w:hAnsi="Helvetica LT Std"/>
        </w:rPr>
        <w:t xml:space="preserve">Aurreko guztia dela eta, </w:t>
      </w:r>
    </w:p>
    <w:p w:rsidR="009B4D5C" w:rsidRPr="001D5367" w:rsidRDefault="009B4D5C" w:rsidP="009B4D5C">
      <w:pPr>
        <w:rPr>
          <w:rFonts w:ascii="Helvetica LT Std" w:hAnsi="Helvetica LT Std"/>
        </w:rPr>
      </w:pPr>
      <w:r>
        <w:rPr>
          <w:rFonts w:ascii="Helvetica LT Std" w:hAnsi="Helvetica LT Std"/>
        </w:rPr>
        <w:t>Enpresa-elkarte honi behin-behineko txostena eskuratu zaionez, NAFARROAKO KONTUEN GANBERARI AURKEZTEN ZAIZKIO idazki honetan jasotako alegazioak, aintzat har ditzan, bide</w:t>
      </w:r>
      <w:r>
        <w:rPr>
          <w:rFonts w:ascii="Helvetica LT Std" w:hAnsi="Helvetica LT Std"/>
        </w:rPr>
        <w:t>z</w:t>
      </w:r>
      <w:r>
        <w:rPr>
          <w:rFonts w:ascii="Helvetica LT Std" w:hAnsi="Helvetica LT Std"/>
        </w:rPr>
        <w:t xml:space="preserve">koa den moduan, Iruñerriko Garraioaren Hiriari buruzko behin betiko txostenean (1991-2017), zeina auditore Ignacio Cabeza del Salvador jaunaren proposamenez eman baita. </w:t>
      </w:r>
    </w:p>
    <w:p w:rsidR="009B4D5C" w:rsidRPr="001D5367" w:rsidRDefault="009B4D5C" w:rsidP="009B4D5C">
      <w:pPr>
        <w:rPr>
          <w:rFonts w:ascii="Helvetica LT Std" w:hAnsi="Helvetica LT Std"/>
        </w:rPr>
      </w:pPr>
      <w:r>
        <w:rPr>
          <w:rFonts w:ascii="Helvetica LT Std" w:hAnsi="Helvetica LT Std"/>
        </w:rPr>
        <w:t>Oritzen, 2018ko maiatzaren 30ean</w:t>
      </w:r>
    </w:p>
    <w:p w:rsidR="009B4D5C" w:rsidRPr="001D5367" w:rsidRDefault="009B4D5C" w:rsidP="009B4D5C">
      <w:pPr>
        <w:rPr>
          <w:rFonts w:ascii="Helvetica LT Std" w:hAnsi="Helvetica LT Std"/>
        </w:rPr>
      </w:pPr>
      <w:r>
        <w:rPr>
          <w:rFonts w:ascii="Helvetica LT Std" w:hAnsi="Helvetica LT Std"/>
        </w:rPr>
        <w:t>Ángel-María García Clavijo</w:t>
      </w:r>
    </w:p>
    <w:p w:rsidR="009B4D5C" w:rsidRPr="001D5367" w:rsidRDefault="009B4D5C" w:rsidP="009B4D5C">
      <w:pPr>
        <w:rPr>
          <w:rFonts w:ascii="Helvetica LT Std" w:hAnsi="Helvetica LT Std"/>
        </w:rPr>
      </w:pPr>
    </w:p>
    <w:p w:rsidR="00AE5E7A" w:rsidRDefault="00AE5E7A" w:rsidP="00AE5E7A">
      <w:pPr>
        <w:pStyle w:val="texto"/>
        <w:tabs>
          <w:tab w:val="clear" w:pos="2835"/>
          <w:tab w:val="clear" w:pos="3969"/>
          <w:tab w:val="clear" w:pos="5103"/>
          <w:tab w:val="clear" w:pos="6237"/>
          <w:tab w:val="clear" w:pos="7371"/>
        </w:tabs>
      </w:pPr>
    </w:p>
    <w:p w:rsidR="00AE5E7A" w:rsidRDefault="00AE5E7A" w:rsidP="00AE5E7A">
      <w:pPr>
        <w:pStyle w:val="texto"/>
        <w:tabs>
          <w:tab w:val="clear" w:pos="2835"/>
          <w:tab w:val="clear" w:pos="3969"/>
          <w:tab w:val="clear" w:pos="5103"/>
          <w:tab w:val="clear" w:pos="6237"/>
          <w:tab w:val="clear" w:pos="7371"/>
        </w:tabs>
      </w:pPr>
    </w:p>
    <w:p w:rsidR="00F54627" w:rsidRDefault="00F54627">
      <w:pPr>
        <w:spacing w:after="0"/>
        <w:ind w:firstLine="0"/>
        <w:jc w:val="left"/>
        <w:sectPr w:rsidR="00F54627" w:rsidSect="00326359">
          <w:pgSz w:w="11907" w:h="16840" w:code="9"/>
          <w:pgMar w:top="2109" w:right="1559" w:bottom="1644" w:left="1559" w:header="369" w:footer="136" w:gutter="0"/>
          <w:cols w:space="720"/>
          <w:docGrid w:linePitch="360"/>
        </w:sectPr>
      </w:pPr>
    </w:p>
    <w:p w:rsidR="0028668A" w:rsidRDefault="0028668A" w:rsidP="0028668A">
      <w:pPr>
        <w:pStyle w:val="atitulo1"/>
        <w:jc w:val="left"/>
      </w:pPr>
      <w:bookmarkStart w:id="49" w:name="_Toc519583212"/>
      <w:r>
        <w:lastRenderedPageBreak/>
        <w:t>Behin-behineko txostenari aurkeztutako alegazioei Kontuen Ganberak emandako erantzuna.</w:t>
      </w:r>
      <w:bookmarkEnd w:id="49"/>
    </w:p>
    <w:p w:rsidR="00B260FC" w:rsidRDefault="00B260FC" w:rsidP="00B260FC">
      <w:pPr>
        <w:autoSpaceDE w:val="0"/>
        <w:autoSpaceDN w:val="0"/>
        <w:adjustRightInd w:val="0"/>
        <w:spacing w:before="140"/>
        <w:rPr>
          <w:sz w:val="26"/>
          <w:szCs w:val="26"/>
        </w:rPr>
      </w:pPr>
      <w:r>
        <w:rPr>
          <w:sz w:val="26"/>
          <w:szCs w:val="26"/>
        </w:rPr>
        <w:t>Aurkeztutako alegazioak aztertuta, behin betiko txostenean sartu da errent</w:t>
      </w:r>
      <w:r>
        <w:rPr>
          <w:sz w:val="26"/>
          <w:szCs w:val="26"/>
        </w:rPr>
        <w:t>a</w:t>
      </w:r>
      <w:r>
        <w:rPr>
          <w:sz w:val="26"/>
          <w:szCs w:val="26"/>
        </w:rPr>
        <w:t xml:space="preserve">menduen bidezko diru-sarrerei dagokiena. Alderdi hori Luis Zarraluqui Ortigosa jaunak eta Ángel María García Clavijo jaunak aurkeztutako idazkietan jasota dago. </w:t>
      </w:r>
    </w:p>
    <w:p w:rsidR="00B260FC" w:rsidRDefault="00B260FC" w:rsidP="00B260FC">
      <w:pPr>
        <w:autoSpaceDE w:val="0"/>
        <w:autoSpaceDN w:val="0"/>
        <w:adjustRightInd w:val="0"/>
        <w:spacing w:before="140"/>
        <w:rPr>
          <w:sz w:val="26"/>
          <w:szCs w:val="26"/>
        </w:rPr>
      </w:pPr>
      <w:r>
        <w:rPr>
          <w:sz w:val="26"/>
          <w:szCs w:val="26"/>
        </w:rPr>
        <w:t>Gainerako alegazioek behin-behineko txosteneko ondorio orokorrak aldatzen ez dituztenez, behin betikotzat jotzen da txosten hori.</w:t>
      </w:r>
    </w:p>
    <w:p w:rsidR="00B260FC" w:rsidRPr="00324B53" w:rsidRDefault="00B260FC" w:rsidP="00B260FC">
      <w:pPr>
        <w:autoSpaceDE w:val="0"/>
        <w:autoSpaceDN w:val="0"/>
        <w:adjustRightInd w:val="0"/>
        <w:spacing w:before="140"/>
        <w:rPr>
          <w:sz w:val="26"/>
          <w:szCs w:val="26"/>
        </w:rPr>
      </w:pPr>
      <w:r>
        <w:rPr>
          <w:sz w:val="26"/>
          <w:szCs w:val="26"/>
        </w:rPr>
        <w:t>Hala eta guztiz ere, honako zehaztapen hauek egin nahi ditugu Ángel María García Clavijo jaunak aurkeztutakoei buruz.</w:t>
      </w:r>
    </w:p>
    <w:p w:rsidR="00B260FC" w:rsidRPr="00474A77" w:rsidRDefault="00B260FC" w:rsidP="00B260FC">
      <w:pPr>
        <w:autoSpaceDE w:val="0"/>
        <w:autoSpaceDN w:val="0"/>
        <w:adjustRightInd w:val="0"/>
        <w:spacing w:before="140"/>
        <w:rPr>
          <w:sz w:val="26"/>
          <w:szCs w:val="26"/>
        </w:rPr>
      </w:pPr>
      <w:r>
        <w:rPr>
          <w:sz w:val="26"/>
          <w:szCs w:val="26"/>
        </w:rPr>
        <w:t>Lehenbizi, eskerrak eman nahi dizkiogu Ganbera honek egindako lanari buruz idatzi dituen aitortza-hitzengatik.</w:t>
      </w:r>
    </w:p>
    <w:p w:rsidR="00B260FC" w:rsidRPr="00585D3B" w:rsidRDefault="00B260FC" w:rsidP="00B260FC">
      <w:pPr>
        <w:autoSpaceDE w:val="0"/>
        <w:autoSpaceDN w:val="0"/>
        <w:adjustRightInd w:val="0"/>
        <w:spacing w:before="240" w:after="240"/>
        <w:rPr>
          <w:b/>
          <w:sz w:val="26"/>
          <w:szCs w:val="26"/>
        </w:rPr>
      </w:pPr>
      <w:r>
        <w:rPr>
          <w:b/>
          <w:sz w:val="26"/>
          <w:szCs w:val="26"/>
        </w:rPr>
        <w:t xml:space="preserve">Lehena. Errentamendurako nabeei dagokienez. </w:t>
      </w:r>
    </w:p>
    <w:p w:rsidR="00B260FC" w:rsidRDefault="00B260FC" w:rsidP="00B260FC">
      <w:pPr>
        <w:autoSpaceDE w:val="0"/>
        <w:autoSpaceDN w:val="0"/>
        <w:adjustRightInd w:val="0"/>
        <w:spacing w:before="140"/>
        <w:rPr>
          <w:sz w:val="26"/>
          <w:szCs w:val="26"/>
        </w:rPr>
      </w:pPr>
      <w:r>
        <w:rPr>
          <w:sz w:val="26"/>
          <w:szCs w:val="26"/>
        </w:rPr>
        <w:t>Alegazioan honako hau esaten da:</w:t>
      </w:r>
      <w:r>
        <w:rPr>
          <w:i/>
          <w:sz w:val="26"/>
          <w:szCs w:val="26"/>
        </w:rPr>
        <w:t>“Ez dago berariazko kontratu-betebehar gisa jasota Nasuvinsari entregatzea errentan emandako higiezinen zerrenda; hori dela eta, ezin da ondorioztatu puntu horren inongo ez-betetzerik izan denik”.</w:t>
      </w:r>
      <w:r>
        <w:rPr>
          <w:sz w:val="26"/>
          <w:szCs w:val="26"/>
        </w:rPr>
        <w:t xml:space="preserve"> </w:t>
      </w:r>
    </w:p>
    <w:p w:rsidR="00B260FC" w:rsidRPr="00474A77" w:rsidRDefault="00B260FC" w:rsidP="00B260FC">
      <w:pPr>
        <w:autoSpaceDE w:val="0"/>
        <w:autoSpaceDN w:val="0"/>
        <w:adjustRightInd w:val="0"/>
        <w:spacing w:before="140"/>
        <w:rPr>
          <w:sz w:val="26"/>
          <w:szCs w:val="26"/>
        </w:rPr>
      </w:pPr>
      <w:r>
        <w:rPr>
          <w:sz w:val="26"/>
          <w:szCs w:val="26"/>
        </w:rPr>
        <w:t>Alabaina, adjudikazio-kontratuaren hamahirugarren klausulak, hirugarren p</w:t>
      </w:r>
      <w:r>
        <w:rPr>
          <w:sz w:val="26"/>
          <w:szCs w:val="26"/>
        </w:rPr>
        <w:t>a</w:t>
      </w:r>
      <w:r>
        <w:rPr>
          <w:sz w:val="26"/>
          <w:szCs w:val="26"/>
        </w:rPr>
        <w:t xml:space="preserve">ragrafoan, honako hau dio berariaz: </w:t>
      </w:r>
      <w:r>
        <w:rPr>
          <w:i/>
          <w:sz w:val="26"/>
          <w:szCs w:val="26"/>
        </w:rPr>
        <w:t>“Nabeen errentamenduei dagokienez, Ciudad del Transporte de Pamplona SAk beretzat gordetzen du instalazioak eta egindako obren mantentze-baldintzak gainbegiratzeko eskubidea. Era berean, adjudikazio-hartzaileak kontratu-eredu bat entregatu beharko du, CTP SAk onarpena eman di</w:t>
      </w:r>
      <w:r>
        <w:rPr>
          <w:i/>
          <w:sz w:val="26"/>
          <w:szCs w:val="26"/>
        </w:rPr>
        <w:t>e</w:t>
      </w:r>
      <w:r>
        <w:rPr>
          <w:i/>
          <w:sz w:val="26"/>
          <w:szCs w:val="26"/>
        </w:rPr>
        <w:t xml:space="preserve">zaion, </w:t>
      </w:r>
      <w:r>
        <w:rPr>
          <w:i/>
          <w:sz w:val="26"/>
          <w:szCs w:val="26"/>
          <w:u w:val="single"/>
        </w:rPr>
        <w:t>eta azken entitate hori informatuta eduki beharko du, kasua bada, egiten jo</w:t>
      </w:r>
      <w:r>
        <w:rPr>
          <w:i/>
          <w:sz w:val="26"/>
          <w:szCs w:val="26"/>
          <w:u w:val="single"/>
        </w:rPr>
        <w:t>a</w:t>
      </w:r>
      <w:r>
        <w:rPr>
          <w:i/>
          <w:sz w:val="26"/>
          <w:szCs w:val="26"/>
          <w:u w:val="single"/>
        </w:rPr>
        <w:t>ten diren errentamendu guztiei buruz, horiei buruzko dokumentu publiko zein pr</w:t>
      </w:r>
      <w:r>
        <w:rPr>
          <w:i/>
          <w:sz w:val="26"/>
          <w:szCs w:val="26"/>
          <w:u w:val="single"/>
        </w:rPr>
        <w:t>i</w:t>
      </w:r>
      <w:r>
        <w:rPr>
          <w:i/>
          <w:sz w:val="26"/>
          <w:szCs w:val="26"/>
          <w:u w:val="single"/>
        </w:rPr>
        <w:t>batu guztiak helaraziz</w:t>
      </w:r>
      <w:r>
        <w:rPr>
          <w:i/>
          <w:sz w:val="26"/>
          <w:szCs w:val="26"/>
        </w:rPr>
        <w:t xml:space="preserve">” </w:t>
      </w:r>
      <w:r>
        <w:rPr>
          <w:sz w:val="26"/>
          <w:szCs w:val="26"/>
        </w:rPr>
        <w:t>(azpimarra geuk egina da).</w:t>
      </w:r>
    </w:p>
    <w:p w:rsidR="00B260FC" w:rsidRPr="00474A77" w:rsidRDefault="00B260FC" w:rsidP="00B260FC">
      <w:pPr>
        <w:autoSpaceDE w:val="0"/>
        <w:autoSpaceDN w:val="0"/>
        <w:adjustRightInd w:val="0"/>
        <w:spacing w:before="140"/>
        <w:rPr>
          <w:sz w:val="26"/>
          <w:szCs w:val="26"/>
        </w:rPr>
      </w:pPr>
      <w:r>
        <w:rPr>
          <w:sz w:val="26"/>
          <w:szCs w:val="26"/>
        </w:rPr>
        <w:t>Horrenbestez, adjudikazio-kontratuan berariaz jasota dago betebehar hori.</w:t>
      </w:r>
    </w:p>
    <w:p w:rsidR="00B260FC" w:rsidRPr="00585D3B" w:rsidRDefault="00B260FC" w:rsidP="00B260FC">
      <w:pPr>
        <w:autoSpaceDE w:val="0"/>
        <w:autoSpaceDN w:val="0"/>
        <w:adjustRightInd w:val="0"/>
        <w:spacing w:before="240" w:after="240"/>
        <w:rPr>
          <w:b/>
          <w:sz w:val="26"/>
          <w:szCs w:val="26"/>
        </w:rPr>
      </w:pPr>
      <w:r>
        <w:rPr>
          <w:b/>
          <w:sz w:val="26"/>
          <w:szCs w:val="26"/>
        </w:rPr>
        <w:t>Bigarrena. Bermeei dagokienez.</w:t>
      </w:r>
    </w:p>
    <w:p w:rsidR="00B260FC" w:rsidRDefault="00B260FC" w:rsidP="00B260FC">
      <w:pPr>
        <w:autoSpaceDE w:val="0"/>
        <w:autoSpaceDN w:val="0"/>
        <w:adjustRightInd w:val="0"/>
        <w:spacing w:before="140"/>
        <w:rPr>
          <w:sz w:val="26"/>
          <w:szCs w:val="26"/>
        </w:rPr>
      </w:pPr>
      <w:r>
        <w:rPr>
          <w:sz w:val="26"/>
          <w:szCs w:val="26"/>
        </w:rPr>
        <w:t>Kontratuaren 2012ko gaurkotzean, ANLren —gaur egun, NASUVINSAren— aldeko zorren kobrantzaren eta ordainketaren “berme” gisa ezartzen da guztizko salmenta-prezioaren gaineko edo/eta konturako kobrantza aipagarrien gaineko eh</w:t>
      </w:r>
      <w:r>
        <w:rPr>
          <w:sz w:val="26"/>
          <w:szCs w:val="26"/>
        </w:rPr>
        <w:t>u</w:t>
      </w:r>
      <w:r>
        <w:rPr>
          <w:sz w:val="26"/>
          <w:szCs w:val="26"/>
        </w:rPr>
        <w:t>neko 28ko portzentajea. Gure ustez, hori ez da berez kobrantza bermatzeko tresna bat, baizik eta zorra ordaintzeko baldintzen berritze bat; gainera, alegazioak berak dioen bezala, ez dago jasota, gaur egun arte, portzentaje hori aplikatu zaien operaz</w:t>
      </w:r>
      <w:r>
        <w:rPr>
          <w:sz w:val="26"/>
          <w:szCs w:val="26"/>
        </w:rPr>
        <w:t>i</w:t>
      </w:r>
      <w:r>
        <w:rPr>
          <w:sz w:val="26"/>
          <w:szCs w:val="26"/>
        </w:rPr>
        <w:t>orik gauzatu izana.</w:t>
      </w:r>
    </w:p>
    <w:p w:rsidR="00E94B60" w:rsidRDefault="00E94B60" w:rsidP="00B260FC">
      <w:pPr>
        <w:autoSpaceDE w:val="0"/>
        <w:autoSpaceDN w:val="0"/>
        <w:adjustRightInd w:val="0"/>
        <w:spacing w:before="140"/>
        <w:rPr>
          <w:sz w:val="26"/>
          <w:szCs w:val="26"/>
        </w:rPr>
      </w:pPr>
    </w:p>
    <w:p w:rsidR="00E94B60" w:rsidRDefault="00E94B60" w:rsidP="00B260FC">
      <w:pPr>
        <w:autoSpaceDE w:val="0"/>
        <w:autoSpaceDN w:val="0"/>
        <w:adjustRightInd w:val="0"/>
        <w:spacing w:before="140"/>
        <w:rPr>
          <w:sz w:val="26"/>
          <w:szCs w:val="26"/>
        </w:rPr>
      </w:pPr>
    </w:p>
    <w:p w:rsidR="00E94B60" w:rsidRDefault="00E94B60" w:rsidP="00B260FC">
      <w:pPr>
        <w:autoSpaceDE w:val="0"/>
        <w:autoSpaceDN w:val="0"/>
        <w:adjustRightInd w:val="0"/>
        <w:spacing w:before="140"/>
        <w:rPr>
          <w:sz w:val="26"/>
          <w:szCs w:val="26"/>
        </w:rPr>
      </w:pPr>
    </w:p>
    <w:p w:rsidR="0090521A" w:rsidRDefault="00B260FC" w:rsidP="0090521A">
      <w:pPr>
        <w:autoSpaceDE w:val="0"/>
        <w:autoSpaceDN w:val="0"/>
        <w:adjustRightInd w:val="0"/>
        <w:spacing w:before="120" w:after="120"/>
        <w:rPr>
          <w:sz w:val="26"/>
          <w:szCs w:val="26"/>
        </w:rPr>
      </w:pPr>
      <w:r>
        <w:rPr>
          <w:sz w:val="26"/>
          <w:szCs w:val="26"/>
        </w:rPr>
        <w:lastRenderedPageBreak/>
        <w:t>Erantsi diguzun salerosketako kontratu pribatuari dagokionez, esan beharra eskuratu egin genuela, eta aztertu ere aztertu genuela; horregatik, lanerako gure p</w:t>
      </w:r>
      <w:r>
        <w:rPr>
          <w:sz w:val="26"/>
          <w:szCs w:val="26"/>
        </w:rPr>
        <w:t>a</w:t>
      </w:r>
      <w:r>
        <w:rPr>
          <w:sz w:val="26"/>
          <w:szCs w:val="26"/>
        </w:rPr>
        <w:t xml:space="preserve">peretan jasota dago. Hori dela eta, hartatik eratortzen diren zenbatekoak kontuan hartu dira kanonetik heldu eta ordaintzeke dagoen zorra zehazteko. </w:t>
      </w:r>
    </w:p>
    <w:p w:rsidR="00B260FC" w:rsidRDefault="00B260FC" w:rsidP="00B260FC">
      <w:pPr>
        <w:autoSpaceDE w:val="0"/>
        <w:autoSpaceDN w:val="0"/>
        <w:adjustRightInd w:val="0"/>
        <w:spacing w:before="140"/>
        <w:rPr>
          <w:sz w:val="26"/>
          <w:szCs w:val="26"/>
        </w:rPr>
      </w:pPr>
    </w:p>
    <w:p w:rsidR="00B260FC" w:rsidRDefault="00B260FC" w:rsidP="00B260FC">
      <w:pPr>
        <w:autoSpaceDE w:val="0"/>
        <w:autoSpaceDN w:val="0"/>
        <w:adjustRightInd w:val="0"/>
        <w:spacing w:after="0"/>
        <w:rPr>
          <w:sz w:val="26"/>
          <w:szCs w:val="26"/>
        </w:rPr>
      </w:pPr>
    </w:p>
    <w:p w:rsidR="00B260FC" w:rsidRDefault="00B260FC" w:rsidP="00B260FC">
      <w:pPr>
        <w:autoSpaceDE w:val="0"/>
        <w:autoSpaceDN w:val="0"/>
        <w:adjustRightInd w:val="0"/>
        <w:spacing w:after="0"/>
        <w:jc w:val="center"/>
        <w:rPr>
          <w:sz w:val="26"/>
          <w:szCs w:val="26"/>
        </w:rPr>
      </w:pPr>
      <w:r>
        <w:rPr>
          <w:sz w:val="26"/>
          <w:szCs w:val="26"/>
        </w:rPr>
        <w:t>Iruñean, 2018ko ekainaren 1ean</w:t>
      </w:r>
    </w:p>
    <w:p w:rsidR="00B260FC" w:rsidRDefault="00B260FC" w:rsidP="00B260FC">
      <w:pPr>
        <w:autoSpaceDE w:val="0"/>
        <w:autoSpaceDN w:val="0"/>
        <w:adjustRightInd w:val="0"/>
        <w:spacing w:after="0"/>
        <w:jc w:val="center"/>
        <w:rPr>
          <w:sz w:val="26"/>
          <w:szCs w:val="26"/>
        </w:rPr>
      </w:pPr>
      <w:r>
        <w:rPr>
          <w:sz w:val="26"/>
          <w:szCs w:val="26"/>
        </w:rPr>
        <w:t>Lehendakaria,</w:t>
      </w:r>
    </w:p>
    <w:p w:rsidR="00B260FC" w:rsidRDefault="00B260FC" w:rsidP="00B260FC">
      <w:pPr>
        <w:autoSpaceDE w:val="0"/>
        <w:autoSpaceDN w:val="0"/>
        <w:adjustRightInd w:val="0"/>
        <w:spacing w:after="0"/>
        <w:jc w:val="center"/>
        <w:rPr>
          <w:sz w:val="26"/>
          <w:szCs w:val="26"/>
        </w:rPr>
      </w:pPr>
    </w:p>
    <w:p w:rsidR="00B260FC" w:rsidRDefault="00B260FC" w:rsidP="00B260FC">
      <w:pPr>
        <w:autoSpaceDE w:val="0"/>
        <w:autoSpaceDN w:val="0"/>
        <w:adjustRightInd w:val="0"/>
        <w:spacing w:after="0"/>
        <w:jc w:val="center"/>
        <w:rPr>
          <w:sz w:val="26"/>
          <w:szCs w:val="26"/>
        </w:rPr>
      </w:pPr>
    </w:p>
    <w:p w:rsidR="00B260FC" w:rsidRDefault="00B260FC" w:rsidP="00B260FC">
      <w:pPr>
        <w:autoSpaceDE w:val="0"/>
        <w:autoSpaceDN w:val="0"/>
        <w:adjustRightInd w:val="0"/>
        <w:spacing w:after="0"/>
        <w:jc w:val="center"/>
        <w:rPr>
          <w:sz w:val="26"/>
          <w:szCs w:val="26"/>
        </w:rPr>
      </w:pPr>
    </w:p>
    <w:p w:rsidR="00B260FC" w:rsidRDefault="00B260FC" w:rsidP="00B260FC">
      <w:pPr>
        <w:autoSpaceDE w:val="0"/>
        <w:autoSpaceDN w:val="0"/>
        <w:adjustRightInd w:val="0"/>
        <w:spacing w:after="0"/>
        <w:jc w:val="center"/>
        <w:rPr>
          <w:sz w:val="26"/>
          <w:szCs w:val="26"/>
        </w:rPr>
      </w:pPr>
    </w:p>
    <w:p w:rsidR="00B260FC" w:rsidRDefault="00B260FC" w:rsidP="00B260FC">
      <w:pPr>
        <w:autoSpaceDE w:val="0"/>
        <w:autoSpaceDN w:val="0"/>
        <w:adjustRightInd w:val="0"/>
        <w:spacing w:after="0"/>
        <w:jc w:val="center"/>
        <w:rPr>
          <w:sz w:val="26"/>
          <w:szCs w:val="26"/>
        </w:rPr>
      </w:pPr>
      <w:r>
        <w:rPr>
          <w:sz w:val="26"/>
          <w:szCs w:val="26"/>
        </w:rPr>
        <w:t>Asunción Olaechea Estanga</w:t>
      </w:r>
    </w:p>
    <w:p w:rsidR="00724C02" w:rsidRPr="00984C3D" w:rsidRDefault="00724C02" w:rsidP="00B260FC">
      <w:pPr>
        <w:pStyle w:val="texto"/>
        <w:tabs>
          <w:tab w:val="clear" w:pos="2835"/>
          <w:tab w:val="clear" w:pos="3969"/>
          <w:tab w:val="clear" w:pos="5103"/>
          <w:tab w:val="clear" w:pos="6237"/>
          <w:tab w:val="clear" w:pos="7371"/>
        </w:tabs>
        <w:jc w:val="center"/>
        <w:rPr>
          <w:szCs w:val="26"/>
        </w:rPr>
      </w:pPr>
    </w:p>
    <w:sectPr w:rsidR="00724C02" w:rsidRPr="00984C3D" w:rsidSect="00AE5E7A">
      <w:footerReference w:type="default" r:id="rId22"/>
      <w:footerReference w:type="first" r:id="rId23"/>
      <w:pgSz w:w="11907" w:h="16840" w:code="9"/>
      <w:pgMar w:top="2109" w:right="1559" w:bottom="1644" w:left="1559" w:header="369" w:footer="13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B50" w:rsidRDefault="00F46B50">
      <w:r>
        <w:separator/>
      </w:r>
    </w:p>
    <w:p w:rsidR="00F46B50" w:rsidRDefault="00F46B50"/>
    <w:p w:rsidR="00F46B50" w:rsidRDefault="00F46B50"/>
    <w:p w:rsidR="00F46B50" w:rsidRDefault="00F46B50"/>
  </w:endnote>
  <w:endnote w:type="continuationSeparator" w:id="0">
    <w:p w:rsidR="00F46B50" w:rsidRDefault="00F46B50">
      <w:r>
        <w:continuationSeparator/>
      </w:r>
    </w:p>
    <w:p w:rsidR="00F46B50" w:rsidRDefault="00F46B50"/>
    <w:p w:rsidR="00F46B50" w:rsidRDefault="00F46B50"/>
    <w:p w:rsidR="00F46B50" w:rsidRDefault="00F46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00"/>
    <w:family w:val="roman"/>
    <w:pitch w:val="variable"/>
    <w:sig w:usb0="00000000"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altName w:val="Courier New"/>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G Time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GillSans">
    <w:altName w:val="Courier New"/>
    <w:panose1 w:val="00000000000000000000"/>
    <w:charset w:val="00"/>
    <w:family w:val="modern"/>
    <w:notTrueType/>
    <w:pitch w:val="variable"/>
    <w:sig w:usb0="00000003" w:usb1="00000000" w:usb2="00000000" w:usb3="00000000" w:csb0="00000001" w:csb1="00000000"/>
  </w:font>
  <w:font w:name="Trajan">
    <w:panose1 w:val="00000000000000000000"/>
    <w:charset w:val="00"/>
    <w:family w:val="roman"/>
    <w:notTrueType/>
    <w:pitch w:val="variable"/>
    <w:sig w:usb0="00000003" w:usb1="00000000" w:usb2="00000000" w:usb3="00000000" w:csb0="00000001" w:csb1="00000000"/>
  </w:font>
  <w:font w:name="Helvetica LT Std">
    <w:panose1 w:val="020B0504020202020204"/>
    <w:charset w:val="00"/>
    <w:family w:val="swiss"/>
    <w:notTrueType/>
    <w:pitch w:val="variable"/>
    <w:sig w:usb0="800002AF" w:usb1="5000204A"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sidR="009254D0">
      <w:rPr>
        <w:rStyle w:val="Nmerodepgina"/>
      </w:rPr>
      <w:fldChar w:fldCharType="separate"/>
    </w:r>
    <w:r w:rsidR="009254D0">
      <w:rPr>
        <w:rStyle w:val="Nmerodepgina"/>
        <w:noProof/>
      </w:rPr>
      <w:t>58</w:t>
    </w:r>
    <w:r>
      <w:rPr>
        <w:rStyle w:val="Nmerodepgina"/>
      </w:rPr>
      <w:fldChar w:fldCharType="end"/>
    </w:r>
  </w:p>
  <w:p w:rsidR="00F46B50" w:rsidRDefault="00F46B50"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Pr="00F03814" w:rsidRDefault="00F46B50" w:rsidP="00C13453">
    <w:pPr>
      <w:pStyle w:val="Piedepgina"/>
      <w:tabs>
        <w:tab w:val="clear" w:pos="4252"/>
        <w:tab w:val="right" w:pos="8880"/>
      </w:tabs>
      <w:ind w:right="360"/>
      <w:jc w:val="left"/>
      <w:rPr>
        <w:rFonts w:ascii="GillSans" w:hAnsi="GillSans"/>
      </w:rPr>
    </w:pPr>
    <w:r>
      <w:rPr>
        <w:rFonts w:ascii="GillSans" w:hAnsi="GillSans"/>
        <w:noProof/>
        <w:lang w:val="es-ES" w:eastAsia="es-ES"/>
      </w:rPr>
      <w:drawing>
        <wp:inline distT="0" distB="0" distL="0" distR="0" wp14:anchorId="75C52386" wp14:editId="26F0BBC6">
          <wp:extent cx="219075" cy="371475"/>
          <wp:effectExtent l="0" t="0" r="9525" b="9525"/>
          <wp:docPr id="8" name="Imagen 8"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p w:rsidR="00F46B50" w:rsidRPr="00F74E38" w:rsidRDefault="00F46B50" w:rsidP="00F03814">
    <w:pPr>
      <w:pStyle w:val="Piedepgina"/>
      <w:tabs>
        <w:tab w:val="clear" w:pos="4252"/>
        <w:tab w:val="clear" w:pos="8504"/>
        <w:tab w:val="center" w:pos="4560"/>
      </w:tabs>
      <w:ind w:right="360"/>
      <w:jc w:val="left"/>
      <w:rPr>
        <w:rStyle w:val="Nmerodepgin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Pr="00F03814" w:rsidRDefault="00F46B5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365219F8" wp14:editId="06BB0801">
          <wp:extent cx="219075" cy="371475"/>
          <wp:effectExtent l="0" t="0" r="9525" b="9525"/>
          <wp:docPr id="10" name="Imagen 10"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r>
      <w:rPr>
        <w:rStyle w:val="Nmerodepgina"/>
        <w:szCs w:val="24"/>
      </w:rPr>
      <w:t xml:space="preserve">- </w:t>
    </w:r>
    <w:r w:rsidRPr="001D4F09">
      <w:rPr>
        <w:rStyle w:val="Nmerodepgina"/>
        <w:szCs w:val="24"/>
      </w:rPr>
      <w:fldChar w:fldCharType="begin"/>
    </w:r>
    <w:r w:rsidRPr="001D4F09">
      <w:rPr>
        <w:rStyle w:val="Nmerodepgina"/>
        <w:szCs w:val="24"/>
      </w:rPr>
      <w:instrText xml:space="preserve"> PAGE </w:instrText>
    </w:r>
    <w:r w:rsidRPr="001D4F09">
      <w:rPr>
        <w:rStyle w:val="Nmerodepgina"/>
        <w:szCs w:val="24"/>
      </w:rPr>
      <w:fldChar w:fldCharType="separate"/>
    </w:r>
    <w:r w:rsidR="008F0118">
      <w:rPr>
        <w:rStyle w:val="Nmerodepgina"/>
        <w:noProof/>
        <w:szCs w:val="24"/>
      </w:rPr>
      <w:t>49</w:t>
    </w:r>
    <w:r w:rsidRPr="001D4F09">
      <w:rPr>
        <w:rStyle w:val="Nmerodepgina"/>
        <w:szCs w:val="24"/>
      </w:rPr>
      <w:fldChar w:fldCharType="end"/>
    </w:r>
    <w:r>
      <w:rPr>
        <w:rStyle w:val="Nmerodepgina"/>
        <w:szCs w:val="24"/>
      </w:rPr>
      <w:t xml:space="preserve"> -</w:t>
    </w:r>
  </w:p>
  <w:p w:rsidR="00F46B50" w:rsidRPr="00C13453" w:rsidRDefault="00F46B50" w:rsidP="00D2472C">
    <w:pPr>
      <w:pStyle w:val="BorradorProvisional"/>
      <w:ind w:left="0"/>
      <w:jc w:val="center"/>
    </w:pPr>
  </w:p>
  <w:p w:rsidR="00F46B50" w:rsidRDefault="00F46B5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Pr="00F03814" w:rsidRDefault="00F46B50" w:rsidP="00840E3D">
    <w:pPr>
      <w:pStyle w:val="Piedepgina"/>
      <w:tabs>
        <w:tab w:val="clear" w:pos="2835"/>
        <w:tab w:val="clear" w:pos="3969"/>
        <w:tab w:val="clear" w:pos="4252"/>
        <w:tab w:val="clear" w:pos="5103"/>
        <w:tab w:val="clear" w:pos="6237"/>
        <w:tab w:val="clear" w:pos="7371"/>
        <w:tab w:val="clear" w:pos="8504"/>
        <w:tab w:val="center" w:pos="4440"/>
      </w:tabs>
      <w:spacing w:after="0"/>
      <w:ind w:right="29"/>
      <w:jc w:val="left"/>
      <w:rPr>
        <w:rFonts w:ascii="Trajan" w:hAnsi="Trajan"/>
        <w:sz w:val="24"/>
        <w:szCs w:val="24"/>
      </w:rPr>
    </w:pPr>
    <w:r>
      <w:rPr>
        <w:rFonts w:ascii="GillSans" w:hAnsi="GillSans"/>
        <w:noProof/>
        <w:lang w:val="es-ES" w:eastAsia="es-ES"/>
      </w:rPr>
      <w:drawing>
        <wp:inline distT="0" distB="0" distL="0" distR="0" wp14:anchorId="6B4FCBDC" wp14:editId="6F4C95C7">
          <wp:extent cx="219075" cy="371475"/>
          <wp:effectExtent l="0" t="0" r="9525" b="9525"/>
          <wp:docPr id="12" name="Imagen 12"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r>
      <w:rPr>
        <w:rFonts w:ascii="GillSans" w:hAnsi="GillSans"/>
      </w:rPr>
      <w:tab/>
    </w:r>
  </w:p>
  <w:p w:rsidR="00F46B50" w:rsidRPr="00C13453" w:rsidRDefault="00F46B50" w:rsidP="00D2472C">
    <w:pPr>
      <w:pStyle w:val="BorradorProvisional"/>
      <w:ind w:left="0"/>
      <w:jc w:val="center"/>
    </w:pPr>
  </w:p>
  <w:p w:rsidR="00F46B50" w:rsidRDefault="00F46B5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rsidP="0059650E">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B50" w:rsidRDefault="00F46B50" w:rsidP="003D277D">
      <w:pPr>
        <w:ind w:firstLine="0"/>
      </w:pPr>
      <w:r>
        <w:separator/>
      </w:r>
    </w:p>
  </w:footnote>
  <w:footnote w:type="continuationSeparator" w:id="0">
    <w:p w:rsidR="00F46B50" w:rsidRDefault="00F46B50">
      <w:r>
        <w:continuationSeparator/>
      </w:r>
    </w:p>
    <w:p w:rsidR="00F46B50" w:rsidRDefault="00F46B50"/>
    <w:p w:rsidR="00F46B50" w:rsidRDefault="00F46B50"/>
    <w:p w:rsidR="00F46B50" w:rsidRDefault="00F46B50"/>
  </w:footnote>
  <w:footnote w:id="1">
    <w:p w:rsidR="00F46B50" w:rsidRDefault="00F46B50" w:rsidP="009C3EC8">
      <w:pPr>
        <w:pStyle w:val="Textonotapie"/>
        <w:spacing w:after="0"/>
        <w:ind w:firstLine="0"/>
      </w:pPr>
      <w:r>
        <w:rPr>
          <w:rStyle w:val="Refdenotaalpie"/>
        </w:rPr>
        <w:footnoteRef/>
      </w:r>
      <w:r>
        <w:t xml:space="preserve"> 2007ko apirileko “Nafarroako Arlo Logistikoen eta Intermodalitatearen Plan Estrategikoa” azterlanetik at</w:t>
      </w:r>
      <w:r>
        <w:t>e</w:t>
      </w:r>
      <w:r>
        <w:t>ratako informazioa.</w:t>
      </w:r>
    </w:p>
  </w:footnote>
  <w:footnote w:id="2">
    <w:p w:rsidR="00F46B50" w:rsidRDefault="00F46B50" w:rsidP="00072D23">
      <w:pPr>
        <w:pStyle w:val="Textonotapie"/>
        <w:ind w:firstLine="0"/>
      </w:pPr>
      <w:r>
        <w:rPr>
          <w:rStyle w:val="Refdenotaalpie"/>
        </w:rPr>
        <w:footnoteRef/>
      </w:r>
      <w:r>
        <w:t xml:space="preserve"> </w:t>
      </w:r>
      <w:r>
        <w:t>Konexio hori, ordea, GHaren zabalkuntzaren udalez gaindiko plan sektorialean jaso zen.</w:t>
      </w:r>
    </w:p>
  </w:footnote>
  <w:footnote w:id="3">
    <w:p w:rsidR="00F93209" w:rsidRDefault="00F93209" w:rsidP="006021D1">
      <w:pPr>
        <w:pStyle w:val="Textonotapie"/>
        <w:ind w:firstLine="0"/>
      </w:pPr>
      <w:r>
        <w:rPr>
          <w:rStyle w:val="Refdenotaalpie"/>
        </w:rPr>
        <w:footnoteRef/>
      </w:r>
      <w:r>
        <w:t xml:space="preserve"> </w:t>
      </w:r>
      <w:r>
        <w:t>Paragrafo hau aurkeztutako alegazioen arabera aldatu da.</w:t>
      </w:r>
    </w:p>
  </w:footnote>
  <w:footnote w:id="4">
    <w:p w:rsidR="00F46B50" w:rsidRDefault="00F46B50" w:rsidP="00BE57C3">
      <w:pPr>
        <w:pStyle w:val="Textonotapie"/>
        <w:spacing w:after="120"/>
        <w:ind w:firstLine="0"/>
      </w:pPr>
      <w:r>
        <w:rPr>
          <w:rStyle w:val="Refdenotaalpie"/>
        </w:rPr>
        <w:footnoteRef/>
      </w:r>
      <w:r>
        <w:t xml:space="preserve"> </w:t>
      </w:r>
      <w:r>
        <w:t>Lehen aipatu den bezala, 1995etik 2013ra sozietate kudeatzailearen jarduera esklusiboa GHa kudeatzea izan da. Azken urte horretatik aurrera, jarduera hori beste helburu sozial zabalago batzuetan sartzen da.</w:t>
      </w:r>
    </w:p>
  </w:footnote>
  <w:footnote w:id="5">
    <w:p w:rsidR="00F93209" w:rsidRDefault="00F93209" w:rsidP="006021D1">
      <w:pPr>
        <w:pStyle w:val="Textonotapie"/>
        <w:ind w:firstLine="0"/>
      </w:pPr>
      <w:r>
        <w:rPr>
          <w:rStyle w:val="Refdenotaalpie"/>
        </w:rPr>
        <w:footnoteRef/>
      </w:r>
      <w:r>
        <w:t xml:space="preserve"> </w:t>
      </w:r>
      <w:r>
        <w:t>Aurkeztu diren alegazioen arabera aldatutako gomendioa.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Pr="003B2266" w:rsidRDefault="00F46B50" w:rsidP="00444344">
    <w:pPr>
      <w:pStyle w:val="Encabezado"/>
      <w:pBdr>
        <w:bottom w:val="single" w:sz="4" w:space="1" w:color="auto"/>
      </w:pBdr>
      <w:spacing w:after="40"/>
      <w:ind w:firstLine="0"/>
      <w:jc w:val="left"/>
      <w:rPr>
        <w:sz w:val="13"/>
        <w:szCs w:val="13"/>
      </w:rPr>
    </w:pPr>
    <w:r>
      <w:rPr>
        <w:b/>
        <w:noProof/>
        <w:lang w:val="es-ES" w:eastAsia="es-ES"/>
      </w:rPr>
      <w:drawing>
        <wp:inline distT="0" distB="0" distL="0" distR="0" wp14:anchorId="007121AA" wp14:editId="0F251BB3">
          <wp:extent cx="771525" cy="762000"/>
          <wp:effectExtent l="0" t="0" r="9525" b="0"/>
          <wp:docPr id="7" name="Imagen 7"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rPr>
        <w:sz w:val="13"/>
        <w:szCs w:val="13"/>
      </w:rPr>
      <w:t xml:space="preserve">         </w:t>
    </w:r>
    <w:r>
      <w:rPr>
        <w:sz w:val="13"/>
        <w:szCs w:val="13"/>
      </w:rPr>
      <w:t>Iruñerriko Garraioaren Hiriari buruzko fiskalizazio txostena (1991-2017)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rsidP="006A2D41">
    <w:pPr>
      <w:pStyle w:val="Encabezado"/>
      <w:ind w:firstLine="0"/>
      <w:jc w:val="left"/>
    </w:pPr>
    <w:r>
      <w:rPr>
        <w:noProof/>
        <w:lang w:val="es-ES" w:eastAsia="es-ES"/>
      </w:rPr>
      <w:drawing>
        <wp:inline distT="0" distB="0" distL="0" distR="0" wp14:anchorId="591DCFDF" wp14:editId="67BC7C58">
          <wp:extent cx="771525" cy="762000"/>
          <wp:effectExtent l="0" t="0" r="9525" b="0"/>
          <wp:docPr id="9" name="Imagen 9"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B50" w:rsidRDefault="00F46B50"/>
  <w:p w:rsidR="00F46B50" w:rsidRDefault="00F46B50"/>
  <w:p w:rsidR="00F46B50" w:rsidRDefault="00F46B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80E"/>
    <w:multiLevelType w:val="hybridMultilevel"/>
    <w:tmpl w:val="0DE45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9762D92"/>
    <w:multiLevelType w:val="hybridMultilevel"/>
    <w:tmpl w:val="C7B288F2"/>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C7C25D4"/>
    <w:multiLevelType w:val="hybridMultilevel"/>
    <w:tmpl w:val="5BDA496C"/>
    <w:lvl w:ilvl="0" w:tplc="DF1A6F1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E8F40DD"/>
    <w:multiLevelType w:val="hybridMultilevel"/>
    <w:tmpl w:val="21E6E952"/>
    <w:lvl w:ilvl="0" w:tplc="1B363BC6">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0F20606E"/>
    <w:multiLevelType w:val="hybridMultilevel"/>
    <w:tmpl w:val="37226418"/>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CF2594"/>
    <w:multiLevelType w:val="hybridMultilevel"/>
    <w:tmpl w:val="B2620390"/>
    <w:lvl w:ilvl="0" w:tplc="6DD03A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33F0059"/>
    <w:multiLevelType w:val="hybridMultilevel"/>
    <w:tmpl w:val="FB5C9F1C"/>
    <w:lvl w:ilvl="0" w:tplc="3C9EFAB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E11D6F"/>
    <w:multiLevelType w:val="hybridMultilevel"/>
    <w:tmpl w:val="B6161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AC0754B"/>
    <w:multiLevelType w:val="hybridMultilevel"/>
    <w:tmpl w:val="830037F2"/>
    <w:lvl w:ilvl="0" w:tplc="EB825990">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10">
    <w:nsid w:val="1E8E6ED9"/>
    <w:multiLevelType w:val="hybridMultilevel"/>
    <w:tmpl w:val="8C4239A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AD0597"/>
    <w:multiLevelType w:val="hybridMultilevel"/>
    <w:tmpl w:val="5F302E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53F2819"/>
    <w:multiLevelType w:val="multilevel"/>
    <w:tmpl w:val="BAB67394"/>
    <w:lvl w:ilvl="0">
      <w:start w:val="1"/>
      <w:numFmt w:val="decimal"/>
      <w:lvlText w:val="%1."/>
      <w:lvlJc w:val="left"/>
      <w:pPr>
        <w:ind w:left="720" w:hanging="360"/>
      </w:p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13">
    <w:nsid w:val="34265966"/>
    <w:multiLevelType w:val="hybridMultilevel"/>
    <w:tmpl w:val="3F4A82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384625A7"/>
    <w:multiLevelType w:val="hybridMultilevel"/>
    <w:tmpl w:val="794247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BCD6E35"/>
    <w:multiLevelType w:val="hybridMultilevel"/>
    <w:tmpl w:val="4CB085A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3C68273C"/>
    <w:multiLevelType w:val="hybridMultilevel"/>
    <w:tmpl w:val="D462402C"/>
    <w:lvl w:ilvl="0" w:tplc="81A052D2">
      <w:start w:val="6"/>
      <w:numFmt w:val="bullet"/>
      <w:lvlText w:val="-"/>
      <w:lvlJc w:val="left"/>
      <w:pPr>
        <w:ind w:left="644" w:hanging="360"/>
      </w:pPr>
      <w:rPr>
        <w:rFonts w:ascii="Times New (W1)" w:eastAsia="Times New Roman" w:hAnsi="Times New (W1)" w:cs="Times New (W1)"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7">
    <w:nsid w:val="3E6B5284"/>
    <w:multiLevelType w:val="hybridMultilevel"/>
    <w:tmpl w:val="D7EE7E7C"/>
    <w:lvl w:ilvl="0" w:tplc="1EBA4B86">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8">
    <w:nsid w:val="3E9F0DAE"/>
    <w:multiLevelType w:val="hybridMultilevel"/>
    <w:tmpl w:val="161C726C"/>
    <w:lvl w:ilvl="0" w:tplc="70F00E40">
      <w:start w:val="2"/>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9">
    <w:nsid w:val="3F962E2C"/>
    <w:multiLevelType w:val="hybridMultilevel"/>
    <w:tmpl w:val="B01497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2D40856"/>
    <w:multiLevelType w:val="hybridMultilevel"/>
    <w:tmpl w:val="DD0CC4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4673393"/>
    <w:multiLevelType w:val="hybridMultilevel"/>
    <w:tmpl w:val="1674D8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7CE3507"/>
    <w:multiLevelType w:val="hybridMultilevel"/>
    <w:tmpl w:val="28F22A3A"/>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nsid w:val="57D971B7"/>
    <w:multiLevelType w:val="hybridMultilevel"/>
    <w:tmpl w:val="28ACB426"/>
    <w:lvl w:ilvl="0" w:tplc="415E4778">
      <w:start w:val="1"/>
      <w:numFmt w:val="decimal"/>
      <w:lvlText w:val="(%1)"/>
      <w:lvlJc w:val="left"/>
      <w:pPr>
        <w:ind w:left="675" w:hanging="360"/>
      </w:pPr>
      <w:rPr>
        <w:rFonts w:hint="default"/>
      </w:rPr>
    </w:lvl>
    <w:lvl w:ilvl="1" w:tplc="0C0A0019" w:tentative="1">
      <w:start w:val="1"/>
      <w:numFmt w:val="lowerLetter"/>
      <w:lvlText w:val="%2."/>
      <w:lvlJc w:val="left"/>
      <w:pPr>
        <w:ind w:left="1395" w:hanging="360"/>
      </w:pPr>
    </w:lvl>
    <w:lvl w:ilvl="2" w:tplc="0C0A001B" w:tentative="1">
      <w:start w:val="1"/>
      <w:numFmt w:val="lowerRoman"/>
      <w:lvlText w:val="%3."/>
      <w:lvlJc w:val="right"/>
      <w:pPr>
        <w:ind w:left="2115" w:hanging="180"/>
      </w:pPr>
    </w:lvl>
    <w:lvl w:ilvl="3" w:tplc="0C0A000F" w:tentative="1">
      <w:start w:val="1"/>
      <w:numFmt w:val="decimal"/>
      <w:lvlText w:val="%4."/>
      <w:lvlJc w:val="left"/>
      <w:pPr>
        <w:ind w:left="2835" w:hanging="360"/>
      </w:pPr>
    </w:lvl>
    <w:lvl w:ilvl="4" w:tplc="0C0A0019" w:tentative="1">
      <w:start w:val="1"/>
      <w:numFmt w:val="lowerLetter"/>
      <w:lvlText w:val="%5."/>
      <w:lvlJc w:val="left"/>
      <w:pPr>
        <w:ind w:left="3555" w:hanging="360"/>
      </w:pPr>
    </w:lvl>
    <w:lvl w:ilvl="5" w:tplc="0C0A001B" w:tentative="1">
      <w:start w:val="1"/>
      <w:numFmt w:val="lowerRoman"/>
      <w:lvlText w:val="%6."/>
      <w:lvlJc w:val="right"/>
      <w:pPr>
        <w:ind w:left="4275" w:hanging="180"/>
      </w:pPr>
    </w:lvl>
    <w:lvl w:ilvl="6" w:tplc="0C0A000F" w:tentative="1">
      <w:start w:val="1"/>
      <w:numFmt w:val="decimal"/>
      <w:lvlText w:val="%7."/>
      <w:lvlJc w:val="left"/>
      <w:pPr>
        <w:ind w:left="4995" w:hanging="360"/>
      </w:pPr>
    </w:lvl>
    <w:lvl w:ilvl="7" w:tplc="0C0A0019" w:tentative="1">
      <w:start w:val="1"/>
      <w:numFmt w:val="lowerLetter"/>
      <w:lvlText w:val="%8."/>
      <w:lvlJc w:val="left"/>
      <w:pPr>
        <w:ind w:left="5715" w:hanging="360"/>
      </w:pPr>
    </w:lvl>
    <w:lvl w:ilvl="8" w:tplc="0C0A001B" w:tentative="1">
      <w:start w:val="1"/>
      <w:numFmt w:val="lowerRoman"/>
      <w:lvlText w:val="%9."/>
      <w:lvlJc w:val="right"/>
      <w:pPr>
        <w:ind w:left="6435" w:hanging="180"/>
      </w:pPr>
    </w:lvl>
  </w:abstractNum>
  <w:abstractNum w:abstractNumId="24">
    <w:nsid w:val="59526EF1"/>
    <w:multiLevelType w:val="hybridMultilevel"/>
    <w:tmpl w:val="9994708A"/>
    <w:lvl w:ilvl="0" w:tplc="298098A0">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5F5641C1"/>
    <w:multiLevelType w:val="hybridMultilevel"/>
    <w:tmpl w:val="CA78E1A2"/>
    <w:lvl w:ilvl="0" w:tplc="5EE29B3C">
      <w:start w:val="1"/>
      <w:numFmt w:val="lowerLetter"/>
      <w:lvlText w:val="%1)"/>
      <w:lvlJc w:val="left"/>
      <w:pPr>
        <w:ind w:left="650" w:hanging="360"/>
      </w:pPr>
      <w:rPr>
        <w:rFonts w:hint="default"/>
      </w:rPr>
    </w:lvl>
    <w:lvl w:ilvl="1" w:tplc="0C0A0019" w:tentative="1">
      <w:start w:val="1"/>
      <w:numFmt w:val="lowerLetter"/>
      <w:lvlText w:val="%2."/>
      <w:lvlJc w:val="left"/>
      <w:pPr>
        <w:ind w:left="1370" w:hanging="360"/>
      </w:pPr>
    </w:lvl>
    <w:lvl w:ilvl="2" w:tplc="0C0A001B" w:tentative="1">
      <w:start w:val="1"/>
      <w:numFmt w:val="lowerRoman"/>
      <w:lvlText w:val="%3."/>
      <w:lvlJc w:val="right"/>
      <w:pPr>
        <w:ind w:left="2090" w:hanging="180"/>
      </w:pPr>
    </w:lvl>
    <w:lvl w:ilvl="3" w:tplc="0C0A000F" w:tentative="1">
      <w:start w:val="1"/>
      <w:numFmt w:val="decimal"/>
      <w:lvlText w:val="%4."/>
      <w:lvlJc w:val="left"/>
      <w:pPr>
        <w:ind w:left="2810" w:hanging="360"/>
      </w:pPr>
    </w:lvl>
    <w:lvl w:ilvl="4" w:tplc="0C0A0019" w:tentative="1">
      <w:start w:val="1"/>
      <w:numFmt w:val="lowerLetter"/>
      <w:lvlText w:val="%5."/>
      <w:lvlJc w:val="left"/>
      <w:pPr>
        <w:ind w:left="3530" w:hanging="360"/>
      </w:pPr>
    </w:lvl>
    <w:lvl w:ilvl="5" w:tplc="0C0A001B" w:tentative="1">
      <w:start w:val="1"/>
      <w:numFmt w:val="lowerRoman"/>
      <w:lvlText w:val="%6."/>
      <w:lvlJc w:val="right"/>
      <w:pPr>
        <w:ind w:left="4250" w:hanging="180"/>
      </w:pPr>
    </w:lvl>
    <w:lvl w:ilvl="6" w:tplc="0C0A000F" w:tentative="1">
      <w:start w:val="1"/>
      <w:numFmt w:val="decimal"/>
      <w:lvlText w:val="%7."/>
      <w:lvlJc w:val="left"/>
      <w:pPr>
        <w:ind w:left="4970" w:hanging="360"/>
      </w:pPr>
    </w:lvl>
    <w:lvl w:ilvl="7" w:tplc="0C0A0019" w:tentative="1">
      <w:start w:val="1"/>
      <w:numFmt w:val="lowerLetter"/>
      <w:lvlText w:val="%8."/>
      <w:lvlJc w:val="left"/>
      <w:pPr>
        <w:ind w:left="5690" w:hanging="360"/>
      </w:pPr>
    </w:lvl>
    <w:lvl w:ilvl="8" w:tplc="0C0A001B" w:tentative="1">
      <w:start w:val="1"/>
      <w:numFmt w:val="lowerRoman"/>
      <w:lvlText w:val="%9."/>
      <w:lvlJc w:val="right"/>
      <w:pPr>
        <w:ind w:left="6410" w:hanging="180"/>
      </w:pPr>
    </w:lvl>
  </w:abstractNum>
  <w:abstractNum w:abstractNumId="26">
    <w:nsid w:val="61276C9B"/>
    <w:multiLevelType w:val="hybridMultilevel"/>
    <w:tmpl w:val="713ECBBE"/>
    <w:lvl w:ilvl="0" w:tplc="0C0A0001">
      <w:start w:val="1"/>
      <w:numFmt w:val="bullet"/>
      <w:lvlText w:val=""/>
      <w:lvlJc w:val="left"/>
      <w:pPr>
        <w:ind w:left="785" w:hanging="360"/>
      </w:pPr>
      <w:rPr>
        <w:rFonts w:ascii="Symbol" w:hAnsi="Symbol" w:hint="default"/>
      </w:rPr>
    </w:lvl>
    <w:lvl w:ilvl="1" w:tplc="0C0A0003" w:tentative="1">
      <w:start w:val="1"/>
      <w:numFmt w:val="bullet"/>
      <w:lvlText w:val="o"/>
      <w:lvlJc w:val="left"/>
      <w:pPr>
        <w:ind w:left="1505" w:hanging="360"/>
      </w:pPr>
      <w:rPr>
        <w:rFonts w:ascii="Courier New" w:hAnsi="Courier New" w:cs="Courier New" w:hint="default"/>
      </w:rPr>
    </w:lvl>
    <w:lvl w:ilvl="2" w:tplc="0C0A0005" w:tentative="1">
      <w:start w:val="1"/>
      <w:numFmt w:val="bullet"/>
      <w:lvlText w:val=""/>
      <w:lvlJc w:val="left"/>
      <w:pPr>
        <w:ind w:left="2225" w:hanging="360"/>
      </w:pPr>
      <w:rPr>
        <w:rFonts w:ascii="Wingdings" w:hAnsi="Wingdings" w:hint="default"/>
      </w:rPr>
    </w:lvl>
    <w:lvl w:ilvl="3" w:tplc="0C0A0001" w:tentative="1">
      <w:start w:val="1"/>
      <w:numFmt w:val="bullet"/>
      <w:lvlText w:val=""/>
      <w:lvlJc w:val="left"/>
      <w:pPr>
        <w:ind w:left="2945" w:hanging="360"/>
      </w:pPr>
      <w:rPr>
        <w:rFonts w:ascii="Symbol" w:hAnsi="Symbol" w:hint="default"/>
      </w:rPr>
    </w:lvl>
    <w:lvl w:ilvl="4" w:tplc="0C0A0003" w:tentative="1">
      <w:start w:val="1"/>
      <w:numFmt w:val="bullet"/>
      <w:lvlText w:val="o"/>
      <w:lvlJc w:val="left"/>
      <w:pPr>
        <w:ind w:left="3665" w:hanging="360"/>
      </w:pPr>
      <w:rPr>
        <w:rFonts w:ascii="Courier New" w:hAnsi="Courier New" w:cs="Courier New" w:hint="default"/>
      </w:rPr>
    </w:lvl>
    <w:lvl w:ilvl="5" w:tplc="0C0A0005" w:tentative="1">
      <w:start w:val="1"/>
      <w:numFmt w:val="bullet"/>
      <w:lvlText w:val=""/>
      <w:lvlJc w:val="left"/>
      <w:pPr>
        <w:ind w:left="4385" w:hanging="360"/>
      </w:pPr>
      <w:rPr>
        <w:rFonts w:ascii="Wingdings" w:hAnsi="Wingdings" w:hint="default"/>
      </w:rPr>
    </w:lvl>
    <w:lvl w:ilvl="6" w:tplc="0C0A0001" w:tentative="1">
      <w:start w:val="1"/>
      <w:numFmt w:val="bullet"/>
      <w:lvlText w:val=""/>
      <w:lvlJc w:val="left"/>
      <w:pPr>
        <w:ind w:left="5105" w:hanging="360"/>
      </w:pPr>
      <w:rPr>
        <w:rFonts w:ascii="Symbol" w:hAnsi="Symbol" w:hint="default"/>
      </w:rPr>
    </w:lvl>
    <w:lvl w:ilvl="7" w:tplc="0C0A0003" w:tentative="1">
      <w:start w:val="1"/>
      <w:numFmt w:val="bullet"/>
      <w:lvlText w:val="o"/>
      <w:lvlJc w:val="left"/>
      <w:pPr>
        <w:ind w:left="5825" w:hanging="360"/>
      </w:pPr>
      <w:rPr>
        <w:rFonts w:ascii="Courier New" w:hAnsi="Courier New" w:cs="Courier New" w:hint="default"/>
      </w:rPr>
    </w:lvl>
    <w:lvl w:ilvl="8" w:tplc="0C0A0005" w:tentative="1">
      <w:start w:val="1"/>
      <w:numFmt w:val="bullet"/>
      <w:lvlText w:val=""/>
      <w:lvlJc w:val="left"/>
      <w:pPr>
        <w:ind w:left="6545" w:hanging="360"/>
      </w:pPr>
      <w:rPr>
        <w:rFonts w:ascii="Wingdings" w:hAnsi="Wingdings" w:hint="default"/>
      </w:rPr>
    </w:lvl>
  </w:abstractNum>
  <w:abstractNum w:abstractNumId="27">
    <w:nsid w:val="63127696"/>
    <w:multiLevelType w:val="hybridMultilevel"/>
    <w:tmpl w:val="A796BF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44B5128"/>
    <w:multiLevelType w:val="singleLevel"/>
    <w:tmpl w:val="F50A19D2"/>
    <w:lvl w:ilvl="0">
      <w:start w:val="46"/>
      <w:numFmt w:val="bullet"/>
      <w:lvlText w:val=""/>
      <w:lvlJc w:val="left"/>
      <w:pPr>
        <w:tabs>
          <w:tab w:val="num" w:pos="502"/>
        </w:tabs>
        <w:ind w:left="-28" w:firstLine="170"/>
      </w:pPr>
      <w:rPr>
        <w:rFonts w:ascii="Wingdings" w:hAnsi="Wingdings" w:hint="default"/>
      </w:rPr>
    </w:lvl>
  </w:abstractNum>
  <w:abstractNum w:abstractNumId="29">
    <w:nsid w:val="64A14BB2"/>
    <w:multiLevelType w:val="hybridMultilevel"/>
    <w:tmpl w:val="9CD6620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64FE3016"/>
    <w:multiLevelType w:val="hybridMultilevel"/>
    <w:tmpl w:val="F9B2EC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5972963"/>
    <w:multiLevelType w:val="hybridMultilevel"/>
    <w:tmpl w:val="3C1A23D4"/>
    <w:lvl w:ilvl="0" w:tplc="ADCCF86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9273F26"/>
    <w:multiLevelType w:val="hybridMultilevel"/>
    <w:tmpl w:val="848EA9FA"/>
    <w:lvl w:ilvl="0" w:tplc="08C4871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6B074178"/>
    <w:multiLevelType w:val="hybridMultilevel"/>
    <w:tmpl w:val="547C7E4A"/>
    <w:lvl w:ilvl="0" w:tplc="934C4862">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nsid w:val="6EAF7816"/>
    <w:multiLevelType w:val="hybridMultilevel"/>
    <w:tmpl w:val="5436F1D4"/>
    <w:lvl w:ilvl="0" w:tplc="9FB20A66">
      <w:start w:val="1"/>
      <w:numFmt w:val="lowerLetter"/>
      <w:lvlText w:val="%1)"/>
      <w:lvlJc w:val="left"/>
      <w:pPr>
        <w:ind w:left="704" w:hanging="360"/>
      </w:pPr>
      <w:rPr>
        <w:rFonts w:hint="default"/>
      </w:rPr>
    </w:lvl>
    <w:lvl w:ilvl="1" w:tplc="0C0A0019" w:tentative="1">
      <w:start w:val="1"/>
      <w:numFmt w:val="lowerLetter"/>
      <w:lvlText w:val="%2."/>
      <w:lvlJc w:val="left"/>
      <w:pPr>
        <w:ind w:left="1424" w:hanging="360"/>
      </w:pPr>
    </w:lvl>
    <w:lvl w:ilvl="2" w:tplc="0C0A001B" w:tentative="1">
      <w:start w:val="1"/>
      <w:numFmt w:val="lowerRoman"/>
      <w:lvlText w:val="%3."/>
      <w:lvlJc w:val="right"/>
      <w:pPr>
        <w:ind w:left="2144" w:hanging="180"/>
      </w:pPr>
    </w:lvl>
    <w:lvl w:ilvl="3" w:tplc="0C0A000F" w:tentative="1">
      <w:start w:val="1"/>
      <w:numFmt w:val="decimal"/>
      <w:lvlText w:val="%4."/>
      <w:lvlJc w:val="left"/>
      <w:pPr>
        <w:ind w:left="2864" w:hanging="360"/>
      </w:pPr>
    </w:lvl>
    <w:lvl w:ilvl="4" w:tplc="0C0A0019" w:tentative="1">
      <w:start w:val="1"/>
      <w:numFmt w:val="lowerLetter"/>
      <w:lvlText w:val="%5."/>
      <w:lvlJc w:val="left"/>
      <w:pPr>
        <w:ind w:left="3584" w:hanging="360"/>
      </w:pPr>
    </w:lvl>
    <w:lvl w:ilvl="5" w:tplc="0C0A001B" w:tentative="1">
      <w:start w:val="1"/>
      <w:numFmt w:val="lowerRoman"/>
      <w:lvlText w:val="%6."/>
      <w:lvlJc w:val="right"/>
      <w:pPr>
        <w:ind w:left="4304" w:hanging="180"/>
      </w:pPr>
    </w:lvl>
    <w:lvl w:ilvl="6" w:tplc="0C0A000F" w:tentative="1">
      <w:start w:val="1"/>
      <w:numFmt w:val="decimal"/>
      <w:lvlText w:val="%7."/>
      <w:lvlJc w:val="left"/>
      <w:pPr>
        <w:ind w:left="5024" w:hanging="360"/>
      </w:pPr>
    </w:lvl>
    <w:lvl w:ilvl="7" w:tplc="0C0A0019" w:tentative="1">
      <w:start w:val="1"/>
      <w:numFmt w:val="lowerLetter"/>
      <w:lvlText w:val="%8."/>
      <w:lvlJc w:val="left"/>
      <w:pPr>
        <w:ind w:left="5744" w:hanging="360"/>
      </w:pPr>
    </w:lvl>
    <w:lvl w:ilvl="8" w:tplc="0C0A001B" w:tentative="1">
      <w:start w:val="1"/>
      <w:numFmt w:val="lowerRoman"/>
      <w:lvlText w:val="%9."/>
      <w:lvlJc w:val="right"/>
      <w:pPr>
        <w:ind w:left="6464" w:hanging="180"/>
      </w:pPr>
    </w:lvl>
  </w:abstractNum>
  <w:abstractNum w:abstractNumId="35">
    <w:nsid w:val="75917C03"/>
    <w:multiLevelType w:val="hybridMultilevel"/>
    <w:tmpl w:val="8A0A4D1C"/>
    <w:lvl w:ilvl="0" w:tplc="5306835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nsid w:val="7AD06252"/>
    <w:multiLevelType w:val="hybridMultilevel"/>
    <w:tmpl w:val="9ECEC708"/>
    <w:lvl w:ilvl="0" w:tplc="918E9F74">
      <w:start w:val="1"/>
      <w:numFmt w:val="decimal"/>
      <w:lvlText w:val="(%1)"/>
      <w:lvlJc w:val="left"/>
      <w:pPr>
        <w:ind w:left="444" w:hanging="360"/>
      </w:pPr>
      <w:rPr>
        <w:rFonts w:hint="default"/>
      </w:rPr>
    </w:lvl>
    <w:lvl w:ilvl="1" w:tplc="0C0A0019" w:tentative="1">
      <w:start w:val="1"/>
      <w:numFmt w:val="lowerLetter"/>
      <w:lvlText w:val="%2."/>
      <w:lvlJc w:val="left"/>
      <w:pPr>
        <w:ind w:left="1164" w:hanging="360"/>
      </w:pPr>
    </w:lvl>
    <w:lvl w:ilvl="2" w:tplc="0C0A001B" w:tentative="1">
      <w:start w:val="1"/>
      <w:numFmt w:val="lowerRoman"/>
      <w:lvlText w:val="%3."/>
      <w:lvlJc w:val="right"/>
      <w:pPr>
        <w:ind w:left="1884" w:hanging="180"/>
      </w:pPr>
    </w:lvl>
    <w:lvl w:ilvl="3" w:tplc="0C0A000F" w:tentative="1">
      <w:start w:val="1"/>
      <w:numFmt w:val="decimal"/>
      <w:lvlText w:val="%4."/>
      <w:lvlJc w:val="left"/>
      <w:pPr>
        <w:ind w:left="2604" w:hanging="360"/>
      </w:pPr>
    </w:lvl>
    <w:lvl w:ilvl="4" w:tplc="0C0A0019" w:tentative="1">
      <w:start w:val="1"/>
      <w:numFmt w:val="lowerLetter"/>
      <w:lvlText w:val="%5."/>
      <w:lvlJc w:val="left"/>
      <w:pPr>
        <w:ind w:left="3324" w:hanging="360"/>
      </w:pPr>
    </w:lvl>
    <w:lvl w:ilvl="5" w:tplc="0C0A001B" w:tentative="1">
      <w:start w:val="1"/>
      <w:numFmt w:val="lowerRoman"/>
      <w:lvlText w:val="%6."/>
      <w:lvlJc w:val="right"/>
      <w:pPr>
        <w:ind w:left="4044" w:hanging="180"/>
      </w:pPr>
    </w:lvl>
    <w:lvl w:ilvl="6" w:tplc="0C0A000F" w:tentative="1">
      <w:start w:val="1"/>
      <w:numFmt w:val="decimal"/>
      <w:lvlText w:val="%7."/>
      <w:lvlJc w:val="left"/>
      <w:pPr>
        <w:ind w:left="4764" w:hanging="360"/>
      </w:pPr>
    </w:lvl>
    <w:lvl w:ilvl="7" w:tplc="0C0A0019" w:tentative="1">
      <w:start w:val="1"/>
      <w:numFmt w:val="lowerLetter"/>
      <w:lvlText w:val="%8."/>
      <w:lvlJc w:val="left"/>
      <w:pPr>
        <w:ind w:left="5484" w:hanging="360"/>
      </w:pPr>
    </w:lvl>
    <w:lvl w:ilvl="8" w:tplc="0C0A001B" w:tentative="1">
      <w:start w:val="1"/>
      <w:numFmt w:val="lowerRoman"/>
      <w:lvlText w:val="%9."/>
      <w:lvlJc w:val="right"/>
      <w:pPr>
        <w:ind w:left="6204" w:hanging="180"/>
      </w:pPr>
    </w:lvl>
  </w:abstractNum>
  <w:abstractNum w:abstractNumId="37">
    <w:nsid w:val="7D532DC2"/>
    <w:multiLevelType w:val="hybridMultilevel"/>
    <w:tmpl w:val="6D36342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28"/>
  </w:num>
  <w:num w:numId="2">
    <w:abstractNumId w:val="6"/>
  </w:num>
  <w:num w:numId="3">
    <w:abstractNumId w:val="16"/>
  </w:num>
  <w:num w:numId="4">
    <w:abstractNumId w:val="9"/>
  </w:num>
  <w:num w:numId="5">
    <w:abstractNumId w:val="34"/>
  </w:num>
  <w:num w:numId="6">
    <w:abstractNumId w:val="33"/>
  </w:num>
  <w:num w:numId="7">
    <w:abstractNumId w:val="17"/>
  </w:num>
  <w:num w:numId="8">
    <w:abstractNumId w:val="32"/>
  </w:num>
  <w:num w:numId="9">
    <w:abstractNumId w:val="35"/>
  </w:num>
  <w:num w:numId="10">
    <w:abstractNumId w:val="2"/>
  </w:num>
  <w:num w:numId="11">
    <w:abstractNumId w:val="23"/>
  </w:num>
  <w:num w:numId="12">
    <w:abstractNumId w:val="18"/>
  </w:num>
  <w:num w:numId="13">
    <w:abstractNumId w:val="30"/>
  </w:num>
  <w:num w:numId="14">
    <w:abstractNumId w:val="13"/>
  </w:num>
  <w:num w:numId="15">
    <w:abstractNumId w:val="27"/>
  </w:num>
  <w:num w:numId="16">
    <w:abstractNumId w:val="3"/>
  </w:num>
  <w:num w:numId="17">
    <w:abstractNumId w:val="37"/>
  </w:num>
  <w:num w:numId="18">
    <w:abstractNumId w:val="15"/>
  </w:num>
  <w:num w:numId="19">
    <w:abstractNumId w:val="10"/>
  </w:num>
  <w:num w:numId="20">
    <w:abstractNumId w:val="24"/>
  </w:num>
  <w:num w:numId="21">
    <w:abstractNumId w:val="5"/>
  </w:num>
  <w:num w:numId="22">
    <w:abstractNumId w:val="36"/>
  </w:num>
  <w:num w:numId="23">
    <w:abstractNumId w:val="14"/>
  </w:num>
  <w:num w:numId="24">
    <w:abstractNumId w:val="26"/>
  </w:num>
  <w:num w:numId="25">
    <w:abstractNumId w:val="21"/>
  </w:num>
  <w:num w:numId="26">
    <w:abstractNumId w:val="11"/>
  </w:num>
  <w:num w:numId="27">
    <w:abstractNumId w:val="12"/>
  </w:num>
  <w:num w:numId="28">
    <w:abstractNumId w:val="22"/>
  </w:num>
  <w:num w:numId="29">
    <w:abstractNumId w:val="31"/>
  </w:num>
  <w:num w:numId="30">
    <w:abstractNumId w:val="4"/>
  </w:num>
  <w:num w:numId="31">
    <w:abstractNumId w:val="19"/>
  </w:num>
  <w:num w:numId="32">
    <w:abstractNumId w:val="29"/>
  </w:num>
  <w:num w:numId="33">
    <w:abstractNumId w:val="1"/>
  </w:num>
  <w:num w:numId="34">
    <w:abstractNumId w:val="25"/>
  </w:num>
  <w:num w:numId="35">
    <w:abstractNumId w:val="8"/>
  </w:num>
  <w:num w:numId="36">
    <w:abstractNumId w:val="20"/>
  </w:num>
  <w:num w:numId="37">
    <w:abstractNumId w:val="7"/>
  </w:num>
  <w:num w:numId="3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F0A"/>
    <w:rsid w:val="00000658"/>
    <w:rsid w:val="000011B6"/>
    <w:rsid w:val="00001474"/>
    <w:rsid w:val="000019D8"/>
    <w:rsid w:val="00003674"/>
    <w:rsid w:val="00003FE9"/>
    <w:rsid w:val="0000650B"/>
    <w:rsid w:val="00006736"/>
    <w:rsid w:val="00006A97"/>
    <w:rsid w:val="000102A9"/>
    <w:rsid w:val="0001123B"/>
    <w:rsid w:val="00012A7F"/>
    <w:rsid w:val="0001388D"/>
    <w:rsid w:val="000156EF"/>
    <w:rsid w:val="000157F2"/>
    <w:rsid w:val="0001783E"/>
    <w:rsid w:val="00017A3A"/>
    <w:rsid w:val="00021189"/>
    <w:rsid w:val="000217F4"/>
    <w:rsid w:val="00027C78"/>
    <w:rsid w:val="00030394"/>
    <w:rsid w:val="00030425"/>
    <w:rsid w:val="000312CF"/>
    <w:rsid w:val="00033721"/>
    <w:rsid w:val="00034066"/>
    <w:rsid w:val="00036752"/>
    <w:rsid w:val="00036E42"/>
    <w:rsid w:val="00037A7E"/>
    <w:rsid w:val="00037D87"/>
    <w:rsid w:val="00037DBD"/>
    <w:rsid w:val="00042BA7"/>
    <w:rsid w:val="000434AC"/>
    <w:rsid w:val="0004373B"/>
    <w:rsid w:val="000448FA"/>
    <w:rsid w:val="00044A42"/>
    <w:rsid w:val="00045392"/>
    <w:rsid w:val="0005283A"/>
    <w:rsid w:val="00052A89"/>
    <w:rsid w:val="00053A42"/>
    <w:rsid w:val="00054D21"/>
    <w:rsid w:val="0005517D"/>
    <w:rsid w:val="00057049"/>
    <w:rsid w:val="00060ED1"/>
    <w:rsid w:val="000610E4"/>
    <w:rsid w:val="0006133D"/>
    <w:rsid w:val="00063585"/>
    <w:rsid w:val="000641A3"/>
    <w:rsid w:val="00066CC0"/>
    <w:rsid w:val="00067A0E"/>
    <w:rsid w:val="0007135E"/>
    <w:rsid w:val="00071487"/>
    <w:rsid w:val="00071CD0"/>
    <w:rsid w:val="00072D23"/>
    <w:rsid w:val="00073749"/>
    <w:rsid w:val="0007567A"/>
    <w:rsid w:val="00075692"/>
    <w:rsid w:val="00075AE8"/>
    <w:rsid w:val="00080123"/>
    <w:rsid w:val="0008294C"/>
    <w:rsid w:val="00082974"/>
    <w:rsid w:val="00082D9E"/>
    <w:rsid w:val="00084BB7"/>
    <w:rsid w:val="00084BDC"/>
    <w:rsid w:val="00084F6C"/>
    <w:rsid w:val="000871E6"/>
    <w:rsid w:val="00087B8D"/>
    <w:rsid w:val="00091386"/>
    <w:rsid w:val="000925C2"/>
    <w:rsid w:val="00092A46"/>
    <w:rsid w:val="00093D67"/>
    <w:rsid w:val="00093E60"/>
    <w:rsid w:val="00094877"/>
    <w:rsid w:val="00095C35"/>
    <w:rsid w:val="00097A19"/>
    <w:rsid w:val="00097E93"/>
    <w:rsid w:val="000A17EC"/>
    <w:rsid w:val="000A18B7"/>
    <w:rsid w:val="000A1B03"/>
    <w:rsid w:val="000A2549"/>
    <w:rsid w:val="000A26C6"/>
    <w:rsid w:val="000A2B37"/>
    <w:rsid w:val="000A2C1E"/>
    <w:rsid w:val="000A337D"/>
    <w:rsid w:val="000A4339"/>
    <w:rsid w:val="000A4697"/>
    <w:rsid w:val="000A520A"/>
    <w:rsid w:val="000B0D19"/>
    <w:rsid w:val="000B1137"/>
    <w:rsid w:val="000B1275"/>
    <w:rsid w:val="000B1E12"/>
    <w:rsid w:val="000B2589"/>
    <w:rsid w:val="000B2728"/>
    <w:rsid w:val="000B3943"/>
    <w:rsid w:val="000B404C"/>
    <w:rsid w:val="000B4477"/>
    <w:rsid w:val="000B5D92"/>
    <w:rsid w:val="000B7E31"/>
    <w:rsid w:val="000C0704"/>
    <w:rsid w:val="000C2B07"/>
    <w:rsid w:val="000C3598"/>
    <w:rsid w:val="000C39CC"/>
    <w:rsid w:val="000C5F0A"/>
    <w:rsid w:val="000C7566"/>
    <w:rsid w:val="000C7967"/>
    <w:rsid w:val="000C7B98"/>
    <w:rsid w:val="000D10FC"/>
    <w:rsid w:val="000D188E"/>
    <w:rsid w:val="000D1F7E"/>
    <w:rsid w:val="000D2954"/>
    <w:rsid w:val="000D30DF"/>
    <w:rsid w:val="000D4364"/>
    <w:rsid w:val="000D4614"/>
    <w:rsid w:val="000D5335"/>
    <w:rsid w:val="000D7356"/>
    <w:rsid w:val="000E026C"/>
    <w:rsid w:val="000E38F7"/>
    <w:rsid w:val="000E5A01"/>
    <w:rsid w:val="000E674E"/>
    <w:rsid w:val="000E6DD9"/>
    <w:rsid w:val="000E7B86"/>
    <w:rsid w:val="000F1239"/>
    <w:rsid w:val="000F1475"/>
    <w:rsid w:val="000F2B66"/>
    <w:rsid w:val="000F3C39"/>
    <w:rsid w:val="000F3D83"/>
    <w:rsid w:val="000F5AD9"/>
    <w:rsid w:val="000F66EA"/>
    <w:rsid w:val="00100765"/>
    <w:rsid w:val="00100F12"/>
    <w:rsid w:val="001021E6"/>
    <w:rsid w:val="001026C6"/>
    <w:rsid w:val="00103589"/>
    <w:rsid w:val="00103C5B"/>
    <w:rsid w:val="001045C9"/>
    <w:rsid w:val="00104A66"/>
    <w:rsid w:val="00107CC1"/>
    <w:rsid w:val="00110841"/>
    <w:rsid w:val="00111385"/>
    <w:rsid w:val="00111A92"/>
    <w:rsid w:val="001126F0"/>
    <w:rsid w:val="001130EE"/>
    <w:rsid w:val="00113C19"/>
    <w:rsid w:val="00113FEA"/>
    <w:rsid w:val="001145C3"/>
    <w:rsid w:val="00114E7A"/>
    <w:rsid w:val="001161D2"/>
    <w:rsid w:val="00116970"/>
    <w:rsid w:val="00120867"/>
    <w:rsid w:val="00121AD6"/>
    <w:rsid w:val="00122C42"/>
    <w:rsid w:val="00124E2C"/>
    <w:rsid w:val="00125730"/>
    <w:rsid w:val="00126FC3"/>
    <w:rsid w:val="00127222"/>
    <w:rsid w:val="00130900"/>
    <w:rsid w:val="001319A7"/>
    <w:rsid w:val="00131DF1"/>
    <w:rsid w:val="00131FA5"/>
    <w:rsid w:val="00132C38"/>
    <w:rsid w:val="00133984"/>
    <w:rsid w:val="00133B29"/>
    <w:rsid w:val="0013587F"/>
    <w:rsid w:val="001365C4"/>
    <w:rsid w:val="001372B5"/>
    <w:rsid w:val="00140D24"/>
    <w:rsid w:val="0014147D"/>
    <w:rsid w:val="00141527"/>
    <w:rsid w:val="001418D9"/>
    <w:rsid w:val="00141D29"/>
    <w:rsid w:val="0014212A"/>
    <w:rsid w:val="001429F0"/>
    <w:rsid w:val="00143EEB"/>
    <w:rsid w:val="001443AD"/>
    <w:rsid w:val="0014498E"/>
    <w:rsid w:val="0014506A"/>
    <w:rsid w:val="00145B1F"/>
    <w:rsid w:val="00146A60"/>
    <w:rsid w:val="0014728F"/>
    <w:rsid w:val="00150B05"/>
    <w:rsid w:val="00150D59"/>
    <w:rsid w:val="00152071"/>
    <w:rsid w:val="001521A2"/>
    <w:rsid w:val="00152358"/>
    <w:rsid w:val="00155BFF"/>
    <w:rsid w:val="00155E49"/>
    <w:rsid w:val="001570CE"/>
    <w:rsid w:val="00157133"/>
    <w:rsid w:val="00157405"/>
    <w:rsid w:val="0015782F"/>
    <w:rsid w:val="00160531"/>
    <w:rsid w:val="00160ACE"/>
    <w:rsid w:val="00160AE8"/>
    <w:rsid w:val="00160F66"/>
    <w:rsid w:val="001618E7"/>
    <w:rsid w:val="00162757"/>
    <w:rsid w:val="00162F70"/>
    <w:rsid w:val="001633AF"/>
    <w:rsid w:val="00164452"/>
    <w:rsid w:val="00164F97"/>
    <w:rsid w:val="00166A6C"/>
    <w:rsid w:val="0016713C"/>
    <w:rsid w:val="001713E3"/>
    <w:rsid w:val="00173254"/>
    <w:rsid w:val="001736FF"/>
    <w:rsid w:val="00173EDD"/>
    <w:rsid w:val="0017402B"/>
    <w:rsid w:val="00174B05"/>
    <w:rsid w:val="00175233"/>
    <w:rsid w:val="00175A79"/>
    <w:rsid w:val="001766D2"/>
    <w:rsid w:val="00176E46"/>
    <w:rsid w:val="00180702"/>
    <w:rsid w:val="00180A21"/>
    <w:rsid w:val="00181D37"/>
    <w:rsid w:val="00181E75"/>
    <w:rsid w:val="00181EF1"/>
    <w:rsid w:val="001835B7"/>
    <w:rsid w:val="0018426B"/>
    <w:rsid w:val="00184893"/>
    <w:rsid w:val="001851A3"/>
    <w:rsid w:val="00185A37"/>
    <w:rsid w:val="00187628"/>
    <w:rsid w:val="001920EE"/>
    <w:rsid w:val="00194309"/>
    <w:rsid w:val="001953EA"/>
    <w:rsid w:val="0019660E"/>
    <w:rsid w:val="001A0181"/>
    <w:rsid w:val="001A027C"/>
    <w:rsid w:val="001A02A3"/>
    <w:rsid w:val="001A070A"/>
    <w:rsid w:val="001A1422"/>
    <w:rsid w:val="001A2520"/>
    <w:rsid w:val="001A3BC9"/>
    <w:rsid w:val="001A5DFB"/>
    <w:rsid w:val="001A7102"/>
    <w:rsid w:val="001B182C"/>
    <w:rsid w:val="001B345A"/>
    <w:rsid w:val="001B39E2"/>
    <w:rsid w:val="001B3C35"/>
    <w:rsid w:val="001B5245"/>
    <w:rsid w:val="001B6768"/>
    <w:rsid w:val="001B67BB"/>
    <w:rsid w:val="001B6A12"/>
    <w:rsid w:val="001B7079"/>
    <w:rsid w:val="001B715B"/>
    <w:rsid w:val="001C06DA"/>
    <w:rsid w:val="001C1AF9"/>
    <w:rsid w:val="001C2B26"/>
    <w:rsid w:val="001C3523"/>
    <w:rsid w:val="001C3A32"/>
    <w:rsid w:val="001C5EAB"/>
    <w:rsid w:val="001D1E13"/>
    <w:rsid w:val="001D26FB"/>
    <w:rsid w:val="001D4065"/>
    <w:rsid w:val="001D4564"/>
    <w:rsid w:val="001D4F09"/>
    <w:rsid w:val="001D5C86"/>
    <w:rsid w:val="001D778E"/>
    <w:rsid w:val="001E0E77"/>
    <w:rsid w:val="001E10E0"/>
    <w:rsid w:val="001E2D9C"/>
    <w:rsid w:val="001E2F0E"/>
    <w:rsid w:val="001E3970"/>
    <w:rsid w:val="001E3A03"/>
    <w:rsid w:val="001E462B"/>
    <w:rsid w:val="001E4ADA"/>
    <w:rsid w:val="001E6D45"/>
    <w:rsid w:val="001E7752"/>
    <w:rsid w:val="001F10F1"/>
    <w:rsid w:val="001F1482"/>
    <w:rsid w:val="001F20D7"/>
    <w:rsid w:val="001F36AC"/>
    <w:rsid w:val="001F3887"/>
    <w:rsid w:val="001F39C4"/>
    <w:rsid w:val="001F6382"/>
    <w:rsid w:val="001F68B3"/>
    <w:rsid w:val="001F7744"/>
    <w:rsid w:val="002014EB"/>
    <w:rsid w:val="002022DA"/>
    <w:rsid w:val="00202B1A"/>
    <w:rsid w:val="00202B4C"/>
    <w:rsid w:val="0020319D"/>
    <w:rsid w:val="00204979"/>
    <w:rsid w:val="00204DED"/>
    <w:rsid w:val="0020696B"/>
    <w:rsid w:val="0021012C"/>
    <w:rsid w:val="00211D69"/>
    <w:rsid w:val="00212336"/>
    <w:rsid w:val="00212A87"/>
    <w:rsid w:val="00214AF5"/>
    <w:rsid w:val="00216EA1"/>
    <w:rsid w:val="0021746A"/>
    <w:rsid w:val="002179DB"/>
    <w:rsid w:val="0022013F"/>
    <w:rsid w:val="002212BA"/>
    <w:rsid w:val="00222057"/>
    <w:rsid w:val="002244A3"/>
    <w:rsid w:val="00225C42"/>
    <w:rsid w:val="00227E48"/>
    <w:rsid w:val="0023051E"/>
    <w:rsid w:val="00230577"/>
    <w:rsid w:val="0023111F"/>
    <w:rsid w:val="002311B0"/>
    <w:rsid w:val="0023209D"/>
    <w:rsid w:val="002324AD"/>
    <w:rsid w:val="002333F8"/>
    <w:rsid w:val="00233758"/>
    <w:rsid w:val="00233D79"/>
    <w:rsid w:val="00233F58"/>
    <w:rsid w:val="00236415"/>
    <w:rsid w:val="00237657"/>
    <w:rsid w:val="00242BA7"/>
    <w:rsid w:val="002437B5"/>
    <w:rsid w:val="00244A47"/>
    <w:rsid w:val="00244EF1"/>
    <w:rsid w:val="00246F21"/>
    <w:rsid w:val="0024779B"/>
    <w:rsid w:val="00251E55"/>
    <w:rsid w:val="00251F9F"/>
    <w:rsid w:val="00253AB0"/>
    <w:rsid w:val="00253E78"/>
    <w:rsid w:val="00254FAA"/>
    <w:rsid w:val="00255EA5"/>
    <w:rsid w:val="00256664"/>
    <w:rsid w:val="00256E83"/>
    <w:rsid w:val="00257024"/>
    <w:rsid w:val="00261535"/>
    <w:rsid w:val="00261616"/>
    <w:rsid w:val="00262163"/>
    <w:rsid w:val="00262C3C"/>
    <w:rsid w:val="00263438"/>
    <w:rsid w:val="00264A1B"/>
    <w:rsid w:val="00264C88"/>
    <w:rsid w:val="0026532C"/>
    <w:rsid w:val="0026575D"/>
    <w:rsid w:val="00267D76"/>
    <w:rsid w:val="0027035B"/>
    <w:rsid w:val="002705B0"/>
    <w:rsid w:val="002717A6"/>
    <w:rsid w:val="00272015"/>
    <w:rsid w:val="00272E47"/>
    <w:rsid w:val="00273C10"/>
    <w:rsid w:val="00274A6B"/>
    <w:rsid w:val="00274B4C"/>
    <w:rsid w:val="00274D16"/>
    <w:rsid w:val="00275550"/>
    <w:rsid w:val="00275D10"/>
    <w:rsid w:val="00276264"/>
    <w:rsid w:val="00276C3F"/>
    <w:rsid w:val="00280121"/>
    <w:rsid w:val="002813F7"/>
    <w:rsid w:val="00281DCA"/>
    <w:rsid w:val="00282505"/>
    <w:rsid w:val="00282A99"/>
    <w:rsid w:val="002858AC"/>
    <w:rsid w:val="0028668A"/>
    <w:rsid w:val="002872AC"/>
    <w:rsid w:val="00287369"/>
    <w:rsid w:val="002910BA"/>
    <w:rsid w:val="002916AE"/>
    <w:rsid w:val="002930FB"/>
    <w:rsid w:val="00294495"/>
    <w:rsid w:val="00295C78"/>
    <w:rsid w:val="00297B04"/>
    <w:rsid w:val="002A04BB"/>
    <w:rsid w:val="002A056C"/>
    <w:rsid w:val="002A06B4"/>
    <w:rsid w:val="002A327E"/>
    <w:rsid w:val="002A394A"/>
    <w:rsid w:val="002A46B1"/>
    <w:rsid w:val="002A66A5"/>
    <w:rsid w:val="002A6EBB"/>
    <w:rsid w:val="002A78F7"/>
    <w:rsid w:val="002B21E9"/>
    <w:rsid w:val="002B2B87"/>
    <w:rsid w:val="002B4E0F"/>
    <w:rsid w:val="002B5540"/>
    <w:rsid w:val="002B5754"/>
    <w:rsid w:val="002B581F"/>
    <w:rsid w:val="002B6094"/>
    <w:rsid w:val="002B61B0"/>
    <w:rsid w:val="002B6C56"/>
    <w:rsid w:val="002B6ED6"/>
    <w:rsid w:val="002B6F85"/>
    <w:rsid w:val="002B74DB"/>
    <w:rsid w:val="002B7ADD"/>
    <w:rsid w:val="002B7F37"/>
    <w:rsid w:val="002C39D9"/>
    <w:rsid w:val="002C4463"/>
    <w:rsid w:val="002C4927"/>
    <w:rsid w:val="002C5DB6"/>
    <w:rsid w:val="002C6978"/>
    <w:rsid w:val="002C6BDA"/>
    <w:rsid w:val="002C7026"/>
    <w:rsid w:val="002C7E08"/>
    <w:rsid w:val="002D089F"/>
    <w:rsid w:val="002D0F2B"/>
    <w:rsid w:val="002D1020"/>
    <w:rsid w:val="002D12B1"/>
    <w:rsid w:val="002D2493"/>
    <w:rsid w:val="002D256F"/>
    <w:rsid w:val="002D2772"/>
    <w:rsid w:val="002D2BF7"/>
    <w:rsid w:val="002D4526"/>
    <w:rsid w:val="002D508B"/>
    <w:rsid w:val="002D5511"/>
    <w:rsid w:val="002D5635"/>
    <w:rsid w:val="002D65E8"/>
    <w:rsid w:val="002D6F3B"/>
    <w:rsid w:val="002D7D32"/>
    <w:rsid w:val="002E02E5"/>
    <w:rsid w:val="002E0478"/>
    <w:rsid w:val="002E0714"/>
    <w:rsid w:val="002E0791"/>
    <w:rsid w:val="002E0AD7"/>
    <w:rsid w:val="002E0B30"/>
    <w:rsid w:val="002E1B92"/>
    <w:rsid w:val="002E2D86"/>
    <w:rsid w:val="002E4AEC"/>
    <w:rsid w:val="002E7445"/>
    <w:rsid w:val="002E7B81"/>
    <w:rsid w:val="002F09FB"/>
    <w:rsid w:val="002F0FE3"/>
    <w:rsid w:val="002F1AF0"/>
    <w:rsid w:val="002F2530"/>
    <w:rsid w:val="002F272A"/>
    <w:rsid w:val="002F3225"/>
    <w:rsid w:val="002F43BC"/>
    <w:rsid w:val="002F53B4"/>
    <w:rsid w:val="002F76D6"/>
    <w:rsid w:val="002F78CD"/>
    <w:rsid w:val="002F7BEE"/>
    <w:rsid w:val="003002BC"/>
    <w:rsid w:val="00300999"/>
    <w:rsid w:val="00302E28"/>
    <w:rsid w:val="00303506"/>
    <w:rsid w:val="00303670"/>
    <w:rsid w:val="00304C3A"/>
    <w:rsid w:val="003060D4"/>
    <w:rsid w:val="00307057"/>
    <w:rsid w:val="003074C5"/>
    <w:rsid w:val="00307CF0"/>
    <w:rsid w:val="00307E63"/>
    <w:rsid w:val="00311264"/>
    <w:rsid w:val="0031146E"/>
    <w:rsid w:val="00311D35"/>
    <w:rsid w:val="00312819"/>
    <w:rsid w:val="00312E9C"/>
    <w:rsid w:val="00313169"/>
    <w:rsid w:val="00313875"/>
    <w:rsid w:val="00316941"/>
    <w:rsid w:val="00317527"/>
    <w:rsid w:val="003175A4"/>
    <w:rsid w:val="003177E4"/>
    <w:rsid w:val="00317ABE"/>
    <w:rsid w:val="003203BF"/>
    <w:rsid w:val="003211C5"/>
    <w:rsid w:val="00321369"/>
    <w:rsid w:val="00321A25"/>
    <w:rsid w:val="00323163"/>
    <w:rsid w:val="00323A4D"/>
    <w:rsid w:val="00323D62"/>
    <w:rsid w:val="00325CEC"/>
    <w:rsid w:val="00326359"/>
    <w:rsid w:val="003271DE"/>
    <w:rsid w:val="00330787"/>
    <w:rsid w:val="00330B8D"/>
    <w:rsid w:val="0033338F"/>
    <w:rsid w:val="00333664"/>
    <w:rsid w:val="003338DE"/>
    <w:rsid w:val="003350DC"/>
    <w:rsid w:val="00335455"/>
    <w:rsid w:val="00335A4C"/>
    <w:rsid w:val="00336648"/>
    <w:rsid w:val="00337493"/>
    <w:rsid w:val="0034192B"/>
    <w:rsid w:val="0034285F"/>
    <w:rsid w:val="00343E0B"/>
    <w:rsid w:val="00344211"/>
    <w:rsid w:val="00344473"/>
    <w:rsid w:val="003464A4"/>
    <w:rsid w:val="00350E6D"/>
    <w:rsid w:val="00351684"/>
    <w:rsid w:val="003538CD"/>
    <w:rsid w:val="00354458"/>
    <w:rsid w:val="00355A5C"/>
    <w:rsid w:val="00356FEC"/>
    <w:rsid w:val="00360039"/>
    <w:rsid w:val="003616B8"/>
    <w:rsid w:val="00361B67"/>
    <w:rsid w:val="00361F1A"/>
    <w:rsid w:val="00363653"/>
    <w:rsid w:val="003637E6"/>
    <w:rsid w:val="0036509D"/>
    <w:rsid w:val="003666EE"/>
    <w:rsid w:val="00372251"/>
    <w:rsid w:val="0037228C"/>
    <w:rsid w:val="003736DE"/>
    <w:rsid w:val="003738FD"/>
    <w:rsid w:val="00375975"/>
    <w:rsid w:val="003759E5"/>
    <w:rsid w:val="00375B80"/>
    <w:rsid w:val="003766DC"/>
    <w:rsid w:val="00376E95"/>
    <w:rsid w:val="00377877"/>
    <w:rsid w:val="00377ADC"/>
    <w:rsid w:val="003804BB"/>
    <w:rsid w:val="003805F8"/>
    <w:rsid w:val="003810BE"/>
    <w:rsid w:val="00381762"/>
    <w:rsid w:val="00383246"/>
    <w:rsid w:val="00383480"/>
    <w:rsid w:val="00385723"/>
    <w:rsid w:val="0038583F"/>
    <w:rsid w:val="00386D3B"/>
    <w:rsid w:val="00386DD6"/>
    <w:rsid w:val="00386F6C"/>
    <w:rsid w:val="00387709"/>
    <w:rsid w:val="00387794"/>
    <w:rsid w:val="00387906"/>
    <w:rsid w:val="00391F45"/>
    <w:rsid w:val="00393796"/>
    <w:rsid w:val="003962D2"/>
    <w:rsid w:val="00396674"/>
    <w:rsid w:val="003969AD"/>
    <w:rsid w:val="00397162"/>
    <w:rsid w:val="003A018D"/>
    <w:rsid w:val="003A0BD0"/>
    <w:rsid w:val="003A1935"/>
    <w:rsid w:val="003A1BFD"/>
    <w:rsid w:val="003A32FA"/>
    <w:rsid w:val="003A335E"/>
    <w:rsid w:val="003A3DD2"/>
    <w:rsid w:val="003A4823"/>
    <w:rsid w:val="003A5644"/>
    <w:rsid w:val="003A5AA2"/>
    <w:rsid w:val="003A7D45"/>
    <w:rsid w:val="003B064D"/>
    <w:rsid w:val="003B0F13"/>
    <w:rsid w:val="003B1F27"/>
    <w:rsid w:val="003B21A9"/>
    <w:rsid w:val="003B2266"/>
    <w:rsid w:val="003B2DAE"/>
    <w:rsid w:val="003B3573"/>
    <w:rsid w:val="003B3ACC"/>
    <w:rsid w:val="003B4487"/>
    <w:rsid w:val="003B4A62"/>
    <w:rsid w:val="003B5813"/>
    <w:rsid w:val="003B6F85"/>
    <w:rsid w:val="003C006B"/>
    <w:rsid w:val="003C03EA"/>
    <w:rsid w:val="003C196B"/>
    <w:rsid w:val="003C1A22"/>
    <w:rsid w:val="003C4B36"/>
    <w:rsid w:val="003C5760"/>
    <w:rsid w:val="003C6E1D"/>
    <w:rsid w:val="003D058C"/>
    <w:rsid w:val="003D0A3F"/>
    <w:rsid w:val="003D1D02"/>
    <w:rsid w:val="003D1F26"/>
    <w:rsid w:val="003D277D"/>
    <w:rsid w:val="003D49B1"/>
    <w:rsid w:val="003D5D75"/>
    <w:rsid w:val="003D6575"/>
    <w:rsid w:val="003D67F0"/>
    <w:rsid w:val="003D72C7"/>
    <w:rsid w:val="003D76B1"/>
    <w:rsid w:val="003E0BF1"/>
    <w:rsid w:val="003E17A6"/>
    <w:rsid w:val="003E2119"/>
    <w:rsid w:val="003E277E"/>
    <w:rsid w:val="003E333D"/>
    <w:rsid w:val="003E4481"/>
    <w:rsid w:val="003E4AA5"/>
    <w:rsid w:val="003E5460"/>
    <w:rsid w:val="003E7006"/>
    <w:rsid w:val="003E7B7A"/>
    <w:rsid w:val="003E7BA7"/>
    <w:rsid w:val="003F135E"/>
    <w:rsid w:val="003F1CEC"/>
    <w:rsid w:val="003F1E05"/>
    <w:rsid w:val="003F43B6"/>
    <w:rsid w:val="003F43BF"/>
    <w:rsid w:val="003F4409"/>
    <w:rsid w:val="003F487B"/>
    <w:rsid w:val="003F5B37"/>
    <w:rsid w:val="003F5FC2"/>
    <w:rsid w:val="003F6BE4"/>
    <w:rsid w:val="00400822"/>
    <w:rsid w:val="0040227E"/>
    <w:rsid w:val="004029ED"/>
    <w:rsid w:val="00403CF8"/>
    <w:rsid w:val="00404F75"/>
    <w:rsid w:val="00405137"/>
    <w:rsid w:val="00405EBB"/>
    <w:rsid w:val="004064D7"/>
    <w:rsid w:val="00407459"/>
    <w:rsid w:val="00407B76"/>
    <w:rsid w:val="00410583"/>
    <w:rsid w:val="00410C2C"/>
    <w:rsid w:val="00414D01"/>
    <w:rsid w:val="004170FE"/>
    <w:rsid w:val="004209E6"/>
    <w:rsid w:val="00420F0C"/>
    <w:rsid w:val="0042324B"/>
    <w:rsid w:val="004234E8"/>
    <w:rsid w:val="00423D68"/>
    <w:rsid w:val="00423F0E"/>
    <w:rsid w:val="00425292"/>
    <w:rsid w:val="004264C5"/>
    <w:rsid w:val="00426805"/>
    <w:rsid w:val="00426968"/>
    <w:rsid w:val="0042742B"/>
    <w:rsid w:val="00430150"/>
    <w:rsid w:val="004302F9"/>
    <w:rsid w:val="004307ED"/>
    <w:rsid w:val="0043229B"/>
    <w:rsid w:val="004338DA"/>
    <w:rsid w:val="00435287"/>
    <w:rsid w:val="00435331"/>
    <w:rsid w:val="004362AC"/>
    <w:rsid w:val="004404D9"/>
    <w:rsid w:val="00440A22"/>
    <w:rsid w:val="00441A7F"/>
    <w:rsid w:val="00442A29"/>
    <w:rsid w:val="004436C1"/>
    <w:rsid w:val="00444344"/>
    <w:rsid w:val="00444464"/>
    <w:rsid w:val="0044466E"/>
    <w:rsid w:val="00445041"/>
    <w:rsid w:val="00445920"/>
    <w:rsid w:val="00446A0D"/>
    <w:rsid w:val="00447A94"/>
    <w:rsid w:val="00447B5E"/>
    <w:rsid w:val="00447C6F"/>
    <w:rsid w:val="00452708"/>
    <w:rsid w:val="00452EEE"/>
    <w:rsid w:val="0045439F"/>
    <w:rsid w:val="0045550E"/>
    <w:rsid w:val="0045572F"/>
    <w:rsid w:val="00456456"/>
    <w:rsid w:val="00460644"/>
    <w:rsid w:val="00462071"/>
    <w:rsid w:val="00462367"/>
    <w:rsid w:val="004628ED"/>
    <w:rsid w:val="00464318"/>
    <w:rsid w:val="0046490C"/>
    <w:rsid w:val="00465711"/>
    <w:rsid w:val="00466605"/>
    <w:rsid w:val="00467E28"/>
    <w:rsid w:val="00470287"/>
    <w:rsid w:val="00470733"/>
    <w:rsid w:val="004716E1"/>
    <w:rsid w:val="00474561"/>
    <w:rsid w:val="00475594"/>
    <w:rsid w:val="004759CF"/>
    <w:rsid w:val="00476A33"/>
    <w:rsid w:val="00477C53"/>
    <w:rsid w:val="00484DD5"/>
    <w:rsid w:val="00484F27"/>
    <w:rsid w:val="00485380"/>
    <w:rsid w:val="004872A3"/>
    <w:rsid w:val="0048740D"/>
    <w:rsid w:val="00487C1E"/>
    <w:rsid w:val="00487DC8"/>
    <w:rsid w:val="00493025"/>
    <w:rsid w:val="00493D87"/>
    <w:rsid w:val="00494AD9"/>
    <w:rsid w:val="004950D4"/>
    <w:rsid w:val="0049525B"/>
    <w:rsid w:val="004964C2"/>
    <w:rsid w:val="0049761F"/>
    <w:rsid w:val="004A0506"/>
    <w:rsid w:val="004A2342"/>
    <w:rsid w:val="004A29B0"/>
    <w:rsid w:val="004A2F62"/>
    <w:rsid w:val="004A3BD8"/>
    <w:rsid w:val="004A3EE3"/>
    <w:rsid w:val="004A4939"/>
    <w:rsid w:val="004A5EC5"/>
    <w:rsid w:val="004B0982"/>
    <w:rsid w:val="004B1641"/>
    <w:rsid w:val="004B1DB8"/>
    <w:rsid w:val="004B2BB7"/>
    <w:rsid w:val="004B2C05"/>
    <w:rsid w:val="004B2F01"/>
    <w:rsid w:val="004B4182"/>
    <w:rsid w:val="004B4538"/>
    <w:rsid w:val="004B52F2"/>
    <w:rsid w:val="004B5E71"/>
    <w:rsid w:val="004B5EA5"/>
    <w:rsid w:val="004B65F0"/>
    <w:rsid w:val="004B6FB6"/>
    <w:rsid w:val="004B7EE6"/>
    <w:rsid w:val="004C062B"/>
    <w:rsid w:val="004C2151"/>
    <w:rsid w:val="004C2A12"/>
    <w:rsid w:val="004C2DE5"/>
    <w:rsid w:val="004C3423"/>
    <w:rsid w:val="004C3BFA"/>
    <w:rsid w:val="004C571D"/>
    <w:rsid w:val="004C607F"/>
    <w:rsid w:val="004C712C"/>
    <w:rsid w:val="004D0436"/>
    <w:rsid w:val="004D22FC"/>
    <w:rsid w:val="004D2612"/>
    <w:rsid w:val="004D3465"/>
    <w:rsid w:val="004D35A2"/>
    <w:rsid w:val="004D3B42"/>
    <w:rsid w:val="004D3F24"/>
    <w:rsid w:val="004D4827"/>
    <w:rsid w:val="004D5FD1"/>
    <w:rsid w:val="004D682E"/>
    <w:rsid w:val="004E0E3A"/>
    <w:rsid w:val="004E1982"/>
    <w:rsid w:val="004E1C2E"/>
    <w:rsid w:val="004E326D"/>
    <w:rsid w:val="004E4A97"/>
    <w:rsid w:val="004E7A29"/>
    <w:rsid w:val="004F09AA"/>
    <w:rsid w:val="004F1499"/>
    <w:rsid w:val="004F3088"/>
    <w:rsid w:val="004F386E"/>
    <w:rsid w:val="004F6231"/>
    <w:rsid w:val="004F6311"/>
    <w:rsid w:val="004F7C93"/>
    <w:rsid w:val="005030BE"/>
    <w:rsid w:val="00503399"/>
    <w:rsid w:val="005036E0"/>
    <w:rsid w:val="00506105"/>
    <w:rsid w:val="005071D2"/>
    <w:rsid w:val="00510327"/>
    <w:rsid w:val="00510A5C"/>
    <w:rsid w:val="00511F33"/>
    <w:rsid w:val="00512FDE"/>
    <w:rsid w:val="00513162"/>
    <w:rsid w:val="00513294"/>
    <w:rsid w:val="005136BB"/>
    <w:rsid w:val="0051390D"/>
    <w:rsid w:val="00513B61"/>
    <w:rsid w:val="005169C0"/>
    <w:rsid w:val="00516CC8"/>
    <w:rsid w:val="00520D14"/>
    <w:rsid w:val="0052139D"/>
    <w:rsid w:val="005226DB"/>
    <w:rsid w:val="00522CB9"/>
    <w:rsid w:val="00524873"/>
    <w:rsid w:val="00525809"/>
    <w:rsid w:val="0052593A"/>
    <w:rsid w:val="00527BEA"/>
    <w:rsid w:val="00530146"/>
    <w:rsid w:val="00530E90"/>
    <w:rsid w:val="00530F50"/>
    <w:rsid w:val="00531B5D"/>
    <w:rsid w:val="00533807"/>
    <w:rsid w:val="00535130"/>
    <w:rsid w:val="00535BC4"/>
    <w:rsid w:val="00537302"/>
    <w:rsid w:val="00537BF8"/>
    <w:rsid w:val="00540988"/>
    <w:rsid w:val="00540E35"/>
    <w:rsid w:val="00544392"/>
    <w:rsid w:val="00545FE5"/>
    <w:rsid w:val="0054724F"/>
    <w:rsid w:val="00547BF6"/>
    <w:rsid w:val="00550133"/>
    <w:rsid w:val="00551900"/>
    <w:rsid w:val="00551A93"/>
    <w:rsid w:val="00552D1A"/>
    <w:rsid w:val="005533C4"/>
    <w:rsid w:val="005539E4"/>
    <w:rsid w:val="00553DDA"/>
    <w:rsid w:val="00555509"/>
    <w:rsid w:val="0055651B"/>
    <w:rsid w:val="005578AB"/>
    <w:rsid w:val="005605A0"/>
    <w:rsid w:val="00561358"/>
    <w:rsid w:val="00561C5B"/>
    <w:rsid w:val="00563914"/>
    <w:rsid w:val="0056408F"/>
    <w:rsid w:val="00564F2D"/>
    <w:rsid w:val="005650B8"/>
    <w:rsid w:val="0056573A"/>
    <w:rsid w:val="005660D2"/>
    <w:rsid w:val="00566CDA"/>
    <w:rsid w:val="0056727E"/>
    <w:rsid w:val="00567459"/>
    <w:rsid w:val="00567BA6"/>
    <w:rsid w:val="00570033"/>
    <w:rsid w:val="00570147"/>
    <w:rsid w:val="00570459"/>
    <w:rsid w:val="0057131F"/>
    <w:rsid w:val="00572525"/>
    <w:rsid w:val="005727DE"/>
    <w:rsid w:val="0057307E"/>
    <w:rsid w:val="00573A4C"/>
    <w:rsid w:val="00573CAA"/>
    <w:rsid w:val="00574B79"/>
    <w:rsid w:val="00574D12"/>
    <w:rsid w:val="005800B4"/>
    <w:rsid w:val="0058012F"/>
    <w:rsid w:val="0058070B"/>
    <w:rsid w:val="00580B91"/>
    <w:rsid w:val="00581BE0"/>
    <w:rsid w:val="005827AE"/>
    <w:rsid w:val="0058296F"/>
    <w:rsid w:val="00582A24"/>
    <w:rsid w:val="00583102"/>
    <w:rsid w:val="00583A40"/>
    <w:rsid w:val="00585A9E"/>
    <w:rsid w:val="0059145A"/>
    <w:rsid w:val="00591A3A"/>
    <w:rsid w:val="005929D2"/>
    <w:rsid w:val="00593B48"/>
    <w:rsid w:val="00594EAE"/>
    <w:rsid w:val="00594ED1"/>
    <w:rsid w:val="00595E80"/>
    <w:rsid w:val="00595FF5"/>
    <w:rsid w:val="0059650E"/>
    <w:rsid w:val="00596953"/>
    <w:rsid w:val="005A163D"/>
    <w:rsid w:val="005A17A1"/>
    <w:rsid w:val="005A25DB"/>
    <w:rsid w:val="005A2ECD"/>
    <w:rsid w:val="005A4122"/>
    <w:rsid w:val="005A6030"/>
    <w:rsid w:val="005A773A"/>
    <w:rsid w:val="005A7BB7"/>
    <w:rsid w:val="005B3CA8"/>
    <w:rsid w:val="005B4E79"/>
    <w:rsid w:val="005B5355"/>
    <w:rsid w:val="005B57AD"/>
    <w:rsid w:val="005B6553"/>
    <w:rsid w:val="005B6810"/>
    <w:rsid w:val="005B722E"/>
    <w:rsid w:val="005B79B6"/>
    <w:rsid w:val="005C0037"/>
    <w:rsid w:val="005C02FE"/>
    <w:rsid w:val="005C056D"/>
    <w:rsid w:val="005C14BD"/>
    <w:rsid w:val="005C1B4F"/>
    <w:rsid w:val="005C2789"/>
    <w:rsid w:val="005C3D3F"/>
    <w:rsid w:val="005C3FA9"/>
    <w:rsid w:val="005C433D"/>
    <w:rsid w:val="005C50AC"/>
    <w:rsid w:val="005C5127"/>
    <w:rsid w:val="005C57F5"/>
    <w:rsid w:val="005C5C5C"/>
    <w:rsid w:val="005C6406"/>
    <w:rsid w:val="005C6B99"/>
    <w:rsid w:val="005D48D7"/>
    <w:rsid w:val="005D69D1"/>
    <w:rsid w:val="005D6A44"/>
    <w:rsid w:val="005D7C02"/>
    <w:rsid w:val="005E1182"/>
    <w:rsid w:val="005E1EAC"/>
    <w:rsid w:val="005E210D"/>
    <w:rsid w:val="005E2181"/>
    <w:rsid w:val="005E3509"/>
    <w:rsid w:val="005E356C"/>
    <w:rsid w:val="005E3D05"/>
    <w:rsid w:val="005E4EE8"/>
    <w:rsid w:val="005E5C2B"/>
    <w:rsid w:val="005E7CE0"/>
    <w:rsid w:val="005F160D"/>
    <w:rsid w:val="005F2425"/>
    <w:rsid w:val="005F54A5"/>
    <w:rsid w:val="005F5633"/>
    <w:rsid w:val="005F5C6C"/>
    <w:rsid w:val="005F5EC7"/>
    <w:rsid w:val="005F5F22"/>
    <w:rsid w:val="005F7207"/>
    <w:rsid w:val="005F78D3"/>
    <w:rsid w:val="005F7FCF"/>
    <w:rsid w:val="00600DEC"/>
    <w:rsid w:val="006021D1"/>
    <w:rsid w:val="00605602"/>
    <w:rsid w:val="00607691"/>
    <w:rsid w:val="00607E81"/>
    <w:rsid w:val="0061062C"/>
    <w:rsid w:val="00610F8C"/>
    <w:rsid w:val="00613183"/>
    <w:rsid w:val="006133F0"/>
    <w:rsid w:val="00616888"/>
    <w:rsid w:val="006176BE"/>
    <w:rsid w:val="006212CB"/>
    <w:rsid w:val="00621FA8"/>
    <w:rsid w:val="00622CAC"/>
    <w:rsid w:val="00622DC0"/>
    <w:rsid w:val="00622F68"/>
    <w:rsid w:val="006235AC"/>
    <w:rsid w:val="0062585B"/>
    <w:rsid w:val="00627998"/>
    <w:rsid w:val="006279F9"/>
    <w:rsid w:val="00630336"/>
    <w:rsid w:val="00631C3F"/>
    <w:rsid w:val="0063384E"/>
    <w:rsid w:val="006369EE"/>
    <w:rsid w:val="00637C23"/>
    <w:rsid w:val="00640DBF"/>
    <w:rsid w:val="00643826"/>
    <w:rsid w:val="00645880"/>
    <w:rsid w:val="0064700E"/>
    <w:rsid w:val="0064719C"/>
    <w:rsid w:val="00647BAD"/>
    <w:rsid w:val="00650183"/>
    <w:rsid w:val="00650677"/>
    <w:rsid w:val="0065104B"/>
    <w:rsid w:val="00651993"/>
    <w:rsid w:val="00651FAE"/>
    <w:rsid w:val="006527FA"/>
    <w:rsid w:val="00660BBE"/>
    <w:rsid w:val="00660DF3"/>
    <w:rsid w:val="00660F25"/>
    <w:rsid w:val="0066168A"/>
    <w:rsid w:val="00661F60"/>
    <w:rsid w:val="0066281B"/>
    <w:rsid w:val="006631AF"/>
    <w:rsid w:val="00663659"/>
    <w:rsid w:val="00663BF2"/>
    <w:rsid w:val="00663C03"/>
    <w:rsid w:val="006645B4"/>
    <w:rsid w:val="006649C0"/>
    <w:rsid w:val="00664A9F"/>
    <w:rsid w:val="00671572"/>
    <w:rsid w:val="0067281D"/>
    <w:rsid w:val="006736A9"/>
    <w:rsid w:val="00673BC7"/>
    <w:rsid w:val="00674975"/>
    <w:rsid w:val="006758FB"/>
    <w:rsid w:val="00675AC0"/>
    <w:rsid w:val="00675D39"/>
    <w:rsid w:val="0067603C"/>
    <w:rsid w:val="006779A7"/>
    <w:rsid w:val="00682276"/>
    <w:rsid w:val="00683ACF"/>
    <w:rsid w:val="00685191"/>
    <w:rsid w:val="0068560B"/>
    <w:rsid w:val="00685D0A"/>
    <w:rsid w:val="006860F7"/>
    <w:rsid w:val="00686A9D"/>
    <w:rsid w:val="00686DCF"/>
    <w:rsid w:val="00690FFE"/>
    <w:rsid w:val="00691F57"/>
    <w:rsid w:val="00693B86"/>
    <w:rsid w:val="00695614"/>
    <w:rsid w:val="006A061F"/>
    <w:rsid w:val="006A0EFC"/>
    <w:rsid w:val="006A1277"/>
    <w:rsid w:val="006A131F"/>
    <w:rsid w:val="006A1B76"/>
    <w:rsid w:val="006A2602"/>
    <w:rsid w:val="006A2BC3"/>
    <w:rsid w:val="006A2D41"/>
    <w:rsid w:val="006A41AE"/>
    <w:rsid w:val="006A5B25"/>
    <w:rsid w:val="006A5D48"/>
    <w:rsid w:val="006A6379"/>
    <w:rsid w:val="006A67E1"/>
    <w:rsid w:val="006A71DA"/>
    <w:rsid w:val="006B06DF"/>
    <w:rsid w:val="006B08CF"/>
    <w:rsid w:val="006B1C3A"/>
    <w:rsid w:val="006B295F"/>
    <w:rsid w:val="006B2CE8"/>
    <w:rsid w:val="006B400A"/>
    <w:rsid w:val="006B42CD"/>
    <w:rsid w:val="006B4F37"/>
    <w:rsid w:val="006B7DD0"/>
    <w:rsid w:val="006C2009"/>
    <w:rsid w:val="006C36FB"/>
    <w:rsid w:val="006C3A28"/>
    <w:rsid w:val="006C3F2B"/>
    <w:rsid w:val="006C4DAA"/>
    <w:rsid w:val="006C7C5A"/>
    <w:rsid w:val="006C7D62"/>
    <w:rsid w:val="006D0B23"/>
    <w:rsid w:val="006D2ED6"/>
    <w:rsid w:val="006D3B0F"/>
    <w:rsid w:val="006D5685"/>
    <w:rsid w:val="006D5DFD"/>
    <w:rsid w:val="006E015E"/>
    <w:rsid w:val="006E0455"/>
    <w:rsid w:val="006E0D51"/>
    <w:rsid w:val="006E1987"/>
    <w:rsid w:val="006E23B2"/>
    <w:rsid w:val="006E3BF4"/>
    <w:rsid w:val="006E41F3"/>
    <w:rsid w:val="006E4420"/>
    <w:rsid w:val="006E4E3B"/>
    <w:rsid w:val="006E5207"/>
    <w:rsid w:val="006E6168"/>
    <w:rsid w:val="006E6B55"/>
    <w:rsid w:val="006E724B"/>
    <w:rsid w:val="006E7F19"/>
    <w:rsid w:val="006F0C64"/>
    <w:rsid w:val="006F5C70"/>
    <w:rsid w:val="006F6A20"/>
    <w:rsid w:val="006F770A"/>
    <w:rsid w:val="00700654"/>
    <w:rsid w:val="00700B46"/>
    <w:rsid w:val="00700BE1"/>
    <w:rsid w:val="0070222F"/>
    <w:rsid w:val="00702FB1"/>
    <w:rsid w:val="00703024"/>
    <w:rsid w:val="007047B2"/>
    <w:rsid w:val="00704DE7"/>
    <w:rsid w:val="00706233"/>
    <w:rsid w:val="00706868"/>
    <w:rsid w:val="007068D6"/>
    <w:rsid w:val="00706FE0"/>
    <w:rsid w:val="007078B8"/>
    <w:rsid w:val="007100C2"/>
    <w:rsid w:val="00710B0B"/>
    <w:rsid w:val="0071288D"/>
    <w:rsid w:val="007138DF"/>
    <w:rsid w:val="00713C93"/>
    <w:rsid w:val="00714D3E"/>
    <w:rsid w:val="00714D8E"/>
    <w:rsid w:val="0071509F"/>
    <w:rsid w:val="00715A29"/>
    <w:rsid w:val="00715E32"/>
    <w:rsid w:val="007162D1"/>
    <w:rsid w:val="00716463"/>
    <w:rsid w:val="0071706E"/>
    <w:rsid w:val="00720430"/>
    <w:rsid w:val="00722009"/>
    <w:rsid w:val="007236EB"/>
    <w:rsid w:val="00723779"/>
    <w:rsid w:val="00723DD8"/>
    <w:rsid w:val="00724C02"/>
    <w:rsid w:val="00726205"/>
    <w:rsid w:val="00727008"/>
    <w:rsid w:val="00727292"/>
    <w:rsid w:val="00730B74"/>
    <w:rsid w:val="00730FD9"/>
    <w:rsid w:val="00732FE2"/>
    <w:rsid w:val="007368F7"/>
    <w:rsid w:val="00736FFE"/>
    <w:rsid w:val="007379AB"/>
    <w:rsid w:val="0074125A"/>
    <w:rsid w:val="00741459"/>
    <w:rsid w:val="007426F4"/>
    <w:rsid w:val="00742F6A"/>
    <w:rsid w:val="007431D9"/>
    <w:rsid w:val="007446E8"/>
    <w:rsid w:val="00746597"/>
    <w:rsid w:val="00746674"/>
    <w:rsid w:val="00751553"/>
    <w:rsid w:val="0075165E"/>
    <w:rsid w:val="00751F01"/>
    <w:rsid w:val="00752552"/>
    <w:rsid w:val="00753BDC"/>
    <w:rsid w:val="00754E10"/>
    <w:rsid w:val="00755692"/>
    <w:rsid w:val="00755ABC"/>
    <w:rsid w:val="00756748"/>
    <w:rsid w:val="007621B7"/>
    <w:rsid w:val="00762A29"/>
    <w:rsid w:val="0076327D"/>
    <w:rsid w:val="00763E07"/>
    <w:rsid w:val="00764E38"/>
    <w:rsid w:val="0076569D"/>
    <w:rsid w:val="0076690C"/>
    <w:rsid w:val="00766D1B"/>
    <w:rsid w:val="00767745"/>
    <w:rsid w:val="007677A7"/>
    <w:rsid w:val="00767BAF"/>
    <w:rsid w:val="007707FC"/>
    <w:rsid w:val="00770BE3"/>
    <w:rsid w:val="007714CA"/>
    <w:rsid w:val="007715D2"/>
    <w:rsid w:val="0077177A"/>
    <w:rsid w:val="007728A8"/>
    <w:rsid w:val="00773BBA"/>
    <w:rsid w:val="0077459C"/>
    <w:rsid w:val="0077647A"/>
    <w:rsid w:val="00776E30"/>
    <w:rsid w:val="00777919"/>
    <w:rsid w:val="007800FA"/>
    <w:rsid w:val="00780C1C"/>
    <w:rsid w:val="00783681"/>
    <w:rsid w:val="00783F33"/>
    <w:rsid w:val="00785027"/>
    <w:rsid w:val="00785A76"/>
    <w:rsid w:val="0078738E"/>
    <w:rsid w:val="00787852"/>
    <w:rsid w:val="0079029F"/>
    <w:rsid w:val="00790333"/>
    <w:rsid w:val="00790DC7"/>
    <w:rsid w:val="007915BC"/>
    <w:rsid w:val="007949B9"/>
    <w:rsid w:val="00794A5E"/>
    <w:rsid w:val="0079679B"/>
    <w:rsid w:val="007967FA"/>
    <w:rsid w:val="007972A0"/>
    <w:rsid w:val="00797E7A"/>
    <w:rsid w:val="007A0126"/>
    <w:rsid w:val="007A0EA6"/>
    <w:rsid w:val="007A2D9E"/>
    <w:rsid w:val="007A313F"/>
    <w:rsid w:val="007A5B24"/>
    <w:rsid w:val="007A6670"/>
    <w:rsid w:val="007A76DF"/>
    <w:rsid w:val="007B021A"/>
    <w:rsid w:val="007B0381"/>
    <w:rsid w:val="007B05A8"/>
    <w:rsid w:val="007B0F3D"/>
    <w:rsid w:val="007B148D"/>
    <w:rsid w:val="007B18C8"/>
    <w:rsid w:val="007B244F"/>
    <w:rsid w:val="007B28DE"/>
    <w:rsid w:val="007B3902"/>
    <w:rsid w:val="007B5C46"/>
    <w:rsid w:val="007B76C0"/>
    <w:rsid w:val="007B7A5F"/>
    <w:rsid w:val="007C0152"/>
    <w:rsid w:val="007C0C8C"/>
    <w:rsid w:val="007C1EFB"/>
    <w:rsid w:val="007C36BE"/>
    <w:rsid w:val="007C4D9F"/>
    <w:rsid w:val="007C5070"/>
    <w:rsid w:val="007C5C9F"/>
    <w:rsid w:val="007C6DD5"/>
    <w:rsid w:val="007D14ED"/>
    <w:rsid w:val="007D1B53"/>
    <w:rsid w:val="007D1DF6"/>
    <w:rsid w:val="007D53ED"/>
    <w:rsid w:val="007D6001"/>
    <w:rsid w:val="007D7294"/>
    <w:rsid w:val="007D7F94"/>
    <w:rsid w:val="007E02F5"/>
    <w:rsid w:val="007E152A"/>
    <w:rsid w:val="007E1556"/>
    <w:rsid w:val="007E1B76"/>
    <w:rsid w:val="007E219A"/>
    <w:rsid w:val="007E303E"/>
    <w:rsid w:val="007E37BF"/>
    <w:rsid w:val="007E558B"/>
    <w:rsid w:val="007E59BD"/>
    <w:rsid w:val="007E6593"/>
    <w:rsid w:val="007F08A5"/>
    <w:rsid w:val="007F1101"/>
    <w:rsid w:val="007F218C"/>
    <w:rsid w:val="007F2CB1"/>
    <w:rsid w:val="007F2F89"/>
    <w:rsid w:val="007F4A07"/>
    <w:rsid w:val="007F6DDA"/>
    <w:rsid w:val="007F7DE5"/>
    <w:rsid w:val="00800C76"/>
    <w:rsid w:val="008020C8"/>
    <w:rsid w:val="0080297B"/>
    <w:rsid w:val="008033B3"/>
    <w:rsid w:val="00803426"/>
    <w:rsid w:val="00803A49"/>
    <w:rsid w:val="00803D20"/>
    <w:rsid w:val="0080422F"/>
    <w:rsid w:val="0080489D"/>
    <w:rsid w:val="00805324"/>
    <w:rsid w:val="0080774D"/>
    <w:rsid w:val="00807F85"/>
    <w:rsid w:val="008112A0"/>
    <w:rsid w:val="00813B67"/>
    <w:rsid w:val="00814AB1"/>
    <w:rsid w:val="00814E92"/>
    <w:rsid w:val="0081511D"/>
    <w:rsid w:val="0081696D"/>
    <w:rsid w:val="00816E01"/>
    <w:rsid w:val="008173D0"/>
    <w:rsid w:val="00822FD5"/>
    <w:rsid w:val="00823235"/>
    <w:rsid w:val="0082359F"/>
    <w:rsid w:val="00824368"/>
    <w:rsid w:val="008249F1"/>
    <w:rsid w:val="00824AF2"/>
    <w:rsid w:val="00826686"/>
    <w:rsid w:val="008313FE"/>
    <w:rsid w:val="00831E3F"/>
    <w:rsid w:val="00832A25"/>
    <w:rsid w:val="00835563"/>
    <w:rsid w:val="00836511"/>
    <w:rsid w:val="00836B02"/>
    <w:rsid w:val="00836EC6"/>
    <w:rsid w:val="0083741E"/>
    <w:rsid w:val="00837985"/>
    <w:rsid w:val="00837F96"/>
    <w:rsid w:val="00840E3D"/>
    <w:rsid w:val="008419CD"/>
    <w:rsid w:val="00841D8C"/>
    <w:rsid w:val="00842220"/>
    <w:rsid w:val="00844111"/>
    <w:rsid w:val="0084414E"/>
    <w:rsid w:val="00844D8F"/>
    <w:rsid w:val="00844F74"/>
    <w:rsid w:val="008454A5"/>
    <w:rsid w:val="00846382"/>
    <w:rsid w:val="008509AB"/>
    <w:rsid w:val="00850B26"/>
    <w:rsid w:val="00850F57"/>
    <w:rsid w:val="00851363"/>
    <w:rsid w:val="0085177C"/>
    <w:rsid w:val="00852359"/>
    <w:rsid w:val="00853535"/>
    <w:rsid w:val="008536C2"/>
    <w:rsid w:val="00853E8B"/>
    <w:rsid w:val="008565CC"/>
    <w:rsid w:val="0085693A"/>
    <w:rsid w:val="008570FD"/>
    <w:rsid w:val="00857E0A"/>
    <w:rsid w:val="008600C7"/>
    <w:rsid w:val="008617D0"/>
    <w:rsid w:val="00861A60"/>
    <w:rsid w:val="00862357"/>
    <w:rsid w:val="00862D02"/>
    <w:rsid w:val="00863021"/>
    <w:rsid w:val="008637B9"/>
    <w:rsid w:val="00863850"/>
    <w:rsid w:val="00864194"/>
    <w:rsid w:val="008656C7"/>
    <w:rsid w:val="00867BA5"/>
    <w:rsid w:val="00867F9B"/>
    <w:rsid w:val="00870004"/>
    <w:rsid w:val="00870399"/>
    <w:rsid w:val="008704F7"/>
    <w:rsid w:val="008711EC"/>
    <w:rsid w:val="008718FE"/>
    <w:rsid w:val="00872946"/>
    <w:rsid w:val="008736BD"/>
    <w:rsid w:val="0087560A"/>
    <w:rsid w:val="008756EF"/>
    <w:rsid w:val="0087665A"/>
    <w:rsid w:val="0087679E"/>
    <w:rsid w:val="0087776D"/>
    <w:rsid w:val="00880530"/>
    <w:rsid w:val="00881163"/>
    <w:rsid w:val="0088262B"/>
    <w:rsid w:val="00882C0F"/>
    <w:rsid w:val="00883024"/>
    <w:rsid w:val="00883928"/>
    <w:rsid w:val="00883B40"/>
    <w:rsid w:val="00883DDE"/>
    <w:rsid w:val="0088433B"/>
    <w:rsid w:val="00887233"/>
    <w:rsid w:val="00887613"/>
    <w:rsid w:val="00887D05"/>
    <w:rsid w:val="00891D73"/>
    <w:rsid w:val="00892A44"/>
    <w:rsid w:val="00896055"/>
    <w:rsid w:val="0089609B"/>
    <w:rsid w:val="008A0851"/>
    <w:rsid w:val="008A2DE8"/>
    <w:rsid w:val="008A312D"/>
    <w:rsid w:val="008A3217"/>
    <w:rsid w:val="008A3E09"/>
    <w:rsid w:val="008A3E57"/>
    <w:rsid w:val="008A4426"/>
    <w:rsid w:val="008A4DD8"/>
    <w:rsid w:val="008A51FB"/>
    <w:rsid w:val="008A528D"/>
    <w:rsid w:val="008A6339"/>
    <w:rsid w:val="008A74F1"/>
    <w:rsid w:val="008A77A7"/>
    <w:rsid w:val="008B149D"/>
    <w:rsid w:val="008B347B"/>
    <w:rsid w:val="008B3F34"/>
    <w:rsid w:val="008B52AE"/>
    <w:rsid w:val="008B5779"/>
    <w:rsid w:val="008B5CCB"/>
    <w:rsid w:val="008B6030"/>
    <w:rsid w:val="008B77FF"/>
    <w:rsid w:val="008C1278"/>
    <w:rsid w:val="008C4080"/>
    <w:rsid w:val="008C56B9"/>
    <w:rsid w:val="008C6D34"/>
    <w:rsid w:val="008D05E0"/>
    <w:rsid w:val="008D2600"/>
    <w:rsid w:val="008D74DA"/>
    <w:rsid w:val="008E0761"/>
    <w:rsid w:val="008E0AC0"/>
    <w:rsid w:val="008E20B6"/>
    <w:rsid w:val="008E216F"/>
    <w:rsid w:val="008E221A"/>
    <w:rsid w:val="008E2EBA"/>
    <w:rsid w:val="008E3F51"/>
    <w:rsid w:val="008E3FFE"/>
    <w:rsid w:val="008E60BE"/>
    <w:rsid w:val="008E6724"/>
    <w:rsid w:val="008E6B74"/>
    <w:rsid w:val="008F0118"/>
    <w:rsid w:val="008F0FAF"/>
    <w:rsid w:val="008F11A9"/>
    <w:rsid w:val="008F1B11"/>
    <w:rsid w:val="008F3BA8"/>
    <w:rsid w:val="008F46CD"/>
    <w:rsid w:val="008F4A9E"/>
    <w:rsid w:val="008F6480"/>
    <w:rsid w:val="008F6D91"/>
    <w:rsid w:val="008F7740"/>
    <w:rsid w:val="00900CA2"/>
    <w:rsid w:val="00901DB5"/>
    <w:rsid w:val="00901F53"/>
    <w:rsid w:val="00902190"/>
    <w:rsid w:val="00903653"/>
    <w:rsid w:val="00903796"/>
    <w:rsid w:val="00903CFC"/>
    <w:rsid w:val="00904D1B"/>
    <w:rsid w:val="0090521A"/>
    <w:rsid w:val="00910A52"/>
    <w:rsid w:val="00911479"/>
    <w:rsid w:val="009117CE"/>
    <w:rsid w:val="00912352"/>
    <w:rsid w:val="0091468C"/>
    <w:rsid w:val="0091484D"/>
    <w:rsid w:val="0091662D"/>
    <w:rsid w:val="00916DFA"/>
    <w:rsid w:val="00920B7C"/>
    <w:rsid w:val="00920DE0"/>
    <w:rsid w:val="0092136C"/>
    <w:rsid w:val="0092256D"/>
    <w:rsid w:val="00922D86"/>
    <w:rsid w:val="009231D2"/>
    <w:rsid w:val="0092460E"/>
    <w:rsid w:val="009254D0"/>
    <w:rsid w:val="00925E71"/>
    <w:rsid w:val="009273DB"/>
    <w:rsid w:val="00927D27"/>
    <w:rsid w:val="0093329F"/>
    <w:rsid w:val="009354F5"/>
    <w:rsid w:val="00935949"/>
    <w:rsid w:val="00935C14"/>
    <w:rsid w:val="009362C3"/>
    <w:rsid w:val="009365B9"/>
    <w:rsid w:val="00936FF8"/>
    <w:rsid w:val="00937043"/>
    <w:rsid w:val="00941748"/>
    <w:rsid w:val="009433C7"/>
    <w:rsid w:val="009439AD"/>
    <w:rsid w:val="00943AA1"/>
    <w:rsid w:val="00943BCD"/>
    <w:rsid w:val="009445D3"/>
    <w:rsid w:val="00947928"/>
    <w:rsid w:val="00951BD0"/>
    <w:rsid w:val="00953732"/>
    <w:rsid w:val="00953B26"/>
    <w:rsid w:val="00955A8A"/>
    <w:rsid w:val="0095685C"/>
    <w:rsid w:val="00956DA5"/>
    <w:rsid w:val="00960563"/>
    <w:rsid w:val="009619DE"/>
    <w:rsid w:val="0096400D"/>
    <w:rsid w:val="00966600"/>
    <w:rsid w:val="00966604"/>
    <w:rsid w:val="009669CA"/>
    <w:rsid w:val="009671D9"/>
    <w:rsid w:val="009704C7"/>
    <w:rsid w:val="00971352"/>
    <w:rsid w:val="009734E8"/>
    <w:rsid w:val="00975E5B"/>
    <w:rsid w:val="00975F76"/>
    <w:rsid w:val="00976C0A"/>
    <w:rsid w:val="00977C8F"/>
    <w:rsid w:val="00977F94"/>
    <w:rsid w:val="00980109"/>
    <w:rsid w:val="009802FD"/>
    <w:rsid w:val="009821FF"/>
    <w:rsid w:val="0098323C"/>
    <w:rsid w:val="00984724"/>
    <w:rsid w:val="00984C3D"/>
    <w:rsid w:val="00985E81"/>
    <w:rsid w:val="009863E9"/>
    <w:rsid w:val="009869D9"/>
    <w:rsid w:val="00986C8C"/>
    <w:rsid w:val="00986EF3"/>
    <w:rsid w:val="00987524"/>
    <w:rsid w:val="00992E20"/>
    <w:rsid w:val="00992E4D"/>
    <w:rsid w:val="009936FC"/>
    <w:rsid w:val="00993925"/>
    <w:rsid w:val="00993977"/>
    <w:rsid w:val="00995461"/>
    <w:rsid w:val="009959D7"/>
    <w:rsid w:val="00996993"/>
    <w:rsid w:val="00996A8C"/>
    <w:rsid w:val="009975EB"/>
    <w:rsid w:val="009A05D1"/>
    <w:rsid w:val="009A182E"/>
    <w:rsid w:val="009A1EBA"/>
    <w:rsid w:val="009A28AC"/>
    <w:rsid w:val="009A3467"/>
    <w:rsid w:val="009A3A5B"/>
    <w:rsid w:val="009A3F2A"/>
    <w:rsid w:val="009A4413"/>
    <w:rsid w:val="009A443E"/>
    <w:rsid w:val="009A46A9"/>
    <w:rsid w:val="009A637B"/>
    <w:rsid w:val="009A6F2F"/>
    <w:rsid w:val="009A77AA"/>
    <w:rsid w:val="009B2AAC"/>
    <w:rsid w:val="009B3521"/>
    <w:rsid w:val="009B475D"/>
    <w:rsid w:val="009B4D5C"/>
    <w:rsid w:val="009B541C"/>
    <w:rsid w:val="009B6FCB"/>
    <w:rsid w:val="009C1617"/>
    <w:rsid w:val="009C39C3"/>
    <w:rsid w:val="009C3A89"/>
    <w:rsid w:val="009C3EC8"/>
    <w:rsid w:val="009C4460"/>
    <w:rsid w:val="009C5930"/>
    <w:rsid w:val="009C7269"/>
    <w:rsid w:val="009C7803"/>
    <w:rsid w:val="009D08F7"/>
    <w:rsid w:val="009D0917"/>
    <w:rsid w:val="009D2288"/>
    <w:rsid w:val="009D36AB"/>
    <w:rsid w:val="009D44B9"/>
    <w:rsid w:val="009D5B76"/>
    <w:rsid w:val="009D5E16"/>
    <w:rsid w:val="009D7192"/>
    <w:rsid w:val="009E09B0"/>
    <w:rsid w:val="009E0E38"/>
    <w:rsid w:val="009E1A35"/>
    <w:rsid w:val="009E2867"/>
    <w:rsid w:val="009E2B01"/>
    <w:rsid w:val="009E4B5F"/>
    <w:rsid w:val="009E5D59"/>
    <w:rsid w:val="009E63CC"/>
    <w:rsid w:val="009E713A"/>
    <w:rsid w:val="009E7670"/>
    <w:rsid w:val="009E78E7"/>
    <w:rsid w:val="009E7DF0"/>
    <w:rsid w:val="009F0913"/>
    <w:rsid w:val="009F09AA"/>
    <w:rsid w:val="009F0CB8"/>
    <w:rsid w:val="009F1E71"/>
    <w:rsid w:val="009F2C16"/>
    <w:rsid w:val="009F2C1B"/>
    <w:rsid w:val="009F335C"/>
    <w:rsid w:val="009F36E5"/>
    <w:rsid w:val="009F65BE"/>
    <w:rsid w:val="009F7717"/>
    <w:rsid w:val="00A002B5"/>
    <w:rsid w:val="00A0260C"/>
    <w:rsid w:val="00A03361"/>
    <w:rsid w:val="00A041B5"/>
    <w:rsid w:val="00A04F8C"/>
    <w:rsid w:val="00A05158"/>
    <w:rsid w:val="00A06416"/>
    <w:rsid w:val="00A0647E"/>
    <w:rsid w:val="00A11088"/>
    <w:rsid w:val="00A11703"/>
    <w:rsid w:val="00A12E16"/>
    <w:rsid w:val="00A13BF5"/>
    <w:rsid w:val="00A13D1D"/>
    <w:rsid w:val="00A14837"/>
    <w:rsid w:val="00A2028D"/>
    <w:rsid w:val="00A21DCC"/>
    <w:rsid w:val="00A21E93"/>
    <w:rsid w:val="00A2232D"/>
    <w:rsid w:val="00A225E3"/>
    <w:rsid w:val="00A22D4C"/>
    <w:rsid w:val="00A2334F"/>
    <w:rsid w:val="00A23811"/>
    <w:rsid w:val="00A23A26"/>
    <w:rsid w:val="00A23DB1"/>
    <w:rsid w:val="00A247D8"/>
    <w:rsid w:val="00A24A8F"/>
    <w:rsid w:val="00A250E9"/>
    <w:rsid w:val="00A2511B"/>
    <w:rsid w:val="00A25708"/>
    <w:rsid w:val="00A2588D"/>
    <w:rsid w:val="00A25BF0"/>
    <w:rsid w:val="00A279F3"/>
    <w:rsid w:val="00A3026E"/>
    <w:rsid w:val="00A31544"/>
    <w:rsid w:val="00A32A22"/>
    <w:rsid w:val="00A33D00"/>
    <w:rsid w:val="00A33F96"/>
    <w:rsid w:val="00A340A0"/>
    <w:rsid w:val="00A34F51"/>
    <w:rsid w:val="00A37943"/>
    <w:rsid w:val="00A40597"/>
    <w:rsid w:val="00A40733"/>
    <w:rsid w:val="00A41C66"/>
    <w:rsid w:val="00A44F8A"/>
    <w:rsid w:val="00A45507"/>
    <w:rsid w:val="00A4576A"/>
    <w:rsid w:val="00A45AD0"/>
    <w:rsid w:val="00A45EE9"/>
    <w:rsid w:val="00A47B23"/>
    <w:rsid w:val="00A509F0"/>
    <w:rsid w:val="00A50F1D"/>
    <w:rsid w:val="00A52D72"/>
    <w:rsid w:val="00A53C14"/>
    <w:rsid w:val="00A56373"/>
    <w:rsid w:val="00A5724B"/>
    <w:rsid w:val="00A576EE"/>
    <w:rsid w:val="00A60395"/>
    <w:rsid w:val="00A60957"/>
    <w:rsid w:val="00A61410"/>
    <w:rsid w:val="00A6198A"/>
    <w:rsid w:val="00A61F73"/>
    <w:rsid w:val="00A62F1C"/>
    <w:rsid w:val="00A64334"/>
    <w:rsid w:val="00A6467C"/>
    <w:rsid w:val="00A65108"/>
    <w:rsid w:val="00A65192"/>
    <w:rsid w:val="00A65DA1"/>
    <w:rsid w:val="00A66822"/>
    <w:rsid w:val="00A677C5"/>
    <w:rsid w:val="00A6790A"/>
    <w:rsid w:val="00A67994"/>
    <w:rsid w:val="00A7067F"/>
    <w:rsid w:val="00A707A7"/>
    <w:rsid w:val="00A70A27"/>
    <w:rsid w:val="00A70F08"/>
    <w:rsid w:val="00A716DB"/>
    <w:rsid w:val="00A718FD"/>
    <w:rsid w:val="00A72341"/>
    <w:rsid w:val="00A7367D"/>
    <w:rsid w:val="00A737D8"/>
    <w:rsid w:val="00A75935"/>
    <w:rsid w:val="00A776ED"/>
    <w:rsid w:val="00A804CE"/>
    <w:rsid w:val="00A80E50"/>
    <w:rsid w:val="00A8137F"/>
    <w:rsid w:val="00A82D7F"/>
    <w:rsid w:val="00A83663"/>
    <w:rsid w:val="00A83B0F"/>
    <w:rsid w:val="00A84216"/>
    <w:rsid w:val="00A847C1"/>
    <w:rsid w:val="00A85782"/>
    <w:rsid w:val="00A87B28"/>
    <w:rsid w:val="00A90821"/>
    <w:rsid w:val="00A90BFA"/>
    <w:rsid w:val="00A911DE"/>
    <w:rsid w:val="00A9150B"/>
    <w:rsid w:val="00A91C64"/>
    <w:rsid w:val="00A92BF3"/>
    <w:rsid w:val="00A932F9"/>
    <w:rsid w:val="00A934BF"/>
    <w:rsid w:val="00A93650"/>
    <w:rsid w:val="00A943C8"/>
    <w:rsid w:val="00A94AD7"/>
    <w:rsid w:val="00A9502D"/>
    <w:rsid w:val="00A950A4"/>
    <w:rsid w:val="00A9520D"/>
    <w:rsid w:val="00A95E8B"/>
    <w:rsid w:val="00A9747D"/>
    <w:rsid w:val="00AA00A6"/>
    <w:rsid w:val="00AA1426"/>
    <w:rsid w:val="00AA178E"/>
    <w:rsid w:val="00AA19D8"/>
    <w:rsid w:val="00AA1B2D"/>
    <w:rsid w:val="00AA30B2"/>
    <w:rsid w:val="00AA39FA"/>
    <w:rsid w:val="00AA3EA8"/>
    <w:rsid w:val="00AA492C"/>
    <w:rsid w:val="00AA59AE"/>
    <w:rsid w:val="00AA5FF1"/>
    <w:rsid w:val="00AA61F5"/>
    <w:rsid w:val="00AA6BA8"/>
    <w:rsid w:val="00AA7F5A"/>
    <w:rsid w:val="00AB03EE"/>
    <w:rsid w:val="00AB04A3"/>
    <w:rsid w:val="00AB0B29"/>
    <w:rsid w:val="00AB2340"/>
    <w:rsid w:val="00AB34B3"/>
    <w:rsid w:val="00AB3AA6"/>
    <w:rsid w:val="00AB3F6F"/>
    <w:rsid w:val="00AB42DE"/>
    <w:rsid w:val="00AB582F"/>
    <w:rsid w:val="00AB5FE4"/>
    <w:rsid w:val="00AB619B"/>
    <w:rsid w:val="00AB659D"/>
    <w:rsid w:val="00AB7283"/>
    <w:rsid w:val="00AB7F52"/>
    <w:rsid w:val="00AC1E05"/>
    <w:rsid w:val="00AC229F"/>
    <w:rsid w:val="00AC2ADD"/>
    <w:rsid w:val="00AC5A74"/>
    <w:rsid w:val="00AC77DE"/>
    <w:rsid w:val="00AC7BA4"/>
    <w:rsid w:val="00AD7186"/>
    <w:rsid w:val="00AD7671"/>
    <w:rsid w:val="00AD7FAC"/>
    <w:rsid w:val="00AE0EE4"/>
    <w:rsid w:val="00AE19B3"/>
    <w:rsid w:val="00AE3A04"/>
    <w:rsid w:val="00AE53B6"/>
    <w:rsid w:val="00AE53E8"/>
    <w:rsid w:val="00AE5E7A"/>
    <w:rsid w:val="00AE6FE4"/>
    <w:rsid w:val="00AE7658"/>
    <w:rsid w:val="00AF1824"/>
    <w:rsid w:val="00AF2059"/>
    <w:rsid w:val="00AF2843"/>
    <w:rsid w:val="00AF2D5B"/>
    <w:rsid w:val="00AF3D84"/>
    <w:rsid w:val="00AF4161"/>
    <w:rsid w:val="00AF4A78"/>
    <w:rsid w:val="00AF580B"/>
    <w:rsid w:val="00AF6574"/>
    <w:rsid w:val="00AF6A54"/>
    <w:rsid w:val="00B007C8"/>
    <w:rsid w:val="00B00A8E"/>
    <w:rsid w:val="00B00DE2"/>
    <w:rsid w:val="00B0171C"/>
    <w:rsid w:val="00B01BA8"/>
    <w:rsid w:val="00B035A1"/>
    <w:rsid w:val="00B046B3"/>
    <w:rsid w:val="00B05F68"/>
    <w:rsid w:val="00B06957"/>
    <w:rsid w:val="00B11A69"/>
    <w:rsid w:val="00B11F64"/>
    <w:rsid w:val="00B121CD"/>
    <w:rsid w:val="00B14407"/>
    <w:rsid w:val="00B14410"/>
    <w:rsid w:val="00B15E61"/>
    <w:rsid w:val="00B164A3"/>
    <w:rsid w:val="00B17770"/>
    <w:rsid w:val="00B24F35"/>
    <w:rsid w:val="00B260FC"/>
    <w:rsid w:val="00B27641"/>
    <w:rsid w:val="00B27D7B"/>
    <w:rsid w:val="00B27F21"/>
    <w:rsid w:val="00B313BF"/>
    <w:rsid w:val="00B32A2B"/>
    <w:rsid w:val="00B32C88"/>
    <w:rsid w:val="00B34747"/>
    <w:rsid w:val="00B34790"/>
    <w:rsid w:val="00B35AE3"/>
    <w:rsid w:val="00B3604F"/>
    <w:rsid w:val="00B3644F"/>
    <w:rsid w:val="00B409C7"/>
    <w:rsid w:val="00B410E4"/>
    <w:rsid w:val="00B41758"/>
    <w:rsid w:val="00B42C7A"/>
    <w:rsid w:val="00B42E49"/>
    <w:rsid w:val="00B430D6"/>
    <w:rsid w:val="00B46202"/>
    <w:rsid w:val="00B4652D"/>
    <w:rsid w:val="00B470D5"/>
    <w:rsid w:val="00B50903"/>
    <w:rsid w:val="00B530BA"/>
    <w:rsid w:val="00B53849"/>
    <w:rsid w:val="00B56283"/>
    <w:rsid w:val="00B56BB6"/>
    <w:rsid w:val="00B61809"/>
    <w:rsid w:val="00B62924"/>
    <w:rsid w:val="00B62FFE"/>
    <w:rsid w:val="00B64996"/>
    <w:rsid w:val="00B65013"/>
    <w:rsid w:val="00B65FD8"/>
    <w:rsid w:val="00B66D0B"/>
    <w:rsid w:val="00B67BB5"/>
    <w:rsid w:val="00B7123A"/>
    <w:rsid w:val="00B7188C"/>
    <w:rsid w:val="00B71AA3"/>
    <w:rsid w:val="00B7435C"/>
    <w:rsid w:val="00B7531B"/>
    <w:rsid w:val="00B75FE1"/>
    <w:rsid w:val="00B76F38"/>
    <w:rsid w:val="00B7755E"/>
    <w:rsid w:val="00B8085D"/>
    <w:rsid w:val="00B817E2"/>
    <w:rsid w:val="00B8183B"/>
    <w:rsid w:val="00B81EFF"/>
    <w:rsid w:val="00B836BB"/>
    <w:rsid w:val="00B84122"/>
    <w:rsid w:val="00B859DA"/>
    <w:rsid w:val="00B85A78"/>
    <w:rsid w:val="00B862B0"/>
    <w:rsid w:val="00B907B5"/>
    <w:rsid w:val="00B90B5E"/>
    <w:rsid w:val="00B90CEE"/>
    <w:rsid w:val="00B91961"/>
    <w:rsid w:val="00B93CA4"/>
    <w:rsid w:val="00B943E1"/>
    <w:rsid w:val="00B95F0F"/>
    <w:rsid w:val="00B96DFE"/>
    <w:rsid w:val="00B97AD5"/>
    <w:rsid w:val="00B97BCD"/>
    <w:rsid w:val="00BA0E4B"/>
    <w:rsid w:val="00BA1C43"/>
    <w:rsid w:val="00BA226F"/>
    <w:rsid w:val="00BA252B"/>
    <w:rsid w:val="00BA2578"/>
    <w:rsid w:val="00BA2B7C"/>
    <w:rsid w:val="00BB0DF9"/>
    <w:rsid w:val="00BB0FF7"/>
    <w:rsid w:val="00BB142A"/>
    <w:rsid w:val="00BB34B9"/>
    <w:rsid w:val="00BB35C2"/>
    <w:rsid w:val="00BB36CE"/>
    <w:rsid w:val="00BB3842"/>
    <w:rsid w:val="00BB4B34"/>
    <w:rsid w:val="00BB553B"/>
    <w:rsid w:val="00BB62F5"/>
    <w:rsid w:val="00BB6641"/>
    <w:rsid w:val="00BB7120"/>
    <w:rsid w:val="00BB7AB5"/>
    <w:rsid w:val="00BC0323"/>
    <w:rsid w:val="00BC08C4"/>
    <w:rsid w:val="00BC149A"/>
    <w:rsid w:val="00BC1AD9"/>
    <w:rsid w:val="00BC28D7"/>
    <w:rsid w:val="00BC29AC"/>
    <w:rsid w:val="00BC376C"/>
    <w:rsid w:val="00BC6087"/>
    <w:rsid w:val="00BC6321"/>
    <w:rsid w:val="00BC7817"/>
    <w:rsid w:val="00BC7EF0"/>
    <w:rsid w:val="00BD1386"/>
    <w:rsid w:val="00BD2562"/>
    <w:rsid w:val="00BD3819"/>
    <w:rsid w:val="00BD3E37"/>
    <w:rsid w:val="00BD5527"/>
    <w:rsid w:val="00BD642D"/>
    <w:rsid w:val="00BD6988"/>
    <w:rsid w:val="00BD6D28"/>
    <w:rsid w:val="00BE1A77"/>
    <w:rsid w:val="00BE1D2D"/>
    <w:rsid w:val="00BE2B86"/>
    <w:rsid w:val="00BE4742"/>
    <w:rsid w:val="00BE511F"/>
    <w:rsid w:val="00BE51C3"/>
    <w:rsid w:val="00BE57C3"/>
    <w:rsid w:val="00BE5B18"/>
    <w:rsid w:val="00BE7383"/>
    <w:rsid w:val="00BE7400"/>
    <w:rsid w:val="00BE754D"/>
    <w:rsid w:val="00BF02A7"/>
    <w:rsid w:val="00BF09DD"/>
    <w:rsid w:val="00BF128C"/>
    <w:rsid w:val="00BF1C11"/>
    <w:rsid w:val="00BF1D6A"/>
    <w:rsid w:val="00BF1DB9"/>
    <w:rsid w:val="00BF2CC0"/>
    <w:rsid w:val="00BF5097"/>
    <w:rsid w:val="00BF6D10"/>
    <w:rsid w:val="00BF6E79"/>
    <w:rsid w:val="00C00F4D"/>
    <w:rsid w:val="00C03F6C"/>
    <w:rsid w:val="00C11C13"/>
    <w:rsid w:val="00C11E29"/>
    <w:rsid w:val="00C12108"/>
    <w:rsid w:val="00C121D9"/>
    <w:rsid w:val="00C1245B"/>
    <w:rsid w:val="00C124B2"/>
    <w:rsid w:val="00C13453"/>
    <w:rsid w:val="00C1403E"/>
    <w:rsid w:val="00C14E9F"/>
    <w:rsid w:val="00C16094"/>
    <w:rsid w:val="00C17913"/>
    <w:rsid w:val="00C20EE5"/>
    <w:rsid w:val="00C21173"/>
    <w:rsid w:val="00C220F9"/>
    <w:rsid w:val="00C227BC"/>
    <w:rsid w:val="00C2541C"/>
    <w:rsid w:val="00C25745"/>
    <w:rsid w:val="00C26862"/>
    <w:rsid w:val="00C27DBF"/>
    <w:rsid w:val="00C30458"/>
    <w:rsid w:val="00C31DA6"/>
    <w:rsid w:val="00C33260"/>
    <w:rsid w:val="00C33F56"/>
    <w:rsid w:val="00C34E47"/>
    <w:rsid w:val="00C36A03"/>
    <w:rsid w:val="00C40120"/>
    <w:rsid w:val="00C4078E"/>
    <w:rsid w:val="00C40B00"/>
    <w:rsid w:val="00C43DFC"/>
    <w:rsid w:val="00C43E2D"/>
    <w:rsid w:val="00C443C5"/>
    <w:rsid w:val="00C4598F"/>
    <w:rsid w:val="00C47819"/>
    <w:rsid w:val="00C500BF"/>
    <w:rsid w:val="00C50360"/>
    <w:rsid w:val="00C50533"/>
    <w:rsid w:val="00C50CA9"/>
    <w:rsid w:val="00C51F5A"/>
    <w:rsid w:val="00C524E1"/>
    <w:rsid w:val="00C5363A"/>
    <w:rsid w:val="00C53965"/>
    <w:rsid w:val="00C53EBA"/>
    <w:rsid w:val="00C54E12"/>
    <w:rsid w:val="00C54F19"/>
    <w:rsid w:val="00C54F50"/>
    <w:rsid w:val="00C55468"/>
    <w:rsid w:val="00C55853"/>
    <w:rsid w:val="00C5786E"/>
    <w:rsid w:val="00C57E94"/>
    <w:rsid w:val="00C622C3"/>
    <w:rsid w:val="00C634D3"/>
    <w:rsid w:val="00C63BD5"/>
    <w:rsid w:val="00C6696A"/>
    <w:rsid w:val="00C6719D"/>
    <w:rsid w:val="00C67DC9"/>
    <w:rsid w:val="00C70520"/>
    <w:rsid w:val="00C72991"/>
    <w:rsid w:val="00C74906"/>
    <w:rsid w:val="00C762FB"/>
    <w:rsid w:val="00C7742E"/>
    <w:rsid w:val="00C776D0"/>
    <w:rsid w:val="00C81B40"/>
    <w:rsid w:val="00C81FD9"/>
    <w:rsid w:val="00C81FEA"/>
    <w:rsid w:val="00C83969"/>
    <w:rsid w:val="00C84CCD"/>
    <w:rsid w:val="00C84D6B"/>
    <w:rsid w:val="00C85B1F"/>
    <w:rsid w:val="00C86C95"/>
    <w:rsid w:val="00C8758E"/>
    <w:rsid w:val="00C910DA"/>
    <w:rsid w:val="00C91F81"/>
    <w:rsid w:val="00C942DA"/>
    <w:rsid w:val="00C94B95"/>
    <w:rsid w:val="00C95617"/>
    <w:rsid w:val="00C95E42"/>
    <w:rsid w:val="00C97673"/>
    <w:rsid w:val="00C97BD2"/>
    <w:rsid w:val="00CA05EB"/>
    <w:rsid w:val="00CA1388"/>
    <w:rsid w:val="00CA13F0"/>
    <w:rsid w:val="00CA2C5D"/>
    <w:rsid w:val="00CA3515"/>
    <w:rsid w:val="00CA3911"/>
    <w:rsid w:val="00CA3A05"/>
    <w:rsid w:val="00CA4D96"/>
    <w:rsid w:val="00CA52FB"/>
    <w:rsid w:val="00CA786E"/>
    <w:rsid w:val="00CB14E9"/>
    <w:rsid w:val="00CB2B34"/>
    <w:rsid w:val="00CB4470"/>
    <w:rsid w:val="00CB50B1"/>
    <w:rsid w:val="00CB622D"/>
    <w:rsid w:val="00CB6D90"/>
    <w:rsid w:val="00CB72C3"/>
    <w:rsid w:val="00CC33FC"/>
    <w:rsid w:val="00CC45E4"/>
    <w:rsid w:val="00CC5B51"/>
    <w:rsid w:val="00CC5EB1"/>
    <w:rsid w:val="00CC66E9"/>
    <w:rsid w:val="00CC7A5B"/>
    <w:rsid w:val="00CD019F"/>
    <w:rsid w:val="00CD05A4"/>
    <w:rsid w:val="00CD27C5"/>
    <w:rsid w:val="00CD41C1"/>
    <w:rsid w:val="00CD498F"/>
    <w:rsid w:val="00CE2377"/>
    <w:rsid w:val="00CE2F1F"/>
    <w:rsid w:val="00CE3627"/>
    <w:rsid w:val="00CE4169"/>
    <w:rsid w:val="00CE4FDB"/>
    <w:rsid w:val="00CE5279"/>
    <w:rsid w:val="00CE5F60"/>
    <w:rsid w:val="00CE646D"/>
    <w:rsid w:val="00CE69CD"/>
    <w:rsid w:val="00CE7064"/>
    <w:rsid w:val="00CE7894"/>
    <w:rsid w:val="00CF06A1"/>
    <w:rsid w:val="00CF0DE8"/>
    <w:rsid w:val="00CF13D6"/>
    <w:rsid w:val="00CF1467"/>
    <w:rsid w:val="00CF1CBF"/>
    <w:rsid w:val="00CF2367"/>
    <w:rsid w:val="00CF243A"/>
    <w:rsid w:val="00CF358A"/>
    <w:rsid w:val="00CF4071"/>
    <w:rsid w:val="00CF48D6"/>
    <w:rsid w:val="00CF5228"/>
    <w:rsid w:val="00CF57D6"/>
    <w:rsid w:val="00CF6C1B"/>
    <w:rsid w:val="00CF7B64"/>
    <w:rsid w:val="00CF7D3A"/>
    <w:rsid w:val="00D014C6"/>
    <w:rsid w:val="00D019D5"/>
    <w:rsid w:val="00D02B36"/>
    <w:rsid w:val="00D0356B"/>
    <w:rsid w:val="00D040FE"/>
    <w:rsid w:val="00D04557"/>
    <w:rsid w:val="00D04595"/>
    <w:rsid w:val="00D05EE4"/>
    <w:rsid w:val="00D0724E"/>
    <w:rsid w:val="00D0728A"/>
    <w:rsid w:val="00D07550"/>
    <w:rsid w:val="00D10805"/>
    <w:rsid w:val="00D135E0"/>
    <w:rsid w:val="00D156E5"/>
    <w:rsid w:val="00D168FD"/>
    <w:rsid w:val="00D16F64"/>
    <w:rsid w:val="00D17D14"/>
    <w:rsid w:val="00D17D5A"/>
    <w:rsid w:val="00D20470"/>
    <w:rsid w:val="00D225E3"/>
    <w:rsid w:val="00D2272A"/>
    <w:rsid w:val="00D23D79"/>
    <w:rsid w:val="00D23F45"/>
    <w:rsid w:val="00D241E0"/>
    <w:rsid w:val="00D2472C"/>
    <w:rsid w:val="00D25BFE"/>
    <w:rsid w:val="00D279BA"/>
    <w:rsid w:val="00D27D04"/>
    <w:rsid w:val="00D27D57"/>
    <w:rsid w:val="00D302BD"/>
    <w:rsid w:val="00D31474"/>
    <w:rsid w:val="00D325AD"/>
    <w:rsid w:val="00D328D5"/>
    <w:rsid w:val="00D32B67"/>
    <w:rsid w:val="00D3354E"/>
    <w:rsid w:val="00D36AC6"/>
    <w:rsid w:val="00D37994"/>
    <w:rsid w:val="00D404B5"/>
    <w:rsid w:val="00D447CB"/>
    <w:rsid w:val="00D44E9B"/>
    <w:rsid w:val="00D455C5"/>
    <w:rsid w:val="00D45FAA"/>
    <w:rsid w:val="00D47D16"/>
    <w:rsid w:val="00D47F7F"/>
    <w:rsid w:val="00D501F5"/>
    <w:rsid w:val="00D505F4"/>
    <w:rsid w:val="00D50F33"/>
    <w:rsid w:val="00D5157B"/>
    <w:rsid w:val="00D51CE1"/>
    <w:rsid w:val="00D55ED2"/>
    <w:rsid w:val="00D562F2"/>
    <w:rsid w:val="00D60CE6"/>
    <w:rsid w:val="00D6152F"/>
    <w:rsid w:val="00D61B93"/>
    <w:rsid w:val="00D62876"/>
    <w:rsid w:val="00D62F1A"/>
    <w:rsid w:val="00D63084"/>
    <w:rsid w:val="00D636E4"/>
    <w:rsid w:val="00D6456D"/>
    <w:rsid w:val="00D646C1"/>
    <w:rsid w:val="00D6555C"/>
    <w:rsid w:val="00D6709D"/>
    <w:rsid w:val="00D6723C"/>
    <w:rsid w:val="00D67E4A"/>
    <w:rsid w:val="00D70573"/>
    <w:rsid w:val="00D70674"/>
    <w:rsid w:val="00D7069D"/>
    <w:rsid w:val="00D70C1D"/>
    <w:rsid w:val="00D72C04"/>
    <w:rsid w:val="00D73577"/>
    <w:rsid w:val="00D74BE1"/>
    <w:rsid w:val="00D74DCC"/>
    <w:rsid w:val="00D75188"/>
    <w:rsid w:val="00D75375"/>
    <w:rsid w:val="00D763FD"/>
    <w:rsid w:val="00D76DDD"/>
    <w:rsid w:val="00D80760"/>
    <w:rsid w:val="00D80B58"/>
    <w:rsid w:val="00D8361C"/>
    <w:rsid w:val="00D83645"/>
    <w:rsid w:val="00D8738B"/>
    <w:rsid w:val="00D87B9A"/>
    <w:rsid w:val="00D902E1"/>
    <w:rsid w:val="00D90AD1"/>
    <w:rsid w:val="00D90E6C"/>
    <w:rsid w:val="00D91307"/>
    <w:rsid w:val="00D941F7"/>
    <w:rsid w:val="00D94497"/>
    <w:rsid w:val="00D96A9C"/>
    <w:rsid w:val="00DA2F2A"/>
    <w:rsid w:val="00DA3792"/>
    <w:rsid w:val="00DA4DDF"/>
    <w:rsid w:val="00DA4E56"/>
    <w:rsid w:val="00DA68E2"/>
    <w:rsid w:val="00DA6F29"/>
    <w:rsid w:val="00DA7D9D"/>
    <w:rsid w:val="00DB0164"/>
    <w:rsid w:val="00DB0804"/>
    <w:rsid w:val="00DB1629"/>
    <w:rsid w:val="00DB26E1"/>
    <w:rsid w:val="00DB2FC4"/>
    <w:rsid w:val="00DB4205"/>
    <w:rsid w:val="00DB473F"/>
    <w:rsid w:val="00DB66DD"/>
    <w:rsid w:val="00DC0176"/>
    <w:rsid w:val="00DC0D44"/>
    <w:rsid w:val="00DC1327"/>
    <w:rsid w:val="00DC17D9"/>
    <w:rsid w:val="00DC33E9"/>
    <w:rsid w:val="00DC382A"/>
    <w:rsid w:val="00DC3902"/>
    <w:rsid w:val="00DC3CE7"/>
    <w:rsid w:val="00DC4506"/>
    <w:rsid w:val="00DC4DD7"/>
    <w:rsid w:val="00DC5D8E"/>
    <w:rsid w:val="00DC7B8C"/>
    <w:rsid w:val="00DC7FE1"/>
    <w:rsid w:val="00DD10EE"/>
    <w:rsid w:val="00DD1C06"/>
    <w:rsid w:val="00DD2BAD"/>
    <w:rsid w:val="00DD2F99"/>
    <w:rsid w:val="00DD4191"/>
    <w:rsid w:val="00DD56C2"/>
    <w:rsid w:val="00DD68DF"/>
    <w:rsid w:val="00DD70E8"/>
    <w:rsid w:val="00DE0937"/>
    <w:rsid w:val="00DE1480"/>
    <w:rsid w:val="00DE1923"/>
    <w:rsid w:val="00DE2669"/>
    <w:rsid w:val="00DE2B33"/>
    <w:rsid w:val="00DE2DD0"/>
    <w:rsid w:val="00DE51A2"/>
    <w:rsid w:val="00DE568B"/>
    <w:rsid w:val="00DE638B"/>
    <w:rsid w:val="00DE668B"/>
    <w:rsid w:val="00DE72EE"/>
    <w:rsid w:val="00DF0173"/>
    <w:rsid w:val="00DF085F"/>
    <w:rsid w:val="00DF2CC5"/>
    <w:rsid w:val="00DF37E5"/>
    <w:rsid w:val="00DF567E"/>
    <w:rsid w:val="00DF5F0A"/>
    <w:rsid w:val="00DF615D"/>
    <w:rsid w:val="00DF7042"/>
    <w:rsid w:val="00E003B3"/>
    <w:rsid w:val="00E007B8"/>
    <w:rsid w:val="00E013B5"/>
    <w:rsid w:val="00E02575"/>
    <w:rsid w:val="00E034FE"/>
    <w:rsid w:val="00E041E5"/>
    <w:rsid w:val="00E04888"/>
    <w:rsid w:val="00E06291"/>
    <w:rsid w:val="00E06805"/>
    <w:rsid w:val="00E069D0"/>
    <w:rsid w:val="00E07324"/>
    <w:rsid w:val="00E0763B"/>
    <w:rsid w:val="00E07AEE"/>
    <w:rsid w:val="00E100AC"/>
    <w:rsid w:val="00E10302"/>
    <w:rsid w:val="00E10FA0"/>
    <w:rsid w:val="00E12497"/>
    <w:rsid w:val="00E13159"/>
    <w:rsid w:val="00E1331F"/>
    <w:rsid w:val="00E150FD"/>
    <w:rsid w:val="00E163A0"/>
    <w:rsid w:val="00E1739F"/>
    <w:rsid w:val="00E17EC5"/>
    <w:rsid w:val="00E20C2C"/>
    <w:rsid w:val="00E20DA4"/>
    <w:rsid w:val="00E214A3"/>
    <w:rsid w:val="00E23EA3"/>
    <w:rsid w:val="00E24E60"/>
    <w:rsid w:val="00E26BFD"/>
    <w:rsid w:val="00E26D1B"/>
    <w:rsid w:val="00E27A26"/>
    <w:rsid w:val="00E27E90"/>
    <w:rsid w:val="00E306E4"/>
    <w:rsid w:val="00E31F2F"/>
    <w:rsid w:val="00E32C0B"/>
    <w:rsid w:val="00E32D28"/>
    <w:rsid w:val="00E33149"/>
    <w:rsid w:val="00E33D02"/>
    <w:rsid w:val="00E34F2C"/>
    <w:rsid w:val="00E35D79"/>
    <w:rsid w:val="00E36C93"/>
    <w:rsid w:val="00E4042F"/>
    <w:rsid w:val="00E42E17"/>
    <w:rsid w:val="00E436EF"/>
    <w:rsid w:val="00E44759"/>
    <w:rsid w:val="00E45137"/>
    <w:rsid w:val="00E4641E"/>
    <w:rsid w:val="00E46FEE"/>
    <w:rsid w:val="00E4769E"/>
    <w:rsid w:val="00E519AE"/>
    <w:rsid w:val="00E52AEC"/>
    <w:rsid w:val="00E56FD3"/>
    <w:rsid w:val="00E57088"/>
    <w:rsid w:val="00E579FB"/>
    <w:rsid w:val="00E57AF7"/>
    <w:rsid w:val="00E57BE7"/>
    <w:rsid w:val="00E61F5D"/>
    <w:rsid w:val="00E62051"/>
    <w:rsid w:val="00E6241B"/>
    <w:rsid w:val="00E62577"/>
    <w:rsid w:val="00E63D14"/>
    <w:rsid w:val="00E643EF"/>
    <w:rsid w:val="00E64C57"/>
    <w:rsid w:val="00E64FCC"/>
    <w:rsid w:val="00E65168"/>
    <w:rsid w:val="00E66657"/>
    <w:rsid w:val="00E66CD1"/>
    <w:rsid w:val="00E703B6"/>
    <w:rsid w:val="00E708C7"/>
    <w:rsid w:val="00E71C5B"/>
    <w:rsid w:val="00E72200"/>
    <w:rsid w:val="00E7275C"/>
    <w:rsid w:val="00E72B1B"/>
    <w:rsid w:val="00E747C6"/>
    <w:rsid w:val="00E75D47"/>
    <w:rsid w:val="00E766F5"/>
    <w:rsid w:val="00E77745"/>
    <w:rsid w:val="00E77F0E"/>
    <w:rsid w:val="00E82948"/>
    <w:rsid w:val="00E83835"/>
    <w:rsid w:val="00E84038"/>
    <w:rsid w:val="00E86B32"/>
    <w:rsid w:val="00E90044"/>
    <w:rsid w:val="00E90218"/>
    <w:rsid w:val="00E91392"/>
    <w:rsid w:val="00E913BB"/>
    <w:rsid w:val="00E930DA"/>
    <w:rsid w:val="00E9369C"/>
    <w:rsid w:val="00E94B60"/>
    <w:rsid w:val="00E94F98"/>
    <w:rsid w:val="00E950D4"/>
    <w:rsid w:val="00E95487"/>
    <w:rsid w:val="00E95F2E"/>
    <w:rsid w:val="00E96323"/>
    <w:rsid w:val="00EA0072"/>
    <w:rsid w:val="00EA0DB6"/>
    <w:rsid w:val="00EA1508"/>
    <w:rsid w:val="00EA1541"/>
    <w:rsid w:val="00EA32E4"/>
    <w:rsid w:val="00EA3F41"/>
    <w:rsid w:val="00EA6B78"/>
    <w:rsid w:val="00EA7E36"/>
    <w:rsid w:val="00EB0898"/>
    <w:rsid w:val="00EB12F7"/>
    <w:rsid w:val="00EB1737"/>
    <w:rsid w:val="00EB50F4"/>
    <w:rsid w:val="00EB6095"/>
    <w:rsid w:val="00EB627B"/>
    <w:rsid w:val="00EB6D94"/>
    <w:rsid w:val="00EC0545"/>
    <w:rsid w:val="00EC0EDB"/>
    <w:rsid w:val="00EC23BF"/>
    <w:rsid w:val="00EC37B0"/>
    <w:rsid w:val="00EC4183"/>
    <w:rsid w:val="00EC52E5"/>
    <w:rsid w:val="00EC5DAF"/>
    <w:rsid w:val="00EC6025"/>
    <w:rsid w:val="00EC6468"/>
    <w:rsid w:val="00EC6708"/>
    <w:rsid w:val="00EC7935"/>
    <w:rsid w:val="00EC7C43"/>
    <w:rsid w:val="00EC7D48"/>
    <w:rsid w:val="00EC7D88"/>
    <w:rsid w:val="00ED005A"/>
    <w:rsid w:val="00ED207C"/>
    <w:rsid w:val="00ED2227"/>
    <w:rsid w:val="00ED325A"/>
    <w:rsid w:val="00ED3464"/>
    <w:rsid w:val="00ED3642"/>
    <w:rsid w:val="00ED3F41"/>
    <w:rsid w:val="00ED4A41"/>
    <w:rsid w:val="00ED4F8D"/>
    <w:rsid w:val="00ED5615"/>
    <w:rsid w:val="00ED5724"/>
    <w:rsid w:val="00ED5BE3"/>
    <w:rsid w:val="00ED692E"/>
    <w:rsid w:val="00ED69AF"/>
    <w:rsid w:val="00ED6B2F"/>
    <w:rsid w:val="00ED79A9"/>
    <w:rsid w:val="00EE1847"/>
    <w:rsid w:val="00EE232F"/>
    <w:rsid w:val="00EE240E"/>
    <w:rsid w:val="00EE4423"/>
    <w:rsid w:val="00EE688E"/>
    <w:rsid w:val="00EE6A6D"/>
    <w:rsid w:val="00EE7536"/>
    <w:rsid w:val="00EF0368"/>
    <w:rsid w:val="00EF03E2"/>
    <w:rsid w:val="00EF3572"/>
    <w:rsid w:val="00EF47A5"/>
    <w:rsid w:val="00EF4BD0"/>
    <w:rsid w:val="00EF6C38"/>
    <w:rsid w:val="00EF6F04"/>
    <w:rsid w:val="00EF77DE"/>
    <w:rsid w:val="00EF7BA3"/>
    <w:rsid w:val="00EF7F8B"/>
    <w:rsid w:val="00F02EA8"/>
    <w:rsid w:val="00F02F5B"/>
    <w:rsid w:val="00F03814"/>
    <w:rsid w:val="00F03C39"/>
    <w:rsid w:val="00F04718"/>
    <w:rsid w:val="00F04EAF"/>
    <w:rsid w:val="00F05318"/>
    <w:rsid w:val="00F06912"/>
    <w:rsid w:val="00F06F42"/>
    <w:rsid w:val="00F07A09"/>
    <w:rsid w:val="00F07BAD"/>
    <w:rsid w:val="00F1120B"/>
    <w:rsid w:val="00F113BC"/>
    <w:rsid w:val="00F11ED5"/>
    <w:rsid w:val="00F1390C"/>
    <w:rsid w:val="00F14D98"/>
    <w:rsid w:val="00F17F06"/>
    <w:rsid w:val="00F20C5E"/>
    <w:rsid w:val="00F227A1"/>
    <w:rsid w:val="00F23613"/>
    <w:rsid w:val="00F2467E"/>
    <w:rsid w:val="00F26DB1"/>
    <w:rsid w:val="00F327FB"/>
    <w:rsid w:val="00F32DBF"/>
    <w:rsid w:val="00F34F14"/>
    <w:rsid w:val="00F36A1D"/>
    <w:rsid w:val="00F37143"/>
    <w:rsid w:val="00F405F8"/>
    <w:rsid w:val="00F40F6F"/>
    <w:rsid w:val="00F421C9"/>
    <w:rsid w:val="00F4319E"/>
    <w:rsid w:val="00F431A8"/>
    <w:rsid w:val="00F43397"/>
    <w:rsid w:val="00F439D6"/>
    <w:rsid w:val="00F44278"/>
    <w:rsid w:val="00F46B50"/>
    <w:rsid w:val="00F47531"/>
    <w:rsid w:val="00F475C7"/>
    <w:rsid w:val="00F4762F"/>
    <w:rsid w:val="00F478F9"/>
    <w:rsid w:val="00F47C6A"/>
    <w:rsid w:val="00F50E66"/>
    <w:rsid w:val="00F51B65"/>
    <w:rsid w:val="00F524D5"/>
    <w:rsid w:val="00F52AAB"/>
    <w:rsid w:val="00F52EB6"/>
    <w:rsid w:val="00F54627"/>
    <w:rsid w:val="00F55260"/>
    <w:rsid w:val="00F57AE5"/>
    <w:rsid w:val="00F601B9"/>
    <w:rsid w:val="00F6032D"/>
    <w:rsid w:val="00F61177"/>
    <w:rsid w:val="00F61F33"/>
    <w:rsid w:val="00F6316B"/>
    <w:rsid w:val="00F63BFE"/>
    <w:rsid w:val="00F63EDF"/>
    <w:rsid w:val="00F650A3"/>
    <w:rsid w:val="00F654FC"/>
    <w:rsid w:val="00F65AE0"/>
    <w:rsid w:val="00F66EBF"/>
    <w:rsid w:val="00F67103"/>
    <w:rsid w:val="00F6771E"/>
    <w:rsid w:val="00F708BB"/>
    <w:rsid w:val="00F70F4B"/>
    <w:rsid w:val="00F71D83"/>
    <w:rsid w:val="00F720EC"/>
    <w:rsid w:val="00F73C95"/>
    <w:rsid w:val="00F74E38"/>
    <w:rsid w:val="00F758D7"/>
    <w:rsid w:val="00F76D6F"/>
    <w:rsid w:val="00F778B0"/>
    <w:rsid w:val="00F77A87"/>
    <w:rsid w:val="00F83BC2"/>
    <w:rsid w:val="00F83C7A"/>
    <w:rsid w:val="00F84240"/>
    <w:rsid w:val="00F84AF1"/>
    <w:rsid w:val="00F84B9B"/>
    <w:rsid w:val="00F901AF"/>
    <w:rsid w:val="00F92EC1"/>
    <w:rsid w:val="00F93209"/>
    <w:rsid w:val="00F93698"/>
    <w:rsid w:val="00F9421E"/>
    <w:rsid w:val="00F94C47"/>
    <w:rsid w:val="00F94D17"/>
    <w:rsid w:val="00F954CC"/>
    <w:rsid w:val="00F96C8A"/>
    <w:rsid w:val="00F97378"/>
    <w:rsid w:val="00F978F6"/>
    <w:rsid w:val="00F97E01"/>
    <w:rsid w:val="00FA0421"/>
    <w:rsid w:val="00FA1D60"/>
    <w:rsid w:val="00FA208E"/>
    <w:rsid w:val="00FA28B3"/>
    <w:rsid w:val="00FA2BAC"/>
    <w:rsid w:val="00FA3389"/>
    <w:rsid w:val="00FA3476"/>
    <w:rsid w:val="00FA4191"/>
    <w:rsid w:val="00FA495F"/>
    <w:rsid w:val="00FA550F"/>
    <w:rsid w:val="00FA663B"/>
    <w:rsid w:val="00FA76C8"/>
    <w:rsid w:val="00FB036E"/>
    <w:rsid w:val="00FB0A30"/>
    <w:rsid w:val="00FB0C10"/>
    <w:rsid w:val="00FB3C36"/>
    <w:rsid w:val="00FB4280"/>
    <w:rsid w:val="00FB4BA6"/>
    <w:rsid w:val="00FB5EF1"/>
    <w:rsid w:val="00FB7CCE"/>
    <w:rsid w:val="00FC01C8"/>
    <w:rsid w:val="00FC079F"/>
    <w:rsid w:val="00FC0D34"/>
    <w:rsid w:val="00FC35B3"/>
    <w:rsid w:val="00FC4679"/>
    <w:rsid w:val="00FC46AB"/>
    <w:rsid w:val="00FC4F51"/>
    <w:rsid w:val="00FC5027"/>
    <w:rsid w:val="00FC5030"/>
    <w:rsid w:val="00FC50C7"/>
    <w:rsid w:val="00FC511D"/>
    <w:rsid w:val="00FC6078"/>
    <w:rsid w:val="00FC6581"/>
    <w:rsid w:val="00FC68BC"/>
    <w:rsid w:val="00FC6D5A"/>
    <w:rsid w:val="00FC715E"/>
    <w:rsid w:val="00FC762B"/>
    <w:rsid w:val="00FC797C"/>
    <w:rsid w:val="00FD0DAA"/>
    <w:rsid w:val="00FD11D4"/>
    <w:rsid w:val="00FD1ACC"/>
    <w:rsid w:val="00FD225D"/>
    <w:rsid w:val="00FD2384"/>
    <w:rsid w:val="00FD264D"/>
    <w:rsid w:val="00FD286B"/>
    <w:rsid w:val="00FD28CF"/>
    <w:rsid w:val="00FD29F3"/>
    <w:rsid w:val="00FD33DB"/>
    <w:rsid w:val="00FD5A58"/>
    <w:rsid w:val="00FD5BF8"/>
    <w:rsid w:val="00FD6087"/>
    <w:rsid w:val="00FD617A"/>
    <w:rsid w:val="00FD7993"/>
    <w:rsid w:val="00FD7B2E"/>
    <w:rsid w:val="00FE2CB8"/>
    <w:rsid w:val="00FE333E"/>
    <w:rsid w:val="00FE452E"/>
    <w:rsid w:val="00FF0107"/>
    <w:rsid w:val="00FF0262"/>
    <w:rsid w:val="00FF27DA"/>
    <w:rsid w:val="00FF29AD"/>
    <w:rsid w:val="00FF338C"/>
    <w:rsid w:val="00FF4275"/>
    <w:rsid w:val="00FF4A4C"/>
    <w:rsid w:val="00FF4C15"/>
    <w:rsid w:val="00FF631B"/>
    <w:rsid w:val="00FF7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E7658"/>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F0A"/>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0C5F0A"/>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C5F0A"/>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C5F0A"/>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F0A"/>
    <w:rPr>
      <w:b/>
      <w:bCs/>
      <w:sz w:val="28"/>
      <w:szCs w:val="28"/>
      <w:lang w:val="eu-ES" w:eastAsia="en-US"/>
    </w:rPr>
  </w:style>
  <w:style w:type="character" w:customStyle="1" w:styleId="Ttulo7Car">
    <w:name w:val="Título 7 Car"/>
    <w:basedOn w:val="Fuentedeprrafopredeter"/>
    <w:link w:val="Ttulo7"/>
    <w:uiPriority w:val="99"/>
    <w:rsid w:val="000C5F0A"/>
    <w:rPr>
      <w:sz w:val="52"/>
    </w:rPr>
  </w:style>
  <w:style w:type="character" w:customStyle="1" w:styleId="atitulo2Car">
    <w:name w:val="atitulo2 Car"/>
    <w:link w:val="atitulo2"/>
    <w:rsid w:val="000C5F0A"/>
    <w:rPr>
      <w:rFonts w:ascii="Arial" w:hAnsi="Arial"/>
      <w:bCs/>
      <w:iCs/>
      <w:color w:val="000000"/>
      <w:spacing w:val="10"/>
      <w:kern w:val="28"/>
      <w:sz w:val="25"/>
      <w:szCs w:val="26"/>
      <w:lang w:val="eu-ES" w:eastAsia="en-US"/>
    </w:rPr>
  </w:style>
  <w:style w:type="paragraph" w:customStyle="1" w:styleId="Estndar">
    <w:name w:val="Estándar"/>
    <w:rsid w:val="000C5F0A"/>
    <w:pPr>
      <w:snapToGrid w:val="0"/>
    </w:pPr>
    <w:rPr>
      <w:rFonts w:ascii="CG Omega" w:hAnsi="CG Omega"/>
      <w:color w:val="000000"/>
      <w:sz w:val="22"/>
    </w:rPr>
  </w:style>
  <w:style w:type="paragraph" w:customStyle="1" w:styleId="tabla10">
    <w:name w:val="tabla10"/>
    <w:rsid w:val="000C5F0A"/>
    <w:pPr>
      <w:tabs>
        <w:tab w:val="left" w:pos="567"/>
        <w:tab w:val="left" w:pos="1134"/>
      </w:tabs>
      <w:snapToGrid w:val="0"/>
    </w:pPr>
    <w:rPr>
      <w:rFonts w:ascii="CG Times" w:hAnsi="CG Times"/>
      <w:color w:val="000000"/>
    </w:rPr>
  </w:style>
  <w:style w:type="paragraph" w:styleId="NormalWeb">
    <w:name w:val="Normal (Web)"/>
    <w:basedOn w:val="Normal"/>
    <w:uiPriority w:val="99"/>
    <w:rsid w:val="000C5F0A"/>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0C5F0A"/>
  </w:style>
  <w:style w:type="character" w:customStyle="1" w:styleId="TextocomentarioCar">
    <w:name w:val="Texto comentario Car"/>
    <w:basedOn w:val="Fuentedeprrafopredeter"/>
    <w:link w:val="Textocomentario"/>
    <w:rsid w:val="000C5F0A"/>
    <w:rPr>
      <w:lang w:val="eu-ES" w:eastAsia="en-US"/>
    </w:rPr>
  </w:style>
  <w:style w:type="paragraph" w:styleId="Asuntodelcomentario">
    <w:name w:val="annotation subject"/>
    <w:basedOn w:val="Textocomentario"/>
    <w:next w:val="Textocomentario"/>
    <w:link w:val="AsuntodelcomentarioCar"/>
    <w:rsid w:val="000C5F0A"/>
    <w:rPr>
      <w:b/>
      <w:bCs/>
    </w:rPr>
  </w:style>
  <w:style w:type="character" w:customStyle="1" w:styleId="AsuntodelcomentarioCar">
    <w:name w:val="Asunto del comentario Car"/>
    <w:basedOn w:val="TextocomentarioCar"/>
    <w:link w:val="Asuntodelcomentario"/>
    <w:rsid w:val="000C5F0A"/>
    <w:rPr>
      <w:b/>
      <w:bCs/>
      <w:lang w:val="eu-ES" w:eastAsia="en-US"/>
    </w:rPr>
  </w:style>
  <w:style w:type="paragraph" w:styleId="Mapadeldocumento">
    <w:name w:val="Document Map"/>
    <w:basedOn w:val="Normal"/>
    <w:link w:val="MapadeldocumentoCar"/>
    <w:rsid w:val="000C5F0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C5F0A"/>
    <w:rPr>
      <w:rFonts w:ascii="Tahoma" w:hAnsi="Tahoma" w:cs="Tahoma"/>
      <w:shd w:val="clear" w:color="auto" w:fill="000080"/>
      <w:lang w:val="eu-ES" w:eastAsia="en-US"/>
    </w:rPr>
  </w:style>
  <w:style w:type="paragraph" w:styleId="Textonotapie">
    <w:name w:val="footnote text"/>
    <w:basedOn w:val="Normal"/>
    <w:link w:val="TextonotapieCar"/>
    <w:uiPriority w:val="99"/>
    <w:rsid w:val="000C5F0A"/>
  </w:style>
  <w:style w:type="character" w:customStyle="1" w:styleId="TextonotapieCar">
    <w:name w:val="Texto nota pie Car"/>
    <w:basedOn w:val="Fuentedeprrafopredeter"/>
    <w:link w:val="Textonotapie"/>
    <w:uiPriority w:val="99"/>
    <w:rsid w:val="000C5F0A"/>
    <w:rPr>
      <w:lang w:val="eu-ES" w:eastAsia="en-US"/>
    </w:rPr>
  </w:style>
  <w:style w:type="character" w:styleId="Refdenotaalpie">
    <w:name w:val="footnote reference"/>
    <w:uiPriority w:val="99"/>
    <w:rsid w:val="000C5F0A"/>
    <w:rPr>
      <w:vertAlign w:val="superscript"/>
    </w:rPr>
  </w:style>
  <w:style w:type="paragraph" w:styleId="Prrafodelista">
    <w:name w:val="List Paragraph"/>
    <w:basedOn w:val="Normal"/>
    <w:uiPriority w:val="34"/>
    <w:qFormat/>
    <w:rsid w:val="000C5F0A"/>
    <w:pPr>
      <w:ind w:left="720"/>
      <w:contextualSpacing/>
    </w:pPr>
  </w:style>
  <w:style w:type="character" w:customStyle="1" w:styleId="PiedepginaCar">
    <w:name w:val="Pie de página Car"/>
    <w:basedOn w:val="Fuentedeprrafopredeter"/>
    <w:link w:val="Piedepgina"/>
    <w:uiPriority w:val="99"/>
    <w:rsid w:val="000C5F0A"/>
    <w:rPr>
      <w:spacing w:val="6"/>
      <w:lang w:val="eu-ES" w:eastAsia="en-US"/>
    </w:rPr>
  </w:style>
  <w:style w:type="character" w:customStyle="1" w:styleId="atitulo1Car">
    <w:name w:val="atitulo1 Car"/>
    <w:link w:val="atitulo1"/>
    <w:uiPriority w:val="99"/>
    <w:rsid w:val="000C5F0A"/>
    <w:rPr>
      <w:rFonts w:ascii="Arial" w:hAnsi="Arial"/>
      <w:b/>
      <w:color w:val="000000"/>
      <w:kern w:val="28"/>
      <w:sz w:val="25"/>
      <w:szCs w:val="26"/>
      <w:lang w:val="eu-ES" w:eastAsia="en-US"/>
    </w:rPr>
  </w:style>
  <w:style w:type="paragraph" w:customStyle="1" w:styleId="Default">
    <w:name w:val="Default"/>
    <w:rsid w:val="000C5F0A"/>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0C5F0A"/>
    <w:rPr>
      <w:color w:val="auto"/>
    </w:rPr>
  </w:style>
  <w:style w:type="paragraph" w:styleId="Textoindependiente">
    <w:name w:val="Body Text"/>
    <w:basedOn w:val="Normal"/>
    <w:link w:val="TextoindependienteCar"/>
    <w:rsid w:val="000C5F0A"/>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0C5F0A"/>
    <w:rPr>
      <w:rFonts w:ascii="Arial" w:hAnsi="Arial"/>
      <w:sz w:val="24"/>
      <w:lang w:val="eu-ES"/>
    </w:rPr>
  </w:style>
  <w:style w:type="paragraph" w:customStyle="1" w:styleId="Pa7">
    <w:name w:val="Pa7"/>
    <w:basedOn w:val="Default"/>
    <w:next w:val="Default"/>
    <w:uiPriority w:val="99"/>
    <w:rsid w:val="000C5F0A"/>
    <w:pPr>
      <w:spacing w:line="201" w:lineRule="atLeast"/>
    </w:pPr>
    <w:rPr>
      <w:color w:val="auto"/>
    </w:rPr>
  </w:style>
  <w:style w:type="character" w:customStyle="1" w:styleId="corchete-llamada1">
    <w:name w:val="corchete-llamada1"/>
    <w:basedOn w:val="Fuentedeprrafopredeter"/>
    <w:rsid w:val="000C5F0A"/>
    <w:rPr>
      <w:vanish/>
      <w:webHidden w:val="0"/>
      <w:specVanish w:val="0"/>
    </w:rPr>
  </w:style>
  <w:style w:type="paragraph" w:customStyle="1" w:styleId="xl1">
    <w:name w:val="xl1"/>
    <w:basedOn w:val="Normal"/>
    <w:rsid w:val="000C5F0A"/>
    <w:pPr>
      <w:spacing w:after="240"/>
      <w:ind w:left="300" w:right="75" w:hanging="225"/>
    </w:pPr>
    <w:rPr>
      <w:sz w:val="24"/>
      <w:szCs w:val="24"/>
      <w:lang w:eastAsia="es-ES"/>
    </w:rPr>
  </w:style>
  <w:style w:type="paragraph" w:customStyle="1" w:styleId="xl2">
    <w:name w:val="xl2"/>
    <w:basedOn w:val="Normal"/>
    <w:rsid w:val="000C5F0A"/>
    <w:pPr>
      <w:spacing w:after="240"/>
      <w:ind w:left="525" w:right="75" w:hanging="225"/>
    </w:pPr>
    <w:rPr>
      <w:sz w:val="24"/>
      <w:szCs w:val="24"/>
      <w:lang w:eastAsia="es-ES"/>
    </w:rPr>
  </w:style>
  <w:style w:type="numbering" w:customStyle="1" w:styleId="Sinlista1">
    <w:name w:val="Sin lista1"/>
    <w:next w:val="Sinlista"/>
    <w:uiPriority w:val="99"/>
    <w:semiHidden/>
    <w:unhideWhenUsed/>
    <w:rsid w:val="000C5F0A"/>
  </w:style>
  <w:style w:type="table" w:styleId="Sombreadoclaro">
    <w:name w:val="Light Shading"/>
    <w:aliases w:val="tabla informe"/>
    <w:basedOn w:val="Tablanormal"/>
    <w:uiPriority w:val="60"/>
    <w:rsid w:val="000C5F0A"/>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0C5F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0C5F0A"/>
    <w:rPr>
      <w:rFonts w:ascii="Tahoma" w:hAnsi="Tahoma" w:cs="Tahoma"/>
      <w:sz w:val="16"/>
      <w:szCs w:val="16"/>
      <w:lang w:val="eu-ES" w:eastAsia="en-US"/>
    </w:rPr>
  </w:style>
  <w:style w:type="character" w:customStyle="1" w:styleId="Ttulo1Car">
    <w:name w:val="Título 1 Car"/>
    <w:basedOn w:val="Fuentedeprrafopredeter"/>
    <w:link w:val="Ttulo1"/>
    <w:uiPriority w:val="99"/>
    <w:rsid w:val="000C5F0A"/>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0C5F0A"/>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0C5F0A"/>
    <w:rPr>
      <w:rFonts w:ascii="Arial" w:hAnsi="Arial" w:cs="Arial"/>
      <w:b/>
      <w:bCs/>
      <w:szCs w:val="26"/>
      <w:lang w:val="eu-ES" w:eastAsia="en-US"/>
    </w:rPr>
  </w:style>
  <w:style w:type="character" w:customStyle="1" w:styleId="Ttulo5Car">
    <w:name w:val="Título 5 Car"/>
    <w:basedOn w:val="Fuentedeprrafopredeter"/>
    <w:link w:val="Ttulo5"/>
    <w:uiPriority w:val="99"/>
    <w:rsid w:val="000C5F0A"/>
    <w:rPr>
      <w:b/>
      <w:sz w:val="28"/>
      <w:lang w:eastAsia="en-US"/>
    </w:rPr>
  </w:style>
  <w:style w:type="paragraph" w:styleId="Ttulo">
    <w:name w:val="Title"/>
    <w:basedOn w:val="Normal"/>
    <w:next w:val="Normal"/>
    <w:link w:val="TtuloCar"/>
    <w:uiPriority w:val="10"/>
    <w:qFormat/>
    <w:rsid w:val="000C5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F0A"/>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0C5F0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F0A"/>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0C5F0A"/>
    <w:rPr>
      <w:rFonts w:cs="Times New Roman"/>
      <w:b/>
    </w:rPr>
  </w:style>
  <w:style w:type="character" w:styleId="nfasis">
    <w:name w:val="Emphasis"/>
    <w:basedOn w:val="Fuentedeprrafopredeter"/>
    <w:uiPriority w:val="20"/>
    <w:qFormat/>
    <w:rsid w:val="000C5F0A"/>
    <w:rPr>
      <w:rFonts w:cs="Times New Roman"/>
      <w:i/>
      <w:iCs/>
    </w:rPr>
  </w:style>
  <w:style w:type="paragraph" w:styleId="Cita">
    <w:name w:val="Quote"/>
    <w:basedOn w:val="Normal"/>
    <w:next w:val="Normal"/>
    <w:link w:val="CitaCar"/>
    <w:uiPriority w:val="29"/>
    <w:qFormat/>
    <w:rsid w:val="000C5F0A"/>
    <w:rPr>
      <w:i/>
      <w:iCs/>
      <w:color w:val="000000" w:themeColor="text1"/>
    </w:rPr>
  </w:style>
  <w:style w:type="character" w:customStyle="1" w:styleId="CitaCar">
    <w:name w:val="Cita Car"/>
    <w:basedOn w:val="Fuentedeprrafopredeter"/>
    <w:link w:val="Cita"/>
    <w:uiPriority w:val="29"/>
    <w:rsid w:val="000C5F0A"/>
    <w:rPr>
      <w:i/>
      <w:iCs/>
      <w:color w:val="000000" w:themeColor="text1"/>
      <w:lang w:val="eu-ES" w:eastAsia="en-US"/>
    </w:rPr>
  </w:style>
  <w:style w:type="character" w:styleId="nfasissutil">
    <w:name w:val="Subtle Emphasis"/>
    <w:basedOn w:val="Fuentedeprrafopredeter"/>
    <w:uiPriority w:val="19"/>
    <w:qFormat/>
    <w:rsid w:val="000C5F0A"/>
    <w:rPr>
      <w:i/>
      <w:iCs/>
      <w:color w:val="808080" w:themeColor="text1" w:themeTint="7F"/>
    </w:rPr>
  </w:style>
  <w:style w:type="character" w:styleId="nfasisintenso">
    <w:name w:val="Intense Emphasis"/>
    <w:basedOn w:val="Fuentedeprrafopredeter"/>
    <w:uiPriority w:val="21"/>
    <w:qFormat/>
    <w:rsid w:val="000C5F0A"/>
    <w:rPr>
      <w:b/>
      <w:bCs/>
      <w:i/>
      <w:iCs/>
      <w:color w:val="4F81BD" w:themeColor="accent1"/>
    </w:rPr>
  </w:style>
  <w:style w:type="character" w:styleId="Referenciasutil">
    <w:name w:val="Subtle Reference"/>
    <w:basedOn w:val="Fuentedeprrafopredeter"/>
    <w:uiPriority w:val="31"/>
    <w:qFormat/>
    <w:rsid w:val="000C5F0A"/>
    <w:rPr>
      <w:smallCaps/>
      <w:color w:val="C0504D" w:themeColor="accent2"/>
      <w:u w:val="single"/>
    </w:rPr>
  </w:style>
  <w:style w:type="character" w:styleId="Referenciaintensa">
    <w:name w:val="Intense Reference"/>
    <w:basedOn w:val="Fuentedeprrafopredeter"/>
    <w:uiPriority w:val="32"/>
    <w:qFormat/>
    <w:rsid w:val="000C5F0A"/>
    <w:rPr>
      <w:b/>
      <w:bCs/>
      <w:smallCaps/>
      <w:color w:val="C0504D" w:themeColor="accent2"/>
      <w:spacing w:val="5"/>
      <w:u w:val="single"/>
    </w:rPr>
  </w:style>
  <w:style w:type="character" w:customStyle="1" w:styleId="EncabezadoCar">
    <w:name w:val="Encabezado Car"/>
    <w:basedOn w:val="Fuentedeprrafopredeter"/>
    <w:link w:val="Encabezado"/>
    <w:uiPriority w:val="99"/>
    <w:rsid w:val="000C5F0A"/>
    <w:rPr>
      <w:bCs/>
      <w:caps/>
      <w:sz w:val="14"/>
      <w:szCs w:val="12"/>
      <w:lang w:val="eu-ES" w:eastAsia="en-US"/>
    </w:rPr>
  </w:style>
  <w:style w:type="paragraph" w:styleId="Textoindependiente3">
    <w:name w:val="Body Text 3"/>
    <w:basedOn w:val="Normal"/>
    <w:link w:val="Textoindependiente3Car"/>
    <w:rsid w:val="000C5F0A"/>
    <w:pPr>
      <w:spacing w:after="120"/>
    </w:pPr>
    <w:rPr>
      <w:sz w:val="16"/>
      <w:szCs w:val="16"/>
    </w:rPr>
  </w:style>
  <w:style w:type="character" w:customStyle="1" w:styleId="Textoindependiente3Car">
    <w:name w:val="Texto independiente 3 Car"/>
    <w:basedOn w:val="Fuentedeprrafopredeter"/>
    <w:link w:val="Textoindependiente3"/>
    <w:rsid w:val="000C5F0A"/>
    <w:rPr>
      <w:sz w:val="16"/>
      <w:szCs w:val="16"/>
      <w:lang w:val="eu-ES" w:eastAsia="en-US"/>
    </w:rPr>
  </w:style>
  <w:style w:type="paragraph" w:styleId="Textosinformato">
    <w:name w:val="Plain Text"/>
    <w:basedOn w:val="Normal"/>
    <w:link w:val="TextosinformatoCar"/>
    <w:uiPriority w:val="99"/>
    <w:unhideWhenUsed/>
    <w:rsid w:val="000C5F0A"/>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0C5F0A"/>
    <w:rPr>
      <w:rFonts w:ascii="Calibri" w:eastAsiaTheme="minorHAnsi" w:hAnsi="Calibri" w:cstheme="minorBidi"/>
      <w:sz w:val="22"/>
      <w:szCs w:val="21"/>
      <w:lang w:eastAsia="en-US"/>
    </w:rPr>
  </w:style>
  <w:style w:type="paragraph" w:customStyle="1" w:styleId="cuatitul">
    <w:name w:val="cuatitul"/>
    <w:basedOn w:val="Normal"/>
    <w:rsid w:val="000C5F0A"/>
    <w:pPr>
      <w:spacing w:after="60"/>
      <w:ind w:firstLine="0"/>
      <w:jc w:val="center"/>
    </w:pPr>
    <w:rPr>
      <w:rFonts w:ascii="GillSans" w:hAnsi="GillSans"/>
      <w:sz w:val="22"/>
      <w:lang w:eastAsia="es-ES"/>
    </w:rPr>
  </w:style>
  <w:style w:type="paragraph" w:customStyle="1" w:styleId="Tabla">
    <w:name w:val="Tabla"/>
    <w:basedOn w:val="Normal"/>
    <w:rsid w:val="000C5F0A"/>
    <w:pPr>
      <w:spacing w:after="0"/>
      <w:ind w:firstLine="0"/>
    </w:pPr>
    <w:rPr>
      <w:rFonts w:ascii="Arial" w:hAnsi="Arial"/>
      <w:sz w:val="16"/>
      <w:lang w:eastAsia="es-ES"/>
    </w:rPr>
  </w:style>
  <w:style w:type="character" w:customStyle="1" w:styleId="atitulo3Car">
    <w:name w:val="atitulo3 Car"/>
    <w:link w:val="atitulo3"/>
    <w:rsid w:val="000C5F0A"/>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0C5F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0C5F0A"/>
    <w:pPr>
      <w:spacing w:after="240"/>
      <w:ind w:left="300" w:right="75" w:firstLine="0"/>
    </w:pPr>
    <w:rPr>
      <w:sz w:val="24"/>
      <w:szCs w:val="24"/>
      <w:lang w:eastAsia="es-ES"/>
    </w:rPr>
  </w:style>
  <w:style w:type="character" w:customStyle="1" w:styleId="st1">
    <w:name w:val="st1"/>
    <w:basedOn w:val="Fuentedeprrafopredeter"/>
    <w:rsid w:val="000C5F0A"/>
  </w:style>
  <w:style w:type="character" w:customStyle="1" w:styleId="apple-converted-space">
    <w:name w:val="apple-converted-space"/>
    <w:basedOn w:val="Fuentedeprrafopredeter"/>
    <w:rsid w:val="000C5F0A"/>
  </w:style>
  <w:style w:type="paragraph" w:customStyle="1" w:styleId="Retorno">
    <w:name w:val="Retorno"/>
    <w:basedOn w:val="Normal"/>
    <w:rsid w:val="000C5F0A"/>
    <w:pPr>
      <w:spacing w:after="0" w:line="360" w:lineRule="auto"/>
      <w:ind w:firstLine="0"/>
      <w:jc w:val="left"/>
    </w:pPr>
    <w:rPr>
      <w:sz w:val="22"/>
      <w:lang w:eastAsia="es-ES"/>
    </w:rPr>
  </w:style>
  <w:style w:type="paragraph" w:customStyle="1" w:styleId="Titulocuadro">
    <w:name w:val="Titulocuadro"/>
    <w:basedOn w:val="texto"/>
    <w:qFormat/>
    <w:rsid w:val="000C5F0A"/>
    <w:pPr>
      <w:tabs>
        <w:tab w:val="num" w:pos="284"/>
        <w:tab w:val="num" w:pos="720"/>
      </w:tabs>
    </w:pPr>
    <w:rPr>
      <w:i/>
      <w:szCs w:val="26"/>
      <w:lang w:eastAsia="es-ES"/>
    </w:rPr>
  </w:style>
  <w:style w:type="paragraph" w:customStyle="1" w:styleId="txt">
    <w:name w:val="txt"/>
    <w:basedOn w:val="Normal"/>
    <w:rsid w:val="000C5F0A"/>
    <w:pPr>
      <w:spacing w:before="100" w:beforeAutospacing="1" w:after="100" w:afterAutospacing="1" w:line="300" w:lineRule="atLeast"/>
      <w:ind w:firstLine="0"/>
    </w:pPr>
    <w:rPr>
      <w:rFonts w:ascii="Arial" w:hAnsi="Arial" w:cs="Arial"/>
      <w:color w:val="122329"/>
      <w:sz w:val="17"/>
      <w:szCs w:val="17"/>
      <w:lang w:eastAsia="es-ES"/>
    </w:rPr>
  </w:style>
  <w:style w:type="character" w:customStyle="1" w:styleId="txt1">
    <w:name w:val="txt1"/>
    <w:basedOn w:val="Fuentedeprrafopredeter"/>
    <w:rsid w:val="000C5F0A"/>
    <w:rPr>
      <w:rFonts w:ascii="Arial" w:hAnsi="Arial" w:cs="Arial" w:hint="default"/>
      <w:color w:val="122329"/>
      <w:sz w:val="17"/>
      <w:szCs w:val="17"/>
    </w:rPr>
  </w:style>
  <w:style w:type="character" w:customStyle="1" w:styleId="cuerpo1">
    <w:name w:val="cuerpo1"/>
    <w:basedOn w:val="Fuentedeprrafopredeter"/>
    <w:rsid w:val="000C5F0A"/>
    <w:rPr>
      <w:rFonts w:ascii="Arial" w:hAnsi="Arial" w:cs="Arial" w:hint="default"/>
      <w:sz w:val="18"/>
      <w:szCs w:val="18"/>
    </w:rPr>
  </w:style>
  <w:style w:type="table" w:customStyle="1" w:styleId="TableNormal">
    <w:name w:val="Table Normal"/>
    <w:uiPriority w:val="2"/>
    <w:semiHidden/>
    <w:unhideWhenUsed/>
    <w:qFormat/>
    <w:rsid w:val="000C5F0A"/>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rsid w:val="00572525"/>
    <w:pPr>
      <w:spacing w:after="120"/>
      <w:ind w:left="283"/>
    </w:pPr>
  </w:style>
  <w:style w:type="character" w:customStyle="1" w:styleId="SangradetextonormalCar">
    <w:name w:val="Sangría de texto normal Car"/>
    <w:basedOn w:val="Fuentedeprrafopredeter"/>
    <w:link w:val="Sangradetextonormal"/>
    <w:rsid w:val="00572525"/>
    <w:rPr>
      <w:lang w:val="eu-ES" w:eastAsia="en-US"/>
    </w:rPr>
  </w:style>
  <w:style w:type="paragraph" w:styleId="Sangra3detindependiente">
    <w:name w:val="Body Text Indent 3"/>
    <w:basedOn w:val="Normal"/>
    <w:link w:val="Sangra3detindependienteCar"/>
    <w:rsid w:val="007A0126"/>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A0126"/>
    <w:rPr>
      <w:sz w:val="16"/>
      <w:szCs w:val="16"/>
      <w:lang w:val="eu-ES" w:eastAsia="en-US"/>
    </w:rPr>
  </w:style>
  <w:style w:type="table" w:customStyle="1" w:styleId="Tablaconcuadrcula3">
    <w:name w:val="Tabla con cuadrícula3"/>
    <w:basedOn w:val="Tablanormal"/>
    <w:next w:val="Tablaconcuadrcula"/>
    <w:uiPriority w:val="59"/>
    <w:rsid w:val="002D0F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semiHidden="1" w:uiPriority="99" w:unhideWhenUsed="1" w:qFormat="1"/>
    <w:lsdException w:name="heading 5" w:uiPriority="99"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AE7658"/>
    <w:pPr>
      <w:spacing w:after="140"/>
      <w:ind w:firstLine="567"/>
      <w:jc w:val="both"/>
    </w:pPr>
    <w:rPr>
      <w:lang w:eastAsia="en-US"/>
    </w:rPr>
  </w:style>
  <w:style w:type="paragraph" w:styleId="Ttulo1">
    <w:name w:val="heading 1"/>
    <w:basedOn w:val="Normal"/>
    <w:next w:val="Normal"/>
    <w:link w:val="Ttulo1Car"/>
    <w:uiPriority w:val="99"/>
    <w:qFormat/>
    <w:rsid w:val="001C3A32"/>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1C3A32"/>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rsid w:val="001C3A32"/>
    <w:pPr>
      <w:keepNext/>
      <w:spacing w:before="240" w:after="60"/>
      <w:outlineLvl w:val="2"/>
    </w:pPr>
    <w:rPr>
      <w:rFonts w:ascii="Arial" w:hAnsi="Arial" w:cs="Arial"/>
      <w:b/>
      <w:bCs/>
      <w:szCs w:val="26"/>
    </w:rPr>
  </w:style>
  <w:style w:type="paragraph" w:styleId="Ttulo4">
    <w:name w:val="heading 4"/>
    <w:basedOn w:val="Normal"/>
    <w:next w:val="Normal"/>
    <w:link w:val="Ttulo4Car"/>
    <w:uiPriority w:val="99"/>
    <w:qFormat/>
    <w:rsid w:val="000C5F0A"/>
    <w:pPr>
      <w:keepNext/>
      <w:spacing w:before="240" w:after="60"/>
      <w:outlineLvl w:val="3"/>
    </w:pPr>
    <w:rPr>
      <w:b/>
      <w:bCs/>
      <w:sz w:val="28"/>
      <w:szCs w:val="28"/>
    </w:rPr>
  </w:style>
  <w:style w:type="paragraph" w:styleId="Ttulo5">
    <w:name w:val="heading 5"/>
    <w:basedOn w:val="Normal"/>
    <w:next w:val="Normal"/>
    <w:link w:val="Ttulo5Car"/>
    <w:uiPriority w:val="99"/>
    <w:qFormat/>
    <w:rsid w:val="001C3A32"/>
    <w:pPr>
      <w:keepNext/>
      <w:tabs>
        <w:tab w:val="left" w:pos="7200"/>
      </w:tabs>
      <w:spacing w:after="0"/>
      <w:ind w:right="44" w:firstLine="0"/>
      <w:jc w:val="center"/>
      <w:outlineLvl w:val="4"/>
    </w:pPr>
    <w:rPr>
      <w:b/>
      <w:sz w:val="28"/>
    </w:rPr>
  </w:style>
  <w:style w:type="paragraph" w:styleId="Ttulo7">
    <w:name w:val="heading 7"/>
    <w:basedOn w:val="Normal"/>
    <w:next w:val="Normal"/>
    <w:link w:val="Ttulo7Car"/>
    <w:uiPriority w:val="99"/>
    <w:qFormat/>
    <w:rsid w:val="000C5F0A"/>
    <w:pPr>
      <w:keepNext/>
      <w:spacing w:after="0"/>
      <w:ind w:firstLine="0"/>
      <w:jc w:val="center"/>
      <w:outlineLvl w:val="6"/>
    </w:pPr>
    <w:rPr>
      <w:sz w:val="5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2"/>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qFormat/>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4B2F01"/>
    <w:pPr>
      <w:spacing w:before="0" w:after="240"/>
      <w:ind w:firstLine="0"/>
      <w:outlineLvl w:val="9"/>
    </w:pPr>
    <w:rPr>
      <w:rFonts w:cs="Times New Roman"/>
      <w:bCs w:val="0"/>
      <w:color w:val="000000"/>
      <w:kern w:val="28"/>
      <w:sz w:val="25"/>
      <w:szCs w:val="26"/>
    </w:rPr>
  </w:style>
  <w:style w:type="paragraph" w:customStyle="1" w:styleId="atitulo2">
    <w:name w:val="atitulo2"/>
    <w:basedOn w:val="atitulo1"/>
    <w:link w:val="atitulo2Car"/>
    <w:qFormat/>
    <w:rsid w:val="004B2F01"/>
    <w:rPr>
      <w:b w:val="0"/>
      <w:bCs/>
      <w:iCs/>
      <w:spacing w:val="10"/>
    </w:rPr>
  </w:style>
  <w:style w:type="paragraph" w:customStyle="1" w:styleId="atitulo3">
    <w:name w:val="atitulo3"/>
    <w:basedOn w:val="atitulo2"/>
    <w:link w:val="atitulo3Car"/>
    <w:qFormat/>
    <w:rsid w:val="004B2F01"/>
    <w:rPr>
      <w:bCs w:val="0"/>
      <w:i/>
    </w:rPr>
  </w:style>
  <w:style w:type="paragraph" w:styleId="TDC1">
    <w:name w:val="toc 1"/>
    <w:basedOn w:val="Normal"/>
    <w:next w:val="Normal"/>
    <w:autoRedefine/>
    <w:uiPriority w:val="39"/>
    <w:rsid w:val="000C5F0A"/>
    <w:pPr>
      <w:tabs>
        <w:tab w:val="right" w:leader="dot" w:pos="8930"/>
      </w:tabs>
      <w:spacing w:before="60" w:after="80"/>
      <w:ind w:firstLine="0"/>
      <w:jc w:val="left"/>
    </w:pPr>
    <w:rPr>
      <w:rFonts w:ascii="Arial Narrow" w:hAnsi="Arial Narrow"/>
      <w:smallCaps/>
      <w:sz w:val="22"/>
    </w:rPr>
  </w:style>
  <w:style w:type="paragraph" w:styleId="TDC2">
    <w:name w:val="toc 2"/>
    <w:basedOn w:val="Normal"/>
    <w:next w:val="Normal"/>
    <w:autoRedefine/>
    <w:uiPriority w:val="39"/>
    <w:rsid w:val="000C5F0A"/>
    <w:pPr>
      <w:tabs>
        <w:tab w:val="right" w:leader="dot" w:pos="8930"/>
      </w:tabs>
      <w:spacing w:after="0"/>
      <w:ind w:left="378" w:firstLine="0"/>
      <w:jc w:val="left"/>
    </w:pPr>
    <w:rPr>
      <w:rFonts w:ascii="Arial Narrow" w:hAnsi="Arial Narrow"/>
      <w:sz w:val="22"/>
    </w:rPr>
  </w:style>
  <w:style w:type="paragraph" w:styleId="Textodeglobo">
    <w:name w:val="Balloon Text"/>
    <w:basedOn w:val="Normal"/>
    <w:link w:val="TextodegloboCar"/>
    <w:semiHidden/>
    <w:rsid w:val="000A4697"/>
    <w:rPr>
      <w:rFonts w:ascii="Tahoma" w:hAnsi="Tahoma" w:cs="Tahoma"/>
      <w:sz w:val="16"/>
      <w:szCs w:val="16"/>
    </w:rPr>
  </w:style>
  <w:style w:type="paragraph" w:styleId="Encabezado">
    <w:name w:val="header"/>
    <w:basedOn w:val="Epgrafe"/>
    <w:link w:val="EncabezadoCar"/>
    <w:uiPriority w:val="99"/>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uiPriority w:val="99"/>
    <w:rsid w:val="001D4F09"/>
    <w:pPr>
      <w:tabs>
        <w:tab w:val="center" w:pos="4252"/>
        <w:tab w:val="right" w:pos="8504"/>
      </w:tabs>
      <w:spacing w:after="80"/>
      <w:ind w:firstLine="0"/>
    </w:pPr>
    <w:rPr>
      <w:sz w:val="20"/>
      <w:szCs w:val="20"/>
    </w:rPr>
  </w:style>
  <w:style w:type="character" w:styleId="Nmerodepgina">
    <w:name w:val="page number"/>
    <w:uiPriority w:val="99"/>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uiPriority w:val="99"/>
    <w:qFormat/>
    <w:rsid w:val="00891D73"/>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qFormat/>
    <w:rsid w:val="001D4F09"/>
    <w:rPr>
      <w:spacing w:val="6"/>
      <w:sz w:val="26"/>
      <w:szCs w:val="24"/>
      <w:lang w:val="eu-ES" w:eastAsia="en-US" w:bidi="ar-SA"/>
    </w:rPr>
  </w:style>
  <w:style w:type="paragraph" w:customStyle="1" w:styleId="atitulo4">
    <w:name w:val="atitulo4"/>
    <w:basedOn w:val="atitulo3"/>
    <w:uiPriority w:val="99"/>
    <w:qFormat/>
    <w:rsid w:val="001D4F09"/>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uiPriority w:val="59"/>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qFormat/>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4Car">
    <w:name w:val="Título 4 Car"/>
    <w:basedOn w:val="Fuentedeprrafopredeter"/>
    <w:link w:val="Ttulo4"/>
    <w:uiPriority w:val="99"/>
    <w:rsid w:val="000C5F0A"/>
    <w:rPr>
      <w:b/>
      <w:bCs/>
      <w:sz w:val="28"/>
      <w:szCs w:val="28"/>
      <w:lang w:val="eu-ES" w:eastAsia="en-US"/>
    </w:rPr>
  </w:style>
  <w:style w:type="character" w:customStyle="1" w:styleId="Ttulo7Car">
    <w:name w:val="Título 7 Car"/>
    <w:basedOn w:val="Fuentedeprrafopredeter"/>
    <w:link w:val="Ttulo7"/>
    <w:uiPriority w:val="99"/>
    <w:rsid w:val="000C5F0A"/>
    <w:rPr>
      <w:sz w:val="52"/>
    </w:rPr>
  </w:style>
  <w:style w:type="character" w:customStyle="1" w:styleId="atitulo2Car">
    <w:name w:val="atitulo2 Car"/>
    <w:link w:val="atitulo2"/>
    <w:rsid w:val="000C5F0A"/>
    <w:rPr>
      <w:rFonts w:ascii="Arial" w:hAnsi="Arial"/>
      <w:bCs/>
      <w:iCs/>
      <w:color w:val="000000"/>
      <w:spacing w:val="10"/>
      <w:kern w:val="28"/>
      <w:sz w:val="25"/>
      <w:szCs w:val="26"/>
      <w:lang w:val="eu-ES" w:eastAsia="en-US"/>
    </w:rPr>
  </w:style>
  <w:style w:type="paragraph" w:customStyle="1" w:styleId="Estndar">
    <w:name w:val="Estándar"/>
    <w:rsid w:val="000C5F0A"/>
    <w:pPr>
      <w:snapToGrid w:val="0"/>
    </w:pPr>
    <w:rPr>
      <w:rFonts w:ascii="CG Omega" w:hAnsi="CG Omega"/>
      <w:color w:val="000000"/>
      <w:sz w:val="22"/>
    </w:rPr>
  </w:style>
  <w:style w:type="paragraph" w:customStyle="1" w:styleId="tabla10">
    <w:name w:val="tabla10"/>
    <w:rsid w:val="000C5F0A"/>
    <w:pPr>
      <w:tabs>
        <w:tab w:val="left" w:pos="567"/>
        <w:tab w:val="left" w:pos="1134"/>
      </w:tabs>
      <w:snapToGrid w:val="0"/>
    </w:pPr>
    <w:rPr>
      <w:rFonts w:ascii="CG Times" w:hAnsi="CG Times"/>
      <w:color w:val="000000"/>
    </w:rPr>
  </w:style>
  <w:style w:type="paragraph" w:styleId="NormalWeb">
    <w:name w:val="Normal (Web)"/>
    <w:basedOn w:val="Normal"/>
    <w:uiPriority w:val="99"/>
    <w:rsid w:val="000C5F0A"/>
    <w:pPr>
      <w:spacing w:before="100" w:beforeAutospacing="1" w:after="100" w:afterAutospacing="1"/>
      <w:ind w:firstLine="0"/>
    </w:pPr>
    <w:rPr>
      <w:rFonts w:ascii="Verdana" w:hAnsi="Verdana"/>
      <w:sz w:val="13"/>
      <w:szCs w:val="13"/>
      <w:lang w:eastAsia="es-ES"/>
    </w:rPr>
  </w:style>
  <w:style w:type="paragraph" w:styleId="Textocomentario">
    <w:name w:val="annotation text"/>
    <w:basedOn w:val="Normal"/>
    <w:link w:val="TextocomentarioCar"/>
    <w:rsid w:val="000C5F0A"/>
  </w:style>
  <w:style w:type="character" w:customStyle="1" w:styleId="TextocomentarioCar">
    <w:name w:val="Texto comentario Car"/>
    <w:basedOn w:val="Fuentedeprrafopredeter"/>
    <w:link w:val="Textocomentario"/>
    <w:rsid w:val="000C5F0A"/>
    <w:rPr>
      <w:lang w:val="eu-ES" w:eastAsia="en-US"/>
    </w:rPr>
  </w:style>
  <w:style w:type="paragraph" w:styleId="Asuntodelcomentario">
    <w:name w:val="annotation subject"/>
    <w:basedOn w:val="Textocomentario"/>
    <w:next w:val="Textocomentario"/>
    <w:link w:val="AsuntodelcomentarioCar"/>
    <w:rsid w:val="000C5F0A"/>
    <w:rPr>
      <w:b/>
      <w:bCs/>
    </w:rPr>
  </w:style>
  <w:style w:type="character" w:customStyle="1" w:styleId="AsuntodelcomentarioCar">
    <w:name w:val="Asunto del comentario Car"/>
    <w:basedOn w:val="TextocomentarioCar"/>
    <w:link w:val="Asuntodelcomentario"/>
    <w:rsid w:val="000C5F0A"/>
    <w:rPr>
      <w:b/>
      <w:bCs/>
      <w:lang w:val="eu-ES" w:eastAsia="en-US"/>
    </w:rPr>
  </w:style>
  <w:style w:type="paragraph" w:styleId="Mapadeldocumento">
    <w:name w:val="Document Map"/>
    <w:basedOn w:val="Normal"/>
    <w:link w:val="MapadeldocumentoCar"/>
    <w:rsid w:val="000C5F0A"/>
    <w:pPr>
      <w:shd w:val="clear" w:color="auto" w:fill="000080"/>
    </w:pPr>
    <w:rPr>
      <w:rFonts w:ascii="Tahoma" w:hAnsi="Tahoma" w:cs="Tahoma"/>
    </w:rPr>
  </w:style>
  <w:style w:type="character" w:customStyle="1" w:styleId="MapadeldocumentoCar">
    <w:name w:val="Mapa del documento Car"/>
    <w:basedOn w:val="Fuentedeprrafopredeter"/>
    <w:link w:val="Mapadeldocumento"/>
    <w:rsid w:val="000C5F0A"/>
    <w:rPr>
      <w:rFonts w:ascii="Tahoma" w:hAnsi="Tahoma" w:cs="Tahoma"/>
      <w:shd w:val="clear" w:color="auto" w:fill="000080"/>
      <w:lang w:val="eu-ES" w:eastAsia="en-US"/>
    </w:rPr>
  </w:style>
  <w:style w:type="paragraph" w:styleId="Textonotapie">
    <w:name w:val="footnote text"/>
    <w:basedOn w:val="Normal"/>
    <w:link w:val="TextonotapieCar"/>
    <w:uiPriority w:val="99"/>
    <w:rsid w:val="000C5F0A"/>
  </w:style>
  <w:style w:type="character" w:customStyle="1" w:styleId="TextonotapieCar">
    <w:name w:val="Texto nota pie Car"/>
    <w:basedOn w:val="Fuentedeprrafopredeter"/>
    <w:link w:val="Textonotapie"/>
    <w:uiPriority w:val="99"/>
    <w:rsid w:val="000C5F0A"/>
    <w:rPr>
      <w:lang w:val="eu-ES" w:eastAsia="en-US"/>
    </w:rPr>
  </w:style>
  <w:style w:type="character" w:styleId="Refdenotaalpie">
    <w:name w:val="footnote reference"/>
    <w:uiPriority w:val="99"/>
    <w:rsid w:val="000C5F0A"/>
    <w:rPr>
      <w:vertAlign w:val="superscript"/>
    </w:rPr>
  </w:style>
  <w:style w:type="paragraph" w:styleId="Prrafodelista">
    <w:name w:val="List Paragraph"/>
    <w:basedOn w:val="Normal"/>
    <w:uiPriority w:val="34"/>
    <w:qFormat/>
    <w:rsid w:val="000C5F0A"/>
    <w:pPr>
      <w:ind w:left="720"/>
      <w:contextualSpacing/>
    </w:pPr>
  </w:style>
  <w:style w:type="character" w:customStyle="1" w:styleId="PiedepginaCar">
    <w:name w:val="Pie de página Car"/>
    <w:basedOn w:val="Fuentedeprrafopredeter"/>
    <w:link w:val="Piedepgina"/>
    <w:uiPriority w:val="99"/>
    <w:rsid w:val="000C5F0A"/>
    <w:rPr>
      <w:spacing w:val="6"/>
      <w:lang w:val="eu-ES" w:eastAsia="en-US"/>
    </w:rPr>
  </w:style>
  <w:style w:type="character" w:customStyle="1" w:styleId="atitulo1Car">
    <w:name w:val="atitulo1 Car"/>
    <w:link w:val="atitulo1"/>
    <w:uiPriority w:val="99"/>
    <w:rsid w:val="000C5F0A"/>
    <w:rPr>
      <w:rFonts w:ascii="Arial" w:hAnsi="Arial"/>
      <w:b/>
      <w:color w:val="000000"/>
      <w:kern w:val="28"/>
      <w:sz w:val="25"/>
      <w:szCs w:val="26"/>
      <w:lang w:val="eu-ES" w:eastAsia="en-US"/>
    </w:rPr>
  </w:style>
  <w:style w:type="paragraph" w:customStyle="1" w:styleId="Default">
    <w:name w:val="Default"/>
    <w:rsid w:val="000C5F0A"/>
    <w:pPr>
      <w:autoSpaceDE w:val="0"/>
      <w:autoSpaceDN w:val="0"/>
      <w:adjustRightInd w:val="0"/>
    </w:pPr>
    <w:rPr>
      <w:rFonts w:ascii="Arial" w:hAnsi="Arial" w:cs="Arial"/>
      <w:color w:val="000000"/>
      <w:sz w:val="24"/>
      <w:szCs w:val="24"/>
    </w:rPr>
  </w:style>
  <w:style w:type="paragraph" w:customStyle="1" w:styleId="foral-f-parrafo-c">
    <w:name w:val="foral-f-parrafo-c"/>
    <w:basedOn w:val="Default"/>
    <w:next w:val="Default"/>
    <w:uiPriority w:val="99"/>
    <w:rsid w:val="000C5F0A"/>
    <w:rPr>
      <w:color w:val="auto"/>
    </w:rPr>
  </w:style>
  <w:style w:type="paragraph" w:styleId="Textoindependiente">
    <w:name w:val="Body Text"/>
    <w:basedOn w:val="Normal"/>
    <w:link w:val="TextoindependienteCar"/>
    <w:rsid w:val="000C5F0A"/>
    <w:pPr>
      <w:spacing w:after="120"/>
      <w:ind w:firstLine="709"/>
    </w:pPr>
    <w:rPr>
      <w:rFonts w:ascii="Arial" w:hAnsi="Arial"/>
      <w:sz w:val="24"/>
      <w:lang w:eastAsia="es-ES"/>
    </w:rPr>
  </w:style>
  <w:style w:type="character" w:customStyle="1" w:styleId="TextoindependienteCar">
    <w:name w:val="Texto independiente Car"/>
    <w:basedOn w:val="Fuentedeprrafopredeter"/>
    <w:link w:val="Textoindependiente"/>
    <w:rsid w:val="000C5F0A"/>
    <w:rPr>
      <w:rFonts w:ascii="Arial" w:hAnsi="Arial"/>
      <w:sz w:val="24"/>
      <w:lang w:val="eu-ES"/>
    </w:rPr>
  </w:style>
  <w:style w:type="paragraph" w:customStyle="1" w:styleId="Pa7">
    <w:name w:val="Pa7"/>
    <w:basedOn w:val="Default"/>
    <w:next w:val="Default"/>
    <w:uiPriority w:val="99"/>
    <w:rsid w:val="000C5F0A"/>
    <w:pPr>
      <w:spacing w:line="201" w:lineRule="atLeast"/>
    </w:pPr>
    <w:rPr>
      <w:color w:val="auto"/>
    </w:rPr>
  </w:style>
  <w:style w:type="character" w:customStyle="1" w:styleId="corchete-llamada1">
    <w:name w:val="corchete-llamada1"/>
    <w:basedOn w:val="Fuentedeprrafopredeter"/>
    <w:rsid w:val="000C5F0A"/>
    <w:rPr>
      <w:vanish/>
      <w:webHidden w:val="0"/>
      <w:specVanish w:val="0"/>
    </w:rPr>
  </w:style>
  <w:style w:type="paragraph" w:customStyle="1" w:styleId="xl1">
    <w:name w:val="xl1"/>
    <w:basedOn w:val="Normal"/>
    <w:rsid w:val="000C5F0A"/>
    <w:pPr>
      <w:spacing w:after="240"/>
      <w:ind w:left="300" w:right="75" w:hanging="225"/>
    </w:pPr>
    <w:rPr>
      <w:sz w:val="24"/>
      <w:szCs w:val="24"/>
      <w:lang w:eastAsia="es-ES"/>
    </w:rPr>
  </w:style>
  <w:style w:type="paragraph" w:customStyle="1" w:styleId="xl2">
    <w:name w:val="xl2"/>
    <w:basedOn w:val="Normal"/>
    <w:rsid w:val="000C5F0A"/>
    <w:pPr>
      <w:spacing w:after="240"/>
      <w:ind w:left="525" w:right="75" w:hanging="225"/>
    </w:pPr>
    <w:rPr>
      <w:sz w:val="24"/>
      <w:szCs w:val="24"/>
      <w:lang w:eastAsia="es-ES"/>
    </w:rPr>
  </w:style>
  <w:style w:type="numbering" w:customStyle="1" w:styleId="Sinlista1">
    <w:name w:val="Sin lista1"/>
    <w:next w:val="Sinlista"/>
    <w:uiPriority w:val="99"/>
    <w:semiHidden/>
    <w:unhideWhenUsed/>
    <w:rsid w:val="000C5F0A"/>
  </w:style>
  <w:style w:type="table" w:styleId="Sombreadoclaro">
    <w:name w:val="Light Shading"/>
    <w:aliases w:val="tabla informe"/>
    <w:basedOn w:val="Tablanormal"/>
    <w:uiPriority w:val="60"/>
    <w:rsid w:val="000C5F0A"/>
    <w:rPr>
      <w:rFonts w:ascii="Arial Narrow" w:eastAsiaTheme="minorHAnsi" w:hAnsi="Arial Narrow" w:cstheme="minorBidi"/>
      <w:color w:val="000000" w:themeColor="text1" w:themeShade="BF"/>
      <w:szCs w:val="22"/>
      <w:lang w:eastAsia="en-US"/>
    </w:rPr>
    <w:tblPr>
      <w:tblStyleRowBandSize w:val="1"/>
      <w:tblStyleColBandSize w:val="1"/>
      <w:tblBorders>
        <w:top w:val="single" w:sz="8" w:space="0" w:color="000000" w:themeColor="text1"/>
        <w:bottom w:val="single" w:sz="8" w:space="0" w:color="000000" w:themeColor="text1"/>
      </w:tblBorders>
    </w:tblPr>
    <w:tcPr>
      <w:vAlign w:val="center"/>
    </w:tcPr>
    <w:tblStylePr w:type="firstRow">
      <w:pPr>
        <w:spacing w:before="0" w:after="0" w:line="240" w:lineRule="auto"/>
        <w:jc w:val="right"/>
      </w:pPr>
      <w:rPr>
        <w:rFonts w:ascii="Arial" w:hAnsi="Arial"/>
        <w:b w:val="0"/>
        <w:bCs/>
        <w:sz w:val="18"/>
      </w:rPr>
      <w:tblPr/>
      <w:tcPr>
        <w:shd w:val="clear" w:color="auto" w:fill="8DB3E2" w:themeFill="text2" w:themeFillTint="66"/>
      </w:tcPr>
    </w:tblStylePr>
    <w:tblStylePr w:type="lastRow">
      <w:pPr>
        <w:spacing w:before="0" w:after="0" w:line="240" w:lineRule="auto"/>
        <w:jc w:val="right"/>
      </w:pPr>
      <w:rPr>
        <w:rFonts w:ascii="Arial" w:hAnsi="Arial"/>
        <w:b w:val="0"/>
        <w:bCs/>
        <w:sz w:val="18"/>
      </w:rPr>
      <w:tblPr/>
      <w:tcPr>
        <w:shd w:val="clear" w:color="auto" w:fill="8DB3E2" w:themeFill="text2" w:themeFillTint="66"/>
      </w:tcPr>
    </w:tblStylePr>
    <w:tblStylePr w:type="firstCol">
      <w:pPr>
        <w:jc w:val="left"/>
      </w:pPr>
      <w:rPr>
        <w:b w:val="0"/>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pPr>
        <w:jc w:val="right"/>
      </w:pPr>
      <w:rPr>
        <w:rFonts w:ascii="Arial Narrow" w:hAnsi="Arial Narrow"/>
        <w:b w:val="0"/>
        <w:sz w:val="20"/>
      </w:rPr>
      <w:tblPr/>
      <w:tcPr>
        <w:tcBorders>
          <w:top w:val="single" w:sz="2" w:space="0" w:color="auto"/>
          <w:left w:val="nil"/>
          <w:bottom w:val="single" w:sz="2" w:space="0" w:color="auto"/>
          <w:right w:val="nil"/>
          <w:insideH w:val="nil"/>
          <w:insideV w:val="nil"/>
          <w:tl2br w:val="nil"/>
          <w:tr2bl w:val="nil"/>
        </w:tcBorders>
      </w:tcPr>
    </w:tblStylePr>
    <w:tblStylePr w:type="band2Horz">
      <w:pPr>
        <w:jc w:val="right"/>
      </w:pPr>
      <w:rPr>
        <w:rFonts w:ascii="Arial Narrow" w:hAnsi="Arial Narrow"/>
        <w:b w:val="0"/>
        <w:sz w:val="20"/>
      </w:rPr>
      <w:tblPr/>
      <w:tcPr>
        <w:tcBorders>
          <w:bottom w:val="nil"/>
        </w:tcBorders>
      </w:tcPr>
    </w:tblStylePr>
  </w:style>
  <w:style w:type="table" w:customStyle="1" w:styleId="Tablaconcuadrcula1">
    <w:name w:val="Tabla con cuadrícula1"/>
    <w:basedOn w:val="Tablanormal"/>
    <w:next w:val="Tablaconcuadrcula"/>
    <w:uiPriority w:val="59"/>
    <w:rsid w:val="000C5F0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degloboCar">
    <w:name w:val="Texto de globo Car"/>
    <w:basedOn w:val="Fuentedeprrafopredeter"/>
    <w:link w:val="Textodeglobo"/>
    <w:semiHidden/>
    <w:rsid w:val="000C5F0A"/>
    <w:rPr>
      <w:rFonts w:ascii="Tahoma" w:hAnsi="Tahoma" w:cs="Tahoma"/>
      <w:sz w:val="16"/>
      <w:szCs w:val="16"/>
      <w:lang w:val="eu-ES" w:eastAsia="en-US"/>
    </w:rPr>
  </w:style>
  <w:style w:type="character" w:customStyle="1" w:styleId="Ttulo1Car">
    <w:name w:val="Título 1 Car"/>
    <w:basedOn w:val="Fuentedeprrafopredeter"/>
    <w:link w:val="Ttulo1"/>
    <w:uiPriority w:val="99"/>
    <w:rsid w:val="000C5F0A"/>
    <w:rPr>
      <w:rFonts w:ascii="Arial" w:hAnsi="Arial" w:cs="Arial"/>
      <w:b/>
      <w:bCs/>
      <w:kern w:val="32"/>
      <w:sz w:val="32"/>
      <w:szCs w:val="32"/>
      <w:lang w:val="eu-ES" w:eastAsia="en-US"/>
    </w:rPr>
  </w:style>
  <w:style w:type="character" w:customStyle="1" w:styleId="Ttulo2Car">
    <w:name w:val="Título 2 Car"/>
    <w:basedOn w:val="Fuentedeprrafopredeter"/>
    <w:link w:val="Ttulo2"/>
    <w:uiPriority w:val="99"/>
    <w:rsid w:val="000C5F0A"/>
    <w:rPr>
      <w:rFonts w:ascii="Arial" w:hAnsi="Arial" w:cs="Arial"/>
      <w:b/>
      <w:bCs/>
      <w:i/>
      <w:iCs/>
      <w:sz w:val="28"/>
      <w:szCs w:val="28"/>
      <w:lang w:val="eu-ES" w:eastAsia="en-US"/>
    </w:rPr>
  </w:style>
  <w:style w:type="character" w:customStyle="1" w:styleId="Ttulo3Car">
    <w:name w:val="Título 3 Car"/>
    <w:basedOn w:val="Fuentedeprrafopredeter"/>
    <w:link w:val="Ttulo3"/>
    <w:uiPriority w:val="99"/>
    <w:rsid w:val="000C5F0A"/>
    <w:rPr>
      <w:rFonts w:ascii="Arial" w:hAnsi="Arial" w:cs="Arial"/>
      <w:b/>
      <w:bCs/>
      <w:szCs w:val="26"/>
      <w:lang w:val="eu-ES" w:eastAsia="en-US"/>
    </w:rPr>
  </w:style>
  <w:style w:type="character" w:customStyle="1" w:styleId="Ttulo5Car">
    <w:name w:val="Título 5 Car"/>
    <w:basedOn w:val="Fuentedeprrafopredeter"/>
    <w:link w:val="Ttulo5"/>
    <w:uiPriority w:val="99"/>
    <w:rsid w:val="000C5F0A"/>
    <w:rPr>
      <w:b/>
      <w:sz w:val="28"/>
      <w:lang w:eastAsia="en-US"/>
    </w:rPr>
  </w:style>
  <w:style w:type="paragraph" w:styleId="Ttulo">
    <w:name w:val="Title"/>
    <w:basedOn w:val="Normal"/>
    <w:next w:val="Normal"/>
    <w:link w:val="TtuloCar"/>
    <w:uiPriority w:val="10"/>
    <w:qFormat/>
    <w:rsid w:val="000C5F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0C5F0A"/>
    <w:rPr>
      <w:rFonts w:asciiTheme="majorHAnsi" w:eastAsiaTheme="majorEastAsia" w:hAnsiTheme="majorHAnsi" w:cstheme="majorBidi"/>
      <w:color w:val="17365D" w:themeColor="text2" w:themeShade="BF"/>
      <w:spacing w:val="5"/>
      <w:kern w:val="28"/>
      <w:sz w:val="52"/>
      <w:szCs w:val="52"/>
      <w:lang w:val="eu-ES" w:eastAsia="en-US"/>
    </w:rPr>
  </w:style>
  <w:style w:type="paragraph" w:styleId="Subttulo">
    <w:name w:val="Subtitle"/>
    <w:basedOn w:val="Normal"/>
    <w:next w:val="Normal"/>
    <w:link w:val="SubttuloCar"/>
    <w:uiPriority w:val="11"/>
    <w:qFormat/>
    <w:rsid w:val="000C5F0A"/>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C5F0A"/>
    <w:rPr>
      <w:rFonts w:asciiTheme="majorHAnsi" w:eastAsiaTheme="majorEastAsia" w:hAnsiTheme="majorHAnsi" w:cstheme="majorBidi"/>
      <w:i/>
      <w:iCs/>
      <w:color w:val="4F81BD" w:themeColor="accent1"/>
      <w:spacing w:val="15"/>
      <w:sz w:val="24"/>
      <w:szCs w:val="24"/>
      <w:lang w:val="eu-ES" w:eastAsia="en-US"/>
    </w:rPr>
  </w:style>
  <w:style w:type="character" w:styleId="Textoennegrita">
    <w:name w:val="Strong"/>
    <w:basedOn w:val="Fuentedeprrafopredeter"/>
    <w:uiPriority w:val="22"/>
    <w:qFormat/>
    <w:rsid w:val="000C5F0A"/>
    <w:rPr>
      <w:rFonts w:cs="Times New Roman"/>
      <w:b/>
    </w:rPr>
  </w:style>
  <w:style w:type="character" w:styleId="nfasis">
    <w:name w:val="Emphasis"/>
    <w:basedOn w:val="Fuentedeprrafopredeter"/>
    <w:uiPriority w:val="20"/>
    <w:qFormat/>
    <w:rsid w:val="000C5F0A"/>
    <w:rPr>
      <w:rFonts w:cs="Times New Roman"/>
      <w:i/>
      <w:iCs/>
    </w:rPr>
  </w:style>
  <w:style w:type="paragraph" w:styleId="Cita">
    <w:name w:val="Quote"/>
    <w:basedOn w:val="Normal"/>
    <w:next w:val="Normal"/>
    <w:link w:val="CitaCar"/>
    <w:uiPriority w:val="29"/>
    <w:qFormat/>
    <w:rsid w:val="000C5F0A"/>
    <w:rPr>
      <w:i/>
      <w:iCs/>
      <w:color w:val="000000" w:themeColor="text1"/>
    </w:rPr>
  </w:style>
  <w:style w:type="character" w:customStyle="1" w:styleId="CitaCar">
    <w:name w:val="Cita Car"/>
    <w:basedOn w:val="Fuentedeprrafopredeter"/>
    <w:link w:val="Cita"/>
    <w:uiPriority w:val="29"/>
    <w:rsid w:val="000C5F0A"/>
    <w:rPr>
      <w:i/>
      <w:iCs/>
      <w:color w:val="000000" w:themeColor="text1"/>
      <w:lang w:val="eu-ES" w:eastAsia="en-US"/>
    </w:rPr>
  </w:style>
  <w:style w:type="character" w:styleId="nfasissutil">
    <w:name w:val="Subtle Emphasis"/>
    <w:basedOn w:val="Fuentedeprrafopredeter"/>
    <w:uiPriority w:val="19"/>
    <w:qFormat/>
    <w:rsid w:val="000C5F0A"/>
    <w:rPr>
      <w:i/>
      <w:iCs/>
      <w:color w:val="808080" w:themeColor="text1" w:themeTint="7F"/>
    </w:rPr>
  </w:style>
  <w:style w:type="character" w:styleId="nfasisintenso">
    <w:name w:val="Intense Emphasis"/>
    <w:basedOn w:val="Fuentedeprrafopredeter"/>
    <w:uiPriority w:val="21"/>
    <w:qFormat/>
    <w:rsid w:val="000C5F0A"/>
    <w:rPr>
      <w:b/>
      <w:bCs/>
      <w:i/>
      <w:iCs/>
      <w:color w:val="4F81BD" w:themeColor="accent1"/>
    </w:rPr>
  </w:style>
  <w:style w:type="character" w:styleId="Referenciasutil">
    <w:name w:val="Subtle Reference"/>
    <w:basedOn w:val="Fuentedeprrafopredeter"/>
    <w:uiPriority w:val="31"/>
    <w:qFormat/>
    <w:rsid w:val="000C5F0A"/>
    <w:rPr>
      <w:smallCaps/>
      <w:color w:val="C0504D" w:themeColor="accent2"/>
      <w:u w:val="single"/>
    </w:rPr>
  </w:style>
  <w:style w:type="character" w:styleId="Referenciaintensa">
    <w:name w:val="Intense Reference"/>
    <w:basedOn w:val="Fuentedeprrafopredeter"/>
    <w:uiPriority w:val="32"/>
    <w:qFormat/>
    <w:rsid w:val="000C5F0A"/>
    <w:rPr>
      <w:b/>
      <w:bCs/>
      <w:smallCaps/>
      <w:color w:val="C0504D" w:themeColor="accent2"/>
      <w:spacing w:val="5"/>
      <w:u w:val="single"/>
    </w:rPr>
  </w:style>
  <w:style w:type="character" w:customStyle="1" w:styleId="EncabezadoCar">
    <w:name w:val="Encabezado Car"/>
    <w:basedOn w:val="Fuentedeprrafopredeter"/>
    <w:link w:val="Encabezado"/>
    <w:uiPriority w:val="99"/>
    <w:rsid w:val="000C5F0A"/>
    <w:rPr>
      <w:bCs/>
      <w:caps/>
      <w:sz w:val="14"/>
      <w:szCs w:val="12"/>
      <w:lang w:val="eu-ES" w:eastAsia="en-US"/>
    </w:rPr>
  </w:style>
  <w:style w:type="paragraph" w:styleId="Textoindependiente3">
    <w:name w:val="Body Text 3"/>
    <w:basedOn w:val="Normal"/>
    <w:link w:val="Textoindependiente3Car"/>
    <w:rsid w:val="000C5F0A"/>
    <w:pPr>
      <w:spacing w:after="120"/>
    </w:pPr>
    <w:rPr>
      <w:sz w:val="16"/>
      <w:szCs w:val="16"/>
    </w:rPr>
  </w:style>
  <w:style w:type="character" w:customStyle="1" w:styleId="Textoindependiente3Car">
    <w:name w:val="Texto independiente 3 Car"/>
    <w:basedOn w:val="Fuentedeprrafopredeter"/>
    <w:link w:val="Textoindependiente3"/>
    <w:rsid w:val="000C5F0A"/>
    <w:rPr>
      <w:sz w:val="16"/>
      <w:szCs w:val="16"/>
      <w:lang w:val="eu-ES" w:eastAsia="en-US"/>
    </w:rPr>
  </w:style>
  <w:style w:type="paragraph" w:styleId="Textosinformato">
    <w:name w:val="Plain Text"/>
    <w:basedOn w:val="Normal"/>
    <w:link w:val="TextosinformatoCar"/>
    <w:uiPriority w:val="99"/>
    <w:unhideWhenUsed/>
    <w:rsid w:val="000C5F0A"/>
    <w:pPr>
      <w:spacing w:after="0"/>
      <w:ind w:firstLine="0"/>
      <w:jc w:val="left"/>
    </w:pPr>
    <w:rPr>
      <w:rFonts w:ascii="Calibri" w:eastAsiaTheme="minorHAnsi" w:hAnsi="Calibri" w:cstheme="minorBidi"/>
      <w:sz w:val="22"/>
      <w:szCs w:val="21"/>
    </w:rPr>
  </w:style>
  <w:style w:type="character" w:customStyle="1" w:styleId="TextosinformatoCar">
    <w:name w:val="Texto sin formato Car"/>
    <w:basedOn w:val="Fuentedeprrafopredeter"/>
    <w:link w:val="Textosinformato"/>
    <w:uiPriority w:val="99"/>
    <w:rsid w:val="000C5F0A"/>
    <w:rPr>
      <w:rFonts w:ascii="Calibri" w:eastAsiaTheme="minorHAnsi" w:hAnsi="Calibri" w:cstheme="minorBidi"/>
      <w:sz w:val="22"/>
      <w:szCs w:val="21"/>
      <w:lang w:eastAsia="en-US"/>
    </w:rPr>
  </w:style>
  <w:style w:type="paragraph" w:customStyle="1" w:styleId="cuatitul">
    <w:name w:val="cuatitul"/>
    <w:basedOn w:val="Normal"/>
    <w:rsid w:val="000C5F0A"/>
    <w:pPr>
      <w:spacing w:after="60"/>
      <w:ind w:firstLine="0"/>
      <w:jc w:val="center"/>
    </w:pPr>
    <w:rPr>
      <w:rFonts w:ascii="GillSans" w:hAnsi="GillSans"/>
      <w:sz w:val="22"/>
      <w:lang w:eastAsia="es-ES"/>
    </w:rPr>
  </w:style>
  <w:style w:type="paragraph" w:customStyle="1" w:styleId="Tabla">
    <w:name w:val="Tabla"/>
    <w:basedOn w:val="Normal"/>
    <w:rsid w:val="000C5F0A"/>
    <w:pPr>
      <w:spacing w:after="0"/>
      <w:ind w:firstLine="0"/>
    </w:pPr>
    <w:rPr>
      <w:rFonts w:ascii="Arial" w:hAnsi="Arial"/>
      <w:sz w:val="16"/>
      <w:lang w:eastAsia="es-ES"/>
    </w:rPr>
  </w:style>
  <w:style w:type="character" w:customStyle="1" w:styleId="atitulo3Car">
    <w:name w:val="atitulo3 Car"/>
    <w:link w:val="atitulo3"/>
    <w:rsid w:val="000C5F0A"/>
    <w:rPr>
      <w:rFonts w:ascii="Arial" w:hAnsi="Arial"/>
      <w:i/>
      <w:iCs/>
      <w:color w:val="000000"/>
      <w:spacing w:val="10"/>
      <w:kern w:val="28"/>
      <w:sz w:val="25"/>
      <w:szCs w:val="26"/>
      <w:lang w:val="eu-ES" w:eastAsia="en-US"/>
    </w:rPr>
  </w:style>
  <w:style w:type="table" w:customStyle="1" w:styleId="Tablaconcuadrcula2">
    <w:name w:val="Tabla con cuadrícula2"/>
    <w:basedOn w:val="Tablanormal"/>
    <w:next w:val="Tablaconcuadrcula"/>
    <w:uiPriority w:val="59"/>
    <w:rsid w:val="000C5F0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a1">
    <w:name w:val="xa1"/>
    <w:basedOn w:val="Normal"/>
    <w:rsid w:val="000C5F0A"/>
    <w:pPr>
      <w:spacing w:after="240"/>
      <w:ind w:left="300" w:right="75" w:firstLine="0"/>
    </w:pPr>
    <w:rPr>
      <w:sz w:val="24"/>
      <w:szCs w:val="24"/>
      <w:lang w:eastAsia="es-ES"/>
    </w:rPr>
  </w:style>
  <w:style w:type="character" w:customStyle="1" w:styleId="st1">
    <w:name w:val="st1"/>
    <w:basedOn w:val="Fuentedeprrafopredeter"/>
    <w:rsid w:val="000C5F0A"/>
  </w:style>
  <w:style w:type="character" w:customStyle="1" w:styleId="apple-converted-space">
    <w:name w:val="apple-converted-space"/>
    <w:basedOn w:val="Fuentedeprrafopredeter"/>
    <w:rsid w:val="000C5F0A"/>
  </w:style>
  <w:style w:type="paragraph" w:customStyle="1" w:styleId="Retorno">
    <w:name w:val="Retorno"/>
    <w:basedOn w:val="Normal"/>
    <w:rsid w:val="000C5F0A"/>
    <w:pPr>
      <w:spacing w:after="0" w:line="360" w:lineRule="auto"/>
      <w:ind w:firstLine="0"/>
      <w:jc w:val="left"/>
    </w:pPr>
    <w:rPr>
      <w:sz w:val="22"/>
      <w:lang w:eastAsia="es-ES"/>
    </w:rPr>
  </w:style>
  <w:style w:type="paragraph" w:customStyle="1" w:styleId="Titulocuadro">
    <w:name w:val="Titulocuadro"/>
    <w:basedOn w:val="texto"/>
    <w:qFormat/>
    <w:rsid w:val="000C5F0A"/>
    <w:pPr>
      <w:tabs>
        <w:tab w:val="num" w:pos="284"/>
        <w:tab w:val="num" w:pos="720"/>
      </w:tabs>
    </w:pPr>
    <w:rPr>
      <w:i/>
      <w:szCs w:val="26"/>
      <w:lang w:eastAsia="es-ES"/>
    </w:rPr>
  </w:style>
  <w:style w:type="paragraph" w:customStyle="1" w:styleId="txt">
    <w:name w:val="txt"/>
    <w:basedOn w:val="Normal"/>
    <w:rsid w:val="000C5F0A"/>
    <w:pPr>
      <w:spacing w:before="100" w:beforeAutospacing="1" w:after="100" w:afterAutospacing="1" w:line="300" w:lineRule="atLeast"/>
      <w:ind w:firstLine="0"/>
    </w:pPr>
    <w:rPr>
      <w:rFonts w:ascii="Arial" w:hAnsi="Arial" w:cs="Arial"/>
      <w:color w:val="122329"/>
      <w:sz w:val="17"/>
      <w:szCs w:val="17"/>
      <w:lang w:eastAsia="es-ES"/>
    </w:rPr>
  </w:style>
  <w:style w:type="character" w:customStyle="1" w:styleId="txt1">
    <w:name w:val="txt1"/>
    <w:basedOn w:val="Fuentedeprrafopredeter"/>
    <w:rsid w:val="000C5F0A"/>
    <w:rPr>
      <w:rFonts w:ascii="Arial" w:hAnsi="Arial" w:cs="Arial" w:hint="default"/>
      <w:color w:val="122329"/>
      <w:sz w:val="17"/>
      <w:szCs w:val="17"/>
    </w:rPr>
  </w:style>
  <w:style w:type="character" w:customStyle="1" w:styleId="cuerpo1">
    <w:name w:val="cuerpo1"/>
    <w:basedOn w:val="Fuentedeprrafopredeter"/>
    <w:rsid w:val="000C5F0A"/>
    <w:rPr>
      <w:rFonts w:ascii="Arial" w:hAnsi="Arial" w:cs="Arial" w:hint="default"/>
      <w:sz w:val="18"/>
      <w:szCs w:val="18"/>
    </w:rPr>
  </w:style>
  <w:style w:type="table" w:customStyle="1" w:styleId="TableNormal">
    <w:name w:val="Table Normal"/>
    <w:uiPriority w:val="2"/>
    <w:semiHidden/>
    <w:unhideWhenUsed/>
    <w:qFormat/>
    <w:rsid w:val="000C5F0A"/>
    <w:pPr>
      <w:widowControl w:val="0"/>
    </w:pPr>
    <w:rPr>
      <w:rFonts w:ascii="Calibri" w:eastAsia="Calibri" w:hAnsi="Calibri"/>
      <w:sz w:val="22"/>
      <w:szCs w:val="22"/>
      <w:lang w:eastAsia="en-US"/>
    </w:rPr>
    <w:tblPr>
      <w:tblInd w:w="0" w:type="dxa"/>
      <w:tblCellMar>
        <w:top w:w="0" w:type="dxa"/>
        <w:left w:w="0" w:type="dxa"/>
        <w:bottom w:w="0" w:type="dxa"/>
        <w:right w:w="0" w:type="dxa"/>
      </w:tblCellMar>
    </w:tblPr>
  </w:style>
  <w:style w:type="paragraph" w:styleId="Sangradetextonormal">
    <w:name w:val="Body Text Indent"/>
    <w:basedOn w:val="Normal"/>
    <w:link w:val="SangradetextonormalCar"/>
    <w:rsid w:val="00572525"/>
    <w:pPr>
      <w:spacing w:after="120"/>
      <w:ind w:left="283"/>
    </w:pPr>
  </w:style>
  <w:style w:type="character" w:customStyle="1" w:styleId="SangradetextonormalCar">
    <w:name w:val="Sangría de texto normal Car"/>
    <w:basedOn w:val="Fuentedeprrafopredeter"/>
    <w:link w:val="Sangradetextonormal"/>
    <w:rsid w:val="00572525"/>
    <w:rPr>
      <w:lang w:val="eu-ES" w:eastAsia="en-US"/>
    </w:rPr>
  </w:style>
  <w:style w:type="paragraph" w:styleId="Sangra3detindependiente">
    <w:name w:val="Body Text Indent 3"/>
    <w:basedOn w:val="Normal"/>
    <w:link w:val="Sangra3detindependienteCar"/>
    <w:rsid w:val="007A0126"/>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7A0126"/>
    <w:rPr>
      <w:sz w:val="16"/>
      <w:szCs w:val="16"/>
      <w:lang w:val="eu-ES" w:eastAsia="en-US"/>
    </w:rPr>
  </w:style>
  <w:style w:type="table" w:customStyle="1" w:styleId="Tablaconcuadrcula3">
    <w:name w:val="Tabla con cuadrícula3"/>
    <w:basedOn w:val="Tablanormal"/>
    <w:next w:val="Tablaconcuadrcula"/>
    <w:uiPriority w:val="59"/>
    <w:rsid w:val="002D0F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552">
      <w:bodyDiv w:val="1"/>
      <w:marLeft w:val="0"/>
      <w:marRight w:val="0"/>
      <w:marTop w:val="0"/>
      <w:marBottom w:val="0"/>
      <w:divBdr>
        <w:top w:val="none" w:sz="0" w:space="0" w:color="auto"/>
        <w:left w:val="none" w:sz="0" w:space="0" w:color="auto"/>
        <w:bottom w:val="none" w:sz="0" w:space="0" w:color="auto"/>
        <w:right w:val="none" w:sz="0" w:space="0" w:color="auto"/>
      </w:divBdr>
    </w:div>
    <w:div w:id="76950164">
      <w:bodyDiv w:val="1"/>
      <w:marLeft w:val="0"/>
      <w:marRight w:val="0"/>
      <w:marTop w:val="0"/>
      <w:marBottom w:val="0"/>
      <w:divBdr>
        <w:top w:val="none" w:sz="0" w:space="0" w:color="auto"/>
        <w:left w:val="none" w:sz="0" w:space="0" w:color="auto"/>
        <w:bottom w:val="none" w:sz="0" w:space="0" w:color="auto"/>
        <w:right w:val="none" w:sz="0" w:space="0" w:color="auto"/>
      </w:divBdr>
    </w:div>
    <w:div w:id="126777341">
      <w:bodyDiv w:val="1"/>
      <w:marLeft w:val="0"/>
      <w:marRight w:val="0"/>
      <w:marTop w:val="0"/>
      <w:marBottom w:val="0"/>
      <w:divBdr>
        <w:top w:val="none" w:sz="0" w:space="0" w:color="auto"/>
        <w:left w:val="none" w:sz="0" w:space="0" w:color="auto"/>
        <w:bottom w:val="none" w:sz="0" w:space="0" w:color="auto"/>
        <w:right w:val="none" w:sz="0" w:space="0" w:color="auto"/>
      </w:divBdr>
    </w:div>
    <w:div w:id="128321795">
      <w:bodyDiv w:val="1"/>
      <w:marLeft w:val="0"/>
      <w:marRight w:val="0"/>
      <w:marTop w:val="0"/>
      <w:marBottom w:val="0"/>
      <w:divBdr>
        <w:top w:val="none" w:sz="0" w:space="0" w:color="auto"/>
        <w:left w:val="none" w:sz="0" w:space="0" w:color="auto"/>
        <w:bottom w:val="none" w:sz="0" w:space="0" w:color="auto"/>
        <w:right w:val="none" w:sz="0" w:space="0" w:color="auto"/>
      </w:divBdr>
    </w:div>
    <w:div w:id="146556142">
      <w:bodyDiv w:val="1"/>
      <w:marLeft w:val="0"/>
      <w:marRight w:val="0"/>
      <w:marTop w:val="0"/>
      <w:marBottom w:val="0"/>
      <w:divBdr>
        <w:top w:val="none" w:sz="0" w:space="0" w:color="auto"/>
        <w:left w:val="none" w:sz="0" w:space="0" w:color="auto"/>
        <w:bottom w:val="none" w:sz="0" w:space="0" w:color="auto"/>
        <w:right w:val="none" w:sz="0" w:space="0" w:color="auto"/>
      </w:divBdr>
    </w:div>
    <w:div w:id="201946471">
      <w:bodyDiv w:val="1"/>
      <w:marLeft w:val="0"/>
      <w:marRight w:val="0"/>
      <w:marTop w:val="0"/>
      <w:marBottom w:val="0"/>
      <w:divBdr>
        <w:top w:val="none" w:sz="0" w:space="0" w:color="auto"/>
        <w:left w:val="none" w:sz="0" w:space="0" w:color="auto"/>
        <w:bottom w:val="none" w:sz="0" w:space="0" w:color="auto"/>
        <w:right w:val="none" w:sz="0" w:space="0" w:color="auto"/>
      </w:divBdr>
    </w:div>
    <w:div w:id="300501829">
      <w:bodyDiv w:val="1"/>
      <w:marLeft w:val="0"/>
      <w:marRight w:val="0"/>
      <w:marTop w:val="0"/>
      <w:marBottom w:val="0"/>
      <w:divBdr>
        <w:top w:val="none" w:sz="0" w:space="0" w:color="auto"/>
        <w:left w:val="none" w:sz="0" w:space="0" w:color="auto"/>
        <w:bottom w:val="none" w:sz="0" w:space="0" w:color="auto"/>
        <w:right w:val="none" w:sz="0" w:space="0" w:color="auto"/>
      </w:divBdr>
    </w:div>
    <w:div w:id="434445845">
      <w:bodyDiv w:val="1"/>
      <w:marLeft w:val="0"/>
      <w:marRight w:val="0"/>
      <w:marTop w:val="0"/>
      <w:marBottom w:val="0"/>
      <w:divBdr>
        <w:top w:val="none" w:sz="0" w:space="0" w:color="auto"/>
        <w:left w:val="none" w:sz="0" w:space="0" w:color="auto"/>
        <w:bottom w:val="none" w:sz="0" w:space="0" w:color="auto"/>
        <w:right w:val="none" w:sz="0" w:space="0" w:color="auto"/>
      </w:divBdr>
    </w:div>
    <w:div w:id="479031660">
      <w:bodyDiv w:val="1"/>
      <w:marLeft w:val="0"/>
      <w:marRight w:val="0"/>
      <w:marTop w:val="0"/>
      <w:marBottom w:val="0"/>
      <w:divBdr>
        <w:top w:val="none" w:sz="0" w:space="0" w:color="auto"/>
        <w:left w:val="none" w:sz="0" w:space="0" w:color="auto"/>
        <w:bottom w:val="none" w:sz="0" w:space="0" w:color="auto"/>
        <w:right w:val="none" w:sz="0" w:space="0" w:color="auto"/>
      </w:divBdr>
    </w:div>
    <w:div w:id="484592522">
      <w:bodyDiv w:val="1"/>
      <w:marLeft w:val="0"/>
      <w:marRight w:val="0"/>
      <w:marTop w:val="0"/>
      <w:marBottom w:val="0"/>
      <w:divBdr>
        <w:top w:val="none" w:sz="0" w:space="0" w:color="auto"/>
        <w:left w:val="none" w:sz="0" w:space="0" w:color="auto"/>
        <w:bottom w:val="none" w:sz="0" w:space="0" w:color="auto"/>
        <w:right w:val="none" w:sz="0" w:space="0" w:color="auto"/>
      </w:divBdr>
    </w:div>
    <w:div w:id="501168747">
      <w:bodyDiv w:val="1"/>
      <w:marLeft w:val="0"/>
      <w:marRight w:val="0"/>
      <w:marTop w:val="0"/>
      <w:marBottom w:val="0"/>
      <w:divBdr>
        <w:top w:val="none" w:sz="0" w:space="0" w:color="auto"/>
        <w:left w:val="none" w:sz="0" w:space="0" w:color="auto"/>
        <w:bottom w:val="none" w:sz="0" w:space="0" w:color="auto"/>
        <w:right w:val="none" w:sz="0" w:space="0" w:color="auto"/>
      </w:divBdr>
    </w:div>
    <w:div w:id="624431685">
      <w:bodyDiv w:val="1"/>
      <w:marLeft w:val="0"/>
      <w:marRight w:val="0"/>
      <w:marTop w:val="0"/>
      <w:marBottom w:val="0"/>
      <w:divBdr>
        <w:top w:val="none" w:sz="0" w:space="0" w:color="auto"/>
        <w:left w:val="none" w:sz="0" w:space="0" w:color="auto"/>
        <w:bottom w:val="none" w:sz="0" w:space="0" w:color="auto"/>
        <w:right w:val="none" w:sz="0" w:space="0" w:color="auto"/>
      </w:divBdr>
    </w:div>
    <w:div w:id="651061279">
      <w:bodyDiv w:val="1"/>
      <w:marLeft w:val="0"/>
      <w:marRight w:val="0"/>
      <w:marTop w:val="0"/>
      <w:marBottom w:val="0"/>
      <w:divBdr>
        <w:top w:val="none" w:sz="0" w:space="0" w:color="auto"/>
        <w:left w:val="none" w:sz="0" w:space="0" w:color="auto"/>
        <w:bottom w:val="none" w:sz="0" w:space="0" w:color="auto"/>
        <w:right w:val="none" w:sz="0" w:space="0" w:color="auto"/>
      </w:divBdr>
    </w:div>
    <w:div w:id="748700581">
      <w:bodyDiv w:val="1"/>
      <w:marLeft w:val="0"/>
      <w:marRight w:val="0"/>
      <w:marTop w:val="0"/>
      <w:marBottom w:val="0"/>
      <w:divBdr>
        <w:top w:val="none" w:sz="0" w:space="0" w:color="auto"/>
        <w:left w:val="none" w:sz="0" w:space="0" w:color="auto"/>
        <w:bottom w:val="none" w:sz="0" w:space="0" w:color="auto"/>
        <w:right w:val="none" w:sz="0" w:space="0" w:color="auto"/>
      </w:divBdr>
    </w:div>
    <w:div w:id="926958052">
      <w:bodyDiv w:val="1"/>
      <w:marLeft w:val="0"/>
      <w:marRight w:val="0"/>
      <w:marTop w:val="0"/>
      <w:marBottom w:val="0"/>
      <w:divBdr>
        <w:top w:val="none" w:sz="0" w:space="0" w:color="auto"/>
        <w:left w:val="none" w:sz="0" w:space="0" w:color="auto"/>
        <w:bottom w:val="none" w:sz="0" w:space="0" w:color="auto"/>
        <w:right w:val="none" w:sz="0" w:space="0" w:color="auto"/>
      </w:divBdr>
    </w:div>
    <w:div w:id="927425704">
      <w:bodyDiv w:val="1"/>
      <w:marLeft w:val="0"/>
      <w:marRight w:val="0"/>
      <w:marTop w:val="0"/>
      <w:marBottom w:val="0"/>
      <w:divBdr>
        <w:top w:val="none" w:sz="0" w:space="0" w:color="auto"/>
        <w:left w:val="none" w:sz="0" w:space="0" w:color="auto"/>
        <w:bottom w:val="none" w:sz="0" w:space="0" w:color="auto"/>
        <w:right w:val="none" w:sz="0" w:space="0" w:color="auto"/>
      </w:divBdr>
    </w:div>
    <w:div w:id="1042677842">
      <w:bodyDiv w:val="1"/>
      <w:marLeft w:val="0"/>
      <w:marRight w:val="0"/>
      <w:marTop w:val="0"/>
      <w:marBottom w:val="0"/>
      <w:divBdr>
        <w:top w:val="none" w:sz="0" w:space="0" w:color="auto"/>
        <w:left w:val="none" w:sz="0" w:space="0" w:color="auto"/>
        <w:bottom w:val="none" w:sz="0" w:space="0" w:color="auto"/>
        <w:right w:val="none" w:sz="0" w:space="0" w:color="auto"/>
      </w:divBdr>
    </w:div>
    <w:div w:id="1073891939">
      <w:bodyDiv w:val="1"/>
      <w:marLeft w:val="0"/>
      <w:marRight w:val="0"/>
      <w:marTop w:val="0"/>
      <w:marBottom w:val="0"/>
      <w:divBdr>
        <w:top w:val="none" w:sz="0" w:space="0" w:color="auto"/>
        <w:left w:val="none" w:sz="0" w:space="0" w:color="auto"/>
        <w:bottom w:val="none" w:sz="0" w:space="0" w:color="auto"/>
        <w:right w:val="none" w:sz="0" w:space="0" w:color="auto"/>
      </w:divBdr>
    </w:div>
    <w:div w:id="1137258432">
      <w:bodyDiv w:val="1"/>
      <w:marLeft w:val="0"/>
      <w:marRight w:val="0"/>
      <w:marTop w:val="0"/>
      <w:marBottom w:val="0"/>
      <w:divBdr>
        <w:top w:val="none" w:sz="0" w:space="0" w:color="auto"/>
        <w:left w:val="none" w:sz="0" w:space="0" w:color="auto"/>
        <w:bottom w:val="none" w:sz="0" w:space="0" w:color="auto"/>
        <w:right w:val="none" w:sz="0" w:space="0" w:color="auto"/>
      </w:divBdr>
    </w:div>
    <w:div w:id="1209683841">
      <w:bodyDiv w:val="1"/>
      <w:marLeft w:val="0"/>
      <w:marRight w:val="0"/>
      <w:marTop w:val="0"/>
      <w:marBottom w:val="0"/>
      <w:divBdr>
        <w:top w:val="none" w:sz="0" w:space="0" w:color="auto"/>
        <w:left w:val="none" w:sz="0" w:space="0" w:color="auto"/>
        <w:bottom w:val="none" w:sz="0" w:space="0" w:color="auto"/>
        <w:right w:val="none" w:sz="0" w:space="0" w:color="auto"/>
      </w:divBdr>
    </w:div>
    <w:div w:id="1217349491">
      <w:bodyDiv w:val="1"/>
      <w:marLeft w:val="0"/>
      <w:marRight w:val="0"/>
      <w:marTop w:val="0"/>
      <w:marBottom w:val="0"/>
      <w:divBdr>
        <w:top w:val="none" w:sz="0" w:space="0" w:color="auto"/>
        <w:left w:val="none" w:sz="0" w:space="0" w:color="auto"/>
        <w:bottom w:val="none" w:sz="0" w:space="0" w:color="auto"/>
        <w:right w:val="none" w:sz="0" w:space="0" w:color="auto"/>
      </w:divBdr>
    </w:div>
    <w:div w:id="1276333040">
      <w:bodyDiv w:val="1"/>
      <w:marLeft w:val="0"/>
      <w:marRight w:val="0"/>
      <w:marTop w:val="0"/>
      <w:marBottom w:val="0"/>
      <w:divBdr>
        <w:top w:val="none" w:sz="0" w:space="0" w:color="auto"/>
        <w:left w:val="none" w:sz="0" w:space="0" w:color="auto"/>
        <w:bottom w:val="none" w:sz="0" w:space="0" w:color="auto"/>
        <w:right w:val="none" w:sz="0" w:space="0" w:color="auto"/>
      </w:divBdr>
    </w:div>
    <w:div w:id="1283729738">
      <w:bodyDiv w:val="1"/>
      <w:marLeft w:val="0"/>
      <w:marRight w:val="0"/>
      <w:marTop w:val="0"/>
      <w:marBottom w:val="0"/>
      <w:divBdr>
        <w:top w:val="none" w:sz="0" w:space="0" w:color="auto"/>
        <w:left w:val="none" w:sz="0" w:space="0" w:color="auto"/>
        <w:bottom w:val="none" w:sz="0" w:space="0" w:color="auto"/>
        <w:right w:val="none" w:sz="0" w:space="0" w:color="auto"/>
      </w:divBdr>
    </w:div>
    <w:div w:id="1289244448">
      <w:bodyDiv w:val="1"/>
      <w:marLeft w:val="0"/>
      <w:marRight w:val="0"/>
      <w:marTop w:val="0"/>
      <w:marBottom w:val="0"/>
      <w:divBdr>
        <w:top w:val="none" w:sz="0" w:space="0" w:color="auto"/>
        <w:left w:val="none" w:sz="0" w:space="0" w:color="auto"/>
        <w:bottom w:val="none" w:sz="0" w:space="0" w:color="auto"/>
        <w:right w:val="none" w:sz="0" w:space="0" w:color="auto"/>
      </w:divBdr>
    </w:div>
    <w:div w:id="1437748258">
      <w:bodyDiv w:val="1"/>
      <w:marLeft w:val="0"/>
      <w:marRight w:val="0"/>
      <w:marTop w:val="0"/>
      <w:marBottom w:val="0"/>
      <w:divBdr>
        <w:top w:val="none" w:sz="0" w:space="0" w:color="auto"/>
        <w:left w:val="none" w:sz="0" w:space="0" w:color="auto"/>
        <w:bottom w:val="none" w:sz="0" w:space="0" w:color="auto"/>
        <w:right w:val="none" w:sz="0" w:space="0" w:color="auto"/>
      </w:divBdr>
    </w:div>
    <w:div w:id="1480998840">
      <w:bodyDiv w:val="1"/>
      <w:marLeft w:val="0"/>
      <w:marRight w:val="0"/>
      <w:marTop w:val="0"/>
      <w:marBottom w:val="0"/>
      <w:divBdr>
        <w:top w:val="none" w:sz="0" w:space="0" w:color="auto"/>
        <w:left w:val="none" w:sz="0" w:space="0" w:color="auto"/>
        <w:bottom w:val="none" w:sz="0" w:space="0" w:color="auto"/>
        <w:right w:val="none" w:sz="0" w:space="0" w:color="auto"/>
      </w:divBdr>
    </w:div>
    <w:div w:id="1513448614">
      <w:bodyDiv w:val="1"/>
      <w:marLeft w:val="0"/>
      <w:marRight w:val="0"/>
      <w:marTop w:val="0"/>
      <w:marBottom w:val="0"/>
      <w:divBdr>
        <w:top w:val="none" w:sz="0" w:space="0" w:color="auto"/>
        <w:left w:val="none" w:sz="0" w:space="0" w:color="auto"/>
        <w:bottom w:val="none" w:sz="0" w:space="0" w:color="auto"/>
        <w:right w:val="none" w:sz="0" w:space="0" w:color="auto"/>
      </w:divBdr>
    </w:div>
    <w:div w:id="1631085531">
      <w:bodyDiv w:val="1"/>
      <w:marLeft w:val="0"/>
      <w:marRight w:val="0"/>
      <w:marTop w:val="0"/>
      <w:marBottom w:val="0"/>
      <w:divBdr>
        <w:top w:val="none" w:sz="0" w:space="0" w:color="auto"/>
        <w:left w:val="none" w:sz="0" w:space="0" w:color="auto"/>
        <w:bottom w:val="none" w:sz="0" w:space="0" w:color="auto"/>
        <w:right w:val="none" w:sz="0" w:space="0" w:color="auto"/>
      </w:divBdr>
    </w:div>
    <w:div w:id="1677221937">
      <w:bodyDiv w:val="1"/>
      <w:marLeft w:val="0"/>
      <w:marRight w:val="0"/>
      <w:marTop w:val="0"/>
      <w:marBottom w:val="0"/>
      <w:divBdr>
        <w:top w:val="none" w:sz="0" w:space="0" w:color="auto"/>
        <w:left w:val="none" w:sz="0" w:space="0" w:color="auto"/>
        <w:bottom w:val="none" w:sz="0" w:space="0" w:color="auto"/>
        <w:right w:val="none" w:sz="0" w:space="0" w:color="auto"/>
      </w:divBdr>
    </w:div>
    <w:div w:id="1742018902">
      <w:bodyDiv w:val="1"/>
      <w:marLeft w:val="0"/>
      <w:marRight w:val="0"/>
      <w:marTop w:val="0"/>
      <w:marBottom w:val="0"/>
      <w:divBdr>
        <w:top w:val="none" w:sz="0" w:space="0" w:color="auto"/>
        <w:left w:val="none" w:sz="0" w:space="0" w:color="auto"/>
        <w:bottom w:val="none" w:sz="0" w:space="0" w:color="auto"/>
        <w:right w:val="none" w:sz="0" w:space="0" w:color="auto"/>
      </w:divBdr>
    </w:div>
    <w:div w:id="1764253457">
      <w:bodyDiv w:val="1"/>
      <w:marLeft w:val="0"/>
      <w:marRight w:val="0"/>
      <w:marTop w:val="0"/>
      <w:marBottom w:val="0"/>
      <w:divBdr>
        <w:top w:val="none" w:sz="0" w:space="0" w:color="auto"/>
        <w:left w:val="none" w:sz="0" w:space="0" w:color="auto"/>
        <w:bottom w:val="none" w:sz="0" w:space="0" w:color="auto"/>
        <w:right w:val="none" w:sz="0" w:space="0" w:color="auto"/>
      </w:divBdr>
    </w:div>
    <w:div w:id="1770000345">
      <w:bodyDiv w:val="1"/>
      <w:marLeft w:val="0"/>
      <w:marRight w:val="0"/>
      <w:marTop w:val="0"/>
      <w:marBottom w:val="0"/>
      <w:divBdr>
        <w:top w:val="none" w:sz="0" w:space="0" w:color="auto"/>
        <w:left w:val="none" w:sz="0" w:space="0" w:color="auto"/>
        <w:bottom w:val="none" w:sz="0" w:space="0" w:color="auto"/>
        <w:right w:val="none" w:sz="0" w:space="0" w:color="auto"/>
      </w:divBdr>
    </w:div>
    <w:div w:id="1812819464">
      <w:bodyDiv w:val="1"/>
      <w:marLeft w:val="0"/>
      <w:marRight w:val="0"/>
      <w:marTop w:val="0"/>
      <w:marBottom w:val="0"/>
      <w:divBdr>
        <w:top w:val="none" w:sz="0" w:space="0" w:color="auto"/>
        <w:left w:val="none" w:sz="0" w:space="0" w:color="auto"/>
        <w:bottom w:val="none" w:sz="0" w:space="0" w:color="auto"/>
        <w:right w:val="none" w:sz="0" w:space="0" w:color="auto"/>
      </w:divBdr>
    </w:div>
    <w:div w:id="1907565668">
      <w:bodyDiv w:val="1"/>
      <w:marLeft w:val="0"/>
      <w:marRight w:val="0"/>
      <w:marTop w:val="0"/>
      <w:marBottom w:val="0"/>
      <w:divBdr>
        <w:top w:val="none" w:sz="0" w:space="0" w:color="auto"/>
        <w:left w:val="none" w:sz="0" w:space="0" w:color="auto"/>
        <w:bottom w:val="none" w:sz="0" w:space="0" w:color="auto"/>
        <w:right w:val="none" w:sz="0" w:space="0" w:color="auto"/>
      </w:divBdr>
    </w:div>
    <w:div w:id="1914273651">
      <w:bodyDiv w:val="1"/>
      <w:marLeft w:val="0"/>
      <w:marRight w:val="0"/>
      <w:marTop w:val="0"/>
      <w:marBottom w:val="0"/>
      <w:divBdr>
        <w:top w:val="none" w:sz="0" w:space="0" w:color="auto"/>
        <w:left w:val="none" w:sz="0" w:space="0" w:color="auto"/>
        <w:bottom w:val="none" w:sz="0" w:space="0" w:color="auto"/>
        <w:right w:val="none" w:sz="0" w:space="0" w:color="auto"/>
      </w:divBdr>
    </w:div>
    <w:div w:id="2002661542">
      <w:bodyDiv w:val="1"/>
      <w:marLeft w:val="0"/>
      <w:marRight w:val="0"/>
      <w:marTop w:val="0"/>
      <w:marBottom w:val="0"/>
      <w:divBdr>
        <w:top w:val="none" w:sz="0" w:space="0" w:color="auto"/>
        <w:left w:val="none" w:sz="0" w:space="0" w:color="auto"/>
        <w:bottom w:val="none" w:sz="0" w:space="0" w:color="auto"/>
        <w:right w:val="none" w:sz="0" w:space="0" w:color="auto"/>
      </w:divBdr>
    </w:div>
    <w:div w:id="20053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oter" Target="footer6.xml"/><Relationship Id="rId10" Type="http://schemas.openxmlformats.org/officeDocument/2006/relationships/footer" Target="foot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Nacho%202018\Ciudad%20del%20Transporte\Informe%20CTP\Gr&#225;ficos%20Infor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Nacho%202018\Ciudad%20del%20Transporte\Informe%20CTP\Gr&#225;ficos%20Infor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Hoja1!$A$16:$A$19</c:f>
              <c:strCache>
                <c:ptCount val="4"/>
                <c:pt idx="0">
                  <c:v>Expropiaciones</c:v>
                </c:pt>
                <c:pt idx="1">
                  <c:v>Infraestructuras externas</c:v>
                </c:pt>
                <c:pt idx="2">
                  <c:v>Aquisición inmuebles</c:v>
                </c:pt>
                <c:pt idx="3">
                  <c:v>Sistemas generales y otros.</c:v>
                </c:pt>
              </c:strCache>
            </c:strRef>
          </c:cat>
          <c:val>
            <c:numRef>
              <c:f>Hoja1!$B$16:$B$19</c:f>
              <c:numCache>
                <c:formatCode>0</c:formatCode>
                <c:ptCount val="4"/>
                <c:pt idx="0">
                  <c:v>81.108905257124619</c:v>
                </c:pt>
                <c:pt idx="1">
                  <c:v>9.8113045927897282</c:v>
                </c:pt>
                <c:pt idx="2">
                  <c:v>6.191880473389098</c:v>
                </c:pt>
                <c:pt idx="3">
                  <c:v>2.8879096766965575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perspective val="30"/>
    </c:view3D>
    <c:floor>
      <c:thickness val="0"/>
    </c:floor>
    <c:sideWall>
      <c:thickness val="0"/>
    </c:sideWall>
    <c:backWall>
      <c:thickness val="0"/>
    </c:backWall>
    <c:plotArea>
      <c:layout/>
      <c:pie3DChart>
        <c:varyColors val="1"/>
        <c:ser>
          <c:idx val="0"/>
          <c:order val="0"/>
          <c:cat>
            <c:strRef>
              <c:f>Hoja1!$A$48:$A$50</c:f>
              <c:strCache>
                <c:ptCount val="3"/>
                <c:pt idx="0">
                  <c:v>Ingresos de la gestión</c:v>
                </c:pt>
                <c:pt idx="1">
                  <c:v>Subvenciones GN</c:v>
                </c:pt>
                <c:pt idx="2">
                  <c:v>Ampliaciones y aport SPF</c:v>
                </c:pt>
              </c:strCache>
            </c:strRef>
          </c:cat>
          <c:val>
            <c:numRef>
              <c:f>Hoja1!$B$48:$B$50</c:f>
              <c:numCache>
                <c:formatCode>0</c:formatCode>
                <c:ptCount val="3"/>
                <c:pt idx="0">
                  <c:v>29.130380833829854</c:v>
                </c:pt>
                <c:pt idx="1">
                  <c:v>53.982728873243289</c:v>
                </c:pt>
                <c:pt idx="2">
                  <c:v>16.886890292926861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93DCF-36AD-4F30-8E43-3106CA4E3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14501</Words>
  <Characters>108191</Characters>
  <Application>Microsoft Office Word</Application>
  <DocSecurity>0</DocSecurity>
  <Lines>901</Lines>
  <Paragraphs>244</Paragraphs>
  <ScaleCrop>false</ScaleCrop>
  <HeadingPairs>
    <vt:vector size="2" baseType="variant">
      <vt:variant>
        <vt:lpstr>Título</vt:lpstr>
      </vt:variant>
      <vt:variant>
        <vt:i4>1</vt:i4>
      </vt:variant>
    </vt:vector>
  </HeadingPairs>
  <TitlesOfParts>
    <vt:vector size="1" baseType="lpstr">
      <vt:lpstr/>
    </vt:vector>
  </TitlesOfParts>
  <Company>Cámara de Comptos</Company>
  <LinksUpToDate>false</LinksUpToDate>
  <CharactersWithSpaces>122448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Elizalde Del Rincón, Teresa (Cámara de Comptos)</dc:creator>
  <cp:lastModifiedBy>De Santiago, Iñaki</cp:lastModifiedBy>
  <cp:revision>3</cp:revision>
  <cp:lastPrinted>2018-05-31T10:12:00Z</cp:lastPrinted>
  <dcterms:created xsi:type="dcterms:W3CDTF">2018-07-17T07:31:00Z</dcterms:created>
  <dcterms:modified xsi:type="dcterms:W3CDTF">2018-07-17T07:31:00Z</dcterms:modified>
</cp:coreProperties>
</file>