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motivos por los que en información remitida no se contabilizan todos los años que los diferentes funcionarios han permanecido en los Centros de Apoyo al Profesorado,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de Unión del Pueblo Navarro (UPN), al amparo de lo dispuesto en el artículo 188 y siguientes del Reglamento de la Cámara, presenta para su respuesta por escrito la siguiente pregunta: </w:t>
      </w:r>
    </w:p>
    <w:p>
      <w:pPr>
        <w:pStyle w:val="0"/>
        <w:suppressAutoHyphens w:val="false"/>
        <w:rPr>
          <w:rStyle w:val="1"/>
        </w:rPr>
      </w:pPr>
      <w:r>
        <w:rPr>
          <w:rStyle w:val="1"/>
        </w:rPr>
        <w:t xml:space="preserve">¿Cuáles son los motivos por los que en la información remitida por el Departamento de Educación al Parlamento de Navarra no se contabilizan todos los años que diferentes funcionarios han permanecido en los Centros de Apoyo al Profesorado? </w:t>
      </w:r>
    </w:p>
    <w:p>
      <w:pPr>
        <w:pStyle w:val="0"/>
        <w:suppressAutoHyphens w:val="false"/>
        <w:rPr>
          <w:rStyle w:val="1"/>
        </w:rPr>
      </w:pPr>
      <w:r>
        <w:rPr>
          <w:rStyle w:val="1"/>
        </w:rPr>
        <w:t xml:space="preserve">Corella, a 23 de agosto de 2018 </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