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funcionarios que desarrollan su labor en los Centros de Apoyo al Profesorado,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de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 ¿Cuáles son los motivos por los que en la información remitida por el Departamento de Educación al Parlamento de Navarra no figuran todos los funcionarios que desarrollan su labor en los Centros de Apoyo al Profesorado y que vienen recogidos en la página web del departamento? </w:t>
      </w:r>
    </w:p>
    <w:p>
      <w:pPr>
        <w:pStyle w:val="0"/>
        <w:suppressAutoHyphens w:val="false"/>
        <w:rPr>
          <w:rStyle w:val="1"/>
        </w:rPr>
      </w:pPr>
      <w:r>
        <w:rPr>
          <w:rStyle w:val="1"/>
        </w:rPr>
        <w:t xml:space="preserve">– ¿Cuáles son las causas de las diferencias que, sin justificación alguna, se han venido dando en las informaciones remitidas sobre los funcionarios que desarrollan su labor en los CAP?</w:t>
      </w:r>
    </w:p>
    <w:p>
      <w:pPr>
        <w:pStyle w:val="0"/>
        <w:suppressAutoHyphens w:val="false"/>
        <w:rPr>
          <w:rStyle w:val="1"/>
        </w:rPr>
      </w:pPr>
      <w:r>
        <w:rPr>
          <w:rStyle w:val="1"/>
        </w:rPr>
        <w:t xml:space="preserve">Corella, a 23 de agosto de 2018 </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