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3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importes y recursos con los que ha colaborado el Gobierno de Navarra o cualquiera de sus empresas públicas con la Fundación Arquitectura y Sociedad,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3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EH Bildu Nafarroa, al amparo de lo establecido en el Reglamento de la Cámara, realiza la siguiente pregunta para que sea respondida de manera escrita por el Gobierno de Navarra: </w:t>
      </w:r>
    </w:p>
    <w:p>
      <w:pPr>
        <w:pStyle w:val="0"/>
        <w:suppressAutoHyphens w:val="false"/>
        <w:rPr>
          <w:rStyle w:val="1"/>
        </w:rPr>
      </w:pPr>
      <w:r>
        <w:rPr>
          <w:rStyle w:val="1"/>
        </w:rPr>
        <w:t xml:space="preserve">En el transcurso del V Congreso Internacional de Arquitectura y Sociedad, el Sr. Mangado tuvo palabras de agradecimiento para el Gobierno de Navarra, “más concretamente para Nasuvinsa” que a partir del 1 de junio pasó a formar parte del patronato de la Fundación. En palabras de Mangado “su apoyo representa el reconocimiento tácito y expreso del valor social de la Fundación Arquitectura y Sociedad”. </w:t>
      </w:r>
    </w:p>
    <w:p>
      <w:pPr>
        <w:pStyle w:val="0"/>
        <w:suppressAutoHyphens w:val="false"/>
        <w:rPr>
          <w:rStyle w:val="1"/>
        </w:rPr>
      </w:pPr>
      <w:r>
        <w:rPr>
          <w:rStyle w:val="1"/>
        </w:rPr>
        <w:t xml:space="preserve">A este respecto, este parlamentario desea conocer: </w:t>
      </w:r>
    </w:p>
    <w:p>
      <w:pPr>
        <w:pStyle w:val="0"/>
        <w:suppressAutoHyphens w:val="false"/>
        <w:rPr>
          <w:rStyle w:val="1"/>
        </w:rPr>
      </w:pPr>
      <w:r>
        <w:rPr>
          <w:rStyle w:val="1"/>
        </w:rPr>
        <w:t xml:space="preserve">Primero.- Los importes y recursos con los que, año a año, ha colaborado el Gobierno de Navarra o cualquiera de sus empresas públicas con la Fundación Arquitectura y Sociedad. </w:t>
      </w:r>
    </w:p>
    <w:p>
      <w:pPr>
        <w:pStyle w:val="0"/>
        <w:suppressAutoHyphens w:val="false"/>
        <w:rPr>
          <w:rStyle w:val="1"/>
        </w:rPr>
      </w:pPr>
      <w:r>
        <w:rPr>
          <w:rStyle w:val="1"/>
        </w:rPr>
        <w:t xml:space="preserve">Segundo.- Una relación de todos los eventos en los que el Gobierno de Navarra ha participado, colaborado o financiado con indicación de los objetivos de interés público conseguidos en cada uno de ellos. </w:t>
      </w:r>
    </w:p>
    <w:p>
      <w:pPr>
        <w:pStyle w:val="0"/>
        <w:suppressAutoHyphens w:val="false"/>
        <w:rPr>
          <w:rStyle w:val="1"/>
        </w:rPr>
      </w:pPr>
      <w:r>
        <w:rPr>
          <w:rStyle w:val="1"/>
        </w:rPr>
        <w:t xml:space="preserve">Tercero.- Una especificación de las obligaciones para el Gobierno de Navarra o cualquiera de sus empresas públicas dimanantes de la ostentación de la condición de Patrono. </w:t>
      </w:r>
    </w:p>
    <w:p>
      <w:pPr>
        <w:pStyle w:val="0"/>
        <w:suppressAutoHyphens w:val="false"/>
        <w:rPr>
          <w:rStyle w:val="1"/>
        </w:rPr>
      </w:pPr>
      <w:r>
        <w:rPr>
          <w:rStyle w:val="1"/>
        </w:rPr>
        <w:t xml:space="preserve">Cuarto.- La remisión del acta de la sesión de Nasuvinsa en la que se acuerda nombrar a un Patrono en dicha fundación. </w:t>
      </w:r>
    </w:p>
    <w:p>
      <w:pPr>
        <w:pStyle w:val="0"/>
        <w:suppressAutoHyphens w:val="false"/>
        <w:rPr>
          <w:rStyle w:val="1"/>
        </w:rPr>
      </w:pPr>
      <w:r>
        <w:rPr>
          <w:rStyle w:val="1"/>
        </w:rPr>
        <w:t xml:space="preserve">En Iruña, a 28 de junio de 2018</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