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Vianako Printzea erakundeari eskumenak kentzearren Nafarroako ondare artistikoa arautzen duten legeak edo Memoria Historikoari buruzko Legea aldatzeari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24an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parlamentu taldeari atxikitako eta Nafarroako Gorteetako kide Carlos García Adanero jaunak, Legebiltzarreko Erregelamenduan ezarritakoaren babesean, honako galdera hau aurkezten du, Nafarroako Gobernuko Kultura, Kirol eta Gazteriako kontseilariak Osoko Bilkuran ahoz erantzun dezan:</w:t>
      </w:r>
    </w:p>
    <w:p>
      <w:pPr>
        <w:pStyle w:val="0"/>
        <w:suppressAutoHyphens w:val="false"/>
        <w:rPr>
          <w:rStyle w:val="1"/>
        </w:rPr>
      </w:pPr>
      <w:r>
        <w:rPr>
          <w:rStyle w:val="1"/>
        </w:rPr>
        <w:t xml:space="preserve">– Nafarroako Gobernuaren ustez egokia al da Vianako Printzea erakundeari eskumenak kentzearren Nafarroako ondare artistikoa arautzen duten legeak edo Memoria Historikoari buruzko Legea aldatzea?</w:t>
      </w:r>
    </w:p>
    <w:p>
      <w:pPr>
        <w:pStyle w:val="0"/>
        <w:suppressAutoHyphens w:val="false"/>
        <w:rPr>
          <w:rStyle w:val="1"/>
        </w:rPr>
      </w:pPr>
      <w:r>
        <w:rPr>
          <w:rStyle w:val="1"/>
        </w:rPr>
        <w:t xml:space="preserve">Iruñean, 2018ko irailaren 20an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