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96" w:rsidRDefault="00AD218B">
      <w:pPr>
        <w:rPr>
          <w:rStyle w:val="Normal1"/>
        </w:rPr>
      </w:pPr>
      <w:r>
        <w:rPr>
          <w:rStyle w:val="Normal1"/>
        </w:rPr>
        <w:t>Nafarroako Parlamentuak, 2019ko urtarrilaren 17an egindako Osoko Bilkuran, Nafarroako Toki Ogasunei buruzko martxoaren 10eko 2/1995 Foru Legea aldatzen duen Foru Legea one</w:t>
      </w:r>
      <w:r>
        <w:rPr>
          <w:rStyle w:val="Normal1"/>
        </w:rPr>
        <w:t>tsi zuen.</w:t>
      </w:r>
    </w:p>
    <w:p w:rsidR="00AD218B" w:rsidRDefault="00AD218B">
      <w:pPr>
        <w:rPr>
          <w:rStyle w:val="Normal1"/>
        </w:rPr>
      </w:pPr>
      <w:r w:rsidRPr="00AD218B">
        <w:rPr>
          <w:rStyle w:val="Normal1"/>
        </w:rPr>
        <w:t xml:space="preserve">Aipatu foru legea, Nafarroako Foru Eraentza Berrezarri eta Hobetzeari buruzko Lege Organikoaren 20.2 eta Legebiltzarreko Erregelamenduaren 153. </w:t>
      </w:r>
      <w:proofErr w:type="gramStart"/>
      <w:r w:rsidRPr="00AD218B">
        <w:rPr>
          <w:rStyle w:val="Normal1"/>
        </w:rPr>
        <w:t>artikuluekin</w:t>
      </w:r>
      <w:proofErr w:type="gramEnd"/>
      <w:r w:rsidRPr="00AD218B">
        <w:rPr>
          <w:rStyle w:val="Normal1"/>
        </w:rPr>
        <w:t xml:space="preserve"> bat, gehiengo osoz onetsi da, proiektu osoari buruzko azken bozketan</w:t>
      </w:r>
      <w:bookmarkStart w:id="0" w:name="_GoBack"/>
      <w:bookmarkEnd w:id="0"/>
    </w:p>
    <w:p w:rsidR="000C3396" w:rsidRDefault="00AD218B">
      <w:pPr>
        <w:rPr>
          <w:rStyle w:val="Normal1"/>
        </w:rPr>
      </w:pPr>
      <w:r>
        <w:rPr>
          <w:rStyle w:val="Normal1"/>
        </w:rPr>
        <w:t>Legebil</w:t>
      </w:r>
      <w:r>
        <w:rPr>
          <w:rStyle w:val="Normal1"/>
        </w:rPr>
        <w:t xml:space="preserve">tzarreko Erregelamenduko 146. </w:t>
      </w:r>
      <w:proofErr w:type="gramStart"/>
      <w:r>
        <w:rPr>
          <w:rStyle w:val="Normal1"/>
        </w:rPr>
        <w:t>artikuluan</w:t>
      </w:r>
      <w:proofErr w:type="gramEnd"/>
      <w:r>
        <w:rPr>
          <w:rStyle w:val="Normal1"/>
        </w:rPr>
        <w:t xml:space="preserve"> ezarritakoa betez, argitara dadin agin</w:t>
      </w:r>
      <w:r>
        <w:rPr>
          <w:rStyle w:val="Normal1"/>
        </w:rPr>
        <w:t>tzen da.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Iruñean, 2019ko urtarrilaren 21ean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Lehendakaria: Ainhoa Aznárez Igarza</w:t>
      </w:r>
    </w:p>
    <w:p w:rsidR="000C3396" w:rsidRPr="00AD218B" w:rsidRDefault="00AD218B">
      <w:pPr>
        <w:pStyle w:val="Titulotexto"/>
        <w:rPr>
          <w:lang w:val="es-ES"/>
        </w:rPr>
      </w:pPr>
      <w:r w:rsidRPr="00AD218B">
        <w:rPr>
          <w:lang w:val="es-ES"/>
        </w:rPr>
        <w:t>Foru Legea, Nafarroako Toki Ogasunei buruzko martxoaren 10eko 2/1995 Foru Legea aldatzen duena</w:t>
      </w:r>
    </w:p>
    <w:p w:rsidR="000C3396" w:rsidRDefault="00AD218B">
      <w:pPr>
        <w:ind w:firstLine="0"/>
        <w:jc w:val="center"/>
        <w:rPr>
          <w:rStyle w:val="Normal1"/>
        </w:rPr>
      </w:pPr>
      <w:r>
        <w:rPr>
          <w:rStyle w:val="Normal1"/>
        </w:rPr>
        <w:t>HITZAURREA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Foru lege honek sei aldaketa sartzen ditu Nafarroako Toki Ogasunei buruzko martxoaren 10eko 2/1995 Foru Legean.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Artikulu bakarra, xedapen gehigarri bakarra eta bi azken xedapen dauzka.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Lehenengo apartatuak gaikuntza ematen die udalei ezkontza zi</w:t>
      </w:r>
      <w:r>
        <w:rPr>
          <w:rStyle w:val="Normal1"/>
        </w:rPr>
        <w:t>bilak egiteagatik tasa bat ezar dezaten.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Bigarren apartatuak tributu kategoria berri bat sartzen du Nafarroako Toki Ogasunen esparruan: zergaz kanpoko ondare-prestazio publikoak.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Tributuei buruzko Foru Lege Orokorraren hogeita hamargarren xedapen gehigarri</w:t>
      </w:r>
      <w:r>
        <w:rPr>
          <w:rStyle w:val="Normal1"/>
        </w:rPr>
        <w:t>an ezartzen denez, ondare-prestazio publikoak bi motatakoak izan daitezke: zerga arlokoak eta zergaz kanpokoak. Zerga arlokoak zergak, tasak eta kontribuzio bereziak dira. Zerga arloko ondare-</w:t>
      </w:r>
      <w:proofErr w:type="gramStart"/>
      <w:r>
        <w:rPr>
          <w:rStyle w:val="Normal1"/>
        </w:rPr>
        <w:t>prestazio</w:t>
      </w:r>
      <w:proofErr w:type="gramEnd"/>
      <w:r>
        <w:rPr>
          <w:rStyle w:val="Normal1"/>
        </w:rPr>
        <w:t xml:space="preserve"> publikoekin batera, zergaz kanpoko ondare prestazio pu</w:t>
      </w:r>
      <w:r>
        <w:rPr>
          <w:rStyle w:val="Normal1"/>
        </w:rPr>
        <w:t>blikoak egonen dira aurrerantzean, zuzenean pertsonifikazio pribatuz edo zeharkako kudeaketa bidez emandako derrigortzezko zerbitzu publikoen kasuetarako.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 xml:space="preserve">Tributuei buruzko Foru Lege Orokorrak egin bezala eta horrekin bat etorririk, eta Estatuak egin duen </w:t>
      </w:r>
      <w:r>
        <w:rPr>
          <w:rStyle w:val="Normal1"/>
        </w:rPr>
        <w:t>bezala, foru legeak xedatzen du ezen tributu kategoria berri hori (zergaz kanpoko ondare-prestazio publikoak) Nafarroako Toki Ogasunei buruzko Foru Legean ere ezarri behar dela. Zehazki, halakotzat joko diren prestazioak dira derrigortzezkoak izan eta obra</w:t>
      </w:r>
      <w:r>
        <w:rPr>
          <w:rStyle w:val="Normal1"/>
        </w:rPr>
        <w:t>k ustiatzeagatik edo zerbitzuak emateagatik eskatzen direnak, emakida-araubidekoak, ekonomia mistoko sozietateen bitartezkoak, enpresa-entitate publikoen bitartezkoak, kapital osoki publikoko sozietateen bitartezkoak eta zuzenbide pribatuko gainerako formu</w:t>
      </w:r>
      <w:r>
        <w:rPr>
          <w:rStyle w:val="Normal1"/>
        </w:rPr>
        <w:t>len bitartezkoak.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Halaber, zehazten da kontraprestazio ekonomiko horiek ordenantza bidez arautuko direla toki eremuan. Ordenantza hori onesteko prozeduran zehar, toki entitateek nahitaezko txostena eskatuko diete administrazio publikoei, antolamendu juridi</w:t>
      </w:r>
      <w:r>
        <w:rPr>
          <w:rStyle w:val="Normal1"/>
        </w:rPr>
        <w:t>koaren arabera toki entitate horien gaineko esku-hartze ahalmenen bat dutenei.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Horrela, asmoa da argitzea zein den tarifen izaera juridikoa, derrigortzez horiek ordaintzen direnean obrak erabiltzeagatik edo zerbitzuak jasotzeagatik, bai pertsonifikazio pri</w:t>
      </w:r>
      <w:r>
        <w:rPr>
          <w:rStyle w:val="Normal1"/>
        </w:rPr>
        <w:t>batu bidezko zuzeneko kudeaketaren kasuetan, Administrazioaren beraren bidez, bai zeharkako kudeaketaren kasuetan, emakida-hartzaileen bidez. Aurrekoaren arabera, derrigortzezko prestazio horiek zergaz kanpoko ondare-prestazio publikoak izanen dira.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Foru l</w:t>
      </w:r>
      <w:r>
        <w:rPr>
          <w:rStyle w:val="Normal1"/>
        </w:rPr>
        <w:t>egeak 156.2 artikuluan ere aldaketa bat sartzen du zerga-egoitzari buruzko publizitatea kentze aldera Jarduera Ekonomikoen Erregistroaz ematen den informaziotik.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 xml:space="preserve">Gogorarazi behar da ezen, artikulu horren 1. </w:t>
      </w:r>
      <w:proofErr w:type="gramStart"/>
      <w:r>
        <w:rPr>
          <w:rStyle w:val="Normal1"/>
        </w:rPr>
        <w:t>apartatuak</w:t>
      </w:r>
      <w:proofErr w:type="gramEnd"/>
      <w:r>
        <w:rPr>
          <w:rStyle w:val="Normal1"/>
        </w:rPr>
        <w:t xml:space="preserve"> ezarritakoaren arabera, Erregistroa ze</w:t>
      </w:r>
      <w:r>
        <w:rPr>
          <w:rStyle w:val="Normal1"/>
        </w:rPr>
        <w:t>ntsuz osatuta egonen dela, “non jasoko baitira jarduera ekonomikoak egiten dituzten subjektu pasibo guztien identifikazio-datuak eta zerga-egoitza, jardueraren helbidea eta epigrafea edo azpiepigrafea, eta ordaintzen duten zergaren kuota (nazionala, lurral</w:t>
      </w:r>
      <w:r>
        <w:rPr>
          <w:rStyle w:val="Normal1"/>
        </w:rPr>
        <w:t>dekoa edo udaleko gutxienekoa)”. Apartatu hori ez da aldatzen.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lastRenderedPageBreak/>
        <w:t xml:space="preserve">Horrez gain, Erregistro horren publizitateari dagokionez, 176. </w:t>
      </w:r>
      <w:proofErr w:type="gramStart"/>
      <w:r>
        <w:rPr>
          <w:rStyle w:val="Normal1"/>
        </w:rPr>
        <w:t>artikuluaren</w:t>
      </w:r>
      <w:proofErr w:type="gramEnd"/>
      <w:r>
        <w:rPr>
          <w:rStyle w:val="Normal1"/>
        </w:rPr>
        <w:t xml:space="preserve"> 2. </w:t>
      </w:r>
      <w:proofErr w:type="gramStart"/>
      <w:r>
        <w:rPr>
          <w:rStyle w:val="Normal1"/>
        </w:rPr>
        <w:t>apartatuak</w:t>
      </w:r>
      <w:proofErr w:type="gramEnd"/>
      <w:r>
        <w:rPr>
          <w:rStyle w:val="Normal1"/>
        </w:rPr>
        <w:t xml:space="preserve"> xedatzen du Erregistroa jendearen eskura izanen dela urte natural osoan zehar, Nafarroako Zerga Ogasuna</w:t>
      </w:r>
      <w:r>
        <w:rPr>
          <w:rStyle w:val="Normal1"/>
        </w:rPr>
        <w:t>ren web-orrian. Horren arabera, web horretan informazio ugariren berri ematen da, besteak beste jarduera ekonomikoaren helbidea eta subjektu pasiboaren zerga-egoitza. Bi helbide horiek berdinak izan daitezke edo ez, zergapetutako jarduera ekonomikoa non eg</w:t>
      </w:r>
      <w:r>
        <w:rPr>
          <w:rStyle w:val="Normal1"/>
        </w:rPr>
        <w:t>iten den. Pertsona fisiko baldin badira eta aipatu diren helbideak ez badira bat etortzen (hau da, ohiko etxebizitzaz bestelako lokal batean egiten da jarduera), badirudi zerga-egoitza argitaratzea gehiegizko esku-sartzetzat jo daitekeela, kontraesanean eg</w:t>
      </w:r>
      <w:r>
        <w:rPr>
          <w:rStyle w:val="Normal1"/>
        </w:rPr>
        <w:t>on baitaiteke datu-babesaren funtsezko printzipio batzuekin.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Hori oinarri hartuta, foru legeak Nafarroako Toki Ogasunei buruzko Foru Legearen 156.2 artikulua aldatzen du, ez dadin argitara eman subjektu pasiboaren zerga-egoitzari buruzko informazioa. Besta</w:t>
      </w:r>
      <w:r>
        <w:rPr>
          <w:rStyle w:val="Normal1"/>
        </w:rPr>
        <w:t>lde, informazio horri ez zaio beharrezko irizten Jarduera Ekonomikoen Erregistroko datuak argitaratzearen helburua betetzeko.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Laugarren apartatuak udalak gaitzen ditu “zero igorpen” ibilgailuetarako eta ECO ibilgailuetarako hobari fiskalak ezarri ahal izat</w:t>
      </w:r>
      <w:r>
        <w:rPr>
          <w:rStyle w:val="Normal1"/>
        </w:rPr>
        <w:t>eko.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Artikulu bakarraren bosgarren apartatuak aldaketa garrantzitsu bat sartzen du 175.2 artikuluan; bosgarren eta seigarren paragrafoetan, hain zuzen.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 xml:space="preserve">Konstituzio Auzitegiaren 72/2017 Epaia betetzeko, 19/2017 Foru Legeak behar ziren aldaketak egin zituen </w:t>
      </w:r>
      <w:r>
        <w:rPr>
          <w:rStyle w:val="Normal1"/>
        </w:rPr>
        <w:t>Nafarroako Toki Ogasunei buruzko martxoaren 10eko 2/1995 Foru Legean, hiri-lurren balio-gehikuntzaren gaineko zergari dagozkionak, hiri-lurren balio-gehikuntzarik ez dagoen kasuetan zergapetzerik ez egiteko; betiere, baina, Konstituzio Auzitegiaren printzi</w:t>
      </w:r>
      <w:r>
        <w:rPr>
          <w:rStyle w:val="Normal1"/>
        </w:rPr>
        <w:t>pioa errespetatuz, zeinaren arabera legegintza-politikako aukera guztiz onargarria baita gaitasun ekonomiko potentzialen zenbatespen objektiboko sistema batean oinarrituriko balio-gehikuntzak zergapetzearen alde eginikoa, egiazko gaitasun ekonomikoari erre</w:t>
      </w:r>
      <w:r>
        <w:rPr>
          <w:rStyle w:val="Normal1"/>
        </w:rPr>
        <w:t>paratu beharrean. Horretan oinarrituta, foru legeak metodo objektibo bat ezarri zuen plusbalioen kalkulurako, denboran alda daitezkeen eta higiezinen merkatuko prezioen bilakaera aintzat hartzen duten koefizienteen arabera betiere.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Sortzapenaren unean lurr</w:t>
      </w:r>
      <w:r>
        <w:rPr>
          <w:rStyle w:val="Normal1"/>
        </w:rPr>
        <w:t>ak duen balioari aplikatu beharreko koefizientea udalak onetsitakoetatik suertatzen dena izanen da, balio-gehikuntzaren gertatze-aldiaren arabera; baina foru legean ezarritako mugak gainditu gabe betiere (hau da, udalak txikiagoak ezartzen ahalko ditu, eta</w:t>
      </w:r>
      <w:r>
        <w:rPr>
          <w:rStyle w:val="Normal1"/>
        </w:rPr>
        <w:t>, hala egin ezean, foru legekoak aplikatuko dira). Gehieneko koefiziente horiek urtero eguneratuko dira. Arau-aldaketak zeregin horri heltzen dio.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 xml:space="preserve">Koefiziente horiek zehazteko, urte bakoitzeko batez besteko balioak hartu dira oinarritzat, Nafarroan dauden </w:t>
      </w:r>
      <w:r>
        <w:rPr>
          <w:rStyle w:val="Normal1"/>
        </w:rPr>
        <w:t>higiezinenak (pisuak); horiei kendu zaie katastroko baloraziorako onetsitako eraikuntza kostuaren modulua. Horrela lortzen da lurzoruaren batez besteko balioa urte bakoitzeko.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Amaitzeko, foru legeak hamaikagarren bis xedapen gehigarri bat gehitzen du, urta</w:t>
      </w:r>
      <w:r>
        <w:rPr>
          <w:rStyle w:val="Normal1"/>
        </w:rPr>
        <w:t>rrilaren 15eko 1/2014 Foru Legean egindako akats bat zuzentze aldera. Foru lege horren bidez testu berria eman zitzaion Nafarroako Toki Ogasunei buruzko 2/1995 Foru Legearen hamabigarren xedapen gehigarri gaur egun indardunari, zeinak arautzen baitu ADIF e</w:t>
      </w:r>
      <w:r>
        <w:rPr>
          <w:rStyle w:val="Normal1"/>
        </w:rPr>
        <w:t xml:space="preserve">npresa-entitate publikoak edozein zerga ordaintzetik daukan salbuespena, zergaren ordainarazpena Nafarroako toki entitateei dagokienean eta ADIF enpresa-entitate publikoari egindako trenbide-azpiegituren eta geltokien eskualdaketengatik denean, uztailaren </w:t>
      </w:r>
      <w:r>
        <w:rPr>
          <w:rStyle w:val="Normal1"/>
        </w:rPr>
        <w:t xml:space="preserve">26ko 11/2013 Legearen 34. </w:t>
      </w:r>
      <w:proofErr w:type="gramStart"/>
      <w:r>
        <w:rPr>
          <w:rStyle w:val="Normal1"/>
        </w:rPr>
        <w:t>artikuluan</w:t>
      </w:r>
      <w:proofErr w:type="gramEnd"/>
      <w:r>
        <w:rPr>
          <w:rStyle w:val="Normal1"/>
        </w:rPr>
        <w:t xml:space="preserve"> ezarritakoaren ondorioz (Ekintzaileei laguntzeko eta hazkundea eta enplegu-sorkuntza bizkortzeko neurriei buruzko legea).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Akatsa egon da, hamabigarren xedapen gehigarri horrek Nafarroako Toki Ogasunei buruzko 2/1995 For</w:t>
      </w:r>
      <w:r>
        <w:rPr>
          <w:rStyle w:val="Normal1"/>
        </w:rPr>
        <w:t>u Legean une horretan zegoen hamabigarren xedapen gehigarria indargabetu zuelako.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Hamaikagarren bis xedapen gehigarri berriaren bidez, akats hori zuzendu, eta indarra hartu du berriz hamabigarren xedapen gehigarri “zahar”aren edukiak, hasierako testuarekin</w:t>
      </w:r>
      <w:r>
        <w:rPr>
          <w:rStyle w:val="Normal1"/>
        </w:rPr>
        <w:t>; hau da, xedatzen duena ezen Iruñeko Udalaren araubidea (aurrekontuena, ekonomiko-finantzarioa, kontabilitatearena, kontu-hartzailetzarena, finantza kontrolarena eta eraginkortasun kontrolarena) izanen dela Toki Araubidearen Oinarriak arautzen dituen apir</w:t>
      </w:r>
      <w:r>
        <w:rPr>
          <w:rStyle w:val="Normal1"/>
        </w:rPr>
        <w:t>ilaren 2ko 7/1985 Legearen X. tituluan aurreikusitakoa, foru lege honetako berezitasunekin.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Xedapen gehigarri bakarrak gogorarazten du foru lege hau gehiengo osoz onetsi behar dela, aintzat harturik Nafarroako Foru Eraentza Berrezarri eta Hobetzeari buruzk</w:t>
      </w:r>
      <w:r>
        <w:rPr>
          <w:rStyle w:val="Normal1"/>
        </w:rPr>
        <w:t xml:space="preserve">o abuztuaren 10eko 13/1982 Lege Organikoaren 20.2 artikulua eta Nafarroako Parlamentuko Erregelamenduaren testu bateginaren 152. </w:t>
      </w:r>
      <w:proofErr w:type="gramStart"/>
      <w:r>
        <w:rPr>
          <w:rStyle w:val="Normal1"/>
        </w:rPr>
        <w:t>eta</w:t>
      </w:r>
      <w:proofErr w:type="gramEnd"/>
      <w:r>
        <w:rPr>
          <w:rStyle w:val="Normal1"/>
        </w:rPr>
        <w:t xml:space="preserve"> 153. </w:t>
      </w:r>
      <w:proofErr w:type="gramStart"/>
      <w:r>
        <w:rPr>
          <w:rStyle w:val="Normal1"/>
        </w:rPr>
        <w:t>artikuluak</w:t>
      </w:r>
      <w:proofErr w:type="gramEnd"/>
      <w:r>
        <w:rPr>
          <w:rStyle w:val="Normal1"/>
        </w:rPr>
        <w:t>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Azken xedapenetako lehenak ahalmena ematen dio Nafarroako Gobernuari foru lege hau garatu eta betetzeko be</w:t>
      </w:r>
      <w:r>
        <w:rPr>
          <w:rStyle w:val="Normal1"/>
        </w:rPr>
        <w:t>har diren xedapen guztiak emateko.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Amaitzeko, azken xedapenetako bigarrenak legearen indar-hartzea finkatzen du.</w:t>
      </w:r>
    </w:p>
    <w:p w:rsidR="000C3396" w:rsidRDefault="00AD218B">
      <w:pPr>
        <w:rPr>
          <w:rStyle w:val="Normal1"/>
        </w:rPr>
      </w:pPr>
      <w:r>
        <w:rPr>
          <w:rStyle w:val="Normal1"/>
          <w:b/>
        </w:rPr>
        <w:t xml:space="preserve">Artikulu bakarra. </w:t>
      </w:r>
      <w:r>
        <w:rPr>
          <w:rStyle w:val="Normal1"/>
        </w:rPr>
        <w:t>Foru lege honek indarra hartzen duenetik aurrerako ondorioekin, jarraian ematen diren Nafarroako Toki Ogasunei buruzko martxoaren 10eko 2/1995 Foru Legearen manu hauek testu hau izanen dute:</w:t>
      </w:r>
    </w:p>
    <w:p w:rsidR="000C3396" w:rsidRPr="00AD218B" w:rsidRDefault="00AD218B">
      <w:pPr>
        <w:rPr>
          <w:rStyle w:val="Normal1"/>
          <w:lang w:val="en-US"/>
        </w:rPr>
      </w:pPr>
      <w:r w:rsidRPr="00AD218B">
        <w:rPr>
          <w:rStyle w:val="Normal1"/>
          <w:u w:val="single"/>
          <w:lang w:val="en-US"/>
        </w:rPr>
        <w:t>Bat</w:t>
      </w:r>
      <w:r w:rsidRPr="00AD218B">
        <w:rPr>
          <w:rStyle w:val="Normal1"/>
          <w:lang w:val="en-US"/>
        </w:rPr>
        <w:t xml:space="preserve">. 100. </w:t>
      </w:r>
      <w:proofErr w:type="gramStart"/>
      <w:r w:rsidRPr="00AD218B">
        <w:rPr>
          <w:rStyle w:val="Normal1"/>
          <w:lang w:val="en-US"/>
        </w:rPr>
        <w:t>artikuluari</w:t>
      </w:r>
      <w:proofErr w:type="gramEnd"/>
      <w:r w:rsidRPr="00AD218B">
        <w:rPr>
          <w:rStyle w:val="Normal1"/>
          <w:lang w:val="en-US"/>
        </w:rPr>
        <w:t xml:space="preserve"> 6. </w:t>
      </w:r>
      <w:proofErr w:type="gramStart"/>
      <w:r w:rsidRPr="00AD218B">
        <w:rPr>
          <w:rStyle w:val="Normal1"/>
          <w:lang w:val="en-US"/>
        </w:rPr>
        <w:t>idatz-zatia</w:t>
      </w:r>
      <w:proofErr w:type="gramEnd"/>
      <w:r w:rsidRPr="00AD218B">
        <w:rPr>
          <w:rStyle w:val="Normal1"/>
          <w:lang w:val="en-US"/>
        </w:rPr>
        <w:t xml:space="preserve"> gehitzea.</w:t>
      </w:r>
    </w:p>
    <w:p w:rsidR="000C3396" w:rsidRPr="00AD218B" w:rsidRDefault="00AD218B">
      <w:pPr>
        <w:rPr>
          <w:rStyle w:val="Normal1"/>
          <w:lang w:val="en-US"/>
        </w:rPr>
      </w:pPr>
      <w:r w:rsidRPr="00AD218B">
        <w:rPr>
          <w:rStyle w:val="Normal1"/>
          <w:lang w:val="en-US"/>
        </w:rPr>
        <w:t>“6. Udalek tasa ba</w:t>
      </w:r>
      <w:r w:rsidRPr="00AD218B">
        <w:rPr>
          <w:rStyle w:val="Normal1"/>
          <w:lang w:val="en-US"/>
        </w:rPr>
        <w:t>t ezartzen ahalko dute ezkontza zibilak egiteagatik”.</w:t>
      </w:r>
    </w:p>
    <w:p w:rsidR="000C3396" w:rsidRPr="00AD218B" w:rsidRDefault="00AD218B">
      <w:pPr>
        <w:rPr>
          <w:rStyle w:val="Normal1"/>
          <w:lang w:val="en-US"/>
        </w:rPr>
      </w:pPr>
      <w:proofErr w:type="gramStart"/>
      <w:r w:rsidRPr="00AD218B">
        <w:rPr>
          <w:rStyle w:val="Normal1"/>
          <w:u w:val="single"/>
          <w:lang w:val="en-US"/>
        </w:rPr>
        <w:t>Bi</w:t>
      </w:r>
      <w:r w:rsidRPr="00AD218B">
        <w:rPr>
          <w:rStyle w:val="Normal1"/>
          <w:lang w:val="en-US"/>
        </w:rPr>
        <w:t>.</w:t>
      </w:r>
      <w:proofErr w:type="gramEnd"/>
      <w:r w:rsidRPr="00AD218B">
        <w:rPr>
          <w:rStyle w:val="Normal1"/>
          <w:lang w:val="en-US"/>
        </w:rPr>
        <w:t xml:space="preserve"> 100. </w:t>
      </w:r>
      <w:proofErr w:type="gramStart"/>
      <w:r w:rsidRPr="00AD218B">
        <w:rPr>
          <w:rStyle w:val="Normal1"/>
          <w:lang w:val="en-US"/>
        </w:rPr>
        <w:t>artikuluari</w:t>
      </w:r>
      <w:proofErr w:type="gramEnd"/>
      <w:r w:rsidRPr="00AD218B">
        <w:rPr>
          <w:rStyle w:val="Normal1"/>
          <w:lang w:val="en-US"/>
        </w:rPr>
        <w:t xml:space="preserve"> 7. </w:t>
      </w:r>
      <w:proofErr w:type="gramStart"/>
      <w:r w:rsidRPr="00AD218B">
        <w:rPr>
          <w:rStyle w:val="Normal1"/>
          <w:lang w:val="en-US"/>
        </w:rPr>
        <w:t>apartatua</w:t>
      </w:r>
      <w:proofErr w:type="gramEnd"/>
      <w:r w:rsidRPr="00AD218B">
        <w:rPr>
          <w:rStyle w:val="Normal1"/>
          <w:lang w:val="en-US"/>
        </w:rPr>
        <w:t xml:space="preserve"> gehitzea.</w:t>
      </w:r>
    </w:p>
    <w:p w:rsidR="000C3396" w:rsidRPr="00AD218B" w:rsidRDefault="00AD218B">
      <w:pPr>
        <w:rPr>
          <w:rStyle w:val="Normal1"/>
          <w:lang w:val="en-US"/>
        </w:rPr>
      </w:pPr>
      <w:proofErr w:type="gramStart"/>
      <w:r w:rsidRPr="00AD218B">
        <w:rPr>
          <w:rStyle w:val="Normal1"/>
          <w:lang w:val="en-US"/>
        </w:rPr>
        <w:t>“7. Derrigortzez ezartzen diren kontraprestazio ekonomikoek, artikulu honen 5.</w:t>
      </w:r>
      <w:proofErr w:type="gramEnd"/>
      <w:r w:rsidRPr="00AD218B">
        <w:rPr>
          <w:rStyle w:val="Normal1"/>
          <w:lang w:val="en-US"/>
        </w:rPr>
        <w:t xml:space="preserve"> </w:t>
      </w:r>
      <w:proofErr w:type="gramStart"/>
      <w:r w:rsidRPr="00AD218B">
        <w:rPr>
          <w:rStyle w:val="Normal1"/>
          <w:lang w:val="en-US"/>
        </w:rPr>
        <w:t>apartatuan</w:t>
      </w:r>
      <w:proofErr w:type="gramEnd"/>
      <w:r w:rsidRPr="00AD218B">
        <w:rPr>
          <w:rStyle w:val="Normal1"/>
          <w:lang w:val="en-US"/>
        </w:rPr>
        <w:t xml:space="preserve"> aipatzen diren zerbitzu publikoak emateagatik jasotzen direnek, dela</w:t>
      </w:r>
      <w:r w:rsidRPr="00AD218B">
        <w:rPr>
          <w:rStyle w:val="Normal1"/>
          <w:lang w:val="en-US"/>
        </w:rPr>
        <w:t xml:space="preserve"> zuzenean pertsonifikazio pribatu bidez, dela zeharkako kudeaketa bidez, zergaz kanpoko ondare-prestazio publikoen izaera izanen dute, Konstituzioaren 31.3 artikuluan aurreikusitakoarekin bat.</w:t>
      </w:r>
    </w:p>
    <w:p w:rsidR="000C3396" w:rsidRPr="00AD218B" w:rsidRDefault="00AD218B">
      <w:pPr>
        <w:rPr>
          <w:rStyle w:val="Normal1"/>
          <w:lang w:val="en-US"/>
        </w:rPr>
      </w:pPr>
      <w:proofErr w:type="gramStart"/>
      <w:r w:rsidRPr="00AD218B">
        <w:rPr>
          <w:rStyle w:val="Normal1"/>
          <w:lang w:val="en-US"/>
        </w:rPr>
        <w:t>Zehazki, halako izaera izanen dute obrak ustiatu edo zerbitzuak</w:t>
      </w:r>
      <w:r w:rsidRPr="00AD218B">
        <w:rPr>
          <w:rStyle w:val="Normal1"/>
          <w:lang w:val="en-US"/>
        </w:rPr>
        <w:t xml:space="preserve"> emateagatik exigitzen direnek, emakida araubidean, ekonomia mistoko sozietate bidez, enpresa-entitate publikoen bidez, osotara kapital publikokoak diren sozietateen bidez eta zuzenbide pribatuko gainerako formulak erabiliz.</w:t>
      </w:r>
      <w:proofErr w:type="gramEnd"/>
    </w:p>
    <w:p w:rsidR="000C3396" w:rsidRPr="00AD218B" w:rsidRDefault="00AD218B">
      <w:pPr>
        <w:rPr>
          <w:rStyle w:val="Normal1"/>
          <w:lang w:val="en-US"/>
        </w:rPr>
      </w:pPr>
      <w:proofErr w:type="gramStart"/>
      <w:r w:rsidRPr="00AD218B">
        <w:rPr>
          <w:rStyle w:val="Normal1"/>
          <w:lang w:val="en-US"/>
        </w:rPr>
        <w:t>Kontratu Publikoei buruzko apir</w:t>
      </w:r>
      <w:r w:rsidRPr="00AD218B">
        <w:rPr>
          <w:rStyle w:val="Normal1"/>
          <w:lang w:val="en-US"/>
        </w:rPr>
        <w:t>ilaren 13ko 2/2018 Foru Legearen 109.</w:t>
      </w:r>
      <w:proofErr w:type="gramEnd"/>
      <w:r w:rsidRPr="00AD218B">
        <w:rPr>
          <w:rStyle w:val="Normal1"/>
          <w:lang w:val="en-US"/>
        </w:rPr>
        <w:t xml:space="preserve"> </w:t>
      </w:r>
      <w:proofErr w:type="gramStart"/>
      <w:r w:rsidRPr="00AD218B">
        <w:rPr>
          <w:rStyle w:val="Normal1"/>
          <w:lang w:val="en-US"/>
        </w:rPr>
        <w:t>artikuluan</w:t>
      </w:r>
      <w:proofErr w:type="gramEnd"/>
      <w:r w:rsidRPr="00AD218B">
        <w:rPr>
          <w:rStyle w:val="Normal1"/>
          <w:lang w:val="en-US"/>
        </w:rPr>
        <w:t xml:space="preserve"> ezarritakoa ukatu gabe, apartatu honetan aipatzen diren kontraprestazio ekonomikoak ordenantza bidez arautuko dira. </w:t>
      </w:r>
      <w:proofErr w:type="gramStart"/>
      <w:r w:rsidRPr="00AD218B">
        <w:rPr>
          <w:rStyle w:val="Normal1"/>
          <w:lang w:val="en-US"/>
        </w:rPr>
        <w:t>Ordenantza hori onesteko prozeduran zehar, toki entitateek nahitaezko txostena eskatuko die</w:t>
      </w:r>
      <w:r w:rsidRPr="00AD218B">
        <w:rPr>
          <w:rStyle w:val="Normal1"/>
          <w:lang w:val="en-US"/>
        </w:rPr>
        <w:t>te administrazio publikoei, ordenamendu juridikoaren arabera horietan esku hartzeko ahalmenen bat dutenei.</w:t>
      </w:r>
      <w:proofErr w:type="gramEnd"/>
    </w:p>
    <w:p w:rsidR="000C3396" w:rsidRPr="00AD218B" w:rsidRDefault="00AD218B">
      <w:pPr>
        <w:rPr>
          <w:rStyle w:val="Normal1"/>
          <w:lang w:val="en-US"/>
        </w:rPr>
      </w:pPr>
      <w:proofErr w:type="gramStart"/>
      <w:r w:rsidRPr="00AD218B">
        <w:rPr>
          <w:rStyle w:val="Normal1"/>
          <w:lang w:val="en-US"/>
        </w:rPr>
        <w:t>Toki entitateetako diru-bilketa organoek premiamendu prozeduraren bidez exigitzen ahalko dituzte zergaz kanpoko ondare-prestazio publikoen ondoriozko</w:t>
      </w:r>
      <w:r w:rsidRPr="00AD218B">
        <w:rPr>
          <w:rStyle w:val="Normal1"/>
          <w:lang w:val="en-US"/>
        </w:rPr>
        <w:t xml:space="preserve"> zorrak”.</w:t>
      </w:r>
      <w:proofErr w:type="gramEnd"/>
    </w:p>
    <w:p w:rsidR="000C3396" w:rsidRPr="00AD218B" w:rsidRDefault="00AD218B">
      <w:pPr>
        <w:rPr>
          <w:rStyle w:val="Normal1"/>
          <w:lang w:val="en-US"/>
        </w:rPr>
      </w:pPr>
      <w:proofErr w:type="gramStart"/>
      <w:r w:rsidRPr="00AD218B">
        <w:rPr>
          <w:rStyle w:val="Normal1"/>
          <w:u w:val="single"/>
          <w:lang w:val="en-US"/>
        </w:rPr>
        <w:t>Hiru</w:t>
      </w:r>
      <w:r w:rsidRPr="00AD218B">
        <w:rPr>
          <w:rStyle w:val="Normal1"/>
          <w:lang w:val="en-US"/>
        </w:rPr>
        <w:t>.</w:t>
      </w:r>
      <w:proofErr w:type="gramEnd"/>
      <w:r w:rsidRPr="00AD218B">
        <w:rPr>
          <w:rStyle w:val="Normal1"/>
          <w:lang w:val="en-US"/>
        </w:rPr>
        <w:t xml:space="preserve"> </w:t>
      </w:r>
      <w:proofErr w:type="gramStart"/>
      <w:r w:rsidRPr="00AD218B">
        <w:rPr>
          <w:rStyle w:val="Normal1"/>
          <w:lang w:val="en-US"/>
        </w:rPr>
        <w:t>156.2 artikulua.</w:t>
      </w:r>
      <w:proofErr w:type="gramEnd"/>
    </w:p>
    <w:p w:rsidR="000C3396" w:rsidRPr="00AD218B" w:rsidRDefault="00AD218B">
      <w:pPr>
        <w:rPr>
          <w:rStyle w:val="Normal1"/>
          <w:lang w:val="en-US"/>
        </w:rPr>
      </w:pPr>
      <w:proofErr w:type="gramStart"/>
      <w:r w:rsidRPr="00AD218B">
        <w:rPr>
          <w:rStyle w:val="Normal1"/>
          <w:lang w:val="en-US"/>
        </w:rPr>
        <w:t>“2. Urteko Erregistro hori jendearen eskura egonen da urte natural osoan Nafarroako Zerga Ogasunaren web-orrian, zerga-egoitzari buruzko datuak izan ezik.</w:t>
      </w:r>
      <w:proofErr w:type="gramEnd"/>
    </w:p>
    <w:p w:rsidR="000C3396" w:rsidRPr="00AD218B" w:rsidRDefault="00AD218B">
      <w:pPr>
        <w:rPr>
          <w:rStyle w:val="Normal1"/>
          <w:lang w:val="en-US"/>
        </w:rPr>
      </w:pPr>
      <w:r w:rsidRPr="00AD218B">
        <w:rPr>
          <w:rStyle w:val="Normal1"/>
          <w:lang w:val="en-US"/>
        </w:rPr>
        <w:t xml:space="preserve">Aurreko paragrafoan ezarritakoa galarazi </w:t>
      </w:r>
      <w:proofErr w:type="gramStart"/>
      <w:r w:rsidRPr="00AD218B">
        <w:rPr>
          <w:rStyle w:val="Normal1"/>
          <w:lang w:val="en-US"/>
        </w:rPr>
        <w:t>gabe</w:t>
      </w:r>
      <w:proofErr w:type="gramEnd"/>
      <w:r w:rsidRPr="00AD218B">
        <w:rPr>
          <w:rStyle w:val="Normal1"/>
          <w:lang w:val="en-US"/>
        </w:rPr>
        <w:t>, zilegi izanen da bide</w:t>
      </w:r>
      <w:r w:rsidRPr="00AD218B">
        <w:rPr>
          <w:rStyle w:val="Normal1"/>
          <w:lang w:val="en-US"/>
        </w:rPr>
        <w:t xml:space="preserve"> beretik eskuratzea hurrengo datuak ere, kontsulta egiteko unean Jarduera Ekonomikoen Erregistroan jasota daudenak: jarduera ekonomikoak egiten dituzten subjektu pasiboak identifikatzekoak, eta jardueraren helbidea eta epigrafe edo azpiepigrafea”.</w:t>
      </w:r>
    </w:p>
    <w:p w:rsidR="000C3396" w:rsidRPr="00AD218B" w:rsidRDefault="00AD218B">
      <w:pPr>
        <w:rPr>
          <w:rStyle w:val="Normal1"/>
          <w:lang w:val="en-US"/>
        </w:rPr>
      </w:pPr>
      <w:proofErr w:type="gramStart"/>
      <w:r w:rsidRPr="00AD218B">
        <w:rPr>
          <w:rStyle w:val="Normal1"/>
          <w:u w:val="single"/>
          <w:lang w:val="en-US"/>
        </w:rPr>
        <w:t>Lau</w:t>
      </w:r>
      <w:r w:rsidRPr="00AD218B">
        <w:rPr>
          <w:rStyle w:val="Normal1"/>
          <w:lang w:val="en-US"/>
        </w:rPr>
        <w:t>.</w:t>
      </w:r>
      <w:proofErr w:type="gramEnd"/>
      <w:r w:rsidRPr="00AD218B">
        <w:rPr>
          <w:rStyle w:val="Normal1"/>
          <w:lang w:val="en-US"/>
        </w:rPr>
        <w:t xml:space="preserve"> 162</w:t>
      </w:r>
      <w:r w:rsidRPr="00AD218B">
        <w:rPr>
          <w:rStyle w:val="Normal1"/>
          <w:lang w:val="en-US"/>
        </w:rPr>
        <w:t xml:space="preserve">. </w:t>
      </w:r>
      <w:proofErr w:type="gramStart"/>
      <w:r w:rsidRPr="00AD218B">
        <w:rPr>
          <w:rStyle w:val="Normal1"/>
          <w:lang w:val="en-US"/>
        </w:rPr>
        <w:t>artikuluari</w:t>
      </w:r>
      <w:proofErr w:type="gramEnd"/>
      <w:r w:rsidRPr="00AD218B">
        <w:rPr>
          <w:rStyle w:val="Normal1"/>
          <w:lang w:val="en-US"/>
        </w:rPr>
        <w:t xml:space="preserve"> 4. </w:t>
      </w:r>
      <w:proofErr w:type="gramStart"/>
      <w:r w:rsidRPr="00AD218B">
        <w:rPr>
          <w:rStyle w:val="Normal1"/>
          <w:lang w:val="en-US"/>
        </w:rPr>
        <w:t>apartatua</w:t>
      </w:r>
      <w:proofErr w:type="gramEnd"/>
      <w:r w:rsidRPr="00AD218B">
        <w:rPr>
          <w:rStyle w:val="Normal1"/>
          <w:lang w:val="en-US"/>
        </w:rPr>
        <w:t xml:space="preserve"> gehitzea.</w:t>
      </w:r>
    </w:p>
    <w:p w:rsidR="000C3396" w:rsidRPr="00AD218B" w:rsidRDefault="00AD218B">
      <w:pPr>
        <w:rPr>
          <w:rStyle w:val="Normal1"/>
          <w:lang w:val="en-US"/>
        </w:rPr>
      </w:pPr>
      <w:r w:rsidRPr="00AD218B">
        <w:rPr>
          <w:rStyle w:val="Normal1"/>
          <w:lang w:val="en-US"/>
        </w:rPr>
        <w:t>“4. Zerga-ordenantzek zerga-kuotaren gaineko honako hobari hauek arautzen ahalko dituzte: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a) 100eko 50erainoko hobaria ECO ibilgailuetarako.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b) 100eko 100erainoko hobaria '0 igorpen' ibilgailuetarako.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Aurreko paragrafoek aipatzen dituzten hobarien gainerako alderdi substantiboak eta formalak zerga-ordenantzan arautuko dira”.</w:t>
      </w:r>
    </w:p>
    <w:p w:rsidR="000C3396" w:rsidRDefault="00AD218B">
      <w:pPr>
        <w:rPr>
          <w:rStyle w:val="Normal1"/>
        </w:rPr>
      </w:pPr>
      <w:r>
        <w:rPr>
          <w:rStyle w:val="Normal1"/>
          <w:u w:val="single"/>
        </w:rPr>
        <w:t>Bost</w:t>
      </w:r>
      <w:r>
        <w:rPr>
          <w:rStyle w:val="Normal1"/>
        </w:rPr>
        <w:t>. 175.2 artikulua, bosgarren eta seigarren paragrafoak.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 xml:space="preserve">“Sortzapenaren unean lurrak duen balioaren gainean aplikatu beharreko </w:t>
      </w:r>
      <w:r>
        <w:rPr>
          <w:rStyle w:val="Normal1"/>
        </w:rPr>
        <w:t>koefizientea, artikulu honetan xedatutakoari jarraikiz kalkulatua, udalak onetsitakoetatik suertatzen dena izanen da, balio-gehikuntzaren gertatze-aldiaren arabera, baina muga hauek gainditu gabe betiere:</w:t>
      </w:r>
    </w:p>
    <w:p w:rsidR="000C3396" w:rsidRPr="00AD218B" w:rsidRDefault="00AD218B">
      <w:pPr>
        <w:rPr>
          <w:rStyle w:val="Normal1"/>
          <w:lang w:val="en-US"/>
        </w:rPr>
      </w:pPr>
      <w:r w:rsidRPr="00AD218B">
        <w:rPr>
          <w:rStyle w:val="Normal1"/>
          <w:lang w:val="en-US"/>
        </w:rPr>
        <w:t>Gertatze-aldia:</w:t>
      </w:r>
    </w:p>
    <w:p w:rsidR="000C3396" w:rsidRDefault="00AD218B">
      <w:pPr>
        <w:pStyle w:val="Tab9F5"/>
      </w:pPr>
      <w:r>
        <w:t>0</w:t>
      </w:r>
      <w:proofErr w:type="gramStart"/>
      <w:r>
        <w:t>,63</w:t>
      </w:r>
      <w:proofErr w:type="gramEnd"/>
      <w:r>
        <w:tab/>
        <w:t>20 urtekoa edo hortik gorakoa</w:t>
      </w:r>
    </w:p>
    <w:p w:rsidR="000C3396" w:rsidRDefault="00AD218B">
      <w:pPr>
        <w:pStyle w:val="Tab81"/>
      </w:pPr>
      <w:r>
        <w:t>0</w:t>
      </w:r>
      <w:proofErr w:type="gramStart"/>
      <w:r>
        <w:t>,56</w:t>
      </w:r>
      <w:proofErr w:type="gramEnd"/>
      <w:r>
        <w:tab/>
        <w:t>19 urte</w:t>
      </w:r>
    </w:p>
    <w:p w:rsidR="000C3396" w:rsidRDefault="00AD218B">
      <w:pPr>
        <w:pStyle w:val="Tab81"/>
      </w:pPr>
      <w:r>
        <w:t>0</w:t>
      </w:r>
      <w:proofErr w:type="gramStart"/>
      <w:r>
        <w:t>,43</w:t>
      </w:r>
      <w:proofErr w:type="gramEnd"/>
      <w:r>
        <w:tab/>
        <w:t>18 urte</w:t>
      </w:r>
    </w:p>
    <w:p w:rsidR="000C3396" w:rsidRDefault="00AD218B">
      <w:pPr>
        <w:pStyle w:val="Tab81"/>
      </w:pPr>
      <w:r>
        <w:t>0</w:t>
      </w:r>
      <w:proofErr w:type="gramStart"/>
      <w:r>
        <w:t>,29</w:t>
      </w:r>
      <w:proofErr w:type="gramEnd"/>
      <w:r>
        <w:tab/>
        <w:t>17 urte</w:t>
      </w:r>
    </w:p>
    <w:p w:rsidR="000C3396" w:rsidRDefault="00AD218B">
      <w:pPr>
        <w:pStyle w:val="Tab81"/>
      </w:pPr>
      <w:r>
        <w:t>0</w:t>
      </w:r>
      <w:proofErr w:type="gramStart"/>
      <w:r>
        <w:t>,16</w:t>
      </w:r>
      <w:proofErr w:type="gramEnd"/>
      <w:r>
        <w:tab/>
        <w:t>16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15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14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13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12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11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10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9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8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7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6 urte</w:t>
      </w:r>
    </w:p>
    <w:p w:rsidR="000C3396" w:rsidRDefault="00AD218B">
      <w:pPr>
        <w:pStyle w:val="Tab81"/>
      </w:pPr>
      <w:r>
        <w:t>0</w:t>
      </w:r>
      <w:proofErr w:type="gramStart"/>
      <w:r>
        <w:t>,06</w:t>
      </w:r>
      <w:proofErr w:type="gramEnd"/>
      <w:r>
        <w:tab/>
        <w:t>5 urte</w:t>
      </w:r>
    </w:p>
    <w:p w:rsidR="000C3396" w:rsidRDefault="00AD218B">
      <w:pPr>
        <w:pStyle w:val="Tab81"/>
      </w:pPr>
      <w:r>
        <w:t>0</w:t>
      </w:r>
      <w:proofErr w:type="gramStart"/>
      <w:r>
        <w:t>,20</w:t>
      </w:r>
      <w:proofErr w:type="gramEnd"/>
      <w:r>
        <w:tab/>
        <w:t>4 urte</w:t>
      </w:r>
    </w:p>
    <w:p w:rsidR="000C3396" w:rsidRDefault="00AD218B">
      <w:pPr>
        <w:pStyle w:val="Tab81"/>
      </w:pPr>
      <w:r>
        <w:t>0</w:t>
      </w:r>
      <w:proofErr w:type="gramStart"/>
      <w:r>
        <w:t>,28</w:t>
      </w:r>
      <w:proofErr w:type="gramEnd"/>
      <w:r>
        <w:tab/>
        <w:t>3 urte</w:t>
      </w:r>
    </w:p>
    <w:p w:rsidR="000C3396" w:rsidRDefault="00AD218B">
      <w:pPr>
        <w:pStyle w:val="Tab81"/>
      </w:pPr>
      <w:r>
        <w:t>0</w:t>
      </w:r>
      <w:proofErr w:type="gramStart"/>
      <w:r>
        <w:t>,18</w:t>
      </w:r>
      <w:proofErr w:type="gramEnd"/>
      <w:r>
        <w:tab/>
        <w:t>2 urte</w:t>
      </w:r>
    </w:p>
    <w:p w:rsidR="000C3396" w:rsidRDefault="00AD218B">
      <w:pPr>
        <w:pStyle w:val="Tab81"/>
      </w:pPr>
      <w:r>
        <w:t>0</w:t>
      </w:r>
      <w:proofErr w:type="gramStart"/>
      <w:r>
        <w:t>,09</w:t>
      </w:r>
      <w:proofErr w:type="gramEnd"/>
      <w:r>
        <w:tab/>
        <w:t>Urtebete</w:t>
      </w:r>
    </w:p>
    <w:p w:rsidR="000C3396" w:rsidRDefault="00AD218B">
      <w:pPr>
        <w:pStyle w:val="Tab71"/>
      </w:pPr>
      <w:r>
        <w:t>0</w:t>
      </w:r>
      <w:proofErr w:type="gramStart"/>
      <w:r>
        <w:t>,09</w:t>
      </w:r>
      <w:proofErr w:type="gramEnd"/>
      <w:r>
        <w:tab/>
      </w:r>
      <w:r>
        <w:t>Urtebete baino gutxiago</w:t>
      </w:r>
    </w:p>
    <w:p w:rsidR="000C3396" w:rsidRDefault="00AD218B">
      <w:pPr>
        <w:pStyle w:val="Tab6"/>
      </w:pPr>
      <w:proofErr w:type="gramStart"/>
      <w:r>
        <w:t>Gehieneko koefiziente horiek urtero eguneratuko dira, 58.2 artikuluan ezarritakoari jarraikiz”.</w:t>
      </w:r>
      <w:proofErr w:type="gramEnd"/>
    </w:p>
    <w:p w:rsidR="000C3396" w:rsidRDefault="00AD218B">
      <w:pPr>
        <w:rPr>
          <w:rStyle w:val="Normal1"/>
        </w:rPr>
      </w:pPr>
      <w:r>
        <w:rPr>
          <w:rStyle w:val="Normal1"/>
          <w:u w:val="single"/>
        </w:rPr>
        <w:t>Sei</w:t>
      </w:r>
      <w:r>
        <w:rPr>
          <w:rStyle w:val="Normal1"/>
        </w:rPr>
        <w:t>. Hamaikagarren bis xedapen gehigarria gehitzea.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“Hamaikagarren bis xedapen gehigarria. Iruñeko Udalaren araubidea (aurrekontuena, ek</w:t>
      </w:r>
      <w:r>
        <w:rPr>
          <w:rStyle w:val="Normal1"/>
        </w:rPr>
        <w:t>onomiko-finantzarioa, kontabilitatearena, kontu-hartzailetzarena, finantza kontrolarena eta eraginkortasun kontrolarena).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Iruñeko Udalaren araubidea (aurrekontuena, ekonomiko-finantzarioa, kontabilitatearena, kontu-hartzailetzarena, finantza kontrolarena e</w:t>
      </w:r>
      <w:r>
        <w:rPr>
          <w:rStyle w:val="Normal1"/>
        </w:rPr>
        <w:t>ta eraginkortasun kontrolarena) Toki Araubidearen Oinarriak arautzen dituen apirilaren 2ko 7/1985 Legearen X. tituluan aurreikusitakoa izanen da, foru lege honetako berezitasunekin”.</w:t>
      </w:r>
    </w:p>
    <w:p w:rsidR="000C3396" w:rsidRDefault="00AD218B">
      <w:pPr>
        <w:rPr>
          <w:rStyle w:val="Normal1"/>
        </w:rPr>
      </w:pPr>
      <w:r>
        <w:rPr>
          <w:rStyle w:val="Normal1"/>
          <w:b/>
        </w:rPr>
        <w:t>Xedapen gehigarri bakarra.</w:t>
      </w:r>
      <w:r>
        <w:rPr>
          <w:rStyle w:val="Normal1"/>
        </w:rPr>
        <w:t xml:space="preserve"> Gehiengo osoko foru legea.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Foru lege hau gehie</w:t>
      </w:r>
      <w:r>
        <w:rPr>
          <w:rStyle w:val="Normal1"/>
        </w:rPr>
        <w:t xml:space="preserve">ngo osokoa da, Nafarroako Foru Eraentza Berrezarri eta Hobetzeari buruzko abuztuaren 10eko 13/1982 Lege Organikoaren 20.2 artikuluan eta Nafarroako Parlamentuko Erregelamenduaren testu bateginaren 152. </w:t>
      </w:r>
      <w:proofErr w:type="gramStart"/>
      <w:r>
        <w:rPr>
          <w:rStyle w:val="Normal1"/>
        </w:rPr>
        <w:t>eta</w:t>
      </w:r>
      <w:proofErr w:type="gramEnd"/>
      <w:r>
        <w:rPr>
          <w:rStyle w:val="Normal1"/>
        </w:rPr>
        <w:t xml:space="preserve"> 153. </w:t>
      </w:r>
      <w:proofErr w:type="gramStart"/>
      <w:r>
        <w:rPr>
          <w:rStyle w:val="Normal1"/>
        </w:rPr>
        <w:t>artikuluetan</w:t>
      </w:r>
      <w:proofErr w:type="gramEnd"/>
      <w:r>
        <w:rPr>
          <w:rStyle w:val="Normal1"/>
        </w:rPr>
        <w:t xml:space="preserve"> ezarritakoarekin bat.</w:t>
      </w:r>
    </w:p>
    <w:p w:rsidR="000C3396" w:rsidRDefault="00AD218B">
      <w:pPr>
        <w:rPr>
          <w:rStyle w:val="Normal1"/>
        </w:rPr>
      </w:pPr>
      <w:r>
        <w:rPr>
          <w:rStyle w:val="Normal1"/>
          <w:b/>
        </w:rPr>
        <w:t>Azken xeda</w:t>
      </w:r>
      <w:r>
        <w:rPr>
          <w:rStyle w:val="Normal1"/>
          <w:b/>
        </w:rPr>
        <w:t>penetako lehenbizikoa.</w:t>
      </w:r>
      <w:r>
        <w:rPr>
          <w:rStyle w:val="Normal1"/>
        </w:rPr>
        <w:t xml:space="preserve"> Arauak emateko ahalmena.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Baimena ematen zaio Nafarroako Gobernuari foru lege hau garatu eta egikaritzeko behar diren xedapen guztiak emateko.</w:t>
      </w:r>
    </w:p>
    <w:p w:rsidR="000C3396" w:rsidRDefault="00AD218B">
      <w:pPr>
        <w:rPr>
          <w:rStyle w:val="Normal1"/>
        </w:rPr>
      </w:pPr>
      <w:r>
        <w:rPr>
          <w:rStyle w:val="Normal1"/>
          <w:b/>
        </w:rPr>
        <w:t xml:space="preserve">Azken xedapenetako bigarrena. </w:t>
      </w:r>
      <w:r>
        <w:rPr>
          <w:rStyle w:val="Normal1"/>
        </w:rPr>
        <w:t>Indarra hartzea.</w:t>
      </w:r>
    </w:p>
    <w:p w:rsidR="000C3396" w:rsidRDefault="00AD218B">
      <w:pPr>
        <w:rPr>
          <w:rStyle w:val="Normal1"/>
        </w:rPr>
      </w:pPr>
      <w:r>
        <w:rPr>
          <w:rStyle w:val="Normal1"/>
        </w:rPr>
        <w:t>Foru lege honek Nafarroako Aldizkari Ofizial</w:t>
      </w:r>
      <w:r>
        <w:rPr>
          <w:rStyle w:val="Normal1"/>
        </w:rPr>
        <w:t>ean argitaratu eta biharamunean hartuko du indarra, ezartzen dituen efektuekin.</w:t>
      </w:r>
    </w:p>
    <w:sectPr w:rsidR="000C33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3396"/>
    <w:rsid w:val="000C3396"/>
    <w:rsid w:val="00A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6">
    <w:name w:val="Tab6"/>
    <w:basedOn w:val="Normal"/>
    <w:qFormat/>
    <w:pPr>
      <w:spacing w:before="113"/>
    </w:pPr>
    <w:rPr>
      <w:rFonts w:ascii="Helvetica LT Std" w:eastAsia="Helvetica LT Std" w:hAnsi="Helvetica LT Std" w:cs="Helvetica LT Std"/>
    </w:rPr>
  </w:style>
  <w:style w:type="paragraph" w:customStyle="1" w:styleId="Tab7">
    <w:name w:val="Tab7"/>
    <w:basedOn w:val="Tab9"/>
    <w:qFormat/>
    <w:pPr>
      <w:spacing w:before="0"/>
    </w:pPr>
  </w:style>
  <w:style w:type="paragraph" w:customStyle="1" w:styleId="Tab71">
    <w:name w:val="Tab7(1)"/>
    <w:basedOn w:val="Tab7"/>
    <w:qFormat/>
    <w:pPr>
      <w:tabs>
        <w:tab w:val="right" w:pos="4288"/>
      </w:tabs>
      <w:jc w:val="right"/>
    </w:pPr>
  </w:style>
  <w:style w:type="paragraph" w:customStyle="1" w:styleId="Tab8">
    <w:name w:val="Tab8"/>
    <w:basedOn w:val="Normal"/>
    <w:qFormat/>
    <w:pPr>
      <w:spacing w:after="56"/>
      <w:ind w:firstLine="0"/>
      <w:jc w:val="left"/>
    </w:pPr>
    <w:rPr>
      <w:rFonts w:ascii="Helvetica LT Std" w:eastAsia="Helvetica LT Std" w:hAnsi="Helvetica LT Std" w:cs="Helvetica LT Std"/>
    </w:rPr>
  </w:style>
  <w:style w:type="paragraph" w:customStyle="1" w:styleId="Tab81">
    <w:name w:val="Tab8(1)"/>
    <w:basedOn w:val="Tab8"/>
    <w:qFormat/>
    <w:pPr>
      <w:tabs>
        <w:tab w:val="right" w:pos="4288"/>
      </w:tabs>
    </w:pPr>
  </w:style>
  <w:style w:type="paragraph" w:customStyle="1" w:styleId="Tab9">
    <w:name w:val="Tab9"/>
    <w:basedOn w:val="Normal"/>
    <w:qFormat/>
    <w:pPr>
      <w:spacing w:before="113"/>
      <w:ind w:firstLine="0"/>
      <w:jc w:val="left"/>
    </w:pPr>
    <w:rPr>
      <w:rFonts w:ascii="Helvetica LT Std" w:eastAsia="Helvetica LT Std" w:hAnsi="Helvetica LT Std" w:cs="Helvetica LT Std"/>
    </w:rPr>
  </w:style>
  <w:style w:type="paragraph" w:customStyle="1" w:styleId="Tab9F5">
    <w:name w:val="Tab9F5"/>
    <w:basedOn w:val="Tab9"/>
    <w:qFormat/>
    <w:pPr>
      <w:tabs>
        <w:tab w:val="right" w:pos="4288"/>
      </w:tabs>
      <w:spacing w:after="56"/>
    </w:pPr>
  </w:style>
  <w:style w:type="paragraph" w:customStyle="1" w:styleId="Ttulo1">
    <w:name w:val="Título1"/>
    <w:basedOn w:val="Normal"/>
    <w:qFormat/>
    <w:pPr>
      <w:spacing w:after="283" w:line="240" w:lineRule="auto"/>
      <w:ind w:left="453" w:hanging="453"/>
    </w:pPr>
    <w:rPr>
      <w:b/>
      <w:w w:val="110"/>
      <w:sz w:val="26"/>
    </w:rPr>
  </w:style>
  <w:style w:type="paragraph" w:customStyle="1" w:styleId="Titulotexto">
    <w:name w:val="Titulo texto"/>
    <w:basedOn w:val="Ttulo1"/>
    <w:qFormat/>
    <w:pPr>
      <w:spacing w:before="283" w:after="170"/>
      <w:ind w:firstLine="0"/>
      <w:jc w:val="center"/>
    </w:pPr>
    <w:rPr>
      <w:sz w:val="24"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1981</Words>
  <Characters>10901</Characters>
  <Application>Microsoft Office Word</Application>
  <DocSecurity>0</DocSecurity>
  <Lines>90</Lines>
  <Paragraphs>25</Paragraphs>
  <ScaleCrop>false</ScaleCrop>
  <Company/>
  <LinksUpToDate>false</LinksUpToDate>
  <CharactersWithSpaces>12857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2019-01-24T07:00:00Z</dcterms:created>
  <dcterms:modified xsi:type="dcterms:W3CDTF">2019-01-24T07:01:00Z</dcterms:modified>
</cp:coreProperties>
</file>