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A32" w:rsidRPr="00204979" w:rsidRDefault="00FA495F" w:rsidP="00A608F3">
      <w:pPr>
        <w:pStyle w:val="EstiloPortada"/>
        <w:spacing w:after="220"/>
        <w:ind w:left="0" w:right="-57"/>
      </w:pPr>
      <w:r w:rsidRPr="00A8137F">
        <w:rPr>
          <w:rFonts w:ascii="Arial" w:hAnsi="Arial" w:cs="Arial"/>
          <w:noProof/>
          <w:color w:val="808080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51B51" wp14:editId="04F5D9E8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CAMARA DE</w:t>
                            </w:r>
                          </w:p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COMPTOS</w:t>
                            </w:r>
                          </w:p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DE NAVARRA</w:t>
                            </w:r>
                          </w:p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NAFARROAKO</w:t>
                            </w:r>
                          </w:p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KONTUEN</w:t>
                            </w:r>
                          </w:p>
                          <w:p w:rsidR="00B74512" w:rsidRPr="003A7956" w:rsidRDefault="00B74512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GANBERA</w:t>
                            </w:r>
                          </w:p>
                          <w:p w:rsidR="00B74512" w:rsidRPr="002C7026" w:rsidRDefault="00B74512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rajan" w:hAnsi="Trajan"/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CAMARA DE</w:t>
                      </w:r>
                    </w:p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COMPTOS</w:t>
                      </w:r>
                    </w:p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DE NAVARRA</w:t>
                      </w:r>
                    </w:p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NAFARROAKO</w:t>
                      </w:r>
                    </w:p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KONTUEN</w:t>
                      </w:r>
                    </w:p>
                    <w:p w:rsidR="00B74512" w:rsidRPr="003A7956" w:rsidRDefault="00B74512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GANBERA</w:t>
                      </w:r>
                    </w:p>
                    <w:p w:rsidR="00B74512" w:rsidRPr="002C7026" w:rsidRDefault="00B74512" w:rsidP="002C7026">
                      <w:pPr>
                        <w:spacing w:after="0"/>
                        <w:ind w:firstLine="0"/>
                        <w:jc w:val="center"/>
                        <w:rPr>
                          <w:rFonts w:ascii="Trajan" w:hAnsi="Trajan"/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8F3">
        <w:rPr>
          <w:rFonts w:ascii="Arial" w:hAnsi="Arial" w:cs="Arial"/>
          <w:color w:val="808080"/>
          <w:sz w:val="40"/>
        </w:rPr>
        <w:t xml:space="preserve">                           </w:t>
      </w:r>
      <w:r w:rsidR="00401473">
        <w:rPr>
          <w:rFonts w:ascii="Arial" w:hAnsi="Arial" w:cs="Arial"/>
          <w:color w:val="808080"/>
          <w:sz w:val="40"/>
        </w:rPr>
        <w:t xml:space="preserve">     </w:t>
      </w:r>
    </w:p>
    <w:p w:rsidR="00A608F3" w:rsidRPr="00A608F3" w:rsidRDefault="00B631D4" w:rsidP="00401473">
      <w:pPr>
        <w:pStyle w:val="EstiloPortada"/>
        <w:ind w:left="3570"/>
        <w:rPr>
          <w:sz w:val="44"/>
          <w:szCs w:val="44"/>
        </w:rPr>
      </w:pPr>
      <w:r>
        <w:rPr>
          <w:sz w:val="44"/>
          <w:szCs w:val="44"/>
        </w:rPr>
        <w:t>R</w:t>
      </w:r>
      <w:r w:rsidR="00130075">
        <w:rPr>
          <w:sz w:val="44"/>
          <w:szCs w:val="44"/>
        </w:rPr>
        <w:t xml:space="preserve">eparos emitidos por el personal de la Intervención </w:t>
      </w:r>
      <w:r w:rsidR="00A608F3" w:rsidRPr="00A608F3">
        <w:rPr>
          <w:sz w:val="44"/>
          <w:szCs w:val="44"/>
        </w:rPr>
        <w:t>de las entid</w:t>
      </w:r>
      <w:r w:rsidR="00A608F3" w:rsidRPr="00A608F3">
        <w:rPr>
          <w:sz w:val="44"/>
          <w:szCs w:val="44"/>
        </w:rPr>
        <w:t>a</w:t>
      </w:r>
      <w:r w:rsidR="00A608F3" w:rsidRPr="00A608F3">
        <w:rPr>
          <w:sz w:val="44"/>
          <w:szCs w:val="44"/>
        </w:rPr>
        <w:t>des locales de Nava</w:t>
      </w:r>
      <w:r>
        <w:rPr>
          <w:sz w:val="44"/>
          <w:szCs w:val="44"/>
        </w:rPr>
        <w:t xml:space="preserve">rra </w:t>
      </w:r>
      <w:r w:rsidR="00A608F3" w:rsidRPr="00A608F3">
        <w:rPr>
          <w:sz w:val="44"/>
          <w:szCs w:val="44"/>
        </w:rPr>
        <w:t>2017</w:t>
      </w: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2F2530" w:rsidRPr="00204979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570D1E" w:rsidRDefault="00570D1E" w:rsidP="009936FC">
      <w:pPr>
        <w:pStyle w:val="Fechaportada"/>
      </w:pPr>
    </w:p>
    <w:p w:rsidR="00716463" w:rsidRPr="001D4F09" w:rsidRDefault="000F5BCC" w:rsidP="009936FC">
      <w:pPr>
        <w:pStyle w:val="Fechaportada"/>
      </w:pPr>
      <w:r>
        <w:t>Enero</w:t>
      </w:r>
      <w:r w:rsidR="00253E78" w:rsidRPr="001D4F09">
        <w:t xml:space="preserve"> de 20</w:t>
      </w:r>
      <w:r w:rsidR="00A608F3">
        <w:t>1</w:t>
      </w:r>
      <w:r>
        <w:t>9</w:t>
      </w:r>
    </w:p>
    <w:p w:rsidR="008E3FFE" w:rsidRPr="001D4F09" w:rsidRDefault="008E3FFE" w:rsidP="00891D73">
      <w:pPr>
        <w:pStyle w:val="ndice"/>
        <w:rPr>
          <w:rFonts w:ascii="Times New Roman" w:hAnsi="Times New Roman"/>
        </w:rPr>
        <w:sectPr w:rsidR="008E3FFE" w:rsidRPr="001D4F09" w:rsidSect="001966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0D153B" w:rsidRDefault="000D153B" w:rsidP="000D153B">
      <w:pPr>
        <w:pStyle w:val="ndice"/>
      </w:pPr>
      <w:r w:rsidRPr="00891D73">
        <w:lastRenderedPageBreak/>
        <w:t>Índice</w:t>
      </w:r>
    </w:p>
    <w:p w:rsidR="000D153B" w:rsidRPr="000D153B" w:rsidRDefault="000D153B" w:rsidP="000D153B">
      <w:pPr>
        <w:pStyle w:val="texto"/>
        <w:ind w:right="-324"/>
        <w:jc w:val="right"/>
        <w:rPr>
          <w:rFonts w:ascii="Arial Narrow" w:hAnsi="Arial Narrow"/>
          <w:sz w:val="16"/>
          <w:szCs w:val="16"/>
        </w:rPr>
      </w:pPr>
      <w:r w:rsidRPr="000D153B">
        <w:rPr>
          <w:rFonts w:ascii="Arial Narrow" w:hAnsi="Arial Narrow"/>
          <w:sz w:val="16"/>
          <w:szCs w:val="16"/>
        </w:rPr>
        <w:t>PÁGINA</w:t>
      </w:r>
    </w:p>
    <w:p w:rsidR="002D223B" w:rsidRDefault="000D153B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534892109" w:history="1">
        <w:r w:rsidR="002D223B" w:rsidRPr="00EB0830">
          <w:rPr>
            <w:rStyle w:val="Hipervnculo"/>
            <w:noProof/>
          </w:rPr>
          <w:t>I. Introducción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_Toc534892109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3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4892110" w:history="1">
        <w:r w:rsidR="002D223B" w:rsidRPr="00EB0830">
          <w:rPr>
            <w:rStyle w:val="Hipervnculo"/>
            <w:noProof/>
          </w:rPr>
          <w:t>II. Descripción del control interno en el sector local de la Comunidad Foral de Navarra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_Toc534892110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5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4892111" w:history="1">
        <w:r w:rsidR="002D223B" w:rsidRPr="00EB0830">
          <w:rPr>
            <w:rStyle w:val="Hipervnculo"/>
            <w:noProof/>
            <w:spacing w:val="4"/>
          </w:rPr>
          <w:t>II.1. Control y fiscalización interna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_Toc534892111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5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4892112" w:history="1">
        <w:r w:rsidR="002D223B" w:rsidRPr="00EB0830">
          <w:rPr>
            <w:rStyle w:val="Hipervnculo"/>
            <w:noProof/>
            <w:spacing w:val="4"/>
          </w:rPr>
          <w:t>II.2. Asesoramiento y gestión económica-financiera y presupuestaria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_Toc534892112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7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4892113" w:history="1">
        <w:r w:rsidR="002D223B" w:rsidRPr="00EB0830">
          <w:rPr>
            <w:rStyle w:val="Hipervnculo"/>
            <w:noProof/>
            <w:spacing w:val="4"/>
          </w:rPr>
          <w:t>II.3. Contabilidad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_Toc534892113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7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4892114" w:history="1">
        <w:r w:rsidR="002D223B" w:rsidRPr="00EB0830">
          <w:rPr>
            <w:rStyle w:val="Hipervnculo"/>
            <w:noProof/>
          </w:rPr>
          <w:t>III. Objetivo, alcance y limitaciones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_Toc534892114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8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4892115" w:history="1">
        <w:r w:rsidR="002D223B" w:rsidRPr="00EB0830">
          <w:rPr>
            <w:rStyle w:val="Hipervnculo"/>
            <w:noProof/>
          </w:rPr>
          <w:t>IV. Conclusiones y recomendaciones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_Toc534892115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9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4892116" w:history="1">
        <w:r w:rsidR="002D223B" w:rsidRPr="00EB0830">
          <w:rPr>
            <w:rStyle w:val="Hipervnculo"/>
            <w:noProof/>
          </w:rPr>
          <w:t>V. Aspectos generales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_Toc534892116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12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4892117" w:history="1">
        <w:r w:rsidR="002D223B" w:rsidRPr="00EB0830">
          <w:rPr>
            <w:rStyle w:val="Hipervnculo"/>
            <w:noProof/>
            <w:spacing w:val="4"/>
          </w:rPr>
          <w:t>V.1. Cumplimiento de la obligación de remisión de la información solicitada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_Toc534892117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12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4892118" w:history="1">
        <w:r w:rsidR="002D223B" w:rsidRPr="00EB0830">
          <w:rPr>
            <w:rStyle w:val="Hipervnculo"/>
            <w:noProof/>
          </w:rPr>
          <w:t>V.2. Entidades sin reparos, sin acuerdos contrarios a reparos ni expedientes con omisión de fiscalización previa ni anomalías en la gestión de ingresos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_Toc534892118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12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4892119" w:history="1">
        <w:r w:rsidR="002D223B" w:rsidRPr="00EB0830">
          <w:rPr>
            <w:rStyle w:val="Hipervnculo"/>
            <w:noProof/>
          </w:rPr>
          <w:t>V.3. El sistema de control interno de las entidades locales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_Toc534892119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13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4892120" w:history="1">
        <w:r w:rsidR="002D223B" w:rsidRPr="00EB0830">
          <w:rPr>
            <w:rStyle w:val="Hipervnculo"/>
            <w:noProof/>
          </w:rPr>
          <w:t>V.4. Informes en materia presupuestaria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_Toc534892120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14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4892121" w:history="1">
        <w:r w:rsidR="002D223B" w:rsidRPr="00EB0830">
          <w:rPr>
            <w:rStyle w:val="Hipervnculo"/>
            <w:noProof/>
          </w:rPr>
          <w:t>V.5. Reparos formulados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_Toc534892121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14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4892122" w:history="1">
        <w:r w:rsidR="002D223B" w:rsidRPr="00EB0830">
          <w:rPr>
            <w:rStyle w:val="Hipervnculo"/>
            <w:noProof/>
          </w:rPr>
          <w:t>V.6. Acuerdos contrarios a reparos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_Toc534892122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16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4892123" w:history="1">
        <w:r w:rsidR="002D223B" w:rsidRPr="00EB0830">
          <w:rPr>
            <w:rStyle w:val="Hipervnculo"/>
            <w:noProof/>
          </w:rPr>
          <w:t>V.7. Expedientes tramitados con omisión de la fiscalización previa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_Toc534892123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17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EB7A81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534892124" w:history="1">
        <w:r w:rsidR="002D223B" w:rsidRPr="00EB0830">
          <w:rPr>
            <w:rStyle w:val="Hipervnculo"/>
            <w:noProof/>
          </w:rPr>
          <w:t>V.8. Principales anomalías en materia de ingresos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_Toc534892124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18</w:t>
        </w:r>
        <w:r w:rsidR="002D223B">
          <w:rPr>
            <w:noProof/>
            <w:webHidden/>
          </w:rPr>
          <w:fldChar w:fldCharType="end"/>
        </w:r>
      </w:hyperlink>
    </w:p>
    <w:p w:rsidR="002D223B" w:rsidRDefault="002D223B">
      <w:pPr>
        <w:pStyle w:val="TDC1"/>
        <w:rPr>
          <w:rStyle w:val="Hipervnculo"/>
          <w:noProof/>
        </w:rPr>
      </w:pPr>
    </w:p>
    <w:p w:rsidR="002D223B" w:rsidRDefault="00EB7A81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534892125" w:history="1">
        <w:r w:rsidR="002D223B" w:rsidRPr="00EB0830">
          <w:rPr>
            <w:rStyle w:val="Hipervnculo"/>
            <w:noProof/>
          </w:rPr>
          <w:t>Anexo 1. Relación de Entidades locales que no han remitido información</w:t>
        </w:r>
        <w:r w:rsidR="002D223B">
          <w:rPr>
            <w:noProof/>
            <w:webHidden/>
          </w:rPr>
          <w:tab/>
        </w:r>
        <w:r w:rsidR="002D223B">
          <w:rPr>
            <w:noProof/>
            <w:webHidden/>
          </w:rPr>
          <w:fldChar w:fldCharType="begin"/>
        </w:r>
        <w:r w:rsidR="002D223B">
          <w:rPr>
            <w:noProof/>
            <w:webHidden/>
          </w:rPr>
          <w:instrText xml:space="preserve"> PAGEREF _Toc534892125 \h </w:instrText>
        </w:r>
        <w:r w:rsidR="002D223B">
          <w:rPr>
            <w:noProof/>
            <w:webHidden/>
          </w:rPr>
        </w:r>
        <w:r w:rsidR="002D223B">
          <w:rPr>
            <w:noProof/>
            <w:webHidden/>
          </w:rPr>
          <w:fldChar w:fldCharType="separate"/>
        </w:r>
        <w:r w:rsidR="002D223B">
          <w:rPr>
            <w:noProof/>
            <w:webHidden/>
          </w:rPr>
          <w:t>19</w:t>
        </w:r>
        <w:r w:rsidR="002D223B">
          <w:rPr>
            <w:noProof/>
            <w:webHidden/>
          </w:rPr>
          <w:fldChar w:fldCharType="end"/>
        </w:r>
      </w:hyperlink>
    </w:p>
    <w:p w:rsidR="00891D73" w:rsidRDefault="000D153B" w:rsidP="000D153B">
      <w:pPr>
        <w:pStyle w:val="texto"/>
      </w:pPr>
      <w:r>
        <w:fldChar w:fldCharType="end"/>
      </w:r>
    </w:p>
    <w:p w:rsidR="00891D73" w:rsidRPr="00E703B6" w:rsidRDefault="00891D73" w:rsidP="00E703B6"/>
    <w:p w:rsidR="008E3FFE" w:rsidRDefault="008E3FFE" w:rsidP="00891D73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0D153B" w:rsidRDefault="000D153B" w:rsidP="000D153B">
      <w:pPr>
        <w:pStyle w:val="atitulo1"/>
      </w:pPr>
      <w:bookmarkStart w:id="1" w:name="_Toc534892109"/>
      <w:r>
        <w:lastRenderedPageBreak/>
        <w:t>I. Introducción</w:t>
      </w:r>
      <w:bookmarkEnd w:id="1"/>
    </w:p>
    <w:p w:rsidR="000D153B" w:rsidRDefault="00CE6B51" w:rsidP="000D153B">
      <w:pPr>
        <w:pStyle w:val="texto"/>
      </w:pPr>
      <w:r>
        <w:t>L</w:t>
      </w:r>
      <w:r w:rsidR="000D153B">
        <w:t>a Ley 27/2013</w:t>
      </w:r>
      <w:r w:rsidR="004D0565">
        <w:t>, de 27 de diciembre,</w:t>
      </w:r>
      <w:r w:rsidR="000D153B">
        <w:t xml:space="preserve"> de racionalización y sostenibilidad de la Administración Local modific</w:t>
      </w:r>
      <w:r w:rsidR="004D0565">
        <w:t>ó</w:t>
      </w:r>
      <w:r w:rsidR="000D153B">
        <w:t xml:space="preserve"> la Ley </w:t>
      </w:r>
      <w:r w:rsidR="004D0565">
        <w:t>Reguladora</w:t>
      </w:r>
      <w:r w:rsidR="00134C71">
        <w:t xml:space="preserve"> </w:t>
      </w:r>
      <w:r w:rsidR="000D153B">
        <w:t>de Haciendas Locales, e</w:t>
      </w:r>
      <w:r w:rsidR="000D153B">
        <w:t>s</w:t>
      </w:r>
      <w:r w:rsidR="000D153B">
        <w:t>tablec</w:t>
      </w:r>
      <w:r w:rsidR="00DA52D4">
        <w:t xml:space="preserve">iendo </w:t>
      </w:r>
      <w:r w:rsidR="000D153B">
        <w:t>que el órgano interventor remitirá anualmente al Tribunal de Cue</w:t>
      </w:r>
      <w:r w:rsidR="000D153B">
        <w:t>n</w:t>
      </w:r>
      <w:r w:rsidR="000D153B">
        <w:t xml:space="preserve">tas todas las resoluciones y acuerdos adoptados por el </w:t>
      </w:r>
      <w:r w:rsidR="00194C92">
        <w:t>P</w:t>
      </w:r>
      <w:r w:rsidR="000D153B">
        <w:t xml:space="preserve">residente </w:t>
      </w:r>
      <w:r w:rsidR="00194C92">
        <w:t>de la Entidad Local y por el Pleno de la C</w:t>
      </w:r>
      <w:r w:rsidR="000D153B">
        <w:t>orporación contrarios a</w:t>
      </w:r>
      <w:r w:rsidR="00702B78">
        <w:t xml:space="preserve"> los reparos formulados, así como </w:t>
      </w:r>
      <w:r w:rsidR="00C267CB">
        <w:t xml:space="preserve">un resumen de las </w:t>
      </w:r>
      <w:r w:rsidR="00702B78">
        <w:t xml:space="preserve">principales anomalías </w:t>
      </w:r>
      <w:r w:rsidR="00194C92">
        <w:t xml:space="preserve">detectadas en materia </w:t>
      </w:r>
      <w:r w:rsidR="00702B78">
        <w:t>de ingr</w:t>
      </w:r>
      <w:r w:rsidR="00702B78">
        <w:t>e</w:t>
      </w:r>
      <w:r w:rsidR="00702B78">
        <w:t>sos</w:t>
      </w:r>
      <w:r w:rsidR="00130075">
        <w:t>.</w:t>
      </w:r>
    </w:p>
    <w:p w:rsidR="000D153B" w:rsidRDefault="00CE6B51" w:rsidP="000D153B">
      <w:pPr>
        <w:pStyle w:val="texto"/>
      </w:pPr>
      <w:r>
        <w:t>Asimismo la citada ley</w:t>
      </w:r>
      <w:r w:rsidR="00F217C3">
        <w:t xml:space="preserve"> 27/2013</w:t>
      </w:r>
      <w:r>
        <w:t xml:space="preserve">, </w:t>
      </w:r>
      <w:r w:rsidR="000D153B">
        <w:t>introduce una disposición adicional segunda que determina el régimen aplicable a la Comunidad Foral en esta materia est</w:t>
      </w:r>
      <w:r w:rsidR="000D153B">
        <w:t>a</w:t>
      </w:r>
      <w:r w:rsidR="000D153B">
        <w:t xml:space="preserve">bleciendo, en cumplimiento de la normativa básica, la obligación del personal de intervención de las entidades locales de Navarra de remitir a la Cámara de Comptos dicha información. </w:t>
      </w:r>
    </w:p>
    <w:p w:rsidR="000D153B" w:rsidRDefault="000D153B" w:rsidP="000D153B">
      <w:pPr>
        <w:pStyle w:val="texto"/>
      </w:pPr>
      <w:r>
        <w:t>D</w:t>
      </w:r>
      <w:r w:rsidRPr="00C22AD3">
        <w:t>e conformidad con las competencias fiscalizadoras de la Cámara de Co</w:t>
      </w:r>
      <w:r w:rsidRPr="00C22AD3">
        <w:t>m</w:t>
      </w:r>
      <w:r w:rsidRPr="00C22AD3">
        <w:t xml:space="preserve">ptos de Navarra, se incluyó en el plan de </w:t>
      </w:r>
      <w:r>
        <w:t xml:space="preserve">trabajo </w:t>
      </w:r>
      <w:r w:rsidRPr="00C22AD3">
        <w:t>para el año 201</w:t>
      </w:r>
      <w:r>
        <w:t>8</w:t>
      </w:r>
      <w:r w:rsidRPr="00C22AD3">
        <w:t xml:space="preserve"> </w:t>
      </w:r>
      <w:r>
        <w:t>la fiscaliz</w:t>
      </w:r>
      <w:r>
        <w:t>a</w:t>
      </w:r>
      <w:r>
        <w:t xml:space="preserve">ción sobre los siguientes aspectos correspondientes al ejercicio </w:t>
      </w:r>
      <w:r w:rsidRPr="00C22AD3">
        <w:t>201</w:t>
      </w:r>
      <w:r>
        <w:t>7:</w:t>
      </w:r>
    </w:p>
    <w:p w:rsidR="000D153B" w:rsidRDefault="000D153B" w:rsidP="00C374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C3745F">
        <w:rPr>
          <w:rFonts w:cs="Arial"/>
        </w:rPr>
        <w:t>Modalidades y contenido del control interno</w:t>
      </w:r>
    </w:p>
    <w:p w:rsidR="00194C92" w:rsidRPr="00194C92" w:rsidRDefault="00194C92" w:rsidP="00194C92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C3745F">
        <w:rPr>
          <w:rFonts w:cs="Arial"/>
        </w:rPr>
        <w:t xml:space="preserve">Reparos emitidos </w:t>
      </w:r>
      <w:r>
        <w:rPr>
          <w:rFonts w:cs="Arial"/>
        </w:rPr>
        <w:t xml:space="preserve">por la Intervención </w:t>
      </w:r>
      <w:r w:rsidRPr="00C3745F">
        <w:rPr>
          <w:rFonts w:cs="Arial"/>
        </w:rPr>
        <w:t>en el año 2017</w:t>
      </w:r>
    </w:p>
    <w:p w:rsidR="000D153B" w:rsidRPr="00C3745F" w:rsidRDefault="000D153B" w:rsidP="00C374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C3745F">
        <w:rPr>
          <w:rFonts w:cs="Arial"/>
        </w:rPr>
        <w:t>Acuerdos y resoluciones contrarios a los reparos.</w:t>
      </w:r>
    </w:p>
    <w:p w:rsidR="000D153B" w:rsidRPr="00C3745F" w:rsidRDefault="00866681" w:rsidP="00C374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 xml:space="preserve">Expedientes </w:t>
      </w:r>
      <w:r w:rsidR="000D153B" w:rsidRPr="00C3745F">
        <w:rPr>
          <w:rFonts w:cs="Arial"/>
        </w:rPr>
        <w:t>aprobados con omisión de fiscalización previa.</w:t>
      </w:r>
    </w:p>
    <w:p w:rsidR="000D153B" w:rsidRDefault="00130075" w:rsidP="00C374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A</w:t>
      </w:r>
      <w:r w:rsidR="000D153B" w:rsidRPr="00C3745F">
        <w:rPr>
          <w:rFonts w:cs="Arial"/>
        </w:rPr>
        <w:t>nomalías de ingresos.</w:t>
      </w:r>
    </w:p>
    <w:p w:rsidR="00CE6B51" w:rsidRPr="00C3745F" w:rsidRDefault="00CE6B51" w:rsidP="00C374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Informes negativos en materia presupuestaria.</w:t>
      </w:r>
    </w:p>
    <w:p w:rsidR="00F217C3" w:rsidRDefault="00F217C3" w:rsidP="00F217C3">
      <w:pPr>
        <w:pStyle w:val="texto"/>
      </w:pPr>
      <w:r>
        <w:t>Para realizar esta fiscalización, la Cámara envió al personal de la Interve</w:t>
      </w:r>
      <w:r>
        <w:t>n</w:t>
      </w:r>
      <w:r>
        <w:t>ción</w:t>
      </w:r>
      <w:r w:rsidR="00AE60C6">
        <w:t xml:space="preserve"> de</w:t>
      </w:r>
      <w:r w:rsidRPr="00B94072">
        <w:t xml:space="preserve"> 272 ayuntamientos y 76 </w:t>
      </w:r>
      <w:r w:rsidRPr="00E37A38">
        <w:t xml:space="preserve">mancomunidades </w:t>
      </w:r>
      <w:r>
        <w:t xml:space="preserve">y agrupaciones tradicionales </w:t>
      </w:r>
      <w:r w:rsidRPr="00E37A38">
        <w:t>de Navarra</w:t>
      </w:r>
      <w:r w:rsidR="00AE60C6">
        <w:t xml:space="preserve"> un cuestionario en el que se solicitaba información sobre los aspe</w:t>
      </w:r>
      <w:r w:rsidR="00AE60C6">
        <w:t>c</w:t>
      </w:r>
      <w:r w:rsidR="00AE60C6">
        <w:t>tos citados en el párrafo anterior</w:t>
      </w:r>
      <w:r w:rsidRPr="00E37A38">
        <w:t xml:space="preserve">. </w:t>
      </w:r>
      <w:r w:rsidR="00A22889">
        <w:t>En el caso en que no se hubieran adoptado acuerdos y resoluciones contrarios a reparos o expedientes con omisión de fi</w:t>
      </w:r>
      <w:r w:rsidR="00A22889">
        <w:t>s</w:t>
      </w:r>
      <w:r w:rsidR="00A22889">
        <w:t>calización previa o no existido anomalías de ingresos</w:t>
      </w:r>
      <w:r w:rsidR="00134C71">
        <w:t>,</w:t>
      </w:r>
      <w:r w:rsidR="00A22889">
        <w:t xml:space="preserve"> debían remitir una cert</w:t>
      </w:r>
      <w:r w:rsidR="00A22889">
        <w:t>i</w:t>
      </w:r>
      <w:r w:rsidR="00A22889">
        <w:t>ficación negativa en la que se indicara dicha circunstancia. La</w:t>
      </w:r>
      <w:r w:rsidRPr="00E37A38">
        <w:t xml:space="preserve"> solicitud </w:t>
      </w:r>
      <w:r w:rsidR="00A22889">
        <w:t>de i</w:t>
      </w:r>
      <w:r w:rsidR="00A22889">
        <w:t>n</w:t>
      </w:r>
      <w:r w:rsidR="00A22889">
        <w:t xml:space="preserve">formación </w:t>
      </w:r>
      <w:r w:rsidRPr="00E37A38">
        <w:t xml:space="preserve">se realizó el </w:t>
      </w:r>
      <w:r>
        <w:t>16 de abril de 2018,</w:t>
      </w:r>
      <w:r w:rsidRPr="00E37A38">
        <w:t xml:space="preserve"> concediendo un plazo para su co</w:t>
      </w:r>
      <w:r w:rsidRPr="00E37A38">
        <w:t>n</w:t>
      </w:r>
      <w:r w:rsidRPr="00E37A38">
        <w:t xml:space="preserve">testación que terminaba el </w:t>
      </w:r>
      <w:r w:rsidRPr="00DA316E">
        <w:t>30 de abril</w:t>
      </w:r>
      <w:r w:rsidRPr="00E37A38">
        <w:t>. Posterior</w:t>
      </w:r>
      <w:r>
        <w:t>mente, se remitieron dos nu</w:t>
      </w:r>
      <w:r>
        <w:t>e</w:t>
      </w:r>
      <w:r>
        <w:t>vas solicitudes,</w:t>
      </w:r>
      <w:r w:rsidRPr="00E37A38">
        <w:t xml:space="preserve"> a los que no habían contestado</w:t>
      </w:r>
      <w:r>
        <w:t xml:space="preserve">, </w:t>
      </w:r>
      <w:r w:rsidRPr="00E37A38">
        <w:t xml:space="preserve">ampliando el plazo hasta el </w:t>
      </w:r>
      <w:r w:rsidRPr="00D33BE3">
        <w:t>31 de julio</w:t>
      </w:r>
      <w:r w:rsidRPr="00E37A38">
        <w:t>.</w:t>
      </w:r>
    </w:p>
    <w:p w:rsidR="00F217C3" w:rsidRDefault="00F217C3" w:rsidP="00F217C3">
      <w:pPr>
        <w:pStyle w:val="texto"/>
      </w:pPr>
      <w:r>
        <w:t xml:space="preserve">El trabajo se ha </w:t>
      </w:r>
      <w:r w:rsidR="00AE60C6">
        <w:t>efectuado a través del análisis global de la información rem</w:t>
      </w:r>
      <w:r w:rsidR="00AE60C6">
        <w:t>i</w:t>
      </w:r>
      <w:r w:rsidR="00AE60C6">
        <w:t>tida por las entidades locales</w:t>
      </w:r>
      <w:r>
        <w:t xml:space="preserve"> y lo ha ejecutado un equipo integrado por una técnica de auditoría y un auditor con la colaboración de los servicios jurídicos, informáticos y administrativos de la Cámara de Comptos.</w:t>
      </w:r>
    </w:p>
    <w:p w:rsidR="000D153B" w:rsidRPr="00C22AD3" w:rsidRDefault="006032D2" w:rsidP="000D153B">
      <w:pPr>
        <w:pStyle w:val="texto"/>
      </w:pPr>
      <w:r>
        <w:lastRenderedPageBreak/>
        <w:t>El informe se estruc</w:t>
      </w:r>
      <w:r w:rsidR="009E647F">
        <w:t>tura en c</w:t>
      </w:r>
      <w:r w:rsidR="00CE6B51">
        <w:t xml:space="preserve">inco </w:t>
      </w:r>
      <w:r w:rsidR="000D153B" w:rsidRPr="00C22AD3">
        <w:t xml:space="preserve">epígrafes, </w:t>
      </w:r>
      <w:r w:rsidR="009F2AE7">
        <w:t>incluida e</w:t>
      </w:r>
      <w:r w:rsidR="000D153B" w:rsidRPr="00C22AD3">
        <w:t>sta introducción</w:t>
      </w:r>
      <w:r w:rsidR="00F217C3">
        <w:t>.</w:t>
      </w:r>
      <w:r w:rsidR="000D153B" w:rsidRPr="00C22AD3">
        <w:t xml:space="preserve"> En el segundo se </w:t>
      </w:r>
      <w:r w:rsidR="00130075">
        <w:t xml:space="preserve">describe el sistema de control interno y las funciones desarrolladas </w:t>
      </w:r>
      <w:r w:rsidR="00A44860">
        <w:t xml:space="preserve">por la Intervención </w:t>
      </w:r>
      <w:r w:rsidR="00130075">
        <w:t xml:space="preserve">en el ámbito local de la Comunidad Foral, en el tercero se </w:t>
      </w:r>
      <w:r w:rsidR="000D153B" w:rsidRPr="00C22AD3">
        <w:t>indican los objetivos, alc</w:t>
      </w:r>
      <w:r w:rsidR="000D153B">
        <w:t>ance y limitaciones del informe</w:t>
      </w:r>
      <w:r>
        <w:t xml:space="preserve">, </w:t>
      </w:r>
      <w:r w:rsidR="000D153B" w:rsidRPr="00C22AD3">
        <w:t xml:space="preserve">en el </w:t>
      </w:r>
      <w:r w:rsidR="00130075">
        <w:t>cuarto</w:t>
      </w:r>
      <w:r w:rsidR="000D153B">
        <w:t>,</w:t>
      </w:r>
      <w:r w:rsidR="000D153B" w:rsidRPr="00C22AD3">
        <w:t xml:space="preserve"> se pr</w:t>
      </w:r>
      <w:r w:rsidR="000D153B" w:rsidRPr="00C22AD3">
        <w:t>e</w:t>
      </w:r>
      <w:r w:rsidR="000D153B" w:rsidRPr="00C22AD3">
        <w:t>sentan las conclusiones y recomendaciones que se derivan del traba</w:t>
      </w:r>
      <w:r>
        <w:t xml:space="preserve">jo realizado y en </w:t>
      </w:r>
      <w:r w:rsidR="000D153B">
        <w:t xml:space="preserve">el </w:t>
      </w:r>
      <w:r w:rsidR="00130075">
        <w:t xml:space="preserve">quinto </w:t>
      </w:r>
      <w:r w:rsidR="000D153B">
        <w:t>epígrafe se detallan los aspectos generales sobre la información recibida.</w:t>
      </w:r>
      <w:r w:rsidR="00F217C3">
        <w:t xml:space="preserve"> Se adjunta un anexo en el que se relacionan las entidades locales que no han remitido información o la han presentado de forma incompleta.</w:t>
      </w:r>
    </w:p>
    <w:p w:rsidR="000D153B" w:rsidRDefault="000D153B" w:rsidP="000D153B">
      <w:pPr>
        <w:pStyle w:val="texto"/>
      </w:pPr>
      <w:r w:rsidRPr="00C22AD3">
        <w:t>Agradecemos a</w:t>
      </w:r>
      <w:r w:rsidR="00130075">
        <w:t xml:space="preserve">l personal de Intervención y de Secretaría </w:t>
      </w:r>
      <w:r w:rsidRPr="00C22AD3">
        <w:t>de las entidades l</w:t>
      </w:r>
      <w:r w:rsidRPr="00C22AD3">
        <w:t>o</w:t>
      </w:r>
      <w:r w:rsidRPr="00C22AD3">
        <w:t>cales la colaboración prestada en la realización de este trabajo.</w:t>
      </w:r>
    </w:p>
    <w:p w:rsidR="000D153B" w:rsidRDefault="000D153B" w:rsidP="000D153B">
      <w:pPr>
        <w:pStyle w:val="texto"/>
      </w:pPr>
    </w:p>
    <w:p w:rsidR="000D153B" w:rsidRDefault="000D153B" w:rsidP="000D153B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A93BB7" w:rsidRDefault="000D153B" w:rsidP="00A93BB7">
      <w:pPr>
        <w:pStyle w:val="atitulo1"/>
      </w:pPr>
      <w:bookmarkStart w:id="2" w:name="_Toc534892110"/>
      <w:r w:rsidRPr="00E37A38">
        <w:lastRenderedPageBreak/>
        <w:t xml:space="preserve">II. </w:t>
      </w:r>
      <w:r w:rsidR="00811D62">
        <w:t>Descripción del control interno en el sector local</w:t>
      </w:r>
      <w:r w:rsidR="005A556E">
        <w:t xml:space="preserve"> de la Comunidad F</w:t>
      </w:r>
      <w:r w:rsidR="005A556E">
        <w:t>o</w:t>
      </w:r>
      <w:r w:rsidR="005A556E">
        <w:t>ral de Navarra</w:t>
      </w:r>
      <w:bookmarkEnd w:id="2"/>
    </w:p>
    <w:p w:rsidR="00A93BB7" w:rsidRDefault="00301AD0" w:rsidP="006D7011">
      <w:pPr>
        <w:pStyle w:val="texto"/>
      </w:pPr>
      <w:r w:rsidRPr="006D7011">
        <w:t xml:space="preserve">El </w:t>
      </w:r>
      <w:r w:rsidR="00A93BB7">
        <w:t>marco presupuestario del sector local de la Comunidad Foral de Navarra está regulado en la Ley Foral 6/1990</w:t>
      </w:r>
      <w:r w:rsidR="00AE60C6">
        <w:t>, de 2 de julio,</w:t>
      </w:r>
      <w:r w:rsidR="00A93BB7">
        <w:t xml:space="preserve"> de la Administración Local de Navarra y la Ley Foral 2/1995</w:t>
      </w:r>
      <w:r w:rsidR="000C5BFC">
        <w:t>, de 10 de marzo,</w:t>
      </w:r>
      <w:r w:rsidR="00A93BB7">
        <w:t xml:space="preserve"> de Haciendas Locales de Navarra. </w:t>
      </w:r>
    </w:p>
    <w:p w:rsidR="00A93BB7" w:rsidRDefault="00A93BB7" w:rsidP="006D7011">
      <w:pPr>
        <w:pStyle w:val="texto"/>
      </w:pPr>
      <w:r>
        <w:t xml:space="preserve">El artículo 234 de la Ley Foral 6/1990 </w:t>
      </w:r>
      <w:r w:rsidR="004501FA">
        <w:t xml:space="preserve">describe </w:t>
      </w:r>
      <w:r w:rsidR="00CE6B51">
        <w:t>la Intervención como el eje</w:t>
      </w:r>
      <w:r w:rsidR="00CE6B51">
        <w:t>r</w:t>
      </w:r>
      <w:r w:rsidR="00CE6B51">
        <w:t xml:space="preserve">cicio de una </w:t>
      </w:r>
      <w:r>
        <w:t xml:space="preserve">función pública </w:t>
      </w:r>
      <w:r w:rsidR="00CE6B51">
        <w:t>con el siguiente contenido</w:t>
      </w:r>
      <w:r>
        <w:t>:</w:t>
      </w:r>
    </w:p>
    <w:p w:rsidR="00A93BB7" w:rsidRPr="00A93BB7" w:rsidRDefault="00A93BB7" w:rsidP="00A93BB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El ejercicio del control y fiscalización interna</w:t>
      </w:r>
      <w:r w:rsidR="00CE6B51">
        <w:rPr>
          <w:rFonts w:cs="Arial"/>
        </w:rPr>
        <w:t>.</w:t>
      </w:r>
    </w:p>
    <w:p w:rsidR="00A93BB7" w:rsidRPr="00A93BB7" w:rsidRDefault="00A93BB7" w:rsidP="00A93BB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El a</w:t>
      </w:r>
      <w:r w:rsidRPr="00A93BB7">
        <w:rPr>
          <w:rFonts w:cs="Arial"/>
        </w:rPr>
        <w:t>sesoramiento y gestión económica-financiera y presupuestaria</w:t>
      </w:r>
      <w:r w:rsidR="00CE6B51">
        <w:rPr>
          <w:rFonts w:cs="Arial"/>
        </w:rPr>
        <w:t>.</w:t>
      </w:r>
    </w:p>
    <w:p w:rsidR="00A93BB7" w:rsidRPr="00A93BB7" w:rsidRDefault="00A93BB7" w:rsidP="00A93BB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La c</w:t>
      </w:r>
      <w:r w:rsidRPr="00A93BB7">
        <w:rPr>
          <w:rFonts w:cs="Arial"/>
        </w:rPr>
        <w:t>ontabilidad.</w:t>
      </w:r>
    </w:p>
    <w:p w:rsidR="00A93BB7" w:rsidRPr="00397076" w:rsidRDefault="00397076" w:rsidP="00397076">
      <w:pPr>
        <w:pStyle w:val="atitulo2"/>
        <w:spacing w:before="240" w:after="120"/>
        <w:rPr>
          <w:spacing w:val="4"/>
        </w:rPr>
      </w:pPr>
      <w:bookmarkStart w:id="3" w:name="_Toc534892111"/>
      <w:r w:rsidRPr="00397076">
        <w:rPr>
          <w:spacing w:val="4"/>
        </w:rPr>
        <w:t xml:space="preserve">II.1. </w:t>
      </w:r>
      <w:r w:rsidR="00A93BB7" w:rsidRPr="00397076">
        <w:rPr>
          <w:spacing w:val="4"/>
        </w:rPr>
        <w:t>Control y fiscalización interna</w:t>
      </w:r>
      <w:bookmarkEnd w:id="3"/>
    </w:p>
    <w:p w:rsidR="006D7011" w:rsidRDefault="00A93BB7" w:rsidP="006D7011">
      <w:pPr>
        <w:pStyle w:val="texto"/>
      </w:pPr>
      <w:r>
        <w:t xml:space="preserve">El </w:t>
      </w:r>
      <w:r w:rsidR="00301AD0" w:rsidRPr="006D7011">
        <w:t xml:space="preserve">control </w:t>
      </w:r>
      <w:r>
        <w:t xml:space="preserve">y fiscalización interna se lleva a cabo </w:t>
      </w:r>
      <w:r w:rsidR="006D7011" w:rsidRPr="006D7011">
        <w:t>a través de la función inte</w:t>
      </w:r>
      <w:r w:rsidR="006D7011" w:rsidRPr="006D7011">
        <w:t>r</w:t>
      </w:r>
      <w:r w:rsidR="006D7011" w:rsidRPr="006D7011">
        <w:t xml:space="preserve">ventora, función de control financiero y función de control de eficacia. </w:t>
      </w:r>
    </w:p>
    <w:p w:rsidR="004F3E68" w:rsidRPr="004F3E68" w:rsidRDefault="004F3E68" w:rsidP="006D7011">
      <w:pPr>
        <w:pStyle w:val="texto"/>
        <w:rPr>
          <w:rFonts w:ascii="Arial" w:hAnsi="Arial" w:cs="Arial"/>
          <w:i/>
          <w:sz w:val="25"/>
          <w:szCs w:val="25"/>
        </w:rPr>
      </w:pPr>
      <w:r w:rsidRPr="004F3E68">
        <w:rPr>
          <w:rFonts w:ascii="Arial" w:hAnsi="Arial" w:cs="Arial"/>
          <w:i/>
          <w:sz w:val="25"/>
          <w:szCs w:val="25"/>
        </w:rPr>
        <w:t>Función interventora</w:t>
      </w:r>
    </w:p>
    <w:p w:rsidR="006D7011" w:rsidRDefault="006D7011" w:rsidP="006D7011">
      <w:pPr>
        <w:pStyle w:val="texto"/>
      </w:pPr>
      <w:r w:rsidRPr="006D7011">
        <w:t>La función</w:t>
      </w:r>
      <w:r w:rsidR="004F3E68">
        <w:t xml:space="preserve"> interventora se aplica</w:t>
      </w:r>
      <w:r w:rsidRPr="006D7011">
        <w:t xml:space="preserve"> </w:t>
      </w:r>
      <w:r>
        <w:t xml:space="preserve">exclusivamente </w:t>
      </w:r>
      <w:r w:rsidRPr="006D7011">
        <w:t>a l</w:t>
      </w:r>
      <w:r>
        <w:t>os entes sometidos al d</w:t>
      </w:r>
      <w:r>
        <w:t>e</w:t>
      </w:r>
      <w:r>
        <w:t>recho administrativo, es decir la propia entidad local y sus organismos autón</w:t>
      </w:r>
      <w:r>
        <w:t>o</w:t>
      </w:r>
      <w:r>
        <w:t>m</w:t>
      </w:r>
      <w:r w:rsidR="004501FA">
        <w:t>os, no siendo de aplicación a lo</w:t>
      </w:r>
      <w:r>
        <w:t>s entes inst</w:t>
      </w:r>
      <w:r w:rsidR="00397076">
        <w:t xml:space="preserve">rumentales sometidos a derecho </w:t>
      </w:r>
      <w:r>
        <w:t>privado como son las sociedades mercantiles y las fundaciones.</w:t>
      </w:r>
    </w:p>
    <w:p w:rsidR="006D7011" w:rsidRDefault="006D7011" w:rsidP="006D7011">
      <w:pPr>
        <w:pStyle w:val="texto"/>
      </w:pPr>
      <w:r>
        <w:t>La función interventora, t</w:t>
      </w:r>
      <w:r w:rsidRPr="006D7011">
        <w:t>iene por objeto fiscalizar</w:t>
      </w:r>
      <w:r>
        <w:t>:</w:t>
      </w:r>
    </w:p>
    <w:p w:rsidR="006D7011" w:rsidRPr="00B46C69" w:rsidRDefault="006D7011" w:rsidP="00B46C6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B46C69">
        <w:rPr>
          <w:rFonts w:cs="Arial"/>
        </w:rPr>
        <w:t>Todos los actos que den lugar al reconocimiento y liquidación de derechos y obligaciones o gastos de contenido económico</w:t>
      </w:r>
      <w:r w:rsidR="00397076">
        <w:rPr>
          <w:rFonts w:cs="Arial"/>
        </w:rPr>
        <w:t>.</w:t>
      </w:r>
    </w:p>
    <w:p w:rsidR="006D7011" w:rsidRPr="00B46C69" w:rsidRDefault="00B46C69" w:rsidP="00B46C6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L</w:t>
      </w:r>
      <w:r w:rsidR="006D7011" w:rsidRPr="00B46C69">
        <w:rPr>
          <w:rFonts w:cs="Arial"/>
        </w:rPr>
        <w:t xml:space="preserve">os </w:t>
      </w:r>
      <w:r w:rsidR="00CE6B51">
        <w:rPr>
          <w:rFonts w:cs="Arial"/>
        </w:rPr>
        <w:t xml:space="preserve">cobros </w:t>
      </w:r>
      <w:r w:rsidR="006D7011" w:rsidRPr="00B46C69">
        <w:rPr>
          <w:rFonts w:cs="Arial"/>
        </w:rPr>
        <w:t>y pagos que de aquéllos se deriven</w:t>
      </w:r>
      <w:r w:rsidR="00397076">
        <w:rPr>
          <w:rFonts w:cs="Arial"/>
        </w:rPr>
        <w:t>.</w:t>
      </w:r>
    </w:p>
    <w:p w:rsidR="00811D62" w:rsidRPr="00B46C69" w:rsidRDefault="00B46C69" w:rsidP="00B46C6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L</w:t>
      </w:r>
      <w:r w:rsidR="006D7011" w:rsidRPr="00B46C69">
        <w:rPr>
          <w:rFonts w:cs="Arial"/>
        </w:rPr>
        <w:t>a recaudación, inversión y aplicación, en general, de los caudales públ</w:t>
      </w:r>
      <w:r w:rsidR="006D7011" w:rsidRPr="00B46C69">
        <w:rPr>
          <w:rFonts w:cs="Arial"/>
        </w:rPr>
        <w:t>i</w:t>
      </w:r>
      <w:r w:rsidR="00397076">
        <w:rPr>
          <w:rFonts w:cs="Arial"/>
        </w:rPr>
        <w:t>cos</w:t>
      </w:r>
      <w:r w:rsidR="006D7011" w:rsidRPr="00B46C69">
        <w:rPr>
          <w:rFonts w:cs="Arial"/>
        </w:rPr>
        <w:t>, con el fin de que la gestión se ajuste a las disposiciones aplicables en cada caso.</w:t>
      </w:r>
    </w:p>
    <w:p w:rsidR="00397076" w:rsidRDefault="001F68EC" w:rsidP="006D7011">
      <w:pPr>
        <w:pStyle w:val="texto"/>
      </w:pPr>
      <w:r>
        <w:t xml:space="preserve">De acuerdo al contenido y alcance señalado, </w:t>
      </w:r>
      <w:r w:rsidR="001335F1">
        <w:t xml:space="preserve">la </w:t>
      </w:r>
      <w:r w:rsidR="006D7011" w:rsidRPr="00B46C69">
        <w:t>función interventora</w:t>
      </w:r>
      <w:r w:rsidR="00B46C69" w:rsidRPr="00B46C69">
        <w:t xml:space="preserve"> es una forma  de ejercicio  del  control  de  legalidad, </w:t>
      </w:r>
      <w:r w:rsidR="004F3E68">
        <w:t xml:space="preserve">teniendo carácter  interno y </w:t>
      </w:r>
      <w:r w:rsidR="00B46C69" w:rsidRPr="00B46C69">
        <w:t>pr</w:t>
      </w:r>
      <w:r w:rsidR="00B46C69" w:rsidRPr="00B46C69">
        <w:t>e</w:t>
      </w:r>
      <w:r w:rsidR="00B46C69" w:rsidRPr="00B46C69">
        <w:t>ventivo</w:t>
      </w:r>
      <w:r w:rsidR="00702B78">
        <w:t xml:space="preserve"> </w:t>
      </w:r>
      <w:r w:rsidR="00945734">
        <w:t xml:space="preserve">y en la que se </w:t>
      </w:r>
      <w:r w:rsidR="000C50A0">
        <w:t>verifica</w:t>
      </w:r>
      <w:r w:rsidR="00945734">
        <w:t xml:space="preserve"> </w:t>
      </w:r>
      <w:r w:rsidR="000C50A0">
        <w:t>que se cumplen los requisitos estable</w:t>
      </w:r>
      <w:r w:rsidR="0027129B">
        <w:t xml:space="preserve">cidos en la normativa aplicable. </w:t>
      </w:r>
      <w:r w:rsidR="000C50A0">
        <w:t>Esta función, se aplica</w:t>
      </w:r>
      <w:r w:rsidR="00397076">
        <w:t>:</w:t>
      </w:r>
    </w:p>
    <w:p w:rsidR="001335F1" w:rsidRPr="001335F1" w:rsidRDefault="00397076" w:rsidP="001335F1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1335F1">
        <w:rPr>
          <w:rFonts w:cs="Arial"/>
        </w:rPr>
        <w:t xml:space="preserve">En </w:t>
      </w:r>
      <w:r w:rsidR="001335F1" w:rsidRPr="001335F1">
        <w:rPr>
          <w:rFonts w:cs="Arial"/>
        </w:rPr>
        <w:t xml:space="preserve">el presupuesto de gastos </w:t>
      </w:r>
      <w:r w:rsidR="00702B78">
        <w:rPr>
          <w:rFonts w:cs="Arial"/>
        </w:rPr>
        <w:t xml:space="preserve">con carácter preceptivo </w:t>
      </w:r>
      <w:r w:rsidR="001335F1" w:rsidRPr="001335F1">
        <w:rPr>
          <w:rFonts w:cs="Arial"/>
        </w:rPr>
        <w:t>en todas sus fases de ejecu</w:t>
      </w:r>
      <w:r w:rsidR="00702B78">
        <w:rPr>
          <w:rFonts w:cs="Arial"/>
        </w:rPr>
        <w:t>ción y en los distintos tipos o modalidades de gasto, a excepción de s</w:t>
      </w:r>
      <w:r w:rsidR="00702B78">
        <w:rPr>
          <w:rFonts w:cs="Arial"/>
        </w:rPr>
        <w:t>u</w:t>
      </w:r>
      <w:r w:rsidR="00702B78">
        <w:rPr>
          <w:rFonts w:cs="Arial"/>
        </w:rPr>
        <w:t xml:space="preserve">puestos tasados por naturaleza </w:t>
      </w:r>
      <w:r w:rsidR="00763BE2">
        <w:rPr>
          <w:rFonts w:cs="Arial"/>
        </w:rPr>
        <w:t xml:space="preserve">y con determinados requisitos, </w:t>
      </w:r>
      <w:r w:rsidR="00702B78">
        <w:rPr>
          <w:rFonts w:cs="Arial"/>
        </w:rPr>
        <w:t>que son declar</w:t>
      </w:r>
      <w:r w:rsidR="00702B78">
        <w:rPr>
          <w:rFonts w:cs="Arial"/>
        </w:rPr>
        <w:t>a</w:t>
      </w:r>
      <w:r w:rsidR="00702B78">
        <w:rPr>
          <w:rFonts w:cs="Arial"/>
        </w:rPr>
        <w:t xml:space="preserve">dos exentos de su previa fiscalización. </w:t>
      </w:r>
    </w:p>
    <w:p w:rsidR="00A93BB7" w:rsidRPr="001335F1" w:rsidRDefault="001335F1" w:rsidP="001335F1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1335F1">
        <w:rPr>
          <w:rFonts w:cs="Arial"/>
        </w:rPr>
        <w:lastRenderedPageBreak/>
        <w:t>E</w:t>
      </w:r>
      <w:r w:rsidR="00702B78">
        <w:rPr>
          <w:rFonts w:cs="Arial"/>
        </w:rPr>
        <w:t xml:space="preserve">n el presupuesto de ingresos </w:t>
      </w:r>
      <w:r w:rsidR="0057130B">
        <w:rPr>
          <w:rFonts w:cs="Arial"/>
        </w:rPr>
        <w:t xml:space="preserve">y mediante acuerdo del Pleno, </w:t>
      </w:r>
      <w:r w:rsidR="00702B78">
        <w:rPr>
          <w:rFonts w:cs="Arial"/>
        </w:rPr>
        <w:t>está prevista la sustitución</w:t>
      </w:r>
      <w:r w:rsidRPr="001335F1">
        <w:rPr>
          <w:rFonts w:cs="Arial"/>
        </w:rPr>
        <w:t xml:space="preserve"> </w:t>
      </w:r>
      <w:r w:rsidR="0057130B">
        <w:rPr>
          <w:rFonts w:cs="Arial"/>
        </w:rPr>
        <w:t xml:space="preserve">de la fiscalización </w:t>
      </w:r>
      <w:r w:rsidR="00866681">
        <w:rPr>
          <w:rFonts w:cs="Arial"/>
        </w:rPr>
        <w:t xml:space="preserve">previa de los derechos </w:t>
      </w:r>
      <w:r w:rsidR="00A93BB7" w:rsidRPr="001335F1">
        <w:rPr>
          <w:rFonts w:cs="Arial"/>
        </w:rPr>
        <w:t xml:space="preserve">por la toma de razón en contabilidad </w:t>
      </w:r>
      <w:r w:rsidR="0057130B">
        <w:rPr>
          <w:rFonts w:cs="Arial"/>
        </w:rPr>
        <w:t xml:space="preserve">sin </w:t>
      </w:r>
      <w:r w:rsidR="00397076" w:rsidRPr="001335F1">
        <w:rPr>
          <w:rFonts w:cs="Arial"/>
        </w:rPr>
        <w:t>perjuicio de actuaciones comprobatorias posteriores mediante la utilización de técnicas de muestreo o auditoría.</w:t>
      </w:r>
    </w:p>
    <w:p w:rsidR="009E4B55" w:rsidRDefault="00B46C69" w:rsidP="009E4B55">
      <w:pPr>
        <w:pStyle w:val="texto"/>
        <w:rPr>
          <w:rFonts w:cs="Arial"/>
        </w:rPr>
      </w:pPr>
      <w:r>
        <w:t>Por su carácter de control preventivo</w:t>
      </w:r>
      <w:r w:rsidR="00763BE2">
        <w:t xml:space="preserve"> de legalidad</w:t>
      </w:r>
      <w:r w:rsidR="009E4B55">
        <w:t xml:space="preserve"> s</w:t>
      </w:r>
      <w:r w:rsidRPr="009E4B55">
        <w:rPr>
          <w:rFonts w:cs="Arial"/>
        </w:rPr>
        <w:t>e le atribuye a la Inte</w:t>
      </w:r>
      <w:r w:rsidRPr="009E4B55">
        <w:rPr>
          <w:rFonts w:cs="Arial"/>
        </w:rPr>
        <w:t>r</w:t>
      </w:r>
      <w:r w:rsidRPr="009E4B55">
        <w:rPr>
          <w:rFonts w:cs="Arial"/>
        </w:rPr>
        <w:t xml:space="preserve">vención la posibilidad de </w:t>
      </w:r>
      <w:r w:rsidR="00763BE2" w:rsidRPr="009E4B55">
        <w:rPr>
          <w:rFonts w:cs="Arial"/>
        </w:rPr>
        <w:t xml:space="preserve">formular </w:t>
      </w:r>
      <w:r w:rsidRPr="009E4B55">
        <w:rPr>
          <w:rFonts w:cs="Arial"/>
        </w:rPr>
        <w:t>reparos</w:t>
      </w:r>
      <w:r w:rsidR="009E4B55">
        <w:rPr>
          <w:rFonts w:cs="Arial"/>
        </w:rPr>
        <w:t xml:space="preserve"> por escrito antes de la adopción del acuerdo o resolución. En relación a los reparos:</w:t>
      </w:r>
    </w:p>
    <w:p w:rsidR="009E4B55" w:rsidRDefault="00B46C69" w:rsidP="009E4B5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9E4B55">
        <w:rPr>
          <w:rFonts w:cs="Arial"/>
        </w:rPr>
        <w:t xml:space="preserve"> </w:t>
      </w:r>
      <w:r w:rsidR="009E4B55">
        <w:rPr>
          <w:rFonts w:cs="Arial"/>
        </w:rPr>
        <w:t>T</w:t>
      </w:r>
      <w:r w:rsidR="0057130B" w:rsidRPr="009E4B55">
        <w:rPr>
          <w:rFonts w:cs="Arial"/>
        </w:rPr>
        <w:t xml:space="preserve">endrán </w:t>
      </w:r>
      <w:r w:rsidRPr="009E4B55">
        <w:rPr>
          <w:rFonts w:cs="Arial"/>
        </w:rPr>
        <w:t xml:space="preserve">carácter suspensivo en </w:t>
      </w:r>
      <w:r w:rsidR="006E6B11">
        <w:rPr>
          <w:rFonts w:cs="Arial"/>
        </w:rPr>
        <w:t xml:space="preserve">la tramitación del expediente en </w:t>
      </w:r>
      <w:r w:rsidRPr="009E4B55">
        <w:rPr>
          <w:rFonts w:cs="Arial"/>
        </w:rPr>
        <w:t>los s</w:t>
      </w:r>
      <w:r w:rsidRPr="009E4B55">
        <w:rPr>
          <w:rFonts w:cs="Arial"/>
        </w:rPr>
        <w:t>u</w:t>
      </w:r>
      <w:r w:rsidRPr="009E4B55">
        <w:rPr>
          <w:rFonts w:cs="Arial"/>
        </w:rPr>
        <w:t>puestos expresamente tasados</w:t>
      </w:r>
      <w:r w:rsidR="009E4B55">
        <w:rPr>
          <w:rFonts w:cs="Arial"/>
        </w:rPr>
        <w:t xml:space="preserve"> en el marco jurídico.</w:t>
      </w:r>
    </w:p>
    <w:p w:rsidR="00B46C69" w:rsidRDefault="00B46C69" w:rsidP="009E4B5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9E4B55">
        <w:rPr>
          <w:rFonts w:cs="Arial"/>
        </w:rPr>
        <w:t xml:space="preserve">La resolución de la discrepancia formulada por </w:t>
      </w:r>
      <w:r w:rsidR="0057130B" w:rsidRPr="009E4B55">
        <w:rPr>
          <w:rFonts w:cs="Arial"/>
        </w:rPr>
        <w:t>la</w:t>
      </w:r>
      <w:r w:rsidRPr="009E4B55">
        <w:rPr>
          <w:rFonts w:cs="Arial"/>
        </w:rPr>
        <w:t xml:space="preserve"> Intervención le corre</w:t>
      </w:r>
      <w:r w:rsidRPr="009E4B55">
        <w:rPr>
          <w:rFonts w:cs="Arial"/>
        </w:rPr>
        <w:t>s</w:t>
      </w:r>
      <w:r w:rsidRPr="009E4B55">
        <w:rPr>
          <w:rFonts w:cs="Arial"/>
        </w:rPr>
        <w:t xml:space="preserve">ponde al Presidente o </w:t>
      </w:r>
      <w:r w:rsidR="002E01D3">
        <w:rPr>
          <w:rFonts w:cs="Arial"/>
        </w:rPr>
        <w:t xml:space="preserve">al </w:t>
      </w:r>
      <w:r w:rsidRPr="009E4B55">
        <w:rPr>
          <w:rFonts w:cs="Arial"/>
        </w:rPr>
        <w:t>Pleno de la entidad loc</w:t>
      </w:r>
      <w:r w:rsidR="004F3E68" w:rsidRPr="009E4B55">
        <w:rPr>
          <w:rFonts w:cs="Arial"/>
        </w:rPr>
        <w:t>al según los distintos supues</w:t>
      </w:r>
      <w:r w:rsidR="009E4B55">
        <w:rPr>
          <w:rFonts w:cs="Arial"/>
        </w:rPr>
        <w:t xml:space="preserve">tos previstos en el marco legal. </w:t>
      </w:r>
    </w:p>
    <w:p w:rsidR="009E4B55" w:rsidRPr="009E4B55" w:rsidRDefault="009E4B55" w:rsidP="009E4B5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El órganos interventor elevará al Pleno todas las resoluciones adoptadas por el Presidente de la entidad local contrarios a los reparos, así como un res</w:t>
      </w:r>
      <w:r>
        <w:rPr>
          <w:rFonts w:cs="Arial"/>
        </w:rPr>
        <w:t>u</w:t>
      </w:r>
      <w:r>
        <w:rPr>
          <w:rFonts w:cs="Arial"/>
        </w:rPr>
        <w:t>men de las principales anomalías de ingresos.</w:t>
      </w:r>
    </w:p>
    <w:p w:rsidR="00B46C69" w:rsidRDefault="004F3E68" w:rsidP="009E4B55">
      <w:pPr>
        <w:pStyle w:val="texto"/>
        <w:rPr>
          <w:rFonts w:cs="Arial"/>
        </w:rPr>
      </w:pPr>
      <w:r w:rsidRPr="00A93BB7">
        <w:t>La función interventora s</w:t>
      </w:r>
      <w:r w:rsidR="00B46C69" w:rsidRPr="00A93BB7">
        <w:t>e practica de forma previa</w:t>
      </w:r>
      <w:r w:rsidR="0057130B">
        <w:t xml:space="preserve"> </w:t>
      </w:r>
      <w:r w:rsidR="00945734">
        <w:t>alcanzando</w:t>
      </w:r>
      <w:r w:rsidR="005B5621">
        <w:t xml:space="preserve"> </w:t>
      </w:r>
      <w:r w:rsidR="0057130B">
        <w:t xml:space="preserve">la </w:t>
      </w:r>
      <w:r w:rsidR="004501FA">
        <w:t>fiscaliz</w:t>
      </w:r>
      <w:r w:rsidR="004501FA">
        <w:t>a</w:t>
      </w:r>
      <w:r w:rsidR="004501FA">
        <w:t xml:space="preserve">ción </w:t>
      </w:r>
      <w:r w:rsidR="00945734">
        <w:t xml:space="preserve">a </w:t>
      </w:r>
      <w:r w:rsidR="004501FA">
        <w:t xml:space="preserve">la </w:t>
      </w:r>
      <w:r w:rsidR="00945734">
        <w:t xml:space="preserve">verificación de la </w:t>
      </w:r>
      <w:r w:rsidR="0057130B">
        <w:t>totalidad de requisitos exigidos legalmente</w:t>
      </w:r>
      <w:r w:rsidR="00B46C69" w:rsidRPr="00A93BB7">
        <w:t>, o, alte</w:t>
      </w:r>
      <w:r w:rsidR="00B46C69" w:rsidRPr="00A93BB7">
        <w:t>r</w:t>
      </w:r>
      <w:r w:rsidR="00B46C69" w:rsidRPr="00A93BB7">
        <w:t>nativamente, en la modalidad  de limitada previa en la que se fiscalizan dete</w:t>
      </w:r>
      <w:r w:rsidR="00B46C69" w:rsidRPr="00A93BB7">
        <w:t>r</w:t>
      </w:r>
      <w:r w:rsidR="00B46C69" w:rsidRPr="00A93BB7">
        <w:t xml:space="preserve">minados requisitos básicos </w:t>
      </w:r>
      <w:r w:rsidR="00763BE2">
        <w:t>_principalmente competencia del órgano y existe</w:t>
      </w:r>
      <w:r w:rsidR="00763BE2">
        <w:t>n</w:t>
      </w:r>
      <w:r w:rsidR="00763BE2">
        <w:t>cia de crédito adecuado</w:t>
      </w:r>
      <w:r w:rsidR="00866681">
        <w:t xml:space="preserve"> y suficiente y aquellos otros extremos que, por su tra</w:t>
      </w:r>
      <w:r w:rsidR="00866681">
        <w:t>s</w:t>
      </w:r>
      <w:r w:rsidR="00866681">
        <w:t>cendencia en el proceso de gestión, se determinen por el Pleno</w:t>
      </w:r>
      <w:r w:rsidR="00763BE2">
        <w:t xml:space="preserve">_ </w:t>
      </w:r>
      <w:r w:rsidR="00B46C69" w:rsidRPr="00A93BB7">
        <w:t>que deberán ser objeto de una fiscalización plena posterior</w:t>
      </w:r>
      <w:r w:rsidR="004501FA">
        <w:t xml:space="preserve"> </w:t>
      </w:r>
      <w:r w:rsidR="004501FA" w:rsidRPr="004501FA">
        <w:t>mediante la aplicación de té</w:t>
      </w:r>
      <w:r w:rsidR="004501FA">
        <w:t>cn</w:t>
      </w:r>
      <w:r w:rsidR="004501FA">
        <w:t>i</w:t>
      </w:r>
      <w:r w:rsidR="004501FA">
        <w:t xml:space="preserve">cas de muestreo o auditoría. </w:t>
      </w:r>
      <w:r w:rsidRPr="00A93BB7">
        <w:t>En</w:t>
      </w:r>
      <w:r w:rsidR="009E4B55">
        <w:t xml:space="preserve"> la Comunidad Foral de Navarra l</w:t>
      </w:r>
      <w:r w:rsidRPr="009E4B55">
        <w:rPr>
          <w:rFonts w:cs="Arial"/>
        </w:rPr>
        <w:t>a fiscalización limitada previa se aplica exclusivamente a los municipios de población superior a 50.000 habitantes.</w:t>
      </w:r>
    </w:p>
    <w:p w:rsidR="00574F9B" w:rsidRPr="009E4B55" w:rsidRDefault="00574F9B" w:rsidP="009E4B55">
      <w:pPr>
        <w:pStyle w:val="texto"/>
      </w:pPr>
      <w:r>
        <w:rPr>
          <w:rFonts w:cs="Arial"/>
        </w:rPr>
        <w:t>Teniendo la función inte</w:t>
      </w:r>
      <w:r w:rsidR="005A556E">
        <w:rPr>
          <w:rFonts w:cs="Arial"/>
        </w:rPr>
        <w:t>rventora carácter preventivo</w:t>
      </w:r>
      <w:r w:rsidR="00055A9E">
        <w:rPr>
          <w:rFonts w:cs="Arial"/>
        </w:rPr>
        <w:t xml:space="preserve"> y preceptivo</w:t>
      </w:r>
      <w:r w:rsidR="005A556E">
        <w:rPr>
          <w:rFonts w:cs="Arial"/>
        </w:rPr>
        <w:t>, el</w:t>
      </w:r>
      <w:r>
        <w:rPr>
          <w:rFonts w:cs="Arial"/>
        </w:rPr>
        <w:t xml:space="preserve"> proc</w:t>
      </w:r>
      <w:r>
        <w:rPr>
          <w:rFonts w:cs="Arial"/>
        </w:rPr>
        <w:t>e</w:t>
      </w:r>
      <w:r>
        <w:rPr>
          <w:rFonts w:cs="Arial"/>
        </w:rPr>
        <w:t xml:space="preserve">dimiento para tramitar expedientes con omisión </w:t>
      </w:r>
      <w:r w:rsidR="006314BC">
        <w:rPr>
          <w:rFonts w:cs="Arial"/>
        </w:rPr>
        <w:t>de fiscalización previa no está</w:t>
      </w:r>
      <w:r>
        <w:rPr>
          <w:rFonts w:cs="Arial"/>
        </w:rPr>
        <w:t xml:space="preserve"> regulado en la normativa de la Administración Local de Navarra, a diferencia de lo </w:t>
      </w:r>
      <w:r w:rsidR="006314BC">
        <w:rPr>
          <w:rFonts w:cs="Arial"/>
        </w:rPr>
        <w:t xml:space="preserve">previsto </w:t>
      </w:r>
      <w:r>
        <w:rPr>
          <w:rFonts w:cs="Arial"/>
        </w:rPr>
        <w:t>en el ámbito estatal en el Real Decreto 424</w:t>
      </w:r>
      <w:r w:rsidR="00A22889">
        <w:rPr>
          <w:rFonts w:cs="Arial"/>
        </w:rPr>
        <w:t>/2017</w:t>
      </w:r>
      <w:r>
        <w:rPr>
          <w:rFonts w:cs="Arial"/>
        </w:rPr>
        <w:t>, de 28 de abril de 2017, por el que se aprueba el régimen jurídico del contro</w:t>
      </w:r>
      <w:r w:rsidR="005A556E">
        <w:rPr>
          <w:rFonts w:cs="Arial"/>
        </w:rPr>
        <w:t>l interno en las e</w:t>
      </w:r>
      <w:r w:rsidR="005A556E">
        <w:rPr>
          <w:rFonts w:cs="Arial"/>
        </w:rPr>
        <w:t>n</w:t>
      </w:r>
      <w:r w:rsidR="005A556E">
        <w:rPr>
          <w:rFonts w:cs="Arial"/>
        </w:rPr>
        <w:t>tidades del S</w:t>
      </w:r>
      <w:r>
        <w:rPr>
          <w:rFonts w:cs="Arial"/>
        </w:rPr>
        <w:t>ec</w:t>
      </w:r>
      <w:r w:rsidR="005A556E">
        <w:rPr>
          <w:rFonts w:cs="Arial"/>
        </w:rPr>
        <w:t>tor Público L</w:t>
      </w:r>
      <w:r>
        <w:rPr>
          <w:rFonts w:cs="Arial"/>
        </w:rPr>
        <w:t>ocal.</w:t>
      </w:r>
    </w:p>
    <w:p w:rsidR="004F3E68" w:rsidRPr="004F3E68" w:rsidRDefault="004F3E68" w:rsidP="006D7011">
      <w:pPr>
        <w:pStyle w:val="texto"/>
        <w:rPr>
          <w:rFonts w:ascii="Arial" w:hAnsi="Arial" w:cs="Arial"/>
          <w:i/>
          <w:sz w:val="25"/>
          <w:szCs w:val="25"/>
        </w:rPr>
      </w:pPr>
      <w:r w:rsidRPr="004F3E68">
        <w:rPr>
          <w:rFonts w:ascii="Arial" w:hAnsi="Arial" w:cs="Arial"/>
          <w:i/>
          <w:sz w:val="25"/>
          <w:szCs w:val="25"/>
        </w:rPr>
        <w:t>Función de control financiero</w:t>
      </w:r>
    </w:p>
    <w:p w:rsidR="004F3E68" w:rsidRPr="004F3E68" w:rsidRDefault="004F3E68" w:rsidP="004F3E68">
      <w:pPr>
        <w:pStyle w:val="texto"/>
      </w:pPr>
      <w:r>
        <w:t>T</w:t>
      </w:r>
      <w:r w:rsidR="00B46C69" w:rsidRPr="004F3E68">
        <w:t>iene por objeto verificar el</w:t>
      </w:r>
      <w:r w:rsidRPr="004F3E68">
        <w:t xml:space="preserve"> funcionamiento en el aspecto económico-financiero de los servicios de las entidades locales, de sus organismos autón</w:t>
      </w:r>
      <w:r w:rsidRPr="004F3E68">
        <w:t>o</w:t>
      </w:r>
      <w:r w:rsidRPr="004F3E68">
        <w:t xml:space="preserve">mos y de las sociedades mercantiles de ellas dependientes. </w:t>
      </w:r>
      <w:r w:rsidR="0057130B">
        <w:t xml:space="preserve">A través de esta función, se debe </w:t>
      </w:r>
      <w:r w:rsidRPr="004F3E68">
        <w:t>enjuiciar la adecuada presentación de la información financi</w:t>
      </w:r>
      <w:r w:rsidRPr="004F3E68">
        <w:t>e</w:t>
      </w:r>
      <w:r w:rsidRPr="004F3E68">
        <w:t>ra, el cumplimiento de las normas y directrices que sean de aplicación y el gr</w:t>
      </w:r>
      <w:r w:rsidRPr="004F3E68">
        <w:t>a</w:t>
      </w:r>
      <w:r w:rsidRPr="004F3E68">
        <w:t>do de eficiencia en la consecución de los objetivos previstos.</w:t>
      </w:r>
    </w:p>
    <w:p w:rsidR="004F3E68" w:rsidRDefault="004F3E68" w:rsidP="004F3E68">
      <w:pPr>
        <w:pStyle w:val="texto"/>
      </w:pPr>
      <w:r w:rsidRPr="004F3E68">
        <w:lastRenderedPageBreak/>
        <w:t>Esta modalidad de control se debe realizar mediante procedimientos de aud</w:t>
      </w:r>
      <w:r w:rsidRPr="004F3E68">
        <w:t>i</w:t>
      </w:r>
      <w:r w:rsidRPr="004F3E68">
        <w:t>toría de acuerdo con las normas de auditoría del Sector Público y como result</w:t>
      </w:r>
      <w:r w:rsidRPr="004F3E68">
        <w:t>a</w:t>
      </w:r>
      <w:r w:rsidRPr="004F3E68">
        <w:t>do del control efectuado habrá de emitirse informe escrito en el que se haga constar cuantas observaciones y conclusiones se deduzcan del examen pract</w:t>
      </w:r>
      <w:r w:rsidRPr="004F3E68">
        <w:t>i</w:t>
      </w:r>
      <w:r w:rsidRPr="004F3E68">
        <w:t>cado. Los informes, conjuntamente con las alegaciones efectuadas por el ó</w:t>
      </w:r>
      <w:r w:rsidRPr="004F3E68">
        <w:t>r</w:t>
      </w:r>
      <w:r w:rsidRPr="004F3E68">
        <w:t>gano auditado, serán enviados al Pleno para su examen.</w:t>
      </w:r>
    </w:p>
    <w:p w:rsidR="004F3E68" w:rsidRPr="004F3E68" w:rsidRDefault="004F3E68" w:rsidP="006D7011">
      <w:pPr>
        <w:pStyle w:val="texto"/>
        <w:rPr>
          <w:rFonts w:ascii="Arial" w:hAnsi="Arial" w:cs="Arial"/>
          <w:i/>
          <w:sz w:val="25"/>
          <w:szCs w:val="25"/>
        </w:rPr>
      </w:pPr>
      <w:r w:rsidRPr="004F3E68">
        <w:rPr>
          <w:rFonts w:ascii="Arial" w:hAnsi="Arial" w:cs="Arial"/>
          <w:i/>
          <w:sz w:val="25"/>
          <w:szCs w:val="25"/>
        </w:rPr>
        <w:t>Función de control de eficacia</w:t>
      </w:r>
    </w:p>
    <w:p w:rsidR="00397076" w:rsidRDefault="004F3E68" w:rsidP="006D7011">
      <w:pPr>
        <w:pStyle w:val="texto"/>
      </w:pPr>
      <w:r w:rsidRPr="004F3E68">
        <w:t>Este tipo de control tiene por objeto la comprobación periódica del grado de cumplimiento de los objetivos, así como el análisis del coste de funcionamiento y del rendimiento de los respectivos servicios o inversiones.</w:t>
      </w:r>
      <w:r w:rsidR="0057130B">
        <w:t xml:space="preserve"> </w:t>
      </w:r>
    </w:p>
    <w:p w:rsidR="00397076" w:rsidRPr="00397076" w:rsidRDefault="00397076" w:rsidP="00397076">
      <w:pPr>
        <w:pStyle w:val="atitulo2"/>
        <w:spacing w:before="240" w:after="120"/>
        <w:rPr>
          <w:spacing w:val="4"/>
        </w:rPr>
      </w:pPr>
      <w:bookmarkStart w:id="4" w:name="_Toc534892112"/>
      <w:r w:rsidRPr="00397076">
        <w:rPr>
          <w:spacing w:val="4"/>
        </w:rPr>
        <w:t>II.2. Asesoramiento y gestión económica-financiera y presupuestaria</w:t>
      </w:r>
      <w:bookmarkEnd w:id="4"/>
    </w:p>
    <w:p w:rsidR="00397076" w:rsidRDefault="00763BE2" w:rsidP="00397076">
      <w:pPr>
        <w:pStyle w:val="texto"/>
      </w:pPr>
      <w:r>
        <w:t xml:space="preserve">Esta </w:t>
      </w:r>
      <w:r w:rsidR="00397076">
        <w:t xml:space="preserve">función comprende la emisión de informes específicos y tasados en el artículo </w:t>
      </w:r>
      <w:r w:rsidR="001F68EC">
        <w:t xml:space="preserve">240 bis de </w:t>
      </w:r>
      <w:r w:rsidR="00397076">
        <w:t xml:space="preserve">la Ley Foral 6/1990 sobre aspectos </w:t>
      </w:r>
      <w:r w:rsidR="0057130B">
        <w:t>del presupuesto</w:t>
      </w:r>
      <w:r w:rsidR="00397076">
        <w:t xml:space="preserve"> y de gestión económica</w:t>
      </w:r>
      <w:r w:rsidR="0057130B">
        <w:t xml:space="preserve">. </w:t>
      </w:r>
      <w:r>
        <w:t>N</w:t>
      </w:r>
      <w:r w:rsidR="0057130B">
        <w:t>o tiene</w:t>
      </w:r>
      <w:r w:rsidR="00397076">
        <w:t xml:space="preserve"> naturaleza fiscalizadora y por lo tanto </w:t>
      </w:r>
      <w:r w:rsidR="0057130B">
        <w:t>en el s</w:t>
      </w:r>
      <w:r w:rsidR="0057130B">
        <w:t>u</w:t>
      </w:r>
      <w:r w:rsidR="0057130B">
        <w:t xml:space="preserve">puesto de emisión de informes negativos, no tienen la consideración de </w:t>
      </w:r>
      <w:r w:rsidR="00397076">
        <w:t>reparos</w:t>
      </w:r>
      <w:r w:rsidR="0057130B">
        <w:t xml:space="preserve"> suspensivos.</w:t>
      </w:r>
    </w:p>
    <w:p w:rsidR="00763BE2" w:rsidRPr="00397076" w:rsidRDefault="00763BE2" w:rsidP="00763BE2">
      <w:pPr>
        <w:pStyle w:val="atitulo2"/>
        <w:spacing w:before="240" w:after="120"/>
        <w:rPr>
          <w:spacing w:val="4"/>
        </w:rPr>
      </w:pPr>
      <w:bookmarkStart w:id="5" w:name="_Toc534892113"/>
      <w:r>
        <w:rPr>
          <w:spacing w:val="4"/>
        </w:rPr>
        <w:t>II.3</w:t>
      </w:r>
      <w:r w:rsidRPr="00397076">
        <w:rPr>
          <w:spacing w:val="4"/>
        </w:rPr>
        <w:t xml:space="preserve">. </w:t>
      </w:r>
      <w:r>
        <w:rPr>
          <w:spacing w:val="4"/>
        </w:rPr>
        <w:t>Contabilidad</w:t>
      </w:r>
      <w:bookmarkEnd w:id="5"/>
    </w:p>
    <w:p w:rsidR="002A22FC" w:rsidRDefault="00763BE2" w:rsidP="00763BE2">
      <w:pPr>
        <w:pStyle w:val="texto"/>
        <w:tabs>
          <w:tab w:val="num" w:pos="600"/>
          <w:tab w:val="num" w:pos="720"/>
        </w:tabs>
      </w:pPr>
      <w:r w:rsidRPr="00763BE2">
        <w:t xml:space="preserve">La </w:t>
      </w:r>
      <w:r>
        <w:t xml:space="preserve">Intervención tiene también atribuida la </w:t>
      </w:r>
      <w:r w:rsidRPr="00763BE2">
        <w:t>fu</w:t>
      </w:r>
      <w:r>
        <w:t>nción de contabilidad de la ent</w:t>
      </w:r>
      <w:r>
        <w:t>i</w:t>
      </w:r>
      <w:r w:rsidR="002A22FC">
        <w:t xml:space="preserve">dad local, a excepción del </w:t>
      </w:r>
      <w:r w:rsidR="00866681">
        <w:t>Ayuntamiento de Pamplo</w:t>
      </w:r>
      <w:r w:rsidR="002A22FC">
        <w:t xml:space="preserve">na </w:t>
      </w:r>
      <w:r w:rsidR="00D3281A">
        <w:t xml:space="preserve">que al ser capital de provincia se </w:t>
      </w:r>
      <w:r w:rsidR="0027129B">
        <w:t xml:space="preserve">le </w:t>
      </w:r>
      <w:r w:rsidR="00D3281A">
        <w:t xml:space="preserve">aplica </w:t>
      </w:r>
      <w:r w:rsidR="00866681">
        <w:t>el régimen de organización de los municipios de gran p</w:t>
      </w:r>
      <w:r w:rsidR="00866681">
        <w:t>o</w:t>
      </w:r>
      <w:r w:rsidR="00866681">
        <w:t xml:space="preserve">blación previsto en </w:t>
      </w:r>
      <w:r w:rsidR="002A22FC">
        <w:t xml:space="preserve">la </w:t>
      </w:r>
      <w:r w:rsidR="002A22FC" w:rsidRPr="002A22FC">
        <w:t>Ley 7/1985, de 2 de abril, Reguladora de las Bases del Régimen Local</w:t>
      </w:r>
      <w:r w:rsidR="002A22FC">
        <w:t xml:space="preserve">, </w:t>
      </w:r>
      <w:r w:rsidR="00D3281A">
        <w:t xml:space="preserve">y por tanto las funciones </w:t>
      </w:r>
      <w:r w:rsidR="00055A9E">
        <w:t xml:space="preserve">de </w:t>
      </w:r>
      <w:r w:rsidR="00D3281A">
        <w:t xml:space="preserve">fiscalización </w:t>
      </w:r>
      <w:r w:rsidR="00D845C8">
        <w:t xml:space="preserve">y </w:t>
      </w:r>
      <w:r w:rsidR="00D3281A">
        <w:t>de contabilidad d</w:t>
      </w:r>
      <w:r w:rsidR="00D3281A">
        <w:t>e</w:t>
      </w:r>
      <w:r w:rsidR="00D3281A">
        <w:t>ben estar sepa</w:t>
      </w:r>
      <w:r w:rsidR="0027129B">
        <w:t>radas, siendo ejercida</w:t>
      </w:r>
      <w:r w:rsidR="00D845C8">
        <w:t xml:space="preserve"> ésta última por un órgano diferenciado. </w:t>
      </w:r>
    </w:p>
    <w:p w:rsidR="00763BE2" w:rsidRDefault="002A22FC" w:rsidP="00763BE2">
      <w:pPr>
        <w:pStyle w:val="texto"/>
        <w:tabs>
          <w:tab w:val="num" w:pos="600"/>
          <w:tab w:val="num" w:pos="720"/>
        </w:tabs>
        <w:rPr>
          <w:rFonts w:cs="Arial"/>
        </w:rPr>
      </w:pPr>
      <w:r>
        <w:t>Esta</w:t>
      </w:r>
      <w:r w:rsidR="00763BE2">
        <w:t xml:space="preserve"> función supone l</w:t>
      </w:r>
      <w:r w:rsidR="00763BE2" w:rsidRPr="00763BE2">
        <w:rPr>
          <w:rFonts w:cs="Arial"/>
        </w:rPr>
        <w:t>levar y desarrollar la contabilidad y el seguimiento de la ejecución de los presupuestos de acuerdo con las normas generales y las di</w:t>
      </w:r>
      <w:r w:rsidR="00763BE2" w:rsidRPr="00763BE2">
        <w:rPr>
          <w:rFonts w:cs="Arial"/>
        </w:rPr>
        <w:t>c</w:t>
      </w:r>
      <w:r w:rsidR="00763BE2" w:rsidRPr="00763BE2">
        <w:rPr>
          <w:rFonts w:cs="Arial"/>
        </w:rPr>
        <w:t>tadas por el Pleno de la Corporación.</w:t>
      </w:r>
    </w:p>
    <w:p w:rsidR="00386910" w:rsidRDefault="00763BE2" w:rsidP="00386910">
      <w:pPr>
        <w:pStyle w:val="texto"/>
        <w:tabs>
          <w:tab w:val="num" w:pos="600"/>
          <w:tab w:val="num" w:pos="720"/>
        </w:tabs>
        <w:rPr>
          <w:rFonts w:cs="Arial"/>
        </w:rPr>
      </w:pPr>
      <w:r>
        <w:rPr>
          <w:rFonts w:cs="Arial"/>
        </w:rPr>
        <w:t xml:space="preserve">En relación a los organismos autónomos y las sociedades mercantiles, se </w:t>
      </w:r>
      <w:r w:rsidR="00194C92">
        <w:rPr>
          <w:rFonts w:cs="Arial"/>
        </w:rPr>
        <w:t xml:space="preserve">ejerce mediante </w:t>
      </w:r>
      <w:r>
        <w:rPr>
          <w:rFonts w:cs="Arial"/>
        </w:rPr>
        <w:t>funciones</w:t>
      </w:r>
      <w:r w:rsidR="00386910">
        <w:rPr>
          <w:rFonts w:cs="Arial"/>
        </w:rPr>
        <w:t xml:space="preserve"> de control y supervisión de su</w:t>
      </w:r>
      <w:r w:rsidRPr="00763BE2">
        <w:rPr>
          <w:rFonts w:cs="Arial"/>
        </w:rPr>
        <w:t xml:space="preserve"> con</w:t>
      </w:r>
      <w:r w:rsidR="00386910">
        <w:rPr>
          <w:rFonts w:cs="Arial"/>
        </w:rPr>
        <w:t xml:space="preserve">tabilidad, </w:t>
      </w:r>
      <w:r w:rsidRPr="00763BE2">
        <w:rPr>
          <w:rFonts w:cs="Arial"/>
        </w:rPr>
        <w:t>de acuerdo con los procedimientos que establezca el Pleno.</w:t>
      </w:r>
    </w:p>
    <w:p w:rsidR="00763BE2" w:rsidRPr="00763BE2" w:rsidRDefault="00AC2047" w:rsidP="00386910">
      <w:pPr>
        <w:pStyle w:val="texto"/>
        <w:tabs>
          <w:tab w:val="num" w:pos="600"/>
          <w:tab w:val="num" w:pos="720"/>
        </w:tabs>
        <w:rPr>
          <w:rFonts w:cs="Arial"/>
        </w:rPr>
      </w:pPr>
      <w:r>
        <w:rPr>
          <w:rFonts w:cs="Arial"/>
        </w:rPr>
        <w:t>También</w:t>
      </w:r>
      <w:r w:rsidR="00386910">
        <w:rPr>
          <w:rFonts w:cs="Arial"/>
        </w:rPr>
        <w:t xml:space="preserve"> debe e</w:t>
      </w:r>
      <w:r w:rsidR="00763BE2" w:rsidRPr="00763BE2">
        <w:rPr>
          <w:rFonts w:cs="Arial"/>
        </w:rPr>
        <w:t>labora</w:t>
      </w:r>
      <w:r w:rsidR="00386910">
        <w:rPr>
          <w:rFonts w:cs="Arial"/>
        </w:rPr>
        <w:t xml:space="preserve">r o formar </w:t>
      </w:r>
      <w:r w:rsidR="006B3249">
        <w:rPr>
          <w:rFonts w:cs="Arial"/>
        </w:rPr>
        <w:t xml:space="preserve">la </w:t>
      </w:r>
      <w:r w:rsidR="00386910">
        <w:rPr>
          <w:rFonts w:cs="Arial"/>
        </w:rPr>
        <w:t>C</w:t>
      </w:r>
      <w:r w:rsidR="00763BE2" w:rsidRPr="00763BE2">
        <w:rPr>
          <w:rFonts w:cs="Arial"/>
        </w:rPr>
        <w:t>uen</w:t>
      </w:r>
      <w:r w:rsidR="00386910">
        <w:rPr>
          <w:rFonts w:cs="Arial"/>
        </w:rPr>
        <w:t>ta G</w:t>
      </w:r>
      <w:r w:rsidR="00763BE2" w:rsidRPr="00763BE2">
        <w:rPr>
          <w:rFonts w:cs="Arial"/>
        </w:rPr>
        <w:t>eneral.</w:t>
      </w:r>
    </w:p>
    <w:p w:rsidR="00811D62" w:rsidRDefault="00811D62" w:rsidP="001335F1">
      <w:pPr>
        <w:pStyle w:val="texto"/>
      </w:pPr>
    </w:p>
    <w:p w:rsidR="00811D62" w:rsidRDefault="00811D62" w:rsidP="001335F1">
      <w:pPr>
        <w:pStyle w:val="texto"/>
      </w:pPr>
    </w:p>
    <w:p w:rsidR="00811D62" w:rsidRDefault="00811D62" w:rsidP="001335F1">
      <w:pPr>
        <w:pStyle w:val="texto"/>
      </w:pPr>
    </w:p>
    <w:p w:rsidR="001335F1" w:rsidRDefault="001335F1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0D153B" w:rsidRPr="00D33BE3" w:rsidRDefault="00811D62" w:rsidP="000D153B">
      <w:pPr>
        <w:pStyle w:val="atitulo1"/>
      </w:pPr>
      <w:bookmarkStart w:id="6" w:name="_Toc534892114"/>
      <w:r>
        <w:lastRenderedPageBreak/>
        <w:t xml:space="preserve">III. </w:t>
      </w:r>
      <w:r w:rsidR="000D153B" w:rsidRPr="00D33BE3">
        <w:t>Objetivo, alcance y limitaciones</w:t>
      </w:r>
      <w:bookmarkEnd w:id="6"/>
    </w:p>
    <w:p w:rsidR="000D153B" w:rsidRDefault="000D153B" w:rsidP="000D153B">
      <w:pPr>
        <w:pStyle w:val="texto"/>
      </w:pPr>
      <w:r>
        <w:t>Los objetivos del presente informe</w:t>
      </w:r>
      <w:r w:rsidRPr="00E37A38">
        <w:t>, a partir de las respuestas a la solicitud rea</w:t>
      </w:r>
      <w:r>
        <w:t>lizada, son:</w:t>
      </w:r>
    </w:p>
    <w:p w:rsidR="00123372" w:rsidRDefault="00123372" w:rsidP="00123372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V</w:t>
      </w:r>
      <w:r w:rsidRPr="00123372">
        <w:rPr>
          <w:rFonts w:cs="Arial"/>
        </w:rPr>
        <w:t xml:space="preserve">erificar el cumplimiento de la obligación de remitir la información a la </w:t>
      </w:r>
      <w:r>
        <w:rPr>
          <w:rFonts w:cs="Arial"/>
        </w:rPr>
        <w:t xml:space="preserve">Cámara de Comptos </w:t>
      </w:r>
      <w:r w:rsidR="003316CA">
        <w:rPr>
          <w:rFonts w:cs="Arial"/>
        </w:rPr>
        <w:t xml:space="preserve">sobre los </w:t>
      </w:r>
      <w:r w:rsidRPr="00123372">
        <w:rPr>
          <w:rFonts w:cs="Arial"/>
        </w:rPr>
        <w:t>acuerdos contrarios a reparos, expedientes con omisión de fiscalización previa y las principales anomalías de ingresos</w:t>
      </w:r>
      <w:r w:rsidR="003316CA">
        <w:rPr>
          <w:rFonts w:cs="Arial"/>
        </w:rPr>
        <w:t>.</w:t>
      </w:r>
    </w:p>
    <w:p w:rsidR="007F735A" w:rsidRPr="00123372" w:rsidRDefault="007F735A" w:rsidP="00123372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Comprobar las modalidades y contenido del control interno ejercido en las entidades locales.</w:t>
      </w:r>
    </w:p>
    <w:p w:rsidR="007F735A" w:rsidRPr="007F735A" w:rsidRDefault="00123372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D</w:t>
      </w:r>
      <w:r w:rsidRPr="00123372">
        <w:rPr>
          <w:rFonts w:cs="Arial"/>
        </w:rPr>
        <w:t xml:space="preserve">eterminar las situaciones y causas concretas que dieron lugar a </w:t>
      </w:r>
      <w:r w:rsidR="00C267CB">
        <w:rPr>
          <w:rFonts w:cs="Arial"/>
        </w:rPr>
        <w:t xml:space="preserve">reparos, </w:t>
      </w:r>
      <w:r w:rsidRPr="00123372">
        <w:rPr>
          <w:rFonts w:cs="Arial"/>
        </w:rPr>
        <w:t>a</w:t>
      </w:r>
      <w:r w:rsidR="006E6B11">
        <w:rPr>
          <w:rFonts w:cs="Arial"/>
        </w:rPr>
        <w:t xml:space="preserve">cuerdos contrarios a reparos, </w:t>
      </w:r>
      <w:r w:rsidRPr="00123372">
        <w:rPr>
          <w:rFonts w:cs="Arial"/>
        </w:rPr>
        <w:t>expedientes con omisión de fiscalización previa</w:t>
      </w:r>
      <w:r w:rsidR="007F735A">
        <w:rPr>
          <w:rFonts w:cs="Arial"/>
        </w:rPr>
        <w:t xml:space="preserve">, </w:t>
      </w:r>
      <w:r w:rsidRPr="00123372">
        <w:rPr>
          <w:rFonts w:cs="Arial"/>
        </w:rPr>
        <w:t>principales a</w:t>
      </w:r>
      <w:r w:rsidR="007F735A">
        <w:rPr>
          <w:rFonts w:cs="Arial"/>
        </w:rPr>
        <w:t>nomalías en materia de ingresos, e informes emitidos en materia presupuestaria.</w:t>
      </w:r>
    </w:p>
    <w:p w:rsidR="00123372" w:rsidRPr="00123372" w:rsidRDefault="00123372" w:rsidP="00123372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I</w:t>
      </w:r>
      <w:r w:rsidRPr="00123372">
        <w:rPr>
          <w:rFonts w:cs="Arial"/>
        </w:rPr>
        <w:t>dentificar las áreas de mayor riesgo, que resulten de la información rem</w:t>
      </w:r>
      <w:r w:rsidRPr="00123372">
        <w:rPr>
          <w:rFonts w:cs="Arial"/>
        </w:rPr>
        <w:t>i</w:t>
      </w:r>
      <w:r w:rsidRPr="00123372">
        <w:rPr>
          <w:rFonts w:cs="Arial"/>
        </w:rPr>
        <w:t xml:space="preserve">tida </w:t>
      </w:r>
      <w:r w:rsidR="00194C92">
        <w:rPr>
          <w:rFonts w:cs="Arial"/>
        </w:rPr>
        <w:t>por los órganos de intervención</w:t>
      </w:r>
      <w:r w:rsidRPr="00123372">
        <w:rPr>
          <w:rFonts w:cs="Arial"/>
        </w:rPr>
        <w:t>.</w:t>
      </w:r>
    </w:p>
    <w:p w:rsidR="000D153B" w:rsidRPr="00E37A38" w:rsidRDefault="000D153B" w:rsidP="000D153B">
      <w:pPr>
        <w:pStyle w:val="texto"/>
      </w:pPr>
      <w:r w:rsidRPr="00E37A38">
        <w:t xml:space="preserve">El tratamiento de la información se realiza de manera global, señalando aquellas cuestiones </w:t>
      </w:r>
      <w:r w:rsidR="005B5621">
        <w:t xml:space="preserve">o situaciones </w:t>
      </w:r>
      <w:r w:rsidRPr="00E37A38">
        <w:t xml:space="preserve">que por su importancia o repetición resultan más </w:t>
      </w:r>
      <w:r>
        <w:t>significativas.</w:t>
      </w:r>
    </w:p>
    <w:p w:rsidR="00097D3C" w:rsidRPr="00B5060F" w:rsidRDefault="00097D3C" w:rsidP="00097D3C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00"/>
        <w:rPr>
          <w:lang w:val="es-ES"/>
        </w:rPr>
      </w:pPr>
      <w:r w:rsidRPr="0013528B">
        <w:rPr>
          <w:lang w:val="es-ES"/>
        </w:rPr>
        <w:t xml:space="preserve">El trabajo se ha ejecutado de acuerdo con los principios </w:t>
      </w:r>
      <w:r>
        <w:rPr>
          <w:lang w:val="es-ES"/>
        </w:rPr>
        <w:t>fundamentales de fiscalización del sector público adoptados por las Instituciones de Control E</w:t>
      </w:r>
      <w:r>
        <w:rPr>
          <w:lang w:val="es-ES"/>
        </w:rPr>
        <w:t>x</w:t>
      </w:r>
      <w:r>
        <w:rPr>
          <w:lang w:val="es-ES"/>
        </w:rPr>
        <w:t>terno y est</w:t>
      </w:r>
      <w:r w:rsidR="00680AF2">
        <w:rPr>
          <w:lang w:val="es-ES"/>
        </w:rPr>
        <w:t xml:space="preserve">ablecidos en las ISSAI-ES, habiendo </w:t>
      </w:r>
      <w:r>
        <w:t>incluido todos aquellos proc</w:t>
      </w:r>
      <w:r>
        <w:t>e</w:t>
      </w:r>
      <w:r>
        <w:t>dimientos técnicos considerados necesarios, de acuerdo con las circunstancias y con el objetivo del trabajo.</w:t>
      </w:r>
    </w:p>
    <w:p w:rsidR="000D153B" w:rsidRPr="003F06E6" w:rsidRDefault="000D153B" w:rsidP="00194C92">
      <w:pPr>
        <w:pStyle w:val="texto"/>
        <w:rPr>
          <w:rFonts w:cs="Arial"/>
        </w:rPr>
      </w:pPr>
      <w:r w:rsidRPr="00E37A38">
        <w:t xml:space="preserve">El informe se </w:t>
      </w:r>
      <w:r>
        <w:t xml:space="preserve">ha visto </w:t>
      </w:r>
      <w:r w:rsidRPr="00E37A38">
        <w:t xml:space="preserve">limitado </w:t>
      </w:r>
      <w:r w:rsidR="00194C92">
        <w:t xml:space="preserve">al no haber contestado </w:t>
      </w:r>
      <w:r w:rsidR="00386910">
        <w:rPr>
          <w:rFonts w:cs="Arial"/>
        </w:rPr>
        <w:t>2</w:t>
      </w:r>
      <w:r w:rsidR="006B3249">
        <w:rPr>
          <w:rFonts w:cs="Arial"/>
        </w:rPr>
        <w:t>2</w:t>
      </w:r>
      <w:r w:rsidR="00386910">
        <w:rPr>
          <w:rFonts w:cs="Arial"/>
        </w:rPr>
        <w:t xml:space="preserve"> ayuntamientos y 1</w:t>
      </w:r>
      <w:r w:rsidR="006B3249">
        <w:rPr>
          <w:rFonts w:cs="Arial"/>
        </w:rPr>
        <w:t>2</w:t>
      </w:r>
      <w:r w:rsidR="00386910">
        <w:rPr>
          <w:rFonts w:cs="Arial"/>
        </w:rPr>
        <w:t xml:space="preserve"> </w:t>
      </w:r>
      <w:r w:rsidRPr="003F06E6">
        <w:rPr>
          <w:rFonts w:cs="Arial"/>
        </w:rPr>
        <w:t>mancomunidades y agrupacio</w:t>
      </w:r>
      <w:r w:rsidR="00386910">
        <w:rPr>
          <w:rFonts w:cs="Arial"/>
        </w:rPr>
        <w:t xml:space="preserve">nes tradicionales </w:t>
      </w:r>
      <w:r w:rsidR="006B3249">
        <w:rPr>
          <w:rFonts w:cs="Arial"/>
        </w:rPr>
        <w:t>y por la información incompleta enviada por 6 ayuntamientos y una mancomunidad, todas ellas relacionadas e</w:t>
      </w:r>
      <w:r w:rsidR="00194C92">
        <w:rPr>
          <w:rFonts w:cs="Arial"/>
        </w:rPr>
        <w:t>n el Anexo 1.</w:t>
      </w:r>
    </w:p>
    <w:p w:rsidR="000D153B" w:rsidRDefault="000D153B" w:rsidP="000D153B">
      <w:pPr>
        <w:pStyle w:val="texto"/>
      </w:pPr>
      <w:r>
        <w:br w:type="page"/>
      </w:r>
    </w:p>
    <w:p w:rsidR="000D153B" w:rsidRDefault="00811D62" w:rsidP="000D153B">
      <w:pPr>
        <w:pStyle w:val="atitulo1"/>
      </w:pPr>
      <w:bookmarkStart w:id="7" w:name="_Toc534892115"/>
      <w:r>
        <w:lastRenderedPageBreak/>
        <w:t>IV</w:t>
      </w:r>
      <w:r w:rsidR="00130075">
        <w:t>. Conclusiones y r</w:t>
      </w:r>
      <w:r w:rsidR="000D153B" w:rsidRPr="00D33BE3">
        <w:t>ecomendaciones</w:t>
      </w:r>
      <w:bookmarkEnd w:id="7"/>
    </w:p>
    <w:p w:rsidR="000D153B" w:rsidRDefault="000D153B" w:rsidP="003B0A29">
      <w:pPr>
        <w:pStyle w:val="texto"/>
        <w:spacing w:after="200"/>
      </w:pPr>
      <w:r w:rsidRPr="006B6EE9">
        <w:t>Presentamos a continuación las principales conclusiones y recomendaciones que se derivan del trabajo realizado:</w:t>
      </w:r>
    </w:p>
    <w:p w:rsidR="007F735A" w:rsidRPr="007F735A" w:rsidRDefault="007F735A" w:rsidP="000D153B">
      <w:pPr>
        <w:pStyle w:val="texto"/>
        <w:rPr>
          <w:rFonts w:ascii="Arial" w:hAnsi="Arial" w:cs="Arial"/>
          <w:i/>
          <w:sz w:val="25"/>
          <w:szCs w:val="25"/>
        </w:rPr>
      </w:pPr>
      <w:r w:rsidRPr="007F735A">
        <w:rPr>
          <w:rFonts w:ascii="Arial" w:hAnsi="Arial" w:cs="Arial"/>
          <w:i/>
          <w:sz w:val="25"/>
          <w:szCs w:val="25"/>
        </w:rPr>
        <w:t>Obligación de remitir la información</w:t>
      </w:r>
    </w:p>
    <w:p w:rsidR="000D153B" w:rsidRPr="0062758C" w:rsidRDefault="000D153B" w:rsidP="00054213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412FA4">
        <w:rPr>
          <w:rFonts w:cs="Arial"/>
          <w:color w:val="000000" w:themeColor="text1"/>
        </w:rPr>
        <w:t xml:space="preserve">Del total de 348 entidades </w:t>
      </w:r>
      <w:r w:rsidR="00130075">
        <w:rPr>
          <w:rFonts w:cs="Arial"/>
          <w:color w:val="000000" w:themeColor="text1"/>
        </w:rPr>
        <w:t xml:space="preserve">locales a las que se envió la encuesta </w:t>
      </w:r>
      <w:r w:rsidR="00412FA4">
        <w:rPr>
          <w:rFonts w:cs="Arial"/>
          <w:color w:val="000000" w:themeColor="text1"/>
        </w:rPr>
        <w:t>han rem</w:t>
      </w:r>
      <w:r w:rsidR="00412FA4">
        <w:rPr>
          <w:rFonts w:cs="Arial"/>
          <w:color w:val="000000" w:themeColor="text1"/>
        </w:rPr>
        <w:t>i</w:t>
      </w:r>
      <w:r w:rsidR="00412FA4">
        <w:rPr>
          <w:rFonts w:cs="Arial"/>
          <w:color w:val="000000" w:themeColor="text1"/>
        </w:rPr>
        <w:t xml:space="preserve">tido </w:t>
      </w:r>
      <w:r w:rsidR="00097D3C">
        <w:rPr>
          <w:rFonts w:cs="Arial"/>
          <w:color w:val="000000" w:themeColor="text1"/>
        </w:rPr>
        <w:t>respuestas</w:t>
      </w:r>
      <w:r w:rsidR="00FE55A2">
        <w:rPr>
          <w:rFonts w:cs="Arial"/>
          <w:color w:val="000000" w:themeColor="text1"/>
        </w:rPr>
        <w:t xml:space="preserve"> </w:t>
      </w:r>
      <w:r w:rsidR="00412FA4">
        <w:rPr>
          <w:rFonts w:cs="Arial"/>
          <w:color w:val="000000" w:themeColor="text1"/>
        </w:rPr>
        <w:t>307</w:t>
      </w:r>
      <w:r w:rsidRPr="00412FA4">
        <w:rPr>
          <w:rFonts w:cs="Arial"/>
          <w:color w:val="000000" w:themeColor="text1"/>
        </w:rPr>
        <w:t xml:space="preserve">, </w:t>
      </w:r>
      <w:r w:rsidR="003E6FB5" w:rsidRPr="00412FA4">
        <w:rPr>
          <w:rFonts w:cs="Arial"/>
          <w:color w:val="000000" w:themeColor="text1"/>
        </w:rPr>
        <w:t>lo que supone un grado de</w:t>
      </w:r>
      <w:r w:rsidR="00412FA4" w:rsidRPr="00412FA4">
        <w:rPr>
          <w:rFonts w:cs="Arial"/>
          <w:color w:val="000000" w:themeColor="text1"/>
        </w:rPr>
        <w:t xml:space="preserve"> cumplimiento del 8</w:t>
      </w:r>
      <w:r w:rsidR="00412FA4">
        <w:rPr>
          <w:rFonts w:cs="Arial"/>
          <w:color w:val="000000" w:themeColor="text1"/>
        </w:rPr>
        <w:t>8</w:t>
      </w:r>
      <w:r w:rsidR="00412FA4" w:rsidRPr="00412FA4">
        <w:rPr>
          <w:rFonts w:cs="Arial"/>
          <w:color w:val="000000" w:themeColor="text1"/>
        </w:rPr>
        <w:t xml:space="preserve"> por </w:t>
      </w:r>
      <w:r w:rsidR="00412FA4" w:rsidRPr="0062758C">
        <w:rPr>
          <w:rFonts w:cs="Arial"/>
        </w:rPr>
        <w:t>ciento.</w:t>
      </w:r>
    </w:p>
    <w:p w:rsidR="003E6FB5" w:rsidRPr="00B3215C" w:rsidRDefault="000D153B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00"/>
        <w:ind w:left="0" w:firstLine="289"/>
        <w:rPr>
          <w:rFonts w:cs="Arial"/>
        </w:rPr>
      </w:pPr>
      <w:r w:rsidRPr="00B3215C">
        <w:rPr>
          <w:rFonts w:cs="Arial"/>
        </w:rPr>
        <w:t>De</w:t>
      </w:r>
      <w:r w:rsidR="003E6FB5" w:rsidRPr="00B3215C">
        <w:rPr>
          <w:rFonts w:cs="Arial"/>
        </w:rPr>
        <w:t xml:space="preserve"> las </w:t>
      </w:r>
      <w:r w:rsidRPr="00B3215C">
        <w:rPr>
          <w:rFonts w:cs="Arial"/>
        </w:rPr>
        <w:t xml:space="preserve">entidades </w:t>
      </w:r>
      <w:r w:rsidR="003E6FB5" w:rsidRPr="00B3215C">
        <w:rPr>
          <w:rFonts w:cs="Arial"/>
        </w:rPr>
        <w:t>que han enviado la información</w:t>
      </w:r>
      <w:r w:rsidR="00FE55A2" w:rsidRPr="00B3215C">
        <w:rPr>
          <w:rFonts w:cs="Arial"/>
        </w:rPr>
        <w:t>,</w:t>
      </w:r>
      <w:r w:rsidR="003E6FB5" w:rsidRPr="00B3215C">
        <w:rPr>
          <w:rFonts w:cs="Arial"/>
        </w:rPr>
        <w:t xml:space="preserve"> consta que no se han </w:t>
      </w:r>
      <w:r w:rsidR="00F414A0">
        <w:rPr>
          <w:rFonts w:cs="Arial"/>
        </w:rPr>
        <w:t>formulado</w:t>
      </w:r>
      <w:r w:rsidR="003E6FB5" w:rsidRPr="00B3215C">
        <w:rPr>
          <w:rFonts w:cs="Arial"/>
        </w:rPr>
        <w:t xml:space="preserve"> reparos</w:t>
      </w:r>
      <w:r w:rsidR="00386910" w:rsidRPr="00B3215C">
        <w:rPr>
          <w:rFonts w:cs="Arial"/>
        </w:rPr>
        <w:t xml:space="preserve"> en un 88 por ciento</w:t>
      </w:r>
      <w:r w:rsidR="003E6FB5" w:rsidRPr="00B3215C">
        <w:rPr>
          <w:rFonts w:cs="Arial"/>
        </w:rPr>
        <w:t xml:space="preserve">, </w:t>
      </w:r>
      <w:r w:rsidR="00386910" w:rsidRPr="00B3215C">
        <w:rPr>
          <w:rFonts w:cs="Arial"/>
        </w:rPr>
        <w:t>no</w:t>
      </w:r>
      <w:r w:rsidR="004C05FA" w:rsidRPr="00B3215C">
        <w:rPr>
          <w:rFonts w:cs="Arial"/>
        </w:rPr>
        <w:t xml:space="preserve"> </w:t>
      </w:r>
      <w:r w:rsidR="003E6FB5" w:rsidRPr="00B3215C">
        <w:rPr>
          <w:rFonts w:cs="Arial"/>
        </w:rPr>
        <w:t xml:space="preserve">adoptado </w:t>
      </w:r>
      <w:r w:rsidR="00125BDC" w:rsidRPr="00B3215C">
        <w:rPr>
          <w:rFonts w:cs="Arial"/>
        </w:rPr>
        <w:t>acuerdos contrarios a rep</w:t>
      </w:r>
      <w:r w:rsidR="00125BDC" w:rsidRPr="00B3215C">
        <w:rPr>
          <w:rFonts w:cs="Arial"/>
        </w:rPr>
        <w:t>a</w:t>
      </w:r>
      <w:r w:rsidR="00125BDC" w:rsidRPr="00B3215C">
        <w:rPr>
          <w:rFonts w:cs="Arial"/>
        </w:rPr>
        <w:t xml:space="preserve">ros en el 11 por ciento, no </w:t>
      </w:r>
      <w:r w:rsidR="002A22FC">
        <w:rPr>
          <w:rFonts w:cs="Arial"/>
        </w:rPr>
        <w:t xml:space="preserve">tramitado expedientes </w:t>
      </w:r>
      <w:r w:rsidR="003E6FB5" w:rsidRPr="00B3215C">
        <w:rPr>
          <w:rFonts w:cs="Arial"/>
        </w:rPr>
        <w:t>con omisión de fiscalización previa</w:t>
      </w:r>
      <w:r w:rsidR="00386910" w:rsidRPr="00B3215C">
        <w:rPr>
          <w:rFonts w:cs="Arial"/>
        </w:rPr>
        <w:t xml:space="preserve"> en un 97 por ciento y no</w:t>
      </w:r>
      <w:r w:rsidR="004C05FA" w:rsidRPr="00B3215C">
        <w:rPr>
          <w:rFonts w:cs="Arial"/>
        </w:rPr>
        <w:t xml:space="preserve"> </w:t>
      </w:r>
      <w:r w:rsidR="006D3CDD">
        <w:rPr>
          <w:rFonts w:cs="Arial"/>
        </w:rPr>
        <w:t>se han detectado</w:t>
      </w:r>
      <w:r w:rsidR="003E6FB5" w:rsidRPr="00B3215C">
        <w:rPr>
          <w:rFonts w:cs="Arial"/>
        </w:rPr>
        <w:t xml:space="preserve"> anomalías de ingresos</w:t>
      </w:r>
      <w:r w:rsidR="007039D2" w:rsidRPr="00B3215C">
        <w:rPr>
          <w:rFonts w:cs="Arial"/>
        </w:rPr>
        <w:t xml:space="preserve"> en un 96 por ciento.</w:t>
      </w:r>
      <w:r w:rsidR="00125BDC" w:rsidRPr="00B3215C">
        <w:rPr>
          <w:rFonts w:cs="Arial"/>
        </w:rPr>
        <w:t xml:space="preserve"> Las cuatro</w:t>
      </w:r>
      <w:r w:rsidR="007039D2" w:rsidRPr="00B3215C">
        <w:rPr>
          <w:rFonts w:cs="Arial"/>
        </w:rPr>
        <w:t xml:space="preserve"> situaciones conjuntas, es decir no emisión de reparos, ni adopción de acuerdos </w:t>
      </w:r>
      <w:r w:rsidR="00125BDC" w:rsidRPr="00B3215C">
        <w:rPr>
          <w:rFonts w:cs="Arial"/>
        </w:rPr>
        <w:t>contrarios a reparos</w:t>
      </w:r>
      <w:r w:rsidR="00221E46">
        <w:rPr>
          <w:rFonts w:cs="Arial"/>
        </w:rPr>
        <w:t>,</w:t>
      </w:r>
      <w:r w:rsidR="00125BDC" w:rsidRPr="00B3215C">
        <w:rPr>
          <w:rFonts w:cs="Arial"/>
        </w:rPr>
        <w:t xml:space="preserve"> </w:t>
      </w:r>
      <w:r w:rsidR="002A22FC">
        <w:rPr>
          <w:rFonts w:cs="Arial"/>
        </w:rPr>
        <w:t xml:space="preserve">ni tramitación de expedientes </w:t>
      </w:r>
      <w:r w:rsidR="007039D2" w:rsidRPr="00B3215C">
        <w:rPr>
          <w:rFonts w:cs="Arial"/>
        </w:rPr>
        <w:t>con omisión de fiscalización previa ni anomalías de ingresos se ha dado en el 85 por ciento de los entidades locales.</w:t>
      </w:r>
    </w:p>
    <w:p w:rsidR="007F735A" w:rsidRPr="007F735A" w:rsidRDefault="007F735A" w:rsidP="007F735A">
      <w:pPr>
        <w:pStyle w:val="texto"/>
        <w:rPr>
          <w:rFonts w:ascii="Arial" w:hAnsi="Arial" w:cs="Arial"/>
          <w:i/>
          <w:sz w:val="25"/>
          <w:szCs w:val="25"/>
        </w:rPr>
      </w:pPr>
      <w:r w:rsidRPr="007F735A">
        <w:rPr>
          <w:rFonts w:ascii="Arial" w:hAnsi="Arial" w:cs="Arial"/>
          <w:i/>
          <w:sz w:val="25"/>
          <w:szCs w:val="25"/>
        </w:rPr>
        <w:t>Modalidades y contenido del control interno</w:t>
      </w:r>
    </w:p>
    <w:p w:rsidR="004C05FA" w:rsidRDefault="000D153B" w:rsidP="00054213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4C05FA">
        <w:rPr>
          <w:rFonts w:cs="Arial"/>
        </w:rPr>
        <w:t>El control interno se ejerce principalmente a través de la función interve</w:t>
      </w:r>
      <w:r w:rsidRPr="004C05FA">
        <w:rPr>
          <w:rFonts w:cs="Arial"/>
        </w:rPr>
        <w:t>n</w:t>
      </w:r>
      <w:r w:rsidRPr="004C05FA">
        <w:rPr>
          <w:rFonts w:cs="Arial"/>
        </w:rPr>
        <w:t xml:space="preserve">tora y </w:t>
      </w:r>
      <w:r w:rsidR="00FE55A2">
        <w:rPr>
          <w:rFonts w:cs="Arial"/>
        </w:rPr>
        <w:t xml:space="preserve">se </w:t>
      </w:r>
      <w:r w:rsidRPr="004C05FA">
        <w:rPr>
          <w:rFonts w:cs="Arial"/>
        </w:rPr>
        <w:t>desarrolla</w:t>
      </w:r>
      <w:r w:rsidR="00FE55A2">
        <w:rPr>
          <w:rFonts w:cs="Arial"/>
        </w:rPr>
        <w:t xml:space="preserve"> </w:t>
      </w:r>
      <w:r w:rsidRPr="004C05FA">
        <w:rPr>
          <w:rFonts w:cs="Arial"/>
        </w:rPr>
        <w:t>a través de la fiscalización previa, com</w:t>
      </w:r>
      <w:r w:rsidR="009F2AE7">
        <w:rPr>
          <w:rFonts w:cs="Arial"/>
        </w:rPr>
        <w:t>prendiendo con c</w:t>
      </w:r>
      <w:r w:rsidR="009F2AE7">
        <w:rPr>
          <w:rFonts w:cs="Arial"/>
        </w:rPr>
        <w:t>a</w:t>
      </w:r>
      <w:r w:rsidR="009F2AE7">
        <w:rPr>
          <w:rFonts w:cs="Arial"/>
        </w:rPr>
        <w:t>rácter general</w:t>
      </w:r>
      <w:r w:rsidR="00C33B27">
        <w:rPr>
          <w:rFonts w:cs="Arial"/>
        </w:rPr>
        <w:t xml:space="preserve"> </w:t>
      </w:r>
      <w:r w:rsidRPr="004C05FA">
        <w:rPr>
          <w:rFonts w:cs="Arial"/>
        </w:rPr>
        <w:t>las modalidades de ejercicio y contenido exigido e</w:t>
      </w:r>
      <w:r w:rsidR="003316CA">
        <w:rPr>
          <w:rFonts w:cs="Arial"/>
        </w:rPr>
        <w:t>n el marco presupuestario local, en concreto:</w:t>
      </w:r>
    </w:p>
    <w:p w:rsidR="003316CA" w:rsidRPr="00027035" w:rsidRDefault="00027035" w:rsidP="00027035">
      <w:pPr>
        <w:pStyle w:val="texto"/>
        <w:tabs>
          <w:tab w:val="num" w:pos="600"/>
          <w:tab w:val="num" w:pos="720"/>
        </w:tabs>
      </w:pPr>
      <w:r>
        <w:t xml:space="preserve">a) </w:t>
      </w:r>
      <w:r w:rsidR="003316CA" w:rsidRPr="00027035">
        <w:t>La intervención crítica o previa de todo acto, documento o expediente susceptible de producir derechos y obligaciones de contenido económico o m</w:t>
      </w:r>
      <w:r w:rsidR="003316CA" w:rsidRPr="00027035">
        <w:t>o</w:t>
      </w:r>
      <w:r w:rsidR="003316CA" w:rsidRPr="00027035">
        <w:t>vimiento de fondos o valores.</w:t>
      </w:r>
    </w:p>
    <w:p w:rsidR="003316CA" w:rsidRPr="00027035" w:rsidRDefault="00027035" w:rsidP="00027035">
      <w:pPr>
        <w:pStyle w:val="texto"/>
        <w:tabs>
          <w:tab w:val="num" w:pos="600"/>
          <w:tab w:val="num" w:pos="720"/>
        </w:tabs>
      </w:pPr>
      <w:r>
        <w:t xml:space="preserve">b) </w:t>
      </w:r>
      <w:r w:rsidR="003316CA" w:rsidRPr="00027035">
        <w:t>La intervención formal de la ordenación del pago</w:t>
      </w:r>
    </w:p>
    <w:p w:rsidR="003316CA" w:rsidRPr="00027035" w:rsidRDefault="00027035" w:rsidP="00027035">
      <w:pPr>
        <w:pStyle w:val="texto"/>
        <w:tabs>
          <w:tab w:val="num" w:pos="600"/>
          <w:tab w:val="num" w:pos="720"/>
        </w:tabs>
      </w:pPr>
      <w:r>
        <w:t xml:space="preserve">c) </w:t>
      </w:r>
      <w:r w:rsidR="003316CA" w:rsidRPr="00027035">
        <w:t>La intervención material del pago</w:t>
      </w:r>
    </w:p>
    <w:p w:rsidR="003316CA" w:rsidRPr="00027035" w:rsidRDefault="00027035" w:rsidP="00027035">
      <w:pPr>
        <w:pStyle w:val="texto"/>
        <w:tabs>
          <w:tab w:val="num" w:pos="600"/>
          <w:tab w:val="num" w:pos="720"/>
        </w:tabs>
      </w:pPr>
      <w:r>
        <w:t xml:space="preserve">d) </w:t>
      </w:r>
      <w:r w:rsidR="003316CA" w:rsidRPr="00027035">
        <w:t>La intervención y comprobación material de las inversiones y de la apl</w:t>
      </w:r>
      <w:r w:rsidR="003316CA" w:rsidRPr="00027035">
        <w:t>i</w:t>
      </w:r>
      <w:r w:rsidR="003316CA" w:rsidRPr="00027035">
        <w:t>cación de las subvenciones.</w:t>
      </w:r>
    </w:p>
    <w:p w:rsidR="000D153B" w:rsidRPr="007F735A" w:rsidRDefault="000D153B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7F735A">
        <w:rPr>
          <w:rFonts w:cs="Arial"/>
        </w:rPr>
        <w:t>La fiscalización limitada previa se ejerce exclusivamente en el Ayunt</w:t>
      </w:r>
      <w:r w:rsidRPr="007F735A">
        <w:rPr>
          <w:rFonts w:cs="Arial"/>
        </w:rPr>
        <w:t>a</w:t>
      </w:r>
      <w:r w:rsidRPr="007F735A">
        <w:rPr>
          <w:rFonts w:cs="Arial"/>
        </w:rPr>
        <w:t>miento de Pamplona, al ser el único municipio con población superior a 50.000 habitantes según lo establecido en el marco presupuestario local de la Comun</w:t>
      </w:r>
      <w:r w:rsidRPr="007F735A">
        <w:rPr>
          <w:rFonts w:cs="Arial"/>
        </w:rPr>
        <w:t>i</w:t>
      </w:r>
      <w:r w:rsidR="003316CA">
        <w:rPr>
          <w:rFonts w:cs="Arial"/>
        </w:rPr>
        <w:t>dad Foral, limitándose a la comprobación de la existencia de crédito presupue</w:t>
      </w:r>
      <w:r w:rsidR="003316CA">
        <w:rPr>
          <w:rFonts w:cs="Arial"/>
        </w:rPr>
        <w:t>s</w:t>
      </w:r>
      <w:r w:rsidR="003316CA">
        <w:rPr>
          <w:rFonts w:cs="Arial"/>
        </w:rPr>
        <w:t>tario adecuado y suficiente y que el gasto ha sido propuesto por el órgano co</w:t>
      </w:r>
      <w:r w:rsidR="003316CA">
        <w:rPr>
          <w:rFonts w:cs="Arial"/>
        </w:rPr>
        <w:t>m</w:t>
      </w:r>
      <w:r w:rsidR="003316CA">
        <w:rPr>
          <w:rFonts w:cs="Arial"/>
        </w:rPr>
        <w:t>petente</w:t>
      </w:r>
      <w:r w:rsidR="005B5621">
        <w:rPr>
          <w:rFonts w:cs="Arial"/>
        </w:rPr>
        <w:t>. N</w:t>
      </w:r>
      <w:r w:rsidR="003316CA">
        <w:rPr>
          <w:rFonts w:cs="Arial"/>
        </w:rPr>
        <w:t>o comprende la fiscalización de otros extremos que, por su trasce</w:t>
      </w:r>
      <w:r w:rsidR="003316CA">
        <w:rPr>
          <w:rFonts w:cs="Arial"/>
        </w:rPr>
        <w:t>n</w:t>
      </w:r>
      <w:r w:rsidR="003316CA">
        <w:rPr>
          <w:rFonts w:cs="Arial"/>
        </w:rPr>
        <w:t>dencia en el proceso de gestión, se determinen</w:t>
      </w:r>
      <w:r w:rsidR="005B5621">
        <w:rPr>
          <w:rFonts w:cs="Arial"/>
        </w:rPr>
        <w:t xml:space="preserve"> por el Pleno al no haber sido acordados por el citado órgano.</w:t>
      </w:r>
    </w:p>
    <w:p w:rsidR="00B76A5E" w:rsidRPr="007F735A" w:rsidRDefault="00C267CB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7F735A">
        <w:rPr>
          <w:rFonts w:cs="Arial"/>
        </w:rPr>
        <w:t>En n</w:t>
      </w:r>
      <w:r w:rsidR="007039D2" w:rsidRPr="007F735A">
        <w:rPr>
          <w:rFonts w:cs="Arial"/>
        </w:rPr>
        <w:t xml:space="preserve">inguna entidad local </w:t>
      </w:r>
      <w:r w:rsidRPr="007F735A">
        <w:rPr>
          <w:rFonts w:cs="Arial"/>
        </w:rPr>
        <w:t xml:space="preserve">se </w:t>
      </w:r>
      <w:r w:rsidR="007039D2" w:rsidRPr="007F735A">
        <w:rPr>
          <w:rFonts w:cs="Arial"/>
        </w:rPr>
        <w:t>realiza</w:t>
      </w:r>
      <w:r w:rsidRPr="007F735A">
        <w:rPr>
          <w:rFonts w:cs="Arial"/>
        </w:rPr>
        <w:t>n</w:t>
      </w:r>
      <w:r w:rsidR="007039D2" w:rsidRPr="007F735A">
        <w:rPr>
          <w:rFonts w:cs="Arial"/>
        </w:rPr>
        <w:t xml:space="preserve"> las funciones de control financiero lo que supone un incumplimiento del marco presupuestario. Únicamente en el Ayuntamiento de Pamplona y de Tudela se realiza esta función sobre sus entes </w:t>
      </w:r>
      <w:r w:rsidR="007039D2" w:rsidRPr="007F735A">
        <w:rPr>
          <w:rFonts w:cs="Arial"/>
        </w:rPr>
        <w:lastRenderedPageBreak/>
        <w:t>dependientes</w:t>
      </w:r>
      <w:r w:rsidR="007576D4" w:rsidRPr="007F735A">
        <w:rPr>
          <w:rFonts w:cs="Arial"/>
        </w:rPr>
        <w:t>, no en la propia entidad local</w:t>
      </w:r>
      <w:r w:rsidR="000C50A0" w:rsidRPr="007F735A">
        <w:rPr>
          <w:rFonts w:cs="Arial"/>
        </w:rPr>
        <w:t>,</w:t>
      </w:r>
      <w:r w:rsidR="007039D2" w:rsidRPr="007F735A">
        <w:rPr>
          <w:rFonts w:cs="Arial"/>
        </w:rPr>
        <w:t xml:space="preserve"> y son llevadas a cabo a través de firmas externas de auditoria.  </w:t>
      </w:r>
    </w:p>
    <w:p w:rsidR="007039D2" w:rsidRDefault="006D3CDD" w:rsidP="003B0A29">
      <w:pPr>
        <w:pStyle w:val="texto"/>
        <w:tabs>
          <w:tab w:val="num" w:pos="600"/>
          <w:tab w:val="num" w:pos="720"/>
        </w:tabs>
        <w:spacing w:after="200"/>
      </w:pPr>
      <w:r>
        <w:t>N</w:t>
      </w:r>
      <w:r w:rsidR="00B76A5E" w:rsidRPr="00B76A5E">
        <w:t>o existe desarrollo reglamen</w:t>
      </w:r>
      <w:r w:rsidR="00B76A5E">
        <w:t>tario de</w:t>
      </w:r>
      <w:r w:rsidR="005B5621">
        <w:t>l régimen jurídico</w:t>
      </w:r>
      <w:r w:rsidR="005A556E">
        <w:t xml:space="preserve"> </w:t>
      </w:r>
      <w:r w:rsidR="00B76A5E">
        <w:t>de</w:t>
      </w:r>
      <w:r w:rsidR="005A556E">
        <w:t>l</w:t>
      </w:r>
      <w:r w:rsidR="00B76A5E">
        <w:t xml:space="preserve"> control interno en el ámbito local de la Comunidad Foral, a diferencia del regulado para la I</w:t>
      </w:r>
      <w:r w:rsidR="00B76A5E">
        <w:t>n</w:t>
      </w:r>
      <w:r w:rsidR="00B76A5E">
        <w:t>tervención en el ámbito de la Administración de la Comunidad Foral de Nav</w:t>
      </w:r>
      <w:r w:rsidR="00B76A5E">
        <w:t>a</w:t>
      </w:r>
      <w:r w:rsidR="00B76A5E">
        <w:t>rra o el específico del sector local en el ámbito estatal.</w:t>
      </w:r>
    </w:p>
    <w:p w:rsidR="007F735A" w:rsidRPr="007F735A" w:rsidRDefault="00A10EFE" w:rsidP="007F735A">
      <w:pPr>
        <w:pStyle w:val="texto"/>
        <w:rPr>
          <w:rFonts w:ascii="Arial" w:hAnsi="Arial" w:cs="Arial"/>
          <w:i/>
          <w:sz w:val="25"/>
          <w:szCs w:val="25"/>
        </w:rPr>
      </w:pPr>
      <w:r>
        <w:rPr>
          <w:rFonts w:ascii="Arial" w:hAnsi="Arial" w:cs="Arial"/>
          <w:i/>
          <w:sz w:val="25"/>
          <w:szCs w:val="25"/>
        </w:rPr>
        <w:t>R</w:t>
      </w:r>
      <w:r w:rsidR="007F735A" w:rsidRPr="007F735A">
        <w:rPr>
          <w:rFonts w:ascii="Arial" w:hAnsi="Arial" w:cs="Arial"/>
          <w:i/>
          <w:sz w:val="25"/>
          <w:szCs w:val="25"/>
        </w:rPr>
        <w:t xml:space="preserve">eparos </w:t>
      </w:r>
      <w:r>
        <w:rPr>
          <w:rFonts w:ascii="Arial" w:hAnsi="Arial" w:cs="Arial"/>
          <w:i/>
          <w:sz w:val="25"/>
          <w:szCs w:val="25"/>
        </w:rPr>
        <w:t>formulados</w:t>
      </w:r>
    </w:p>
    <w:p w:rsidR="000D153B" w:rsidRDefault="009412D7" w:rsidP="00054213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085CEF">
        <w:rPr>
          <w:rFonts w:cs="Arial"/>
        </w:rPr>
        <w:t xml:space="preserve">Se han </w:t>
      </w:r>
      <w:r w:rsidR="00F414A0">
        <w:rPr>
          <w:rFonts w:cs="Arial"/>
        </w:rPr>
        <w:t>formulado</w:t>
      </w:r>
      <w:r w:rsidRPr="00085CEF">
        <w:rPr>
          <w:rFonts w:cs="Arial"/>
        </w:rPr>
        <w:t xml:space="preserve"> reparos e</w:t>
      </w:r>
      <w:r w:rsidR="000D153B" w:rsidRPr="00085CEF">
        <w:rPr>
          <w:rFonts w:cs="Arial"/>
        </w:rPr>
        <w:t>n 38 entidades locales</w:t>
      </w:r>
      <w:r w:rsidR="009F2AE7">
        <w:rPr>
          <w:rFonts w:cs="Arial"/>
        </w:rPr>
        <w:t>,</w:t>
      </w:r>
      <w:r w:rsidR="000D153B" w:rsidRPr="00085CEF">
        <w:rPr>
          <w:rFonts w:cs="Arial"/>
        </w:rPr>
        <w:t xml:space="preserve"> </w:t>
      </w:r>
      <w:r w:rsidRPr="00085CEF">
        <w:rPr>
          <w:rFonts w:cs="Arial"/>
        </w:rPr>
        <w:t xml:space="preserve">lo que supone un </w:t>
      </w:r>
      <w:r w:rsidR="00085CEF">
        <w:rPr>
          <w:rFonts w:cs="Arial"/>
        </w:rPr>
        <w:t xml:space="preserve">12 por ciento de las entidades que </w:t>
      </w:r>
      <w:r w:rsidR="009E647F">
        <w:rPr>
          <w:rFonts w:cs="Arial"/>
        </w:rPr>
        <w:t xml:space="preserve">han </w:t>
      </w:r>
      <w:r w:rsidR="00085CEF">
        <w:rPr>
          <w:rFonts w:cs="Arial"/>
        </w:rPr>
        <w:t>cumplimentado las encuestas. S</w:t>
      </w:r>
      <w:r w:rsidR="000D153B" w:rsidRPr="00085CEF">
        <w:rPr>
          <w:rFonts w:cs="Arial"/>
        </w:rPr>
        <w:t>e han present</w:t>
      </w:r>
      <w:r w:rsidR="000D153B" w:rsidRPr="00085CEF">
        <w:rPr>
          <w:rFonts w:cs="Arial"/>
        </w:rPr>
        <w:t>a</w:t>
      </w:r>
      <w:r w:rsidR="000D153B" w:rsidRPr="00085CEF">
        <w:rPr>
          <w:rFonts w:cs="Arial"/>
        </w:rPr>
        <w:t>do un total de 154 reparos por un importe de 8,14 millones de euros, conce</w:t>
      </w:r>
      <w:r w:rsidR="000D153B" w:rsidRPr="00085CEF">
        <w:rPr>
          <w:rFonts w:cs="Arial"/>
        </w:rPr>
        <w:t>n</w:t>
      </w:r>
      <w:r w:rsidR="000D153B" w:rsidRPr="00085CEF">
        <w:rPr>
          <w:rFonts w:cs="Arial"/>
        </w:rPr>
        <w:t>trándose los reparos en los ayuntamientos con población inferior a 10.000 hab</w:t>
      </w:r>
      <w:r w:rsidR="000D153B" w:rsidRPr="00085CEF">
        <w:rPr>
          <w:rFonts w:cs="Arial"/>
        </w:rPr>
        <w:t>i</w:t>
      </w:r>
      <w:r w:rsidR="000D153B" w:rsidRPr="00085CEF">
        <w:rPr>
          <w:rFonts w:cs="Arial"/>
        </w:rPr>
        <w:t>tantes, principalmente entre 5.000 y 10.000 habitantes.</w:t>
      </w:r>
      <w:r w:rsidR="00CE05F1">
        <w:rPr>
          <w:rFonts w:cs="Arial"/>
        </w:rPr>
        <w:t xml:space="preserve"> </w:t>
      </w:r>
    </w:p>
    <w:p w:rsidR="00C020B4" w:rsidRPr="007F735A" w:rsidRDefault="00C020B4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7F735A">
        <w:rPr>
          <w:rFonts w:cs="Arial"/>
        </w:rPr>
        <w:t xml:space="preserve">Es destacable </w:t>
      </w:r>
      <w:r w:rsidR="006627FE" w:rsidRPr="007F735A">
        <w:rPr>
          <w:rFonts w:cs="Arial"/>
        </w:rPr>
        <w:t xml:space="preserve">por un lado </w:t>
      </w:r>
      <w:r w:rsidRPr="007F735A">
        <w:rPr>
          <w:rFonts w:cs="Arial"/>
        </w:rPr>
        <w:t xml:space="preserve">que </w:t>
      </w:r>
      <w:r w:rsidR="00CE05F1" w:rsidRPr="007F735A">
        <w:rPr>
          <w:rFonts w:cs="Arial"/>
        </w:rPr>
        <w:t>d</w:t>
      </w:r>
      <w:r w:rsidR="00FE55A2" w:rsidRPr="007F735A">
        <w:rPr>
          <w:rFonts w:cs="Arial"/>
        </w:rPr>
        <w:t xml:space="preserve">e los 154 reparos, el 50 por ciento se han </w:t>
      </w:r>
      <w:r w:rsidR="006D3CDD">
        <w:rPr>
          <w:rFonts w:cs="Arial"/>
        </w:rPr>
        <w:t>formulado</w:t>
      </w:r>
      <w:r w:rsidR="00FE55A2" w:rsidRPr="007F735A">
        <w:rPr>
          <w:rFonts w:cs="Arial"/>
        </w:rPr>
        <w:t xml:space="preserve"> en cinco entidades y el 50 por ciento restante en 3</w:t>
      </w:r>
      <w:r w:rsidR="00360E12" w:rsidRPr="007F735A">
        <w:rPr>
          <w:rFonts w:cs="Arial"/>
        </w:rPr>
        <w:t>3</w:t>
      </w:r>
      <w:r w:rsidR="006627FE" w:rsidRPr="007F735A">
        <w:rPr>
          <w:rFonts w:cs="Arial"/>
        </w:rPr>
        <w:t xml:space="preserve"> entidades y por otro que d</w:t>
      </w:r>
      <w:r w:rsidRPr="007F735A">
        <w:rPr>
          <w:rFonts w:cs="Arial"/>
        </w:rPr>
        <w:t>e las tres entidades locales con población superior a 20.000 habita</w:t>
      </w:r>
      <w:r w:rsidRPr="007F735A">
        <w:rPr>
          <w:rFonts w:cs="Arial"/>
        </w:rPr>
        <w:t>n</w:t>
      </w:r>
      <w:r w:rsidRPr="007F735A">
        <w:rPr>
          <w:rFonts w:cs="Arial"/>
        </w:rPr>
        <w:t xml:space="preserve">tes, en una </w:t>
      </w:r>
      <w:r w:rsidR="006627FE" w:rsidRPr="007F735A">
        <w:rPr>
          <w:rFonts w:cs="Arial"/>
        </w:rPr>
        <w:t xml:space="preserve">entidad </w:t>
      </w:r>
      <w:r w:rsidRPr="007F735A">
        <w:rPr>
          <w:rFonts w:cs="Arial"/>
        </w:rPr>
        <w:t>no se ha emitido ningún reparo</w:t>
      </w:r>
      <w:r w:rsidR="006627FE" w:rsidRPr="007F735A">
        <w:rPr>
          <w:rFonts w:cs="Arial"/>
        </w:rPr>
        <w:t xml:space="preserve">, </w:t>
      </w:r>
      <w:r w:rsidRPr="007F735A">
        <w:rPr>
          <w:rFonts w:cs="Arial"/>
        </w:rPr>
        <w:t xml:space="preserve">en una sólo se ha emitido un reparo y en la otra se han emitido 17 reparos. </w:t>
      </w:r>
    </w:p>
    <w:p w:rsidR="000D153B" w:rsidRPr="007F735A" w:rsidRDefault="000D153B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7F735A">
        <w:rPr>
          <w:rFonts w:cs="Arial"/>
        </w:rPr>
        <w:t>El número y cuantía económica de los reparos presentados en las manc</w:t>
      </w:r>
      <w:r w:rsidRPr="007F735A">
        <w:rPr>
          <w:rFonts w:cs="Arial"/>
        </w:rPr>
        <w:t>o</w:t>
      </w:r>
      <w:r w:rsidRPr="007F735A">
        <w:rPr>
          <w:rFonts w:cs="Arial"/>
        </w:rPr>
        <w:t>munidades no es significativo en e</w:t>
      </w:r>
      <w:r w:rsidR="00360E12" w:rsidRPr="007F735A">
        <w:rPr>
          <w:rFonts w:cs="Arial"/>
        </w:rPr>
        <w:t>l conjunto de entidades locales, al suponer únicamente el uno por ciento del total de reparos formulados y un 0,02 por ciento del importe.</w:t>
      </w:r>
    </w:p>
    <w:p w:rsidR="000D153B" w:rsidRPr="007F735A" w:rsidRDefault="000D153B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7F735A">
        <w:rPr>
          <w:rFonts w:cs="Arial"/>
        </w:rPr>
        <w:t>La principal causa de los reparos formulados fue la omisión en el exp</w:t>
      </w:r>
      <w:r w:rsidRPr="007F735A">
        <w:rPr>
          <w:rFonts w:cs="Arial"/>
        </w:rPr>
        <w:t>e</w:t>
      </w:r>
      <w:r w:rsidRPr="007F735A">
        <w:rPr>
          <w:rFonts w:cs="Arial"/>
        </w:rPr>
        <w:t>diente de requisitos o trámites esenciales, representando el 58 por ciento del importe total de reparos emitidos, seguido posteriormente de los motivados por insuficiencia de crédito que significaron el 28 por ciento.</w:t>
      </w:r>
    </w:p>
    <w:p w:rsidR="000D153B" w:rsidRPr="007F735A" w:rsidRDefault="000D153B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00"/>
        <w:ind w:left="0" w:firstLine="289"/>
        <w:rPr>
          <w:rFonts w:cs="Arial"/>
        </w:rPr>
      </w:pPr>
      <w:r w:rsidRPr="007F735A">
        <w:rPr>
          <w:rFonts w:cs="Arial"/>
        </w:rPr>
        <w:t xml:space="preserve">El área de contratación fue la que registró la mayor cuantía y número de </w:t>
      </w:r>
      <w:r w:rsidR="00FE55A2" w:rsidRPr="007F735A">
        <w:rPr>
          <w:rFonts w:cs="Arial"/>
        </w:rPr>
        <w:t xml:space="preserve">reparos, suponiendo un </w:t>
      </w:r>
      <w:r w:rsidRPr="007F735A">
        <w:rPr>
          <w:rFonts w:cs="Arial"/>
        </w:rPr>
        <w:t>8</w:t>
      </w:r>
      <w:r w:rsidR="00FE55A2" w:rsidRPr="007F735A">
        <w:rPr>
          <w:rFonts w:cs="Arial"/>
        </w:rPr>
        <w:t>2</w:t>
      </w:r>
      <w:r w:rsidRPr="007F735A">
        <w:rPr>
          <w:rFonts w:cs="Arial"/>
        </w:rPr>
        <w:t xml:space="preserve"> por ciento del importe total de reparos emitidos.</w:t>
      </w:r>
    </w:p>
    <w:p w:rsidR="007F735A" w:rsidRPr="007F735A" w:rsidRDefault="007F735A" w:rsidP="007F735A">
      <w:pPr>
        <w:pStyle w:val="texto"/>
        <w:rPr>
          <w:rFonts w:ascii="Arial" w:hAnsi="Arial" w:cs="Arial"/>
          <w:i/>
          <w:sz w:val="25"/>
          <w:szCs w:val="25"/>
        </w:rPr>
      </w:pPr>
      <w:r w:rsidRPr="007F735A">
        <w:rPr>
          <w:rFonts w:ascii="Arial" w:hAnsi="Arial" w:cs="Arial"/>
          <w:i/>
          <w:sz w:val="25"/>
          <w:szCs w:val="25"/>
        </w:rPr>
        <w:t>Acuerdos contrarios a reparos</w:t>
      </w:r>
    </w:p>
    <w:p w:rsidR="00A44860" w:rsidRPr="007F735A" w:rsidRDefault="008B4705" w:rsidP="007F735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 xml:space="preserve">De los 154 reparos </w:t>
      </w:r>
      <w:r w:rsidR="00F414A0">
        <w:rPr>
          <w:rFonts w:cs="Arial"/>
        </w:rPr>
        <w:t>formulado por importe de 8,14 millones</w:t>
      </w:r>
      <w:r>
        <w:rPr>
          <w:rFonts w:cs="Arial"/>
        </w:rPr>
        <w:t>, se han adopt</w:t>
      </w:r>
      <w:r>
        <w:rPr>
          <w:rFonts w:cs="Arial"/>
        </w:rPr>
        <w:t>a</w:t>
      </w:r>
      <w:r>
        <w:rPr>
          <w:rFonts w:cs="Arial"/>
        </w:rPr>
        <w:t xml:space="preserve">do 121 acuerdos contrarios a reparos </w:t>
      </w:r>
      <w:r w:rsidR="00A44860">
        <w:rPr>
          <w:rFonts w:cs="Arial"/>
        </w:rPr>
        <w:t xml:space="preserve">por un importe de 4,08 millones de euros, </w:t>
      </w:r>
      <w:r>
        <w:rPr>
          <w:rFonts w:cs="Arial"/>
        </w:rPr>
        <w:t xml:space="preserve">lo que supone un 79 por ciento del número de reparos y </w:t>
      </w:r>
      <w:r w:rsidR="00A44860">
        <w:rPr>
          <w:rFonts w:cs="Arial"/>
        </w:rPr>
        <w:t xml:space="preserve">el </w:t>
      </w:r>
      <w:r>
        <w:rPr>
          <w:rFonts w:cs="Arial"/>
        </w:rPr>
        <w:t>50 por ciento del importe total</w:t>
      </w:r>
      <w:r w:rsidR="00A44860">
        <w:rPr>
          <w:rFonts w:cs="Arial"/>
        </w:rPr>
        <w:t xml:space="preserve">, siendo </w:t>
      </w:r>
      <w:r w:rsidR="00A44860" w:rsidRPr="007F735A">
        <w:rPr>
          <w:rFonts w:cs="Arial"/>
        </w:rPr>
        <w:t>especialmente significativo que los reparos basados en la insuficiencia de crédito son motivo de acuerdos contrarios en el 95 por ciento de los casos.</w:t>
      </w:r>
    </w:p>
    <w:p w:rsidR="00A44860" w:rsidRPr="00A44860" w:rsidRDefault="005B5621" w:rsidP="00A44860">
      <w:pPr>
        <w:pStyle w:val="texto"/>
        <w:tabs>
          <w:tab w:val="num" w:pos="600"/>
          <w:tab w:val="num" w:pos="720"/>
        </w:tabs>
        <w:spacing w:after="100"/>
      </w:pPr>
      <w:r>
        <w:t xml:space="preserve">En el resto, es decir, en </w:t>
      </w:r>
      <w:r w:rsidR="00A44860" w:rsidRPr="00A44860">
        <w:t xml:space="preserve">33 </w:t>
      </w:r>
      <w:r>
        <w:t xml:space="preserve">reparos </w:t>
      </w:r>
      <w:r w:rsidR="00A10EFE">
        <w:t xml:space="preserve">no </w:t>
      </w:r>
      <w:r>
        <w:t xml:space="preserve">se </w:t>
      </w:r>
      <w:r w:rsidR="00A10EFE">
        <w:t xml:space="preserve">han </w:t>
      </w:r>
      <w:r>
        <w:t xml:space="preserve">adoptado </w:t>
      </w:r>
      <w:r w:rsidR="00A44860" w:rsidRPr="00A44860">
        <w:t>acuerdos contrarios, lo que ha supuesto que en el 21 por ciento de los reparos</w:t>
      </w:r>
      <w:r w:rsidR="00A44860">
        <w:t xml:space="preserve"> formulados por la I</w:t>
      </w:r>
      <w:r w:rsidR="00A44860">
        <w:t>n</w:t>
      </w:r>
      <w:r w:rsidR="00A44860">
        <w:t>tervención</w:t>
      </w:r>
      <w:r w:rsidR="00A44860" w:rsidRPr="00A44860">
        <w:t xml:space="preserve">, han sido atendidos por el respectivo órgano competente. </w:t>
      </w:r>
    </w:p>
    <w:p w:rsidR="008B4705" w:rsidRDefault="008B4705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20"/>
        <w:ind w:left="0" w:firstLine="289"/>
        <w:rPr>
          <w:rFonts w:cs="Arial"/>
        </w:rPr>
      </w:pPr>
      <w:r w:rsidRPr="007F735A">
        <w:rPr>
          <w:rFonts w:cs="Arial"/>
        </w:rPr>
        <w:lastRenderedPageBreak/>
        <w:t xml:space="preserve">El tramo de población hasta los 5.000 habitantes es donde se concentra el mayor número </w:t>
      </w:r>
      <w:r w:rsidR="00A10EFE">
        <w:rPr>
          <w:rFonts w:cs="Arial"/>
        </w:rPr>
        <w:t xml:space="preserve">e importe </w:t>
      </w:r>
      <w:r w:rsidRPr="007F735A">
        <w:rPr>
          <w:rFonts w:cs="Arial"/>
        </w:rPr>
        <w:t xml:space="preserve">de acuerdos contrarios a los reparos emitidos. </w:t>
      </w:r>
    </w:p>
    <w:p w:rsidR="007F735A" w:rsidRPr="007F735A" w:rsidRDefault="00A10EFE" w:rsidP="007F735A">
      <w:pPr>
        <w:pStyle w:val="texto"/>
        <w:rPr>
          <w:rFonts w:ascii="Arial" w:hAnsi="Arial" w:cs="Arial"/>
          <w:i/>
          <w:sz w:val="25"/>
          <w:szCs w:val="25"/>
        </w:rPr>
      </w:pPr>
      <w:r>
        <w:rPr>
          <w:rFonts w:ascii="Arial" w:hAnsi="Arial" w:cs="Arial"/>
          <w:i/>
          <w:sz w:val="25"/>
          <w:szCs w:val="25"/>
        </w:rPr>
        <w:t xml:space="preserve">Expedientes </w:t>
      </w:r>
      <w:r w:rsidR="007F735A" w:rsidRPr="007F735A">
        <w:rPr>
          <w:rFonts w:ascii="Arial" w:hAnsi="Arial" w:cs="Arial"/>
          <w:i/>
          <w:sz w:val="25"/>
          <w:szCs w:val="25"/>
        </w:rPr>
        <w:t>con omisión de fiscalización previa, anomalías de ingresos e informes negativos en materia presupuestaria</w:t>
      </w:r>
    </w:p>
    <w:p w:rsidR="000D153B" w:rsidRDefault="000D153B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054213">
        <w:rPr>
          <w:rFonts w:cs="Arial"/>
        </w:rPr>
        <w:t xml:space="preserve">No es significativa la </w:t>
      </w:r>
      <w:r w:rsidR="00A10EFE">
        <w:rPr>
          <w:rFonts w:cs="Arial"/>
        </w:rPr>
        <w:t xml:space="preserve">tramitación de expedientes </w:t>
      </w:r>
      <w:r w:rsidRPr="00054213">
        <w:rPr>
          <w:rFonts w:cs="Arial"/>
        </w:rPr>
        <w:t>con omisión del trámite de fiscalización previa</w:t>
      </w:r>
      <w:r w:rsidR="006627FE">
        <w:rPr>
          <w:rFonts w:cs="Arial"/>
        </w:rPr>
        <w:t xml:space="preserve"> al suponer un dos por ciento</w:t>
      </w:r>
      <w:r w:rsidR="00B76A5E">
        <w:rPr>
          <w:rFonts w:cs="Arial"/>
        </w:rPr>
        <w:t xml:space="preserve">, </w:t>
      </w:r>
      <w:r w:rsidRPr="00054213">
        <w:rPr>
          <w:rFonts w:cs="Arial"/>
        </w:rPr>
        <w:t xml:space="preserve"> ni las anomalías de ingr</w:t>
      </w:r>
      <w:r w:rsidRPr="00054213">
        <w:rPr>
          <w:rFonts w:cs="Arial"/>
        </w:rPr>
        <w:t>e</w:t>
      </w:r>
      <w:r w:rsidRPr="00054213">
        <w:rPr>
          <w:rFonts w:cs="Arial"/>
        </w:rPr>
        <w:t>sos puestos de manifiesto por la Interven</w:t>
      </w:r>
      <w:r w:rsidR="006627FE">
        <w:rPr>
          <w:rFonts w:cs="Arial"/>
        </w:rPr>
        <w:t>ción al haber sido informadas en el cinco por ciento de las entidades locales.</w:t>
      </w:r>
    </w:p>
    <w:p w:rsidR="007F735A" w:rsidRPr="00B3215C" w:rsidRDefault="007F735A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 xml:space="preserve">Se han emitido </w:t>
      </w:r>
      <w:r w:rsidRPr="00054213">
        <w:rPr>
          <w:rFonts w:cs="Arial"/>
        </w:rPr>
        <w:t xml:space="preserve">informes negativos a la aprobación de </w:t>
      </w:r>
      <w:r>
        <w:rPr>
          <w:rFonts w:cs="Arial"/>
        </w:rPr>
        <w:t xml:space="preserve"> </w:t>
      </w:r>
      <w:r w:rsidRPr="00054213">
        <w:rPr>
          <w:rFonts w:cs="Arial"/>
        </w:rPr>
        <w:t>presupuestos, mod</w:t>
      </w:r>
      <w:r w:rsidRPr="00054213">
        <w:rPr>
          <w:rFonts w:cs="Arial"/>
        </w:rPr>
        <w:t>i</w:t>
      </w:r>
      <w:r w:rsidRPr="00054213">
        <w:rPr>
          <w:rFonts w:cs="Arial"/>
        </w:rPr>
        <w:t>ficaciones presupuestarias, liquidación del presupuesto y estabilidad presupue</w:t>
      </w:r>
      <w:r w:rsidRPr="00054213">
        <w:rPr>
          <w:rFonts w:cs="Arial"/>
        </w:rPr>
        <w:t>s</w:t>
      </w:r>
      <w:r w:rsidRPr="00054213">
        <w:rPr>
          <w:rFonts w:cs="Arial"/>
        </w:rPr>
        <w:t xml:space="preserve">taria, </w:t>
      </w:r>
      <w:r>
        <w:rPr>
          <w:rFonts w:cs="Arial"/>
        </w:rPr>
        <w:t xml:space="preserve">en un 10 por ciento de las entidades locales. De éste porcentaje, un 57 por ciento se han emitido en ayuntamientos </w:t>
      </w:r>
      <w:r w:rsidRPr="00054213">
        <w:rPr>
          <w:rFonts w:cs="Arial"/>
        </w:rPr>
        <w:t>de población inferior a 1.000 habita</w:t>
      </w:r>
      <w:r w:rsidRPr="00054213">
        <w:rPr>
          <w:rFonts w:cs="Arial"/>
        </w:rPr>
        <w:t>n</w:t>
      </w:r>
      <w:r w:rsidRPr="00054213">
        <w:rPr>
          <w:rFonts w:cs="Arial"/>
        </w:rPr>
        <w:t>tes</w:t>
      </w:r>
      <w:r>
        <w:rPr>
          <w:rFonts w:cs="Arial"/>
        </w:rPr>
        <w:t>. La estabilidad presupuestaria es el área de mayor número de informes n</w:t>
      </w:r>
      <w:r>
        <w:rPr>
          <w:rFonts w:cs="Arial"/>
        </w:rPr>
        <w:t>e</w:t>
      </w:r>
      <w:r>
        <w:rPr>
          <w:rFonts w:cs="Arial"/>
        </w:rPr>
        <w:t>gativos al haber supuesto un 47 por ciento.</w:t>
      </w:r>
    </w:p>
    <w:p w:rsidR="000D153B" w:rsidRDefault="000D153B" w:rsidP="003B0A29">
      <w:pPr>
        <w:pStyle w:val="texto"/>
        <w:tabs>
          <w:tab w:val="num" w:pos="2062"/>
        </w:tabs>
        <w:ind w:firstLine="283"/>
        <w:rPr>
          <w:lang w:val="es-ES"/>
        </w:rPr>
      </w:pPr>
      <w:r w:rsidRPr="007227D8">
        <w:rPr>
          <w:lang w:val="es-ES"/>
        </w:rPr>
        <w:t xml:space="preserve">Por todo ello, recomendamos: </w:t>
      </w:r>
    </w:p>
    <w:p w:rsidR="00A10EFE" w:rsidRDefault="00A10EFE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>
        <w:rPr>
          <w:rFonts w:cs="Arial"/>
          <w:i/>
        </w:rPr>
        <w:t>En el caso del Ayuntamiento de Pamplona, completar la fiscalización lim</w:t>
      </w:r>
      <w:r>
        <w:rPr>
          <w:rFonts w:cs="Arial"/>
          <w:i/>
        </w:rPr>
        <w:t>i</w:t>
      </w:r>
      <w:r>
        <w:rPr>
          <w:rFonts w:cs="Arial"/>
          <w:i/>
        </w:rPr>
        <w:t>tada previa con aqu</w:t>
      </w:r>
      <w:r w:rsidR="00822564">
        <w:rPr>
          <w:rFonts w:cs="Arial"/>
          <w:i/>
        </w:rPr>
        <w:t>e</w:t>
      </w:r>
      <w:r>
        <w:rPr>
          <w:rFonts w:cs="Arial"/>
          <w:i/>
        </w:rPr>
        <w:t>llos otros extremos que el Pleno, por</w:t>
      </w:r>
      <w:r w:rsidR="00574F9B">
        <w:rPr>
          <w:rFonts w:cs="Arial"/>
          <w:i/>
        </w:rPr>
        <w:t xml:space="preserve"> su trascendencia en la gestión</w:t>
      </w:r>
      <w:r>
        <w:rPr>
          <w:rFonts w:cs="Arial"/>
          <w:i/>
        </w:rPr>
        <w:t xml:space="preserve"> acuer</w:t>
      </w:r>
      <w:r w:rsidR="00574F9B">
        <w:rPr>
          <w:rFonts w:cs="Arial"/>
          <w:i/>
        </w:rPr>
        <w:t>de fiscalizar, y ejercer sobre los gastos sometidos a fiscaliz</w:t>
      </w:r>
      <w:r w:rsidR="00574F9B">
        <w:rPr>
          <w:rFonts w:cs="Arial"/>
          <w:i/>
        </w:rPr>
        <w:t>a</w:t>
      </w:r>
      <w:r w:rsidR="00574F9B">
        <w:rPr>
          <w:rFonts w:cs="Arial"/>
          <w:i/>
        </w:rPr>
        <w:t>ción limitada una fiscalización plena posterior.</w:t>
      </w:r>
    </w:p>
    <w:p w:rsidR="000D153B" w:rsidRPr="001D4AF8" w:rsidRDefault="000D153B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 w:rsidRPr="001D4AF8">
        <w:rPr>
          <w:rFonts w:cs="Arial"/>
          <w:i/>
        </w:rPr>
        <w:t>Ejercer la</w:t>
      </w:r>
      <w:r w:rsidR="00CE05F1" w:rsidRPr="001D4AF8">
        <w:rPr>
          <w:rFonts w:cs="Arial"/>
          <w:i/>
        </w:rPr>
        <w:t xml:space="preserve"> función </w:t>
      </w:r>
      <w:r w:rsidRPr="001D4AF8">
        <w:rPr>
          <w:rFonts w:cs="Arial"/>
          <w:i/>
        </w:rPr>
        <w:t>de control financiero exigida en el marco presupuest</w:t>
      </w:r>
      <w:r w:rsidRPr="001D4AF8">
        <w:rPr>
          <w:rFonts w:cs="Arial"/>
          <w:i/>
        </w:rPr>
        <w:t>a</w:t>
      </w:r>
      <w:r w:rsidRPr="001D4AF8">
        <w:rPr>
          <w:rFonts w:cs="Arial"/>
          <w:i/>
        </w:rPr>
        <w:t>rio local tanto en la propia entidad local como</w:t>
      </w:r>
      <w:r w:rsidR="007F3761">
        <w:rPr>
          <w:rFonts w:cs="Arial"/>
          <w:i/>
        </w:rPr>
        <w:t>,</w:t>
      </w:r>
      <w:r w:rsidRPr="001D4AF8">
        <w:rPr>
          <w:rFonts w:cs="Arial"/>
          <w:i/>
        </w:rPr>
        <w:t xml:space="preserve"> en su</w:t>
      </w:r>
      <w:r w:rsidR="00B56B85">
        <w:rPr>
          <w:rFonts w:cs="Arial"/>
          <w:i/>
        </w:rPr>
        <w:t xml:space="preserve"> caso, en lo</w:t>
      </w:r>
      <w:r w:rsidRPr="001D4AF8">
        <w:rPr>
          <w:rFonts w:cs="Arial"/>
          <w:i/>
        </w:rPr>
        <w:t>s entes depe</w:t>
      </w:r>
      <w:r w:rsidRPr="001D4AF8">
        <w:rPr>
          <w:rFonts w:cs="Arial"/>
          <w:i/>
        </w:rPr>
        <w:t>n</w:t>
      </w:r>
      <w:r w:rsidRPr="001D4AF8">
        <w:rPr>
          <w:rFonts w:cs="Arial"/>
          <w:i/>
        </w:rPr>
        <w:t>dientes.</w:t>
      </w:r>
    </w:p>
    <w:p w:rsidR="001F68EC" w:rsidRDefault="001F68EC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>
        <w:rPr>
          <w:rFonts w:cs="Arial"/>
          <w:i/>
        </w:rPr>
        <w:t xml:space="preserve">Solventar por las entidades locales, principalmente en los ayuntamientos con población hasta los 10.000 habitantes, </w:t>
      </w:r>
      <w:r w:rsidR="00B76A5E">
        <w:rPr>
          <w:rFonts w:cs="Arial"/>
          <w:i/>
        </w:rPr>
        <w:t>aqu</w:t>
      </w:r>
      <w:r w:rsidR="008968CB">
        <w:rPr>
          <w:rFonts w:cs="Arial"/>
          <w:i/>
        </w:rPr>
        <w:t>e</w:t>
      </w:r>
      <w:r w:rsidR="00B76A5E">
        <w:rPr>
          <w:rFonts w:cs="Arial"/>
          <w:i/>
        </w:rPr>
        <w:t xml:space="preserve">llas </w:t>
      </w:r>
      <w:r>
        <w:rPr>
          <w:rFonts w:cs="Arial"/>
          <w:i/>
        </w:rPr>
        <w:t xml:space="preserve">situaciones </w:t>
      </w:r>
      <w:r w:rsidR="0007211F">
        <w:rPr>
          <w:rFonts w:cs="Arial"/>
          <w:i/>
        </w:rPr>
        <w:t xml:space="preserve">en </w:t>
      </w:r>
      <w:r>
        <w:rPr>
          <w:rFonts w:cs="Arial"/>
          <w:i/>
        </w:rPr>
        <w:t xml:space="preserve">que </w:t>
      </w:r>
      <w:r w:rsidR="0007211F">
        <w:rPr>
          <w:rFonts w:cs="Arial"/>
          <w:i/>
        </w:rPr>
        <w:t xml:space="preserve">se </w:t>
      </w:r>
      <w:r>
        <w:rPr>
          <w:rFonts w:cs="Arial"/>
          <w:i/>
        </w:rPr>
        <w:t>den omisión de requisitos o trámites esenciales en los expedientes, principalmente en el área de contratación.</w:t>
      </w:r>
    </w:p>
    <w:p w:rsidR="001F68EC" w:rsidRDefault="001F68EC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>
        <w:rPr>
          <w:rFonts w:cs="Arial"/>
          <w:i/>
        </w:rPr>
        <w:t>Aprobar expedientes debidamente soportados por crédito suficiente.</w:t>
      </w:r>
    </w:p>
    <w:p w:rsidR="00574F9B" w:rsidRDefault="00574F9B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>
        <w:rPr>
          <w:rFonts w:cs="Arial"/>
          <w:i/>
        </w:rPr>
        <w:t>Regular en las bases de ejecución del presupuesto el procedimiento a s</w:t>
      </w:r>
      <w:r>
        <w:rPr>
          <w:rFonts w:cs="Arial"/>
          <w:i/>
        </w:rPr>
        <w:t>e</w:t>
      </w:r>
      <w:r>
        <w:rPr>
          <w:rFonts w:cs="Arial"/>
          <w:i/>
        </w:rPr>
        <w:t>guir en la tramitación de los expedientes con omisión de la fiscalización pr</w:t>
      </w:r>
      <w:r>
        <w:rPr>
          <w:rFonts w:cs="Arial"/>
          <w:i/>
        </w:rPr>
        <w:t>e</w:t>
      </w:r>
      <w:r>
        <w:rPr>
          <w:rFonts w:cs="Arial"/>
          <w:i/>
        </w:rPr>
        <w:t>via.</w:t>
      </w:r>
    </w:p>
    <w:p w:rsidR="00A44860" w:rsidRDefault="00B76A5E" w:rsidP="003B0A29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  <w:i/>
        </w:rPr>
      </w:pPr>
      <w:r>
        <w:rPr>
          <w:rFonts w:cs="Arial"/>
          <w:i/>
        </w:rPr>
        <w:t>Desarrollar reglamentariamente el régimen de control interno previsto en el marco legal presupuestario del sector local de la Comunidad Foral.</w:t>
      </w:r>
    </w:p>
    <w:p w:rsidR="00B76A5E" w:rsidRPr="00A44860" w:rsidRDefault="00A44860" w:rsidP="003B0A29">
      <w:pPr>
        <w:ind w:firstLine="0"/>
        <w:jc w:val="left"/>
        <w:rPr>
          <w:rFonts w:cs="Arial"/>
          <w:i/>
          <w:spacing w:val="6"/>
          <w:sz w:val="26"/>
          <w:szCs w:val="24"/>
        </w:rPr>
      </w:pPr>
      <w:r>
        <w:rPr>
          <w:rFonts w:cs="Arial"/>
          <w:i/>
        </w:rPr>
        <w:br w:type="page"/>
      </w:r>
    </w:p>
    <w:p w:rsidR="000D153B" w:rsidRPr="009A29F8" w:rsidRDefault="000D153B" w:rsidP="000D153B">
      <w:pPr>
        <w:pStyle w:val="atitulo1"/>
      </w:pPr>
      <w:bookmarkStart w:id="8" w:name="_Toc534892116"/>
      <w:r w:rsidRPr="009A29F8">
        <w:lastRenderedPageBreak/>
        <w:t>V. Aspectos generales</w:t>
      </w:r>
      <w:bookmarkEnd w:id="8"/>
      <w:r w:rsidRPr="009A29F8">
        <w:t xml:space="preserve"> </w:t>
      </w:r>
    </w:p>
    <w:p w:rsidR="000D153B" w:rsidRPr="00B27EA0" w:rsidRDefault="000D153B" w:rsidP="005167BD">
      <w:pPr>
        <w:pStyle w:val="atitulo2"/>
        <w:spacing w:before="240" w:after="180"/>
        <w:rPr>
          <w:spacing w:val="4"/>
        </w:rPr>
      </w:pPr>
      <w:bookmarkStart w:id="9" w:name="_Toc534892117"/>
      <w:r w:rsidRPr="00B27EA0">
        <w:rPr>
          <w:spacing w:val="4"/>
        </w:rPr>
        <w:t>V.1. Cumplimiento de la obligación de remisión de la información solicitada</w:t>
      </w:r>
      <w:bookmarkEnd w:id="9"/>
    </w:p>
    <w:p w:rsidR="000D153B" w:rsidRDefault="000D153B" w:rsidP="00002DF3">
      <w:pPr>
        <w:pStyle w:val="texto"/>
        <w:spacing w:after="240"/>
      </w:pPr>
      <w:r w:rsidRPr="006B6EE9">
        <w:t xml:space="preserve">El número de entidades </w:t>
      </w:r>
      <w:r w:rsidR="00130075">
        <w:t xml:space="preserve">locales a los que se solicitó </w:t>
      </w:r>
      <w:r w:rsidRPr="006B6EE9">
        <w:t>información ascendía a 348, de los que 272 correspondían a ayuntamientos y 76 a mancomunidades y agrupaciones.</w:t>
      </w:r>
      <w:r w:rsidR="006032D2">
        <w:t xml:space="preserve"> </w:t>
      </w:r>
      <w:r w:rsidRPr="006B6EE9">
        <w:t>El siguiente cuadro refleja el grado de cumplimiento:</w:t>
      </w: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992"/>
        <w:gridCol w:w="1418"/>
        <w:gridCol w:w="1701"/>
        <w:gridCol w:w="992"/>
        <w:gridCol w:w="1134"/>
      </w:tblGrid>
      <w:tr w:rsidR="00330137" w:rsidRPr="00330137" w:rsidTr="00D929D8">
        <w:trPr>
          <w:trHeight w:val="315"/>
          <w:jc w:val="center"/>
        </w:trPr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Encuestas enviadas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Encuesta completa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Solo certificado negativo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C</w:t>
            </w: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ontestados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No contestados</w:t>
            </w:r>
          </w:p>
        </w:tc>
      </w:tr>
      <w:tr w:rsidR="00330137" w:rsidRPr="00330137" w:rsidTr="00D929D8">
        <w:trPr>
          <w:trHeight w:val="185"/>
          <w:jc w:val="center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Tipo de ente local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Nº Entidades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</w:tr>
      <w:tr w:rsidR="00330137" w:rsidRPr="00330137" w:rsidTr="00C37298">
        <w:trPr>
          <w:trHeight w:val="227"/>
          <w:jc w:val="center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Ayuntamientos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28</w:t>
            </w:r>
          </w:p>
        </w:tc>
      </w:tr>
      <w:tr w:rsidR="00330137" w:rsidRPr="00330137" w:rsidTr="00C37298">
        <w:trPr>
          <w:trHeight w:val="198"/>
          <w:jc w:val="center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 &lt;1.000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19</w:t>
            </w:r>
          </w:p>
        </w:tc>
      </w:tr>
      <w:tr w:rsidR="00330137" w:rsidRPr="00330137" w:rsidTr="00C37298">
        <w:trPr>
          <w:trHeight w:val="198"/>
          <w:jc w:val="center"/>
        </w:trPr>
        <w:tc>
          <w:tcPr>
            <w:tcW w:w="2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 &gt;1.000 &lt;5.000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</w:tr>
      <w:tr w:rsidR="00330137" w:rsidRPr="00330137" w:rsidTr="00C37298">
        <w:trPr>
          <w:trHeight w:val="198"/>
          <w:jc w:val="center"/>
        </w:trPr>
        <w:tc>
          <w:tcPr>
            <w:tcW w:w="2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 &gt;5.000 &lt;10.000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330137" w:rsidRPr="00330137" w:rsidTr="00C37298">
        <w:trPr>
          <w:trHeight w:val="198"/>
          <w:jc w:val="center"/>
        </w:trPr>
        <w:tc>
          <w:tcPr>
            <w:tcW w:w="2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&gt;10.000 &lt; 20.000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330137" w:rsidRPr="00330137" w:rsidTr="00C37298">
        <w:trPr>
          <w:trHeight w:val="198"/>
          <w:jc w:val="center"/>
        </w:trPr>
        <w:tc>
          <w:tcPr>
            <w:tcW w:w="256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&gt;20.000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330137" w:rsidRPr="00330137" w:rsidTr="00C37298">
        <w:trPr>
          <w:trHeight w:val="227"/>
          <w:jc w:val="center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Mancomunidades y Agrupaciones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30137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13</w:t>
            </w:r>
          </w:p>
        </w:tc>
      </w:tr>
      <w:tr w:rsidR="00330137" w:rsidRPr="00330137" w:rsidTr="00D929D8">
        <w:trPr>
          <w:trHeight w:val="312"/>
          <w:jc w:val="center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330137" w:rsidRPr="00330137" w:rsidRDefault="00330137" w:rsidP="00330137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33013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41</w:t>
            </w:r>
          </w:p>
        </w:tc>
      </w:tr>
    </w:tbl>
    <w:p w:rsidR="000D153B" w:rsidRPr="006B6EE9" w:rsidRDefault="000D153B" w:rsidP="00002DF3">
      <w:pPr>
        <w:pStyle w:val="texto"/>
        <w:spacing w:before="220" w:after="200"/>
      </w:pPr>
      <w:r w:rsidRPr="006B6EE9">
        <w:t xml:space="preserve">Como se observa, el grado de cumplimiento de remisión de la </w:t>
      </w:r>
      <w:r w:rsidR="00412FA4">
        <w:t xml:space="preserve">totalidad de la </w:t>
      </w:r>
      <w:r w:rsidRPr="006B6EE9">
        <w:t>información solicitada ha s</w:t>
      </w:r>
      <w:r w:rsidR="009412D7">
        <w:t>ido del 8</w:t>
      </w:r>
      <w:r w:rsidR="00412FA4">
        <w:t>5</w:t>
      </w:r>
      <w:r w:rsidR="009412D7">
        <w:t xml:space="preserve"> por ciento</w:t>
      </w:r>
      <w:r w:rsidR="009F2AE7">
        <w:t>;</w:t>
      </w:r>
      <w:r w:rsidR="009412D7">
        <w:t xml:space="preserve"> un tres</w:t>
      </w:r>
      <w:r w:rsidR="009F2AE7">
        <w:t xml:space="preserve"> por ciento so</w:t>
      </w:r>
      <w:r w:rsidRPr="006B6EE9">
        <w:t>lo ha pr</w:t>
      </w:r>
      <w:r w:rsidRPr="006B6EE9">
        <w:t>e</w:t>
      </w:r>
      <w:r w:rsidRPr="006B6EE9">
        <w:t xml:space="preserve">sentado certificado </w:t>
      </w:r>
      <w:r w:rsidR="009412D7">
        <w:t xml:space="preserve">negativo </w:t>
      </w:r>
      <w:r w:rsidR="00330137">
        <w:t>sin indicar cómo ejercen el control interno</w:t>
      </w:r>
      <w:r w:rsidR="009F2AE7">
        <w:t>;</w:t>
      </w:r>
      <w:r w:rsidRPr="006B6EE9">
        <w:t xml:space="preserve"> y un 1</w:t>
      </w:r>
      <w:r w:rsidR="009412D7">
        <w:t>2</w:t>
      </w:r>
      <w:r w:rsidRPr="006B6EE9">
        <w:t xml:space="preserve"> por ciento </w:t>
      </w:r>
      <w:r w:rsidR="009F2AE7">
        <w:t xml:space="preserve">de </w:t>
      </w:r>
      <w:r w:rsidRPr="006B6EE9">
        <w:t xml:space="preserve">las entidades </w:t>
      </w:r>
      <w:r w:rsidR="009F2AE7">
        <w:t>no ha</w:t>
      </w:r>
      <w:r w:rsidRPr="006B6EE9">
        <w:t xml:space="preserve"> contestado. </w:t>
      </w:r>
    </w:p>
    <w:p w:rsidR="000D153B" w:rsidRPr="00D066DE" w:rsidRDefault="000D153B" w:rsidP="00B27EA0">
      <w:pPr>
        <w:pStyle w:val="atitulo2"/>
        <w:spacing w:before="240" w:after="180"/>
        <w:rPr>
          <w:color w:val="auto"/>
        </w:rPr>
      </w:pPr>
      <w:bookmarkStart w:id="10" w:name="_Toc534892118"/>
      <w:r w:rsidRPr="00D066DE">
        <w:rPr>
          <w:color w:val="auto"/>
        </w:rPr>
        <w:t xml:space="preserve">V.2. </w:t>
      </w:r>
      <w:r w:rsidR="00D55238">
        <w:rPr>
          <w:color w:val="auto"/>
        </w:rPr>
        <w:t xml:space="preserve">Entidades </w:t>
      </w:r>
      <w:r w:rsidR="00D41E09">
        <w:t xml:space="preserve">sin reparos, </w:t>
      </w:r>
      <w:r w:rsidR="009C0D2C">
        <w:t xml:space="preserve">sin </w:t>
      </w:r>
      <w:r w:rsidR="00543949">
        <w:t xml:space="preserve">acuerdos contrarios a reparos ni </w:t>
      </w:r>
      <w:r w:rsidR="00D55238">
        <w:t>exp</w:t>
      </w:r>
      <w:r w:rsidR="00D55238">
        <w:t>e</w:t>
      </w:r>
      <w:r w:rsidR="00D55238">
        <w:t>dientes con omisión de fiscalización previa ni anomalías en la gestión de ingresos</w:t>
      </w:r>
      <w:bookmarkEnd w:id="10"/>
    </w:p>
    <w:p w:rsidR="000D153B" w:rsidRDefault="000D153B" w:rsidP="00002DF3">
      <w:pPr>
        <w:pStyle w:val="texto"/>
      </w:pPr>
      <w:r w:rsidRPr="001C0D15">
        <w:t xml:space="preserve">De acuerdo con la solicitud de esta Cámara, en el caso en que </w:t>
      </w:r>
      <w:r>
        <w:t xml:space="preserve">no </w:t>
      </w:r>
      <w:r w:rsidRPr="001C0D15">
        <w:t xml:space="preserve">se hayan </w:t>
      </w:r>
      <w:r w:rsidR="00D066DE">
        <w:t xml:space="preserve">emitido reparos, </w:t>
      </w:r>
      <w:r w:rsidR="00A90804">
        <w:t xml:space="preserve">no </w:t>
      </w:r>
      <w:r w:rsidRPr="001C0D15">
        <w:t xml:space="preserve">adoptado acuerdos contrarios a reparos, </w:t>
      </w:r>
      <w:r w:rsidR="00A90804">
        <w:t xml:space="preserve">no </w:t>
      </w:r>
      <w:r>
        <w:t xml:space="preserve">aprobado </w:t>
      </w:r>
      <w:r w:rsidRPr="001C0D15">
        <w:t>exp</w:t>
      </w:r>
      <w:r w:rsidRPr="001C0D15">
        <w:t>e</w:t>
      </w:r>
      <w:r w:rsidRPr="001C0D15">
        <w:t xml:space="preserve">dientes con omisión de fiscalización previa o </w:t>
      </w:r>
      <w:r w:rsidR="00A90804">
        <w:t xml:space="preserve">no </w:t>
      </w:r>
      <w:r w:rsidR="00221E46">
        <w:t xml:space="preserve">existan </w:t>
      </w:r>
      <w:r w:rsidRPr="001C0D15">
        <w:t xml:space="preserve">anomalías en la gestión de ingresos, </w:t>
      </w:r>
      <w:r w:rsidR="00A90804">
        <w:t xml:space="preserve">las entidades locales </w:t>
      </w:r>
      <w:r w:rsidRPr="001C0D15">
        <w:t>deben remitir una certificación negati</w:t>
      </w:r>
      <w:r w:rsidR="00A90804">
        <w:t xml:space="preserve">va </w:t>
      </w:r>
      <w:r w:rsidR="009F2AE7">
        <w:t>en la que se indique</w:t>
      </w:r>
      <w:r w:rsidRPr="001C0D15">
        <w:t xml:space="preserve"> esta circunstancia.</w:t>
      </w:r>
      <w:r>
        <w:t xml:space="preserve"> </w:t>
      </w:r>
      <w:r w:rsidR="00BE7B93">
        <w:t xml:space="preserve"> </w:t>
      </w:r>
    </w:p>
    <w:p w:rsidR="00D41E09" w:rsidRDefault="00D066DE" w:rsidP="00C37298">
      <w:pPr>
        <w:pStyle w:val="texto"/>
        <w:spacing w:after="260"/>
        <w:rPr>
          <w:color w:val="000000" w:themeColor="text1"/>
          <w:spacing w:val="-4"/>
          <w:lang w:val="es-ES"/>
        </w:rPr>
      </w:pPr>
      <w:r w:rsidRPr="00143FC9">
        <w:rPr>
          <w:spacing w:val="-4"/>
        </w:rPr>
        <w:t>Las entidades locales han suministrado esta información de dos formas</w:t>
      </w:r>
      <w:r w:rsidR="009E647F">
        <w:rPr>
          <w:spacing w:val="-4"/>
        </w:rPr>
        <w:t xml:space="preserve">: </w:t>
      </w:r>
      <w:r w:rsidRPr="00143FC9">
        <w:rPr>
          <w:spacing w:val="-4"/>
        </w:rPr>
        <w:t>a través de un certificado negativo o</w:t>
      </w:r>
      <w:r w:rsidR="00330137">
        <w:rPr>
          <w:spacing w:val="-4"/>
        </w:rPr>
        <w:t xml:space="preserve"> </w:t>
      </w:r>
      <w:r w:rsidRPr="00143FC9">
        <w:rPr>
          <w:spacing w:val="-4"/>
        </w:rPr>
        <w:t xml:space="preserve">respondiendo a estas cuestiones en el propio formulario. </w:t>
      </w:r>
      <w:r w:rsidR="000D153B" w:rsidRPr="00143FC9">
        <w:rPr>
          <w:color w:val="000000" w:themeColor="text1"/>
          <w:spacing w:val="-4"/>
          <w:lang w:val="es-ES"/>
        </w:rPr>
        <w:t xml:space="preserve">El resultado </w:t>
      </w:r>
      <w:r w:rsidR="007F0299" w:rsidRPr="00143FC9">
        <w:rPr>
          <w:color w:val="000000" w:themeColor="text1"/>
          <w:spacing w:val="-4"/>
          <w:lang w:val="es-ES"/>
        </w:rPr>
        <w:t xml:space="preserve">uniendo las dos fuentes de información </w:t>
      </w:r>
      <w:r w:rsidR="000D153B" w:rsidRPr="00143FC9">
        <w:rPr>
          <w:color w:val="000000" w:themeColor="text1"/>
          <w:spacing w:val="-4"/>
          <w:lang w:val="es-ES"/>
        </w:rPr>
        <w:t xml:space="preserve">ha sido el siguiente:  </w:t>
      </w:r>
    </w:p>
    <w:tbl>
      <w:tblPr>
        <w:tblW w:w="876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1245"/>
        <w:gridCol w:w="783"/>
        <w:gridCol w:w="1377"/>
        <w:gridCol w:w="1490"/>
        <w:gridCol w:w="834"/>
        <w:gridCol w:w="715"/>
      </w:tblGrid>
      <w:tr w:rsidR="00543949" w:rsidRPr="00543949" w:rsidTr="00864E18">
        <w:trPr>
          <w:trHeight w:val="280"/>
          <w:jc w:val="center"/>
        </w:trPr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color w:val="000000"/>
                <w:lang w:val="es-ES" w:eastAsia="es-E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color w:val="000000"/>
                <w:lang w:val="es-ES" w:eastAsia="es-ES"/>
              </w:rPr>
            </w:pPr>
          </w:p>
        </w:tc>
        <w:tc>
          <w:tcPr>
            <w:tcW w:w="5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Respuesta negativa </w:t>
            </w:r>
          </w:p>
        </w:tc>
      </w:tr>
      <w:tr w:rsidR="00543949" w:rsidRPr="00543949" w:rsidTr="00D929D8">
        <w:trPr>
          <w:trHeight w:val="271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Tipo de ente local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Nº Entidades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Reparos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Acuerdos contrarios a reparos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Acuerdos omisión fiscalización.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Anomalías ingresos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Todos</w:t>
            </w:r>
          </w:p>
        </w:tc>
      </w:tr>
      <w:tr w:rsidR="00543949" w:rsidRPr="00543949" w:rsidTr="00864E18">
        <w:trPr>
          <w:trHeight w:val="163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Ayuntamientos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244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207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32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235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233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201</w:t>
            </w:r>
          </w:p>
        </w:tc>
      </w:tr>
      <w:tr w:rsidR="00543949" w:rsidRPr="00543949" w:rsidTr="00864E18">
        <w:trPr>
          <w:trHeight w:val="19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&lt;1.000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169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159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163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162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152</w:t>
            </w:r>
          </w:p>
        </w:tc>
      </w:tr>
      <w:tr w:rsidR="00543949" w:rsidRPr="00543949" w:rsidTr="00864E18">
        <w:trPr>
          <w:trHeight w:val="198"/>
          <w:jc w:val="center"/>
        </w:trPr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&gt;1.000 &lt;5.000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42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4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7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42</w:t>
            </w:r>
          </w:p>
        </w:tc>
      </w:tr>
      <w:tr w:rsidR="00543949" w:rsidRPr="00543949" w:rsidTr="00864E18">
        <w:trPr>
          <w:trHeight w:val="198"/>
          <w:jc w:val="center"/>
        </w:trPr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&gt;5.000 &lt;10.000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14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7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543949" w:rsidRPr="00543949" w:rsidTr="00864E18">
        <w:trPr>
          <w:trHeight w:val="198"/>
          <w:jc w:val="center"/>
        </w:trPr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&gt;10.000 &lt; 20.000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4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7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</w:tr>
      <w:tr w:rsidR="00543949" w:rsidRPr="00543949" w:rsidTr="00864E18">
        <w:trPr>
          <w:trHeight w:val="198"/>
          <w:jc w:val="center"/>
        </w:trPr>
        <w:tc>
          <w:tcPr>
            <w:tcW w:w="231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&gt;20.000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7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49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8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71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543949" w:rsidRPr="00543949" w:rsidTr="00864E18">
        <w:trPr>
          <w:trHeight w:val="269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Mancomunidades y Agrupaciones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63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62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62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61</w:t>
            </w:r>
          </w:p>
        </w:tc>
      </w:tr>
      <w:tr w:rsidR="00543949" w:rsidRPr="00543949" w:rsidTr="00D929D8">
        <w:trPr>
          <w:trHeight w:val="303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307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269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297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543949" w:rsidRPr="00543949" w:rsidRDefault="00543949" w:rsidP="00543949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54394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262</w:t>
            </w:r>
          </w:p>
        </w:tc>
      </w:tr>
    </w:tbl>
    <w:p w:rsidR="00002DF3" w:rsidRDefault="00002DF3" w:rsidP="003E6FB5">
      <w:pPr>
        <w:pStyle w:val="texto"/>
        <w:spacing w:before="260"/>
      </w:pPr>
    </w:p>
    <w:p w:rsidR="003E6FB5" w:rsidRDefault="004F303F" w:rsidP="003E6FB5">
      <w:pPr>
        <w:pStyle w:val="texto"/>
        <w:spacing w:before="260"/>
      </w:pPr>
      <w:r>
        <w:lastRenderedPageBreak/>
        <w:t>De la información del cuadro se observa lo siguiente:</w:t>
      </w:r>
    </w:p>
    <w:p w:rsidR="004F303F" w:rsidRDefault="004F303F" w:rsidP="003E6FB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62758C">
        <w:rPr>
          <w:rFonts w:cs="Arial"/>
        </w:rPr>
        <w:t>No</w:t>
      </w:r>
      <w:r w:rsidR="0062758C" w:rsidRPr="0062758C">
        <w:rPr>
          <w:rFonts w:cs="Arial"/>
        </w:rPr>
        <w:t xml:space="preserve"> se han emitido reparos en el 88</w:t>
      </w:r>
      <w:r w:rsidRPr="0062758C">
        <w:rPr>
          <w:rFonts w:cs="Arial"/>
        </w:rPr>
        <w:t xml:space="preserve"> por</w:t>
      </w:r>
      <w:r w:rsidR="00853C68">
        <w:rPr>
          <w:rFonts w:cs="Arial"/>
        </w:rPr>
        <w:t xml:space="preserve"> ciento.</w:t>
      </w:r>
    </w:p>
    <w:p w:rsidR="00543949" w:rsidRPr="0062758C" w:rsidRDefault="00543949" w:rsidP="003E6FB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No se adoptado acuerdos contrarios a reparos en el 11 por ciento.</w:t>
      </w:r>
    </w:p>
    <w:p w:rsidR="004F303F" w:rsidRPr="0062758C" w:rsidRDefault="004F303F" w:rsidP="003E6FB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62758C">
        <w:rPr>
          <w:rFonts w:cs="Arial"/>
        </w:rPr>
        <w:t xml:space="preserve">No se han </w:t>
      </w:r>
      <w:r w:rsidR="00221E46">
        <w:rPr>
          <w:rFonts w:cs="Arial"/>
        </w:rPr>
        <w:t xml:space="preserve">tramitado expedientes </w:t>
      </w:r>
      <w:r w:rsidRPr="0062758C">
        <w:rPr>
          <w:rFonts w:cs="Arial"/>
        </w:rPr>
        <w:t>con omisión</w:t>
      </w:r>
      <w:r w:rsidR="0062758C" w:rsidRPr="0062758C">
        <w:rPr>
          <w:rFonts w:cs="Arial"/>
        </w:rPr>
        <w:t xml:space="preserve"> de fiscalización previa en el 97</w:t>
      </w:r>
      <w:r w:rsidRPr="0062758C">
        <w:rPr>
          <w:rFonts w:cs="Arial"/>
        </w:rPr>
        <w:t xml:space="preserve"> por</w:t>
      </w:r>
      <w:r w:rsidR="0062758C" w:rsidRPr="0062758C">
        <w:rPr>
          <w:rFonts w:cs="Arial"/>
        </w:rPr>
        <w:t xml:space="preserve"> ciento</w:t>
      </w:r>
      <w:r w:rsidR="00C33B27">
        <w:rPr>
          <w:rFonts w:cs="Arial"/>
        </w:rPr>
        <w:t>.</w:t>
      </w:r>
    </w:p>
    <w:p w:rsidR="004F303F" w:rsidRPr="0062758C" w:rsidRDefault="004F303F" w:rsidP="003E6FB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62758C">
        <w:rPr>
          <w:rFonts w:cs="Arial"/>
        </w:rPr>
        <w:t xml:space="preserve">No </w:t>
      </w:r>
      <w:r w:rsidR="00330137">
        <w:rPr>
          <w:rFonts w:cs="Arial"/>
        </w:rPr>
        <w:t xml:space="preserve">constan </w:t>
      </w:r>
      <w:r w:rsidRPr="0062758C">
        <w:rPr>
          <w:rFonts w:cs="Arial"/>
        </w:rPr>
        <w:t>anomalías de ingre</w:t>
      </w:r>
      <w:r w:rsidR="0062758C" w:rsidRPr="0062758C">
        <w:rPr>
          <w:rFonts w:cs="Arial"/>
        </w:rPr>
        <w:t>sos en el 96</w:t>
      </w:r>
      <w:r w:rsidRPr="0062758C">
        <w:rPr>
          <w:rFonts w:cs="Arial"/>
        </w:rPr>
        <w:t xml:space="preserve"> por</w:t>
      </w:r>
      <w:r w:rsidR="0062758C" w:rsidRPr="0062758C">
        <w:rPr>
          <w:rFonts w:cs="Arial"/>
        </w:rPr>
        <w:t xml:space="preserve"> ciento.</w:t>
      </w:r>
    </w:p>
    <w:p w:rsidR="004F303F" w:rsidRDefault="004F303F" w:rsidP="003E6FB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62758C">
        <w:rPr>
          <w:rFonts w:cs="Arial"/>
        </w:rPr>
        <w:t xml:space="preserve">No se han dado las </w:t>
      </w:r>
      <w:r w:rsidR="00B948FB">
        <w:rPr>
          <w:rFonts w:cs="Arial"/>
        </w:rPr>
        <w:t>cuatro c</w:t>
      </w:r>
      <w:r w:rsidRPr="0062758C">
        <w:rPr>
          <w:rFonts w:cs="Arial"/>
        </w:rPr>
        <w:t>ircunstanci</w:t>
      </w:r>
      <w:r w:rsidR="0062758C" w:rsidRPr="0062758C">
        <w:rPr>
          <w:rFonts w:cs="Arial"/>
        </w:rPr>
        <w:t>as anteriores en el 85</w:t>
      </w:r>
      <w:r w:rsidRPr="0062758C">
        <w:rPr>
          <w:rFonts w:cs="Arial"/>
        </w:rPr>
        <w:t xml:space="preserve"> por ciento de las entidades locales</w:t>
      </w:r>
      <w:r w:rsidR="006E6B11">
        <w:rPr>
          <w:rFonts w:cs="Arial"/>
        </w:rPr>
        <w:t xml:space="preserve">, </w:t>
      </w:r>
      <w:r w:rsidR="005A556E">
        <w:rPr>
          <w:rFonts w:cs="Arial"/>
        </w:rPr>
        <w:t>de la</w:t>
      </w:r>
      <w:r w:rsidR="00002BBC">
        <w:rPr>
          <w:rFonts w:cs="Arial"/>
        </w:rPr>
        <w:t xml:space="preserve">s que </w:t>
      </w:r>
      <w:r w:rsidR="006E6B11">
        <w:rPr>
          <w:rFonts w:cs="Arial"/>
        </w:rPr>
        <w:t>un 58 por ciento</w:t>
      </w:r>
      <w:r w:rsidR="00002BBC">
        <w:rPr>
          <w:rFonts w:cs="Arial"/>
        </w:rPr>
        <w:t xml:space="preserve"> se corresponde con ayunt</w:t>
      </w:r>
      <w:r w:rsidR="00002BBC">
        <w:rPr>
          <w:rFonts w:cs="Arial"/>
        </w:rPr>
        <w:t>a</w:t>
      </w:r>
      <w:r w:rsidR="00002BBC">
        <w:rPr>
          <w:rFonts w:cs="Arial"/>
        </w:rPr>
        <w:t>mientos de población inferior a 1.000 habitantes.</w:t>
      </w:r>
    </w:p>
    <w:p w:rsidR="000D153B" w:rsidRPr="00FE2726" w:rsidRDefault="000D153B" w:rsidP="000D153B">
      <w:pPr>
        <w:pStyle w:val="atitulo2"/>
        <w:spacing w:before="240"/>
      </w:pPr>
      <w:bookmarkStart w:id="11" w:name="_Toc534892119"/>
      <w:r>
        <w:t>V.3. E</w:t>
      </w:r>
      <w:r w:rsidRPr="00FE2726">
        <w:t>l sistema de control interno de las entidades locales</w:t>
      </w:r>
      <w:bookmarkEnd w:id="11"/>
    </w:p>
    <w:p w:rsidR="000D153B" w:rsidRPr="006B6EE9" w:rsidRDefault="000D153B" w:rsidP="00864E18">
      <w:pPr>
        <w:pStyle w:val="texto"/>
        <w:spacing w:after="260"/>
      </w:pPr>
      <w:r w:rsidRPr="006B6EE9">
        <w:t>El siguiente cuadro refleja las siguientes modalidades de control efectuado:</w:t>
      </w:r>
    </w:p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80"/>
        <w:gridCol w:w="726"/>
        <w:gridCol w:w="672"/>
        <w:gridCol w:w="954"/>
        <w:gridCol w:w="1008"/>
        <w:gridCol w:w="1064"/>
        <w:gridCol w:w="1162"/>
        <w:gridCol w:w="1050"/>
        <w:gridCol w:w="812"/>
      </w:tblGrid>
      <w:tr w:rsidR="000D153B" w:rsidRPr="009A1728" w:rsidTr="0062758C">
        <w:trPr>
          <w:trHeight w:val="255"/>
          <w:jc w:val="center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53B" w:rsidRPr="00C92AA9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53B" w:rsidRPr="00C92AA9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E80603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Fiscalización previa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92AA9" w:rsidRDefault="00E80603" w:rsidP="0062758C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 xml:space="preserve">Control </w:t>
            </w:r>
          </w:p>
          <w:p w:rsidR="000D153B" w:rsidRPr="00C92AA9" w:rsidRDefault="00E80603" w:rsidP="0062758C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financiero</w:t>
            </w:r>
          </w:p>
        </w:tc>
      </w:tr>
      <w:tr w:rsidR="00CB641D" w:rsidRPr="009A1728" w:rsidTr="00325371">
        <w:trPr>
          <w:trHeight w:val="25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E80603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Tipo de ente local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92AA9" w:rsidRDefault="00E80603" w:rsidP="00343E2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 xml:space="preserve">Total </w:t>
            </w:r>
          </w:p>
          <w:p w:rsidR="000D153B" w:rsidRPr="00C92AA9" w:rsidRDefault="00E80603" w:rsidP="00343E2E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respuestas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Recon</w:t>
            </w:r>
            <w:r w:rsidR="000D153B"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 xml:space="preserve">. </w:t>
            </w: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dchos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Oblig</w:t>
            </w: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a</w:t>
            </w: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ciones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Movi</w:t>
            </w:r>
            <w:r w:rsid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m</w:t>
            </w: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iento fondos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Intervención</w:t>
            </w:r>
          </w:p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formal pago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Intervención material del pago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Comprobación</w:t>
            </w:r>
          </w:p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de inversiones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E80603" w:rsidP="00325371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Comprob</w:t>
            </w: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a</w:t>
            </w: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ción subve</w:t>
            </w: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n</w:t>
            </w:r>
            <w:r w:rsidRPr="00C92AA9">
              <w:rPr>
                <w:rFonts w:ascii="Arial" w:hAnsi="Arial" w:cs="Arial"/>
                <w:bCs/>
                <w:color w:val="000000"/>
                <w:sz w:val="15"/>
                <w:szCs w:val="15"/>
                <w:lang w:val="es-ES" w:eastAsia="es-ES"/>
              </w:rPr>
              <w:t>ciones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D153B" w:rsidRPr="00C92AA9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es-ES" w:eastAsia="es-ES"/>
              </w:rPr>
            </w:pP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E80603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</w:pPr>
            <w:r w:rsidRPr="00143FC9"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  <w:t>Ayuntamientos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211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220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205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220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209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210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330137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0D153B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</w:pPr>
            <w:r w:rsidRPr="00143FC9"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  <w:t>&lt;1000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161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146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148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136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148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135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143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142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0D153B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</w:pPr>
            <w:r w:rsidRPr="00143FC9"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  <w:t>&gt;1.000 &lt;5.000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52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55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0D153B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</w:pPr>
            <w:r w:rsidRPr="00143FC9"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  <w:t>&gt;5.000 &lt;10.000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0D153B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</w:pPr>
            <w:r w:rsidRPr="00143FC9"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  <w:t>&gt;10.000 &lt; 20.000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0D153B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</w:pPr>
            <w:r w:rsidRPr="00143FC9"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  <w:t>&gt;20.000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330137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9A1728" w:rsidTr="00DB3688">
        <w:trPr>
          <w:trHeight w:val="255"/>
          <w:jc w:val="center"/>
        </w:trPr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43FC9" w:rsidRDefault="00E80603" w:rsidP="00E80603">
            <w:pPr>
              <w:spacing w:after="0"/>
              <w:ind w:firstLine="0"/>
              <w:jc w:val="left"/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</w:pPr>
            <w:r w:rsidRPr="00143FC9"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  <w:t>Mancomunidades y</w:t>
            </w:r>
            <w:r w:rsidR="000D153B" w:rsidRPr="00143FC9"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143FC9">
              <w:rPr>
                <w:rFonts w:ascii="Arial Narrow" w:hAnsi="Arial Narrow"/>
                <w:bCs/>
                <w:color w:val="000000"/>
                <w:sz w:val="16"/>
                <w:szCs w:val="16"/>
                <w:lang w:val="es-ES" w:eastAsia="es-ES"/>
              </w:rPr>
              <w:t xml:space="preserve">Agrupaciones </w:t>
            </w:r>
          </w:p>
        </w:tc>
        <w:tc>
          <w:tcPr>
            <w:tcW w:w="8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61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57</w:t>
            </w:r>
          </w:p>
        </w:tc>
        <w:tc>
          <w:tcPr>
            <w:tcW w:w="67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59</w:t>
            </w:r>
          </w:p>
        </w:tc>
        <w:tc>
          <w:tcPr>
            <w:tcW w:w="95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57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106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55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13970" w:rsidRDefault="000D153B" w:rsidP="00DB3688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CB641D" w:rsidRPr="009A1728" w:rsidTr="00DB3688">
        <w:trPr>
          <w:trHeight w:val="3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C92AA9" w:rsidRDefault="00C92AA9" w:rsidP="00E80603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C92AA9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43E2E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297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268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279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262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278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264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264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325371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271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330137" w:rsidP="00DB3688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</w:tbl>
    <w:p w:rsidR="000D153B" w:rsidRPr="006B6EE9" w:rsidRDefault="000D153B" w:rsidP="00150542">
      <w:pPr>
        <w:pStyle w:val="texto"/>
        <w:spacing w:before="260"/>
      </w:pPr>
      <w:r w:rsidRPr="006B6EE9">
        <w:t>Los resultados ponen de manifiesto lo siguiente:</w:t>
      </w:r>
    </w:p>
    <w:p w:rsidR="000D153B" w:rsidRDefault="000D153B" w:rsidP="00726E2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726E27">
        <w:rPr>
          <w:rFonts w:cs="Arial"/>
        </w:rPr>
        <w:t xml:space="preserve">La función interventora </w:t>
      </w:r>
      <w:r w:rsidR="00330137">
        <w:rPr>
          <w:rFonts w:cs="Arial"/>
        </w:rPr>
        <w:t>se ejerce con carácter general a través de la fiscal</w:t>
      </w:r>
      <w:r w:rsidR="00330137">
        <w:rPr>
          <w:rFonts w:cs="Arial"/>
        </w:rPr>
        <w:t>i</w:t>
      </w:r>
      <w:r w:rsidR="00330137">
        <w:rPr>
          <w:rFonts w:cs="Arial"/>
        </w:rPr>
        <w:t xml:space="preserve">zación previa y </w:t>
      </w:r>
      <w:r w:rsidRPr="00726E27">
        <w:rPr>
          <w:rFonts w:cs="Arial"/>
        </w:rPr>
        <w:t xml:space="preserve">comprende </w:t>
      </w:r>
      <w:r w:rsidR="00853C68">
        <w:rPr>
          <w:rFonts w:cs="Arial"/>
        </w:rPr>
        <w:t xml:space="preserve">las modalidades y </w:t>
      </w:r>
      <w:r w:rsidRPr="00726E27">
        <w:rPr>
          <w:rFonts w:cs="Arial"/>
        </w:rPr>
        <w:t xml:space="preserve">el contenido exigido en el marco </w:t>
      </w:r>
      <w:r w:rsidR="00D3281A">
        <w:rPr>
          <w:rFonts w:cs="Arial"/>
        </w:rPr>
        <w:t xml:space="preserve">presupuestario local e </w:t>
      </w:r>
      <w:r w:rsidR="006314BC">
        <w:rPr>
          <w:rFonts w:cs="Arial"/>
        </w:rPr>
        <w:t>indicad</w:t>
      </w:r>
      <w:r w:rsidR="00FD3DD0">
        <w:rPr>
          <w:rFonts w:cs="Arial"/>
        </w:rPr>
        <w:t>a</w:t>
      </w:r>
      <w:r w:rsidR="00002BBC">
        <w:rPr>
          <w:rFonts w:cs="Arial"/>
        </w:rPr>
        <w:t>s en el cuadro anterior.</w:t>
      </w:r>
    </w:p>
    <w:p w:rsidR="00330137" w:rsidRPr="00726E27" w:rsidRDefault="00330137" w:rsidP="00726E2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t>Solo en el Ayuntamiento de Pamplona se ejerce la fiscalización limitada previa, al ser la única entidad local que supera la población de 50.000 habita</w:t>
      </w:r>
      <w:r>
        <w:t>n</w:t>
      </w:r>
      <w:r>
        <w:t>tes exigidos en el artículo 248 de la Ley Foral 2/1995 de las Haciendas Locales de Navarra</w:t>
      </w:r>
      <w:r w:rsidR="00D3281A">
        <w:t xml:space="preserve"> y consiste únicamente en la comprobación de la existencia de créd</w:t>
      </w:r>
      <w:r w:rsidR="00D3281A">
        <w:t>i</w:t>
      </w:r>
      <w:r w:rsidR="00D3281A">
        <w:t>to adecuado y suficiente y gasto propuesto por órgano competente.</w:t>
      </w:r>
    </w:p>
    <w:p w:rsidR="000D153B" w:rsidRPr="00726E27" w:rsidRDefault="00330137" w:rsidP="00726E27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En ninguna entidad local se ejerce l</w:t>
      </w:r>
      <w:r w:rsidR="000D153B" w:rsidRPr="00726E27">
        <w:rPr>
          <w:rFonts w:cs="Arial"/>
        </w:rPr>
        <w:t>a función de control financiero</w:t>
      </w:r>
      <w:r w:rsidR="00E609AF">
        <w:rPr>
          <w:rFonts w:cs="Arial"/>
        </w:rPr>
        <w:t xml:space="preserve">. Sólo se realiza esta función en el Ayuntamiento de Pamplona y Tudela </w:t>
      </w:r>
      <w:r w:rsidR="000D153B" w:rsidRPr="00726E27">
        <w:rPr>
          <w:rFonts w:cs="Arial"/>
        </w:rPr>
        <w:t xml:space="preserve">sobre </w:t>
      </w:r>
      <w:r w:rsidR="00E609AF">
        <w:rPr>
          <w:rFonts w:cs="Arial"/>
        </w:rPr>
        <w:t xml:space="preserve">sus </w:t>
      </w:r>
      <w:r w:rsidR="000D153B" w:rsidRPr="00726E27">
        <w:rPr>
          <w:rFonts w:cs="Arial"/>
        </w:rPr>
        <w:t>entes dependientes y a través de firmas externas de auditoría.</w:t>
      </w:r>
    </w:p>
    <w:p w:rsidR="000D153B" w:rsidRPr="00FE2726" w:rsidRDefault="000D153B" w:rsidP="000D153B">
      <w:pPr>
        <w:pStyle w:val="atitulo2"/>
        <w:spacing w:before="240"/>
      </w:pPr>
      <w:bookmarkStart w:id="12" w:name="_Toc534892120"/>
      <w:r>
        <w:lastRenderedPageBreak/>
        <w:t xml:space="preserve">V.4. </w:t>
      </w:r>
      <w:r w:rsidRPr="00FE2726">
        <w:t xml:space="preserve">Informes </w:t>
      </w:r>
      <w:r>
        <w:t>en materia presupuestaria</w:t>
      </w:r>
      <w:bookmarkEnd w:id="12"/>
    </w:p>
    <w:p w:rsidR="000D153B" w:rsidRDefault="000D153B" w:rsidP="00150542">
      <w:pPr>
        <w:pStyle w:val="texto"/>
        <w:spacing w:after="260"/>
      </w:pPr>
      <w:r w:rsidRPr="0043592A">
        <w:t xml:space="preserve">El siguiente </w:t>
      </w:r>
      <w:r w:rsidR="0007211F">
        <w:t xml:space="preserve">cuadro </w:t>
      </w:r>
      <w:r w:rsidRPr="0043592A">
        <w:t xml:space="preserve">detalla el número de entidades en que </w:t>
      </w:r>
      <w:r w:rsidR="00D3281A">
        <w:t xml:space="preserve">la Intervención </w:t>
      </w:r>
      <w:r w:rsidRPr="0043592A">
        <w:t xml:space="preserve">ha informado negativamente la </w:t>
      </w:r>
      <w:r>
        <w:t xml:space="preserve">aprobación del presupuesto, </w:t>
      </w:r>
      <w:r w:rsidRPr="0043592A">
        <w:t>modificaciones pres</w:t>
      </w:r>
      <w:r w:rsidRPr="0043592A">
        <w:t>u</w:t>
      </w:r>
      <w:r w:rsidRPr="0043592A">
        <w:t>puestarias</w:t>
      </w:r>
      <w:r>
        <w:t>, liquidación del presupuesto y la estabilidad presupuestaria:</w:t>
      </w:r>
    </w:p>
    <w:tbl>
      <w:tblPr>
        <w:tblW w:w="8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300"/>
        <w:gridCol w:w="1300"/>
        <w:gridCol w:w="1884"/>
        <w:gridCol w:w="2067"/>
        <w:gridCol w:w="649"/>
      </w:tblGrid>
      <w:tr w:rsidR="000D153B" w:rsidRPr="00013970" w:rsidTr="00C44E40">
        <w:trPr>
          <w:trHeight w:val="312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B902C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Tipo de ente local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Presupuestos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Modificaciones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Liquidaci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ó</w:t>
            </w: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n presupuesto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</w:t>
            </w: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bilidad presupuestaria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F56E59" w:rsidP="00B902C9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Ayuntamientos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&lt;1000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&gt;1.000 &lt;5.000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64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&gt;5.000 &lt;10.000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64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&gt;10.000 &lt; 20.000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64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902C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&gt;20.000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30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8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0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649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0D2445" w:rsidTr="00C44E40">
        <w:trPr>
          <w:trHeight w:val="238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F56E59" w:rsidP="00B902C9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Mancomunidades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y Agrupaciones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874266">
            <w:pPr>
              <w:spacing w:after="0"/>
              <w:ind w:firstLine="0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53B" w:rsidRPr="000D244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0D2445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</w:tr>
      <w:tr w:rsidR="000D153B" w:rsidRPr="00013970" w:rsidTr="00C44E40">
        <w:trPr>
          <w:trHeight w:val="284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F56E59" w:rsidP="00B902C9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874266">
            <w:pPr>
              <w:spacing w:after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</w:tr>
    </w:tbl>
    <w:p w:rsidR="000D153B" w:rsidRPr="00E351C5" w:rsidRDefault="00853C68" w:rsidP="002E327F">
      <w:pPr>
        <w:pStyle w:val="texto"/>
        <w:spacing w:before="240" w:after="180"/>
      </w:pPr>
      <w:r>
        <w:t>Destacamos los siguientes aspectos:</w:t>
      </w:r>
    </w:p>
    <w:p w:rsidR="00853C68" w:rsidRDefault="00853C68" w:rsidP="002E327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80"/>
        <w:ind w:left="0" w:firstLine="289"/>
        <w:rPr>
          <w:rFonts w:cs="Arial"/>
        </w:rPr>
      </w:pPr>
      <w:r>
        <w:rPr>
          <w:rFonts w:cs="Arial"/>
        </w:rPr>
        <w:t xml:space="preserve">Sólo </w:t>
      </w:r>
      <w:r w:rsidR="00D3281A">
        <w:rPr>
          <w:rFonts w:cs="Arial"/>
        </w:rPr>
        <w:t xml:space="preserve">en </w:t>
      </w:r>
      <w:r>
        <w:rPr>
          <w:rFonts w:cs="Arial"/>
        </w:rPr>
        <w:t xml:space="preserve">un 10 por ciento de las entidades que han remitido la información, </w:t>
      </w:r>
      <w:r w:rsidR="00D3281A">
        <w:rPr>
          <w:rFonts w:cs="Arial"/>
        </w:rPr>
        <w:t xml:space="preserve">la Intervención </w:t>
      </w:r>
      <w:r>
        <w:rPr>
          <w:rFonts w:cs="Arial"/>
        </w:rPr>
        <w:t>ha emitido informes negativos.</w:t>
      </w:r>
    </w:p>
    <w:p w:rsidR="000D153B" w:rsidRPr="00726E27" w:rsidRDefault="000D153B" w:rsidP="002E327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80"/>
        <w:ind w:left="0" w:firstLine="289"/>
        <w:rPr>
          <w:rFonts w:cs="Arial"/>
        </w:rPr>
      </w:pPr>
      <w:r w:rsidRPr="00726E27">
        <w:rPr>
          <w:rFonts w:cs="Arial"/>
        </w:rPr>
        <w:t>En los ayuntamientos con población inferior a 1.000 habitantes es donde mayor número de in</w:t>
      </w:r>
      <w:r w:rsidR="00D41E09">
        <w:rPr>
          <w:rFonts w:cs="Arial"/>
        </w:rPr>
        <w:t>formes negativos se han emitido, al haber supuesto un 83 por ciento de los mismos.</w:t>
      </w:r>
    </w:p>
    <w:p w:rsidR="000D153B" w:rsidRPr="00726E27" w:rsidRDefault="000D153B" w:rsidP="00AF7E5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60"/>
        <w:ind w:left="0" w:firstLine="289"/>
        <w:rPr>
          <w:rFonts w:cs="Arial"/>
        </w:rPr>
      </w:pPr>
      <w:r w:rsidRPr="00726E27">
        <w:rPr>
          <w:rFonts w:cs="Arial"/>
        </w:rPr>
        <w:t>El cumplimiento del marco de estabilidad presupuestaria es el área donde se da el may</w:t>
      </w:r>
      <w:r w:rsidR="00D41E09">
        <w:rPr>
          <w:rFonts w:cs="Arial"/>
        </w:rPr>
        <w:t>or número de informes negativos, al significar el 47 por ciento del total de informes emitidos.</w:t>
      </w:r>
    </w:p>
    <w:p w:rsidR="000D153B" w:rsidRDefault="000D153B" w:rsidP="000D153B">
      <w:pPr>
        <w:pStyle w:val="atitulo2"/>
        <w:spacing w:before="240"/>
      </w:pPr>
      <w:bookmarkStart w:id="13" w:name="_Toc534892121"/>
      <w:r>
        <w:t xml:space="preserve">V.5. </w:t>
      </w:r>
      <w:r w:rsidRPr="00FE2726">
        <w:t>Reparos</w:t>
      </w:r>
      <w:r>
        <w:t xml:space="preserve"> </w:t>
      </w:r>
      <w:r w:rsidR="00F414A0">
        <w:t>formulado</w:t>
      </w:r>
      <w:r w:rsidR="00411839">
        <w:t>s</w:t>
      </w:r>
      <w:bookmarkEnd w:id="13"/>
      <w:r>
        <w:t xml:space="preserve"> </w:t>
      </w:r>
    </w:p>
    <w:p w:rsidR="000D153B" w:rsidRPr="006B6EE9" w:rsidRDefault="000D153B" w:rsidP="00150542">
      <w:pPr>
        <w:pStyle w:val="texto"/>
        <w:spacing w:after="260"/>
      </w:pPr>
      <w:r w:rsidRPr="006B6EE9">
        <w:t>El número de entidades que presentan reparos son 38, siendo 37 ayuntamie</w:t>
      </w:r>
      <w:r w:rsidRPr="006B6EE9">
        <w:t>n</w:t>
      </w:r>
      <w:r w:rsidRPr="006B6EE9">
        <w:t>tos y una mancomunidad según los datos siguientes:</w:t>
      </w:r>
    </w:p>
    <w:tbl>
      <w:tblPr>
        <w:tblW w:w="879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560"/>
        <w:gridCol w:w="2661"/>
        <w:gridCol w:w="992"/>
        <w:gridCol w:w="1189"/>
      </w:tblGrid>
      <w:tr w:rsidR="000D153B" w:rsidRPr="00013970" w:rsidTr="00B84092">
        <w:trPr>
          <w:trHeight w:val="312"/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83752B" w:rsidP="0083752B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Tipo de ente local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84092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 xml:space="preserve">Nº </w:t>
            </w:r>
            <w:r w:rsidR="0083752B"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de entidades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83752B" w:rsidP="00F414A0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ú</w:t>
            </w: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 xml:space="preserve">mero de reparos </w:t>
            </w:r>
            <w:r w:rsidR="00F414A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formulado</w:t>
            </w: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83752B" w:rsidP="00B84092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83752B" w:rsidP="00BB72E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Sin importe</w:t>
            </w:r>
          </w:p>
        </w:tc>
      </w:tr>
      <w:tr w:rsidR="000D153B" w:rsidRPr="003C433A" w:rsidTr="00B84092">
        <w:trPr>
          <w:trHeight w:val="255"/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83752B" w:rsidP="0083752B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Ayuntamientos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37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8.139.183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</w:tr>
      <w:tr w:rsidR="000D153B" w:rsidRPr="00185F19" w:rsidTr="00B84092">
        <w:trPr>
          <w:trHeight w:val="238"/>
          <w:jc w:val="center"/>
        </w:trPr>
        <w:tc>
          <w:tcPr>
            <w:tcW w:w="23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83752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&lt;1000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1.086.402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</w:tr>
      <w:tr w:rsidR="000D153B" w:rsidRPr="00185F19" w:rsidTr="00B84092">
        <w:trPr>
          <w:trHeight w:val="238"/>
          <w:jc w:val="center"/>
        </w:trPr>
        <w:tc>
          <w:tcPr>
            <w:tcW w:w="2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83752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&gt;1.000 &lt;5.000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2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1.768.160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0D153B" w:rsidRPr="00185F19" w:rsidTr="00B84092">
        <w:trPr>
          <w:trHeight w:val="238"/>
          <w:jc w:val="center"/>
        </w:trPr>
        <w:tc>
          <w:tcPr>
            <w:tcW w:w="2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83752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&gt;5.000 &lt;10.000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2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3.976.224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</w:tr>
      <w:tr w:rsidR="000D153B" w:rsidRPr="00185F19" w:rsidTr="00B84092">
        <w:trPr>
          <w:trHeight w:val="238"/>
          <w:jc w:val="center"/>
        </w:trPr>
        <w:tc>
          <w:tcPr>
            <w:tcW w:w="2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83752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&gt;10.000 &lt; 20.000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2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952.747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0D153B" w:rsidRPr="00185F19" w:rsidTr="00B84092">
        <w:trPr>
          <w:trHeight w:val="238"/>
          <w:jc w:val="center"/>
        </w:trPr>
        <w:tc>
          <w:tcPr>
            <w:tcW w:w="239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83752B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&gt;20.000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266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355.650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0D153B" w:rsidRPr="00A809C5" w:rsidTr="00B84092">
        <w:trPr>
          <w:trHeight w:val="255"/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A809C5" w:rsidRDefault="0083752B" w:rsidP="0083752B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A809C5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Mancomunidades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 xml:space="preserve"> y</w:t>
            </w:r>
            <w:r w:rsidR="000D153B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Agrupaciones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A809C5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A809C5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A809C5" w:rsidRDefault="000D153B" w:rsidP="00B84092">
            <w:pPr>
              <w:spacing w:after="0"/>
              <w:ind w:firstLine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A809C5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A809C5" w:rsidRDefault="000D153B" w:rsidP="00B84092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A809C5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1.566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A809C5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A809C5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013970" w:rsidTr="00B84092">
        <w:trPr>
          <w:trHeight w:val="284"/>
          <w:jc w:val="center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83752B" w:rsidP="0083752B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84092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38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84092">
            <w:pPr>
              <w:spacing w:after="0"/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84092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8.140.749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</w:tr>
    </w:tbl>
    <w:p w:rsidR="006627FE" w:rsidRDefault="006627FE" w:rsidP="00945734">
      <w:pPr>
        <w:pStyle w:val="texto"/>
        <w:spacing w:before="240"/>
      </w:pPr>
    </w:p>
    <w:p w:rsidR="006627FE" w:rsidRDefault="006627FE" w:rsidP="00945734">
      <w:pPr>
        <w:pStyle w:val="texto"/>
        <w:spacing w:before="240"/>
      </w:pPr>
    </w:p>
    <w:p w:rsidR="00945734" w:rsidRPr="00E351C5" w:rsidRDefault="00945734" w:rsidP="00945734">
      <w:pPr>
        <w:pStyle w:val="texto"/>
        <w:spacing w:before="240"/>
      </w:pPr>
      <w:r>
        <w:lastRenderedPageBreak/>
        <w:t>Destacamos los siguientes aspectos:</w:t>
      </w:r>
    </w:p>
    <w:p w:rsidR="000D153B" w:rsidRPr="00945734" w:rsidRDefault="000D153B" w:rsidP="0094573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 w:rsidRPr="00945734">
        <w:rPr>
          <w:rFonts w:cs="Arial"/>
        </w:rPr>
        <w:t xml:space="preserve">Se han </w:t>
      </w:r>
      <w:r w:rsidR="00E609AF" w:rsidRPr="00945734">
        <w:rPr>
          <w:rFonts w:cs="Arial"/>
        </w:rPr>
        <w:t xml:space="preserve">formulado </w:t>
      </w:r>
      <w:r w:rsidRPr="00945734">
        <w:rPr>
          <w:rFonts w:cs="Arial"/>
        </w:rPr>
        <w:t xml:space="preserve">154 reparos por un importe de 8,14 millones de euros, concentrándose el número y cuantía económica en el tramo inferior a 10.000 habitantes, principalmente entre 5.000 y 10.000 habitantes. </w:t>
      </w:r>
    </w:p>
    <w:p w:rsidR="00C03FCA" w:rsidRDefault="00945734" w:rsidP="0094573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>D</w:t>
      </w:r>
      <w:r w:rsidR="00C03FCA" w:rsidRPr="00945734">
        <w:rPr>
          <w:rFonts w:cs="Arial"/>
        </w:rPr>
        <w:t>e los 154 reparos</w:t>
      </w:r>
      <w:r w:rsidR="00B3215C">
        <w:rPr>
          <w:rFonts w:cs="Arial"/>
        </w:rPr>
        <w:t xml:space="preserve">, </w:t>
      </w:r>
      <w:r w:rsidR="009E647F" w:rsidRPr="00945734">
        <w:rPr>
          <w:rFonts w:cs="Arial"/>
        </w:rPr>
        <w:t>el 50 por ciento</w:t>
      </w:r>
      <w:r w:rsidR="00C03FCA" w:rsidRPr="00945734">
        <w:rPr>
          <w:rFonts w:cs="Arial"/>
        </w:rPr>
        <w:t xml:space="preserve"> se han emitido en cinco entidades, siendo el otro 50 por ciento en las 33 entidades restantes.</w:t>
      </w:r>
    </w:p>
    <w:p w:rsidR="00945734" w:rsidRPr="00945734" w:rsidRDefault="00945734" w:rsidP="0094573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ind w:left="0" w:firstLine="289"/>
        <w:rPr>
          <w:rFonts w:cs="Arial"/>
        </w:rPr>
      </w:pPr>
      <w:r>
        <w:rPr>
          <w:rFonts w:cs="Arial"/>
        </w:rPr>
        <w:t xml:space="preserve">De las tres entidades locales con población superior a 20.000 habitantes, en una </w:t>
      </w:r>
      <w:r w:rsidR="0058684D">
        <w:rPr>
          <w:rFonts w:cs="Arial"/>
        </w:rPr>
        <w:t xml:space="preserve">no se ha emitido ningún reparo. En las otra dos, </w:t>
      </w:r>
      <w:r>
        <w:rPr>
          <w:rFonts w:cs="Arial"/>
        </w:rPr>
        <w:t xml:space="preserve">en </w:t>
      </w:r>
      <w:r w:rsidR="0058684D">
        <w:rPr>
          <w:rFonts w:cs="Arial"/>
        </w:rPr>
        <w:t xml:space="preserve">una </w:t>
      </w:r>
      <w:r>
        <w:rPr>
          <w:rFonts w:cs="Arial"/>
        </w:rPr>
        <w:t xml:space="preserve">sólo se ha emitido un reparo </w:t>
      </w:r>
      <w:r w:rsidR="0058684D">
        <w:rPr>
          <w:rFonts w:cs="Arial"/>
        </w:rPr>
        <w:t xml:space="preserve">y en la otra se han emitido 17 reparos. </w:t>
      </w:r>
    </w:p>
    <w:p w:rsidR="000D153B" w:rsidRPr="00F414A0" w:rsidRDefault="00C03FCA" w:rsidP="002E327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40"/>
        <w:ind w:left="0" w:firstLine="289"/>
        <w:rPr>
          <w:rFonts w:cs="Arial"/>
        </w:rPr>
      </w:pPr>
      <w:r w:rsidRPr="00F414A0">
        <w:rPr>
          <w:rFonts w:cs="Arial"/>
        </w:rPr>
        <w:t>L</w:t>
      </w:r>
      <w:r w:rsidR="000D153B" w:rsidRPr="00F414A0">
        <w:rPr>
          <w:rFonts w:cs="Arial"/>
        </w:rPr>
        <w:t>as causas o motivos de los mismos se corresponden con:</w:t>
      </w:r>
    </w:p>
    <w:tbl>
      <w:tblPr>
        <w:tblW w:w="877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377"/>
        <w:gridCol w:w="1235"/>
        <w:gridCol w:w="1190"/>
      </w:tblGrid>
      <w:tr w:rsidR="00E609AF" w:rsidRPr="00E609AF" w:rsidTr="00C762B7">
        <w:trPr>
          <w:trHeight w:val="340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Causa del Reparo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Número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Sin importe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Omisión en el expediente de requisitos o trámites esenciales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4.735.643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Insuficiencia de crédito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2.324.380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Otros actos contrarios al ordenamiento jurídico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804.900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Irregularidades en las documentación justificativa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270.310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Causa no especificada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5.048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Reparo derivado de comprobaciones materiales de obras, suministros y servicios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468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Crédito propuesto no adecuado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2E327F">
        <w:trPr>
          <w:trHeight w:val="255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Ausencia de fiscalización de los actos que dieron origen a las órdenes de pago</w:t>
            </w:r>
          </w:p>
        </w:tc>
        <w:tc>
          <w:tcPr>
            <w:tcW w:w="13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9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C762B7">
        <w:trPr>
          <w:trHeight w:val="315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154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8.140.749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</w:tr>
    </w:tbl>
    <w:p w:rsidR="000D153B" w:rsidRPr="00726E27" w:rsidRDefault="00C03FCA" w:rsidP="00C03FCA">
      <w:pPr>
        <w:pStyle w:val="texto"/>
        <w:spacing w:before="240"/>
        <w:rPr>
          <w:rFonts w:cs="Arial"/>
        </w:rPr>
      </w:pPr>
      <w:r>
        <w:t xml:space="preserve">La causa más común </w:t>
      </w:r>
      <w:r w:rsidR="00207DB2">
        <w:t xml:space="preserve">de los reparos formulados </w:t>
      </w:r>
      <w:r>
        <w:t>es</w:t>
      </w:r>
      <w:r w:rsidR="00207DB2">
        <w:t>,</w:t>
      </w:r>
      <w:r>
        <w:t xml:space="preserve"> e</w:t>
      </w:r>
      <w:r w:rsidR="000D153B" w:rsidRPr="00726E27">
        <w:rPr>
          <w:rFonts w:cs="Arial"/>
        </w:rPr>
        <w:t>n primer lugar</w:t>
      </w:r>
      <w:r w:rsidR="003078A7">
        <w:rPr>
          <w:rFonts w:cs="Arial"/>
        </w:rPr>
        <w:t>,</w:t>
      </w:r>
      <w:r w:rsidR="000D153B" w:rsidRPr="00726E27">
        <w:rPr>
          <w:rFonts w:cs="Arial"/>
        </w:rPr>
        <w:t xml:space="preserve"> la om</w:t>
      </w:r>
      <w:r w:rsidR="000D153B" w:rsidRPr="00726E27">
        <w:rPr>
          <w:rFonts w:cs="Arial"/>
        </w:rPr>
        <w:t>i</w:t>
      </w:r>
      <w:r w:rsidR="000D153B" w:rsidRPr="00726E27">
        <w:rPr>
          <w:rFonts w:cs="Arial"/>
        </w:rPr>
        <w:t>sión en el expediente de requisitos o trámites esenciales, al suponer un 40 por ciento en el número de reparos emitidos y un 58 por ciento en su importe.</w:t>
      </w:r>
      <w:r>
        <w:rPr>
          <w:rFonts w:cs="Arial"/>
        </w:rPr>
        <w:t xml:space="preserve"> </w:t>
      </w:r>
      <w:r w:rsidR="000D153B" w:rsidRPr="00726E27">
        <w:rPr>
          <w:rFonts w:cs="Arial"/>
        </w:rPr>
        <w:t xml:space="preserve">En segundo lugar </w:t>
      </w:r>
      <w:r w:rsidR="00CE05F1">
        <w:rPr>
          <w:rFonts w:cs="Arial"/>
        </w:rPr>
        <w:t xml:space="preserve">está </w:t>
      </w:r>
      <w:r w:rsidR="000D153B" w:rsidRPr="00726E27">
        <w:rPr>
          <w:rFonts w:cs="Arial"/>
        </w:rPr>
        <w:t>la insuficiencia de crédito</w:t>
      </w:r>
      <w:r w:rsidR="003078A7">
        <w:rPr>
          <w:rFonts w:cs="Arial"/>
        </w:rPr>
        <w:t>,</w:t>
      </w:r>
      <w:r w:rsidR="000D153B" w:rsidRPr="00726E27">
        <w:rPr>
          <w:rFonts w:cs="Arial"/>
        </w:rPr>
        <w:t xml:space="preserve"> </w:t>
      </w:r>
      <w:r w:rsidR="003078A7">
        <w:rPr>
          <w:rFonts w:cs="Arial"/>
        </w:rPr>
        <w:t xml:space="preserve">con un porcentaje </w:t>
      </w:r>
      <w:r w:rsidR="000D153B" w:rsidRPr="00726E27">
        <w:rPr>
          <w:rFonts w:cs="Arial"/>
        </w:rPr>
        <w:t>del 19 por ciento del número de reparo</w:t>
      </w:r>
      <w:r w:rsidR="009E647F">
        <w:rPr>
          <w:rFonts w:cs="Arial"/>
        </w:rPr>
        <w:t>s y un 29 por ciento del importe total.</w:t>
      </w:r>
    </w:p>
    <w:p w:rsidR="000D153B" w:rsidRPr="00F414A0" w:rsidRDefault="000D153B" w:rsidP="008C524A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240"/>
        <w:ind w:left="0" w:firstLine="289"/>
        <w:rPr>
          <w:rFonts w:cs="Arial"/>
        </w:rPr>
      </w:pPr>
      <w:r w:rsidRPr="00F414A0">
        <w:rPr>
          <w:rFonts w:cs="Arial"/>
        </w:rPr>
        <w:t>Los reparos se han referido a las siguientes áreas:</w:t>
      </w:r>
    </w:p>
    <w:tbl>
      <w:tblPr>
        <w:tblW w:w="872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3592"/>
        <w:gridCol w:w="1158"/>
        <w:gridCol w:w="1305"/>
      </w:tblGrid>
      <w:tr w:rsidR="00E609AF" w:rsidRPr="00E609AF" w:rsidTr="00C762B7">
        <w:trPr>
          <w:trHeight w:val="340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Área de gestión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Número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Sin importe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8C524A">
            <w:pPr>
              <w:spacing w:after="0"/>
              <w:ind w:right="-15"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Contratación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6.677.670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Otros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33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869.048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Subvenciones y ayudas públicas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21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466.327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Personal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28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95.919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Ingresos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22.834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Materia no indicada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8.950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8C524A">
        <w:trPr>
          <w:trHeight w:val="255"/>
          <w:jc w:val="center"/>
        </w:trPr>
        <w:tc>
          <w:tcPr>
            <w:tcW w:w="267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Liquidación</w:t>
            </w:r>
          </w:p>
        </w:tc>
        <w:tc>
          <w:tcPr>
            <w:tcW w:w="35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5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C762B7">
        <w:trPr>
          <w:trHeight w:val="315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154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8.140.749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</w:tr>
    </w:tbl>
    <w:p w:rsidR="000D153B" w:rsidRPr="006B6EE9" w:rsidRDefault="00E7554F" w:rsidP="00C762B7">
      <w:pPr>
        <w:pStyle w:val="texto"/>
        <w:spacing w:before="240"/>
      </w:pPr>
      <w:r>
        <w:t>La mayor interposición de reparos se ha dado en el área de contratación</w:t>
      </w:r>
      <w:r w:rsidR="000D153B" w:rsidRPr="006B6EE9">
        <w:t xml:space="preserve">, al haber supuesto un 42 por ciento </w:t>
      </w:r>
      <w:r>
        <w:t>d</w:t>
      </w:r>
      <w:r w:rsidR="000D153B" w:rsidRPr="006B6EE9">
        <w:t xml:space="preserve">el número </w:t>
      </w:r>
      <w:r>
        <w:t xml:space="preserve">total </w:t>
      </w:r>
      <w:r w:rsidR="000D153B" w:rsidRPr="006B6EE9">
        <w:t xml:space="preserve">de reparos emitidos y </w:t>
      </w:r>
      <w:r w:rsidR="00882B68">
        <w:t xml:space="preserve">un </w:t>
      </w:r>
      <w:r w:rsidR="000D153B" w:rsidRPr="006B6EE9">
        <w:t xml:space="preserve">82 por ciento </w:t>
      </w:r>
      <w:r w:rsidR="00882B68">
        <w:t>del importe total de los reparos.</w:t>
      </w:r>
    </w:p>
    <w:p w:rsidR="000D153B" w:rsidRPr="00657D3B" w:rsidRDefault="000D153B" w:rsidP="00B74512">
      <w:pPr>
        <w:pStyle w:val="atitulo2"/>
        <w:spacing w:before="240" w:after="180"/>
      </w:pPr>
      <w:bookmarkStart w:id="14" w:name="_Toc534892122"/>
      <w:r>
        <w:lastRenderedPageBreak/>
        <w:t xml:space="preserve">V.6. </w:t>
      </w:r>
      <w:r w:rsidRPr="00657D3B">
        <w:t>Acuerdos contrarios a reparos</w:t>
      </w:r>
      <w:bookmarkEnd w:id="14"/>
    </w:p>
    <w:p w:rsidR="000D153B" w:rsidRPr="006B6EE9" w:rsidRDefault="000D153B" w:rsidP="00C31C7A">
      <w:pPr>
        <w:pStyle w:val="texto"/>
        <w:spacing w:after="200"/>
      </w:pPr>
      <w:r w:rsidRPr="006B6EE9">
        <w:t>En el cuadro siguiente se presenta, el número de acuerdos que resuelven di</w:t>
      </w:r>
      <w:r w:rsidRPr="006B6EE9">
        <w:t>s</w:t>
      </w:r>
      <w:r w:rsidRPr="006B6EE9">
        <w:t>crepancias en contra del criterio de la Intervención y su importe:</w:t>
      </w:r>
    </w:p>
    <w:tbl>
      <w:tblPr>
        <w:tblW w:w="87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3"/>
        <w:gridCol w:w="2268"/>
        <w:gridCol w:w="1358"/>
        <w:gridCol w:w="1276"/>
      </w:tblGrid>
      <w:tr w:rsidR="000D153B" w:rsidRPr="00013970" w:rsidTr="00B74512">
        <w:trPr>
          <w:trHeight w:val="312"/>
          <w:jc w:val="center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B96DE1" w:rsidP="00B96DE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Tipo de ente local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Nº </w:t>
            </w:r>
            <w:r w:rsidR="00B96DE1"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acuerdos  totales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B96DE1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B96DE1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Sin importe</w:t>
            </w:r>
          </w:p>
        </w:tc>
      </w:tr>
      <w:tr w:rsidR="000D153B" w:rsidRPr="003C433A" w:rsidTr="00B74512">
        <w:trPr>
          <w:trHeight w:val="227"/>
          <w:jc w:val="center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B96DE1" w:rsidP="00B96DE1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Ayuntamientos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121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4.087.443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</w:tr>
      <w:tr w:rsidR="000D153B" w:rsidRPr="00185F19" w:rsidTr="00B74512">
        <w:trPr>
          <w:trHeight w:val="198"/>
          <w:jc w:val="center"/>
        </w:trPr>
        <w:tc>
          <w:tcPr>
            <w:tcW w:w="388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E609AF" w:rsidP="00B96DE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</w:t>
            </w:r>
            <w:r w:rsidR="000D153B"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&lt;1000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42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1.012.848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</w:tr>
      <w:tr w:rsidR="000D153B" w:rsidRPr="00185F19" w:rsidTr="00B74512">
        <w:trPr>
          <w:trHeight w:val="198"/>
          <w:jc w:val="center"/>
        </w:trPr>
        <w:tc>
          <w:tcPr>
            <w:tcW w:w="38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E609AF" w:rsidP="00B96DE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</w:t>
            </w:r>
            <w:r w:rsidR="000D153B"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&gt;1.000 &lt;5.000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1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1.747.217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185F19" w:rsidTr="00B74512">
        <w:trPr>
          <w:trHeight w:val="198"/>
          <w:jc w:val="center"/>
        </w:trPr>
        <w:tc>
          <w:tcPr>
            <w:tcW w:w="38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E609AF" w:rsidP="00B96DE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</w:t>
            </w:r>
            <w:r w:rsidR="000D153B"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&gt;5.000 &lt;10.000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42</w:t>
            </w:r>
          </w:p>
        </w:tc>
        <w:tc>
          <w:tcPr>
            <w:tcW w:w="1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974.933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185F19" w:rsidTr="00B74512">
        <w:trPr>
          <w:trHeight w:val="198"/>
          <w:jc w:val="center"/>
        </w:trPr>
        <w:tc>
          <w:tcPr>
            <w:tcW w:w="38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E609AF" w:rsidP="00B96DE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</w:t>
            </w:r>
            <w:r w:rsidR="000D153B"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&gt;10.000 &lt; 20.000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1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24.143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</w:tr>
      <w:tr w:rsidR="000D153B" w:rsidRPr="00185F19" w:rsidTr="00B74512">
        <w:trPr>
          <w:trHeight w:val="198"/>
          <w:jc w:val="center"/>
        </w:trPr>
        <w:tc>
          <w:tcPr>
            <w:tcW w:w="388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E609AF" w:rsidP="00B96DE1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</w:t>
            </w:r>
            <w:r w:rsidR="000D153B"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&gt;20.000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135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328.301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85F19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85F19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3C433A" w:rsidTr="00B74512">
        <w:trPr>
          <w:trHeight w:val="227"/>
          <w:jc w:val="center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B96DE1" w:rsidP="00B96DE1">
            <w:pPr>
              <w:spacing w:after="0"/>
              <w:ind w:firstLine="0"/>
              <w:jc w:val="lef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Mancomunidades</w:t>
            </w:r>
            <w:r w:rsidR="0062758C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 xml:space="preserve"> y Agrupaciones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3C433A" w:rsidRDefault="000D153B" w:rsidP="00BB72EA">
            <w:pPr>
              <w:spacing w:after="0"/>
              <w:ind w:firstLine="0"/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</w:pPr>
            <w:r w:rsidRPr="003C433A">
              <w:rPr>
                <w:rFonts w:ascii="Arial Narrow" w:hAnsi="Arial Narrow"/>
                <w:b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013970" w:rsidTr="00B74512">
        <w:trPr>
          <w:trHeight w:val="284"/>
          <w:jc w:val="center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B96DE1" w:rsidP="00B96DE1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121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4.087.443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BB72EA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</w:tr>
    </w:tbl>
    <w:p w:rsidR="000D153B" w:rsidRPr="006B6EE9" w:rsidRDefault="00853C68" w:rsidP="00B74512">
      <w:pPr>
        <w:pStyle w:val="texto"/>
        <w:spacing w:before="200"/>
      </w:pPr>
      <w:r>
        <w:t>S</w:t>
      </w:r>
      <w:r w:rsidR="000D153B" w:rsidRPr="006B6EE9">
        <w:t xml:space="preserve">e observa que los acuerdos contrarios a los reparos se concentran en los ayuntamientos de población </w:t>
      </w:r>
      <w:r w:rsidR="00B37465">
        <w:t xml:space="preserve">inferior </w:t>
      </w:r>
      <w:r w:rsidR="000D153B" w:rsidRPr="006B6EE9">
        <w:t xml:space="preserve"> a 10.000 habitantes, principalmente en el tramo comprendido entre los 1.000 y los 5.000 habitantes.</w:t>
      </w:r>
    </w:p>
    <w:p w:rsidR="000D153B" w:rsidRDefault="000D153B" w:rsidP="00C31C7A">
      <w:pPr>
        <w:pStyle w:val="texto"/>
        <w:spacing w:after="200"/>
      </w:pPr>
      <w:r w:rsidRPr="006B6EE9">
        <w:t>El número e importe de los acuerdos contrarios a reparos, clasificados de acuerdo a las infracciones o causas son:</w:t>
      </w:r>
    </w:p>
    <w:tbl>
      <w:tblPr>
        <w:tblW w:w="875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379"/>
        <w:gridCol w:w="1200"/>
        <w:gridCol w:w="1200"/>
      </w:tblGrid>
      <w:tr w:rsidR="00E609AF" w:rsidRPr="00E609AF" w:rsidTr="00B74512">
        <w:trPr>
          <w:trHeight w:val="315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Infracción/Causa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Nº acuerdos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Sin importe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Insuficiencia de crédito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2.208.990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Omisión en el expediente de requisitos o tramites esenciales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48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967.570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Otros motivos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752.638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Irregularidades en la documentación justificativa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152.729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Causa no especificada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5.048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Reparo derivado de comprobaciones materiales de obras, suministros y servicios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468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Crédito propuesto no adecuado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497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Ausencia de fiscalización de los actos que dieron origen a las órdenes de pago</w:t>
            </w:r>
          </w:p>
        </w:tc>
        <w:tc>
          <w:tcPr>
            <w:tcW w:w="137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E609AF" w:rsidRPr="00E609AF" w:rsidTr="00B74512">
        <w:trPr>
          <w:trHeight w:val="271"/>
          <w:jc w:val="center"/>
        </w:trPr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4.087.443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</w:tr>
    </w:tbl>
    <w:p w:rsidR="00B3215C" w:rsidRPr="00B74512" w:rsidRDefault="000D153B" w:rsidP="00B74512">
      <w:pPr>
        <w:pStyle w:val="texto"/>
        <w:spacing w:before="200"/>
        <w:rPr>
          <w:spacing w:val="4"/>
        </w:rPr>
      </w:pPr>
      <w:r w:rsidRPr="00B74512">
        <w:rPr>
          <w:spacing w:val="4"/>
        </w:rPr>
        <w:t xml:space="preserve">Dentro de </w:t>
      </w:r>
      <w:r w:rsidR="00143FC9" w:rsidRPr="00B74512">
        <w:rPr>
          <w:spacing w:val="4"/>
        </w:rPr>
        <w:t>las</w:t>
      </w:r>
      <w:r w:rsidRPr="00B74512">
        <w:rPr>
          <w:spacing w:val="4"/>
        </w:rPr>
        <w:t xml:space="preserve"> distintas infracciones o causa</w:t>
      </w:r>
      <w:r w:rsidR="00B56B85" w:rsidRPr="00B74512">
        <w:rPr>
          <w:spacing w:val="4"/>
        </w:rPr>
        <w:t>s</w:t>
      </w:r>
      <w:r w:rsidRPr="00B74512">
        <w:rPr>
          <w:spacing w:val="4"/>
        </w:rPr>
        <w:t xml:space="preserve"> que han sido motivo de reparo, </w:t>
      </w:r>
      <w:r w:rsidR="00B3215C" w:rsidRPr="00B74512">
        <w:rPr>
          <w:spacing w:val="4"/>
        </w:rPr>
        <w:t xml:space="preserve">si bien la omisión en el expediente de requisitos o trámites esenciales supone el mayor porcentaje </w:t>
      </w:r>
      <w:r w:rsidR="00CA5BFC" w:rsidRPr="00B74512">
        <w:rPr>
          <w:spacing w:val="4"/>
        </w:rPr>
        <w:t xml:space="preserve">de </w:t>
      </w:r>
      <w:r w:rsidR="00B3215C" w:rsidRPr="00B74512">
        <w:rPr>
          <w:spacing w:val="4"/>
        </w:rPr>
        <w:t>acuerdos contrarios al significar el 40 por ciento, es la ins</w:t>
      </w:r>
      <w:r w:rsidR="00B3215C" w:rsidRPr="00B74512">
        <w:rPr>
          <w:spacing w:val="4"/>
        </w:rPr>
        <w:t>u</w:t>
      </w:r>
      <w:r w:rsidR="00B3215C" w:rsidRPr="00B74512">
        <w:rPr>
          <w:spacing w:val="4"/>
        </w:rPr>
        <w:t xml:space="preserve">ficiencia de crédito la infracción que mayor importancia representa en relación al importe total al </w:t>
      </w:r>
      <w:r w:rsidR="00B948FB" w:rsidRPr="00B74512">
        <w:rPr>
          <w:spacing w:val="4"/>
        </w:rPr>
        <w:t>haber supuesto el 54 por ciento de los acuerdos adoptados.</w:t>
      </w:r>
    </w:p>
    <w:p w:rsidR="00E609AF" w:rsidRDefault="00E609AF" w:rsidP="00E609AF">
      <w:pPr>
        <w:pStyle w:val="texto"/>
        <w:spacing w:after="200"/>
      </w:pPr>
      <w:r w:rsidRPr="006B6EE9">
        <w:t xml:space="preserve">La clasificación de los citados acuerdos, según el </w:t>
      </w:r>
      <w:r>
        <w:t>área de gestión, s</w:t>
      </w:r>
      <w:r w:rsidRPr="006B6EE9">
        <w:t>e resume en el siguiente cuadro:</w:t>
      </w:r>
    </w:p>
    <w:tbl>
      <w:tblPr>
        <w:tblW w:w="878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4460"/>
        <w:gridCol w:w="1134"/>
        <w:gridCol w:w="992"/>
      </w:tblGrid>
      <w:tr w:rsidR="00E609AF" w:rsidRPr="00E609AF" w:rsidTr="00B74512">
        <w:trPr>
          <w:trHeight w:val="315"/>
          <w:jc w:val="center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Área de gestión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Nº acuerdos  totales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Sin importe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Contratación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2.855.570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Otros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788.249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Subvenciones y ayudas públicas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397.480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Personal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34.359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Materia no especificada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8.950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Ingresos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2.834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E609AF" w:rsidRPr="00E609AF" w:rsidTr="00B74512">
        <w:trPr>
          <w:trHeight w:val="198"/>
          <w:jc w:val="center"/>
        </w:trPr>
        <w:tc>
          <w:tcPr>
            <w:tcW w:w="22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Recaudación</w:t>
            </w:r>
          </w:p>
        </w:tc>
        <w:tc>
          <w:tcPr>
            <w:tcW w:w="44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E609AF" w:rsidRPr="00E609AF" w:rsidTr="00B74512">
        <w:trPr>
          <w:trHeight w:val="284"/>
          <w:jc w:val="center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4.087.443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E609AF" w:rsidRPr="00E609AF" w:rsidRDefault="00E609AF" w:rsidP="00E609AF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609AF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</w:tr>
    </w:tbl>
    <w:p w:rsidR="00E609AF" w:rsidRDefault="00E609AF" w:rsidP="00E609AF">
      <w:pPr>
        <w:pStyle w:val="texto"/>
        <w:spacing w:after="200"/>
      </w:pPr>
    </w:p>
    <w:p w:rsidR="00E609AF" w:rsidRPr="006B6EE9" w:rsidRDefault="00E609AF" w:rsidP="00B74512">
      <w:pPr>
        <w:pStyle w:val="texto"/>
        <w:spacing w:after="120"/>
      </w:pPr>
      <w:r>
        <w:lastRenderedPageBreak/>
        <w:t xml:space="preserve"> Se observa que e</w:t>
      </w:r>
      <w:r w:rsidRPr="006B6EE9">
        <w:t>l área de contratación es donde se concentra</w:t>
      </w:r>
      <w:r>
        <w:t>n</w:t>
      </w:r>
      <w:r w:rsidRPr="006B6EE9">
        <w:t xml:space="preserve"> de forma si</w:t>
      </w:r>
      <w:r w:rsidRPr="006B6EE9">
        <w:t>g</w:t>
      </w:r>
      <w:r w:rsidRPr="006B6EE9">
        <w:t xml:space="preserve">nificativa los acuerdos contrarios a reparos </w:t>
      </w:r>
      <w:r w:rsidR="00CA5BFC">
        <w:t>formulados</w:t>
      </w:r>
      <w:r w:rsidRPr="006B6EE9">
        <w:t xml:space="preserve"> por la Intervención. </w:t>
      </w:r>
    </w:p>
    <w:p w:rsidR="000D153B" w:rsidRPr="006B6EE9" w:rsidRDefault="000D153B" w:rsidP="00BB26CD">
      <w:pPr>
        <w:pStyle w:val="texto"/>
        <w:spacing w:after="200"/>
      </w:pPr>
      <w:r w:rsidRPr="006B6EE9">
        <w:t>El número e importe de los acuerdos que resuelven discrepancias, clasific</w:t>
      </w:r>
      <w:r w:rsidRPr="006B6EE9">
        <w:t>a</w:t>
      </w:r>
      <w:r w:rsidRPr="006B6EE9">
        <w:t>dos atendiendo al órgano que los adoptó, se detallan en el siguiente cuadro: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1984"/>
        <w:gridCol w:w="1843"/>
        <w:gridCol w:w="1843"/>
      </w:tblGrid>
      <w:tr w:rsidR="000D153B" w:rsidRPr="00013970" w:rsidTr="00AC1C5F">
        <w:trPr>
          <w:trHeight w:val="284"/>
          <w:jc w:val="center"/>
        </w:trPr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6251A0" w:rsidP="006251A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Ó</w:t>
            </w: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rgano Resoluci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ó</w:t>
            </w: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Nº </w:t>
            </w:r>
            <w:r w:rsidR="006251A0"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acuerdos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6251A0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6251A0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Sin importe</w:t>
            </w:r>
          </w:p>
        </w:tc>
      </w:tr>
      <w:tr w:rsidR="000D153B" w:rsidRPr="001F21A7" w:rsidTr="00B74512">
        <w:trPr>
          <w:trHeight w:val="198"/>
          <w:jc w:val="center"/>
        </w:trPr>
        <w:tc>
          <w:tcPr>
            <w:tcW w:w="307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375B1B" w:rsidP="006251A0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Pleno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1.344.824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</w:tr>
      <w:tr w:rsidR="000D153B" w:rsidRPr="001F21A7" w:rsidTr="00B74512">
        <w:trPr>
          <w:trHeight w:val="198"/>
          <w:jc w:val="center"/>
        </w:trPr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375B1B" w:rsidP="006251A0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Presidente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67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2.723.182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1F21A7" w:rsidTr="00B74512">
        <w:trPr>
          <w:trHeight w:val="198"/>
          <w:jc w:val="center"/>
        </w:trPr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375B1B" w:rsidP="006251A0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Junta de</w:t>
            </w:r>
            <w:r w:rsidR="000D153B"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Gobierno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19.437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6251A0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0D153B" w:rsidRPr="00013970" w:rsidTr="00AC1C5F">
        <w:trPr>
          <w:trHeight w:val="255"/>
          <w:jc w:val="center"/>
        </w:trPr>
        <w:tc>
          <w:tcPr>
            <w:tcW w:w="3072" w:type="dxa"/>
            <w:tcBorders>
              <w:top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6251A0" w:rsidP="006251A0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121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4.087.443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6251A0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</w:tr>
    </w:tbl>
    <w:p w:rsidR="000D153B" w:rsidRPr="006B6EE9" w:rsidRDefault="000D153B" w:rsidP="00B74512">
      <w:pPr>
        <w:pStyle w:val="texto"/>
        <w:spacing w:before="180" w:after="120"/>
      </w:pPr>
      <w:r w:rsidRPr="006B6EE9">
        <w:t>Si se relaciona</w:t>
      </w:r>
      <w:r w:rsidR="00AC7178">
        <w:t xml:space="preserve">n los acuerdos contrarios </w:t>
      </w:r>
      <w:r w:rsidRPr="006B6EE9">
        <w:t>con los reparos analizados en el apartado V.5 se observa lo siguiente:</w:t>
      </w:r>
    </w:p>
    <w:p w:rsidR="0092497C" w:rsidRPr="00BB26CD" w:rsidRDefault="00B948FB" w:rsidP="00AC1C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  <w:spacing w:val="2"/>
        </w:rPr>
      </w:pPr>
      <w:r w:rsidRPr="00BB26CD">
        <w:rPr>
          <w:rFonts w:cs="Arial"/>
          <w:spacing w:val="2"/>
        </w:rPr>
        <w:t>De los 154 reparos emitidos</w:t>
      </w:r>
      <w:r w:rsidR="0058684D" w:rsidRPr="00BB26CD">
        <w:rPr>
          <w:rFonts w:cs="Arial"/>
          <w:spacing w:val="2"/>
        </w:rPr>
        <w:t xml:space="preserve"> se han adoptado 121 acuerdos contrarios</w:t>
      </w:r>
      <w:r w:rsidRPr="00BB26CD">
        <w:rPr>
          <w:rFonts w:cs="Arial"/>
          <w:spacing w:val="2"/>
        </w:rPr>
        <w:t>,</w:t>
      </w:r>
      <w:r w:rsidR="0058684D" w:rsidRPr="00BB26CD">
        <w:rPr>
          <w:rFonts w:cs="Arial"/>
          <w:spacing w:val="2"/>
        </w:rPr>
        <w:t xml:space="preserve"> </w:t>
      </w:r>
      <w:r w:rsidRPr="00BB26CD">
        <w:rPr>
          <w:rFonts w:cs="Arial"/>
          <w:spacing w:val="2"/>
        </w:rPr>
        <w:t>lo que supone un 79 por ciento, no habiéndose adoptado acuerdos contrarios y por lo ta</w:t>
      </w:r>
      <w:r w:rsidRPr="00BB26CD">
        <w:rPr>
          <w:rFonts w:cs="Arial"/>
          <w:spacing w:val="2"/>
        </w:rPr>
        <w:t>n</w:t>
      </w:r>
      <w:r w:rsidRPr="00BB26CD">
        <w:rPr>
          <w:rFonts w:cs="Arial"/>
          <w:spacing w:val="2"/>
        </w:rPr>
        <w:t xml:space="preserve">to atendidos por el respectivo órgano competente </w:t>
      </w:r>
      <w:r w:rsidR="0058684D" w:rsidRPr="00BB26CD">
        <w:rPr>
          <w:rFonts w:cs="Arial"/>
          <w:spacing w:val="2"/>
        </w:rPr>
        <w:t xml:space="preserve">en el 21 por ciento </w:t>
      </w:r>
      <w:r w:rsidRPr="00BB26CD">
        <w:rPr>
          <w:rFonts w:cs="Arial"/>
          <w:spacing w:val="2"/>
        </w:rPr>
        <w:t>restante.</w:t>
      </w:r>
    </w:p>
    <w:p w:rsidR="000D153B" w:rsidRPr="00726E27" w:rsidRDefault="0058684D" w:rsidP="00AC1C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>
        <w:rPr>
          <w:rFonts w:cs="Arial"/>
        </w:rPr>
        <w:t xml:space="preserve">De los 8,14 millones de euros </w:t>
      </w:r>
      <w:r w:rsidR="00C020B4">
        <w:rPr>
          <w:rFonts w:cs="Arial"/>
        </w:rPr>
        <w:t xml:space="preserve">cuantificados en </w:t>
      </w:r>
      <w:r>
        <w:rPr>
          <w:rFonts w:cs="Arial"/>
        </w:rPr>
        <w:t xml:space="preserve">reparos, </w:t>
      </w:r>
      <w:r w:rsidR="006627FE">
        <w:rPr>
          <w:rFonts w:cs="Arial"/>
        </w:rPr>
        <w:t xml:space="preserve">se han adoptado acuerdos contrarios por un </w:t>
      </w:r>
      <w:r w:rsidR="00C020B4">
        <w:rPr>
          <w:rFonts w:cs="Arial"/>
        </w:rPr>
        <w:t xml:space="preserve">importe de </w:t>
      </w:r>
      <w:r w:rsidR="006627FE">
        <w:rPr>
          <w:rFonts w:cs="Arial"/>
        </w:rPr>
        <w:t>4,08 millones</w:t>
      </w:r>
      <w:r>
        <w:rPr>
          <w:rFonts w:cs="Arial"/>
        </w:rPr>
        <w:t xml:space="preserve">, lo que </w:t>
      </w:r>
      <w:r w:rsidR="00E657E1">
        <w:rPr>
          <w:rFonts w:cs="Arial"/>
        </w:rPr>
        <w:t xml:space="preserve">ha supuesto un </w:t>
      </w:r>
      <w:r w:rsidR="000D153B" w:rsidRPr="00726E27">
        <w:rPr>
          <w:rFonts w:cs="Arial"/>
        </w:rPr>
        <w:t>50 por ciento</w:t>
      </w:r>
      <w:r w:rsidR="00E657E1">
        <w:rPr>
          <w:rFonts w:cs="Arial"/>
        </w:rPr>
        <w:t>.</w:t>
      </w:r>
    </w:p>
    <w:p w:rsidR="000D153B" w:rsidRPr="00726E27" w:rsidRDefault="000D153B" w:rsidP="00AC1C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 w:rsidRPr="00726E27">
        <w:rPr>
          <w:rFonts w:cs="Arial"/>
        </w:rPr>
        <w:t xml:space="preserve">Los acuerdos contrarios se concentran en el tramo de población hasta los 10.000 habitantes, siendo en los menores de 1.000 habitantes y hasta los 5.000 habitantes donde prácticamente el 100 por ciento supone la adopción de un </w:t>
      </w:r>
      <w:r w:rsidR="00CE05F1">
        <w:rPr>
          <w:rFonts w:cs="Arial"/>
        </w:rPr>
        <w:t>a</w:t>
      </w:r>
      <w:r w:rsidRPr="00726E27">
        <w:rPr>
          <w:rFonts w:cs="Arial"/>
        </w:rPr>
        <w:t>cuerdo contrario.</w:t>
      </w:r>
    </w:p>
    <w:p w:rsidR="000D153B" w:rsidRPr="00726E27" w:rsidRDefault="000D153B" w:rsidP="00AC1C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 w:rsidRPr="00726E27">
        <w:rPr>
          <w:rFonts w:cs="Arial"/>
        </w:rPr>
        <w:t>Es especialmente significativo que los reparos basados en la insuficiencia de crédito son motivos de acuerdos contrarios en el 95 por ciento de los casos.</w:t>
      </w:r>
    </w:p>
    <w:p w:rsidR="000D153B" w:rsidRPr="00726E27" w:rsidRDefault="000D153B" w:rsidP="00AC1C5F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480"/>
          <w:tab w:val="num" w:pos="600"/>
          <w:tab w:val="num" w:pos="720"/>
        </w:tabs>
        <w:spacing w:after="120"/>
        <w:ind w:left="0" w:firstLine="289"/>
        <w:rPr>
          <w:rFonts w:cs="Arial"/>
        </w:rPr>
      </w:pPr>
      <w:r w:rsidRPr="00726E27">
        <w:rPr>
          <w:rFonts w:cs="Arial"/>
        </w:rPr>
        <w:t>Los reparos basados en contratación suponen la adopción de acuerdos co</w:t>
      </w:r>
      <w:r w:rsidRPr="00726E27">
        <w:rPr>
          <w:rFonts w:cs="Arial"/>
        </w:rPr>
        <w:t>n</w:t>
      </w:r>
      <w:r w:rsidRPr="00726E27">
        <w:rPr>
          <w:rFonts w:cs="Arial"/>
        </w:rPr>
        <w:t>trarios en un porcentaje del 43 por ciento y en el caso de las subvenciones el 85 por ciento.</w:t>
      </w:r>
    </w:p>
    <w:p w:rsidR="000D153B" w:rsidRDefault="000D153B" w:rsidP="00BB26CD">
      <w:pPr>
        <w:pStyle w:val="atitulo2"/>
        <w:spacing w:before="220" w:after="180"/>
      </w:pPr>
      <w:bookmarkStart w:id="15" w:name="_Toc534892123"/>
      <w:r>
        <w:t xml:space="preserve">V.7. </w:t>
      </w:r>
      <w:r w:rsidR="00D3281A">
        <w:t xml:space="preserve">Expedientes tramitados </w:t>
      </w:r>
      <w:r>
        <w:t xml:space="preserve">con </w:t>
      </w:r>
      <w:r w:rsidRPr="0012298C">
        <w:t xml:space="preserve">omisión </w:t>
      </w:r>
      <w:r>
        <w:t xml:space="preserve">de la </w:t>
      </w:r>
      <w:r w:rsidRPr="0012298C">
        <w:t>fiscalización</w:t>
      </w:r>
      <w:r>
        <w:t xml:space="preserve"> previa</w:t>
      </w:r>
      <w:bookmarkEnd w:id="15"/>
    </w:p>
    <w:p w:rsidR="000D153B" w:rsidRPr="006B6EE9" w:rsidRDefault="000D153B" w:rsidP="00BB26CD">
      <w:pPr>
        <w:pStyle w:val="texto"/>
        <w:spacing w:after="200"/>
      </w:pPr>
      <w:r w:rsidRPr="006B6EE9">
        <w:t>En el cuadro siguiente se presenta, desagregado por tipo de entidad, el núm</w:t>
      </w:r>
      <w:r w:rsidRPr="006B6EE9">
        <w:t>e</w:t>
      </w:r>
      <w:r w:rsidRPr="006B6EE9">
        <w:t xml:space="preserve">ro de </w:t>
      </w:r>
      <w:r w:rsidR="00D3281A">
        <w:t xml:space="preserve">expedientes tramitados </w:t>
      </w:r>
      <w:r w:rsidRPr="006B6EE9">
        <w:t>con omisión del trámite de fiscalización previa, siendo ésta preceptiva y su importe:</w:t>
      </w:r>
    </w:p>
    <w:tbl>
      <w:tblPr>
        <w:tblW w:w="8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1985"/>
        <w:gridCol w:w="1984"/>
        <w:gridCol w:w="1843"/>
      </w:tblGrid>
      <w:tr w:rsidR="000D153B" w:rsidRPr="00013970" w:rsidTr="006120B3">
        <w:trPr>
          <w:trHeight w:val="284"/>
          <w:jc w:val="center"/>
        </w:trPr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Tipo de ente local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D3281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 xml:space="preserve">Nº </w:t>
            </w:r>
            <w:r w:rsidR="00D3281A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expedientes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Sin importe</w:t>
            </w:r>
          </w:p>
        </w:tc>
      </w:tr>
      <w:tr w:rsidR="000D153B" w:rsidRPr="001F21A7" w:rsidTr="00AC1C5F">
        <w:trPr>
          <w:trHeight w:val="238"/>
          <w:jc w:val="center"/>
        </w:trPr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1075ED" w:rsidP="001075ED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Ayuntamientos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10.102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</w:tr>
      <w:tr w:rsidR="000D153B" w:rsidRPr="001F21A7" w:rsidTr="006120B3">
        <w:trPr>
          <w:trHeight w:val="198"/>
          <w:jc w:val="center"/>
        </w:trPr>
        <w:tc>
          <w:tcPr>
            <w:tcW w:w="300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&lt;1000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       </w:t>
            </w: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0D153B" w:rsidRPr="001F21A7" w:rsidTr="006120B3">
        <w:trPr>
          <w:trHeight w:val="198"/>
          <w:jc w:val="center"/>
        </w:trPr>
        <w:tc>
          <w:tcPr>
            <w:tcW w:w="30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&gt;1.000 &lt;5.000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10.10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1F21A7" w:rsidTr="006120B3">
        <w:trPr>
          <w:trHeight w:val="198"/>
          <w:jc w:val="center"/>
        </w:trPr>
        <w:tc>
          <w:tcPr>
            <w:tcW w:w="30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&gt;5.000 &lt;10.000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     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0D153B" w:rsidRPr="001F21A7" w:rsidTr="006120B3">
        <w:trPr>
          <w:trHeight w:val="198"/>
          <w:jc w:val="center"/>
        </w:trPr>
        <w:tc>
          <w:tcPr>
            <w:tcW w:w="300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&gt;10.000 &lt; 20.000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    </w:t>
            </w: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1F21A7" w:rsidTr="006120B3">
        <w:trPr>
          <w:trHeight w:val="198"/>
          <w:jc w:val="center"/>
        </w:trPr>
        <w:tc>
          <w:tcPr>
            <w:tcW w:w="300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&gt;20.000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 xml:space="preserve">       </w:t>
            </w: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0D153B" w:rsidRPr="001F21A7" w:rsidTr="00AC1C5F">
        <w:trPr>
          <w:trHeight w:val="238"/>
          <w:jc w:val="center"/>
        </w:trPr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1075ED" w:rsidP="001075ED">
            <w:pPr>
              <w:spacing w:after="0"/>
              <w:ind w:firstLine="0"/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Mancomunidades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y Agrupaciones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35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.</w:t>
            </w:r>
            <w:r w:rsidRPr="001F21A7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013970" w:rsidTr="00AC1C5F">
        <w:trPr>
          <w:trHeight w:val="255"/>
          <w:jc w:val="center"/>
        </w:trPr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45.602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</w:tr>
    </w:tbl>
    <w:p w:rsidR="00680AF2" w:rsidRDefault="00680AF2" w:rsidP="00150542">
      <w:pPr>
        <w:pStyle w:val="texto"/>
        <w:spacing w:after="260"/>
      </w:pPr>
    </w:p>
    <w:p w:rsidR="000D153B" w:rsidRPr="006B6EE9" w:rsidRDefault="000D153B" w:rsidP="00DB36CC">
      <w:pPr>
        <w:pStyle w:val="texto"/>
        <w:spacing w:after="200"/>
      </w:pPr>
      <w:r w:rsidRPr="006B6EE9">
        <w:lastRenderedPageBreak/>
        <w:t xml:space="preserve">La clasificación de dichos </w:t>
      </w:r>
      <w:r w:rsidR="00D3281A">
        <w:t xml:space="preserve">expedientes </w:t>
      </w:r>
      <w:r w:rsidRPr="006B6EE9">
        <w:t xml:space="preserve">según el </w:t>
      </w:r>
      <w:r w:rsidR="008B4705">
        <w:t>área de gestión se pr</w:t>
      </w:r>
      <w:r w:rsidRPr="006B6EE9">
        <w:t>esenta en el siguiente cuadro: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984"/>
        <w:gridCol w:w="1985"/>
      </w:tblGrid>
      <w:tr w:rsidR="000D153B" w:rsidRPr="00013970" w:rsidTr="00DB36CC">
        <w:trPr>
          <w:trHeight w:val="284"/>
          <w:jc w:val="center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76352A" w:rsidP="001075ED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Área</w:t>
            </w:r>
            <w:r w:rsidR="008B4705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 xml:space="preserve"> de gestión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D3281A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 xml:space="preserve">Nº </w:t>
            </w:r>
            <w:r w:rsidR="00D3281A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expedientes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Sin importe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7522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Contrataci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ó</w:t>
            </w: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n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45.602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C020B4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020B4" w:rsidRPr="001F21A7" w:rsidRDefault="00C020B4" w:rsidP="007522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Personal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020B4" w:rsidRPr="001F21A7" w:rsidRDefault="00C020B4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020B4" w:rsidRPr="001F21A7" w:rsidRDefault="00C020B4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020B4" w:rsidRPr="001F21A7" w:rsidRDefault="00C020B4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7522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Subvenciones y ayudas p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ú</w:t>
            </w: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blicas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Ingresos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752269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Recaudac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ió</w:t>
            </w: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n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Otros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0D153B" w:rsidRPr="001F21A7" w:rsidTr="00DB36CC">
        <w:trPr>
          <w:trHeight w:val="198"/>
          <w:jc w:val="center"/>
        </w:trPr>
        <w:tc>
          <w:tcPr>
            <w:tcW w:w="2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752269" w:rsidP="001075ED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Materia no especificada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53B" w:rsidRPr="001F21A7" w:rsidRDefault="000D153B" w:rsidP="001075ED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1F21A7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0D153B" w:rsidRPr="00013970" w:rsidTr="00DB36CC">
        <w:trPr>
          <w:trHeight w:val="255"/>
          <w:jc w:val="center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1075ED" w:rsidP="001075ED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45.602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0D153B" w:rsidRPr="00013970" w:rsidRDefault="000D153B" w:rsidP="001075ED">
            <w:pPr>
              <w:spacing w:after="0"/>
              <w:ind w:firstLine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013970">
              <w:rPr>
                <w:rFonts w:ascii="Arial" w:hAnsi="Arial" w:cs="Arial"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</w:tr>
    </w:tbl>
    <w:p w:rsidR="000D153B" w:rsidRDefault="000D153B" w:rsidP="00DB36CC">
      <w:pPr>
        <w:pStyle w:val="texto"/>
        <w:spacing w:before="180"/>
      </w:pPr>
      <w:r w:rsidRPr="006B6EE9">
        <w:t xml:space="preserve">Se observa que no es significativo el número y cuantía de </w:t>
      </w:r>
      <w:r w:rsidR="00D3281A">
        <w:t xml:space="preserve">expedientes </w:t>
      </w:r>
      <w:r w:rsidRPr="006B6EE9">
        <w:t>ado</w:t>
      </w:r>
      <w:r w:rsidRPr="006B6EE9">
        <w:t>p</w:t>
      </w:r>
      <w:r w:rsidRPr="006B6EE9">
        <w:t>tados con omisión</w:t>
      </w:r>
      <w:r w:rsidR="00DA52D4">
        <w:t xml:space="preserve"> de la preceptiva fiscalización al </w:t>
      </w:r>
      <w:r w:rsidR="00C020B4">
        <w:t xml:space="preserve">haber supuesto </w:t>
      </w:r>
      <w:r w:rsidR="00DA52D4">
        <w:t xml:space="preserve">un </w:t>
      </w:r>
      <w:r w:rsidR="00C020B4">
        <w:t xml:space="preserve">dos </w:t>
      </w:r>
      <w:r w:rsidR="00DA52D4">
        <w:t>por cien</w:t>
      </w:r>
      <w:r w:rsidR="006627FE">
        <w:t>to en las entidades locales y que únicamente ha afectado al área de contr</w:t>
      </w:r>
      <w:r w:rsidR="006627FE">
        <w:t>a</w:t>
      </w:r>
      <w:r w:rsidR="006627FE">
        <w:t>tación.</w:t>
      </w:r>
    </w:p>
    <w:p w:rsidR="000D153B" w:rsidRPr="0012298C" w:rsidRDefault="000D153B" w:rsidP="00DB36CC">
      <w:pPr>
        <w:pStyle w:val="atitulo2"/>
        <w:spacing w:before="240" w:after="180"/>
      </w:pPr>
      <w:bookmarkStart w:id="16" w:name="_Toc534892124"/>
      <w:r>
        <w:t>V.8. Principales anomalí</w:t>
      </w:r>
      <w:r w:rsidRPr="0012298C">
        <w:t xml:space="preserve">as </w:t>
      </w:r>
      <w:r>
        <w:t xml:space="preserve">en materia de </w:t>
      </w:r>
      <w:r w:rsidRPr="0012298C">
        <w:t>ingresos</w:t>
      </w:r>
      <w:bookmarkEnd w:id="16"/>
    </w:p>
    <w:p w:rsidR="000D153B" w:rsidRDefault="000D153B" w:rsidP="00DB36CC">
      <w:pPr>
        <w:pStyle w:val="texto"/>
        <w:spacing w:after="200"/>
      </w:pPr>
      <w:r w:rsidRPr="006B6EE9">
        <w:t>El número e importe de las principales anomalías de ingresos, clasificados por tipo de ingreso, se detalla en el siguiente cuadro: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5121"/>
        <w:gridCol w:w="851"/>
        <w:gridCol w:w="992"/>
      </w:tblGrid>
      <w:tr w:rsidR="00C020B4" w:rsidRPr="00C020B4" w:rsidTr="00DB36CC">
        <w:trPr>
          <w:trHeight w:val="284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Tipo de ingreso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Número 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Sin importe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Subvenciones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81.000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Ingresos patrimoniales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43.750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Otros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38.000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Enajenación de inversiones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11.500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Impuestos locales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Tasas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Precios públicos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Transferencias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C020B4" w:rsidRPr="00C020B4" w:rsidTr="00DB36CC">
        <w:trPr>
          <w:trHeight w:val="198"/>
        </w:trPr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Operaciones urbanísticas</w:t>
            </w:r>
          </w:p>
        </w:tc>
        <w:tc>
          <w:tcPr>
            <w:tcW w:w="512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 Narrow" w:hAnsi="Arial Narrow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C020B4" w:rsidRPr="00C020B4" w:rsidTr="00DB36CC">
        <w:trPr>
          <w:trHeight w:val="255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178.251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C020B4" w:rsidRPr="00C020B4" w:rsidRDefault="00C020B4" w:rsidP="00C020B4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020B4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</w:tr>
    </w:tbl>
    <w:p w:rsidR="000D153B" w:rsidRPr="00002BBC" w:rsidRDefault="000D153B" w:rsidP="00DB36CC">
      <w:pPr>
        <w:pStyle w:val="texto"/>
        <w:spacing w:before="180" w:after="120"/>
        <w:rPr>
          <w:color w:val="FF0000"/>
        </w:rPr>
      </w:pPr>
      <w:r w:rsidRPr="006B6EE9">
        <w:t>Los principales ingresos sobre los cuales se detectan anomalías son los c</w:t>
      </w:r>
      <w:r w:rsidRPr="006B6EE9">
        <w:t>o</w:t>
      </w:r>
      <w:r w:rsidRPr="006B6EE9">
        <w:t xml:space="preserve">rrespondientes a las subvenciones percibidas y los ingresos patrimoniales. Los correspondientes a los impuestos locales </w:t>
      </w:r>
      <w:r w:rsidR="00D3281A">
        <w:t>sólo representan el dos por ciento del importe total</w:t>
      </w:r>
      <w:r w:rsidR="00AC7178">
        <w:t xml:space="preserve">. Si bien </w:t>
      </w:r>
      <w:r w:rsidRPr="006B6EE9">
        <w:t xml:space="preserve">no </w:t>
      </w:r>
      <w:r w:rsidR="003F5A44">
        <w:t>están</w:t>
      </w:r>
      <w:r w:rsidRPr="006B6EE9">
        <w:t xml:space="preserve"> </w:t>
      </w:r>
      <w:proofErr w:type="gramStart"/>
      <w:r w:rsidRPr="006B6EE9">
        <w:t>cuantificad</w:t>
      </w:r>
      <w:r w:rsidR="003F5A44">
        <w:t>as</w:t>
      </w:r>
      <w:proofErr w:type="gramEnd"/>
      <w:r w:rsidRPr="006B6EE9">
        <w:t xml:space="preserve"> el 40 por ciento de las anomalías enviadas, </w:t>
      </w:r>
      <w:r w:rsidR="00DA52D4">
        <w:t xml:space="preserve">el número es poco significativo al haber supuesto un cinco por ciento de las entidades locales. </w:t>
      </w:r>
    </w:p>
    <w:p w:rsidR="006F6A3E" w:rsidRPr="00FE3658" w:rsidRDefault="006F6A3E" w:rsidP="006F6A3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240"/>
      </w:pPr>
      <w:r w:rsidRPr="00FE3658">
        <w:t>Informe que se emite a propuesta del auditor Miguel Ángel Aurrecoechea Gutiérrez, responsable de la realización de este trabajo, una vez cumpliment</w:t>
      </w:r>
      <w:r w:rsidRPr="00FE3658">
        <w:t>a</w:t>
      </w:r>
      <w:r w:rsidRPr="00FE3658">
        <w:t>dos los trámites previstos por la normativa vigente.</w:t>
      </w:r>
    </w:p>
    <w:p w:rsidR="006F6A3E" w:rsidRPr="00F142FF" w:rsidRDefault="006F6A3E" w:rsidP="006F6A3E">
      <w:pPr>
        <w:tabs>
          <w:tab w:val="right" w:pos="284"/>
          <w:tab w:val="left" w:pos="426"/>
        </w:tabs>
        <w:spacing w:after="100" w:line="240" w:lineRule="atLeast"/>
        <w:ind w:firstLine="0"/>
        <w:jc w:val="center"/>
        <w:rPr>
          <w:sz w:val="26"/>
          <w:szCs w:val="26"/>
          <w:lang w:eastAsia="es-ES"/>
        </w:rPr>
      </w:pPr>
      <w:r w:rsidRPr="008F67F5">
        <w:rPr>
          <w:sz w:val="26"/>
          <w:szCs w:val="26"/>
          <w:lang w:eastAsia="es-ES"/>
        </w:rPr>
        <w:t>Pamplon</w:t>
      </w:r>
      <w:r w:rsidRPr="00054918">
        <w:rPr>
          <w:sz w:val="26"/>
          <w:szCs w:val="26"/>
          <w:lang w:eastAsia="es-ES"/>
        </w:rPr>
        <w:t>a</w:t>
      </w:r>
      <w:r w:rsidRPr="00F142FF">
        <w:rPr>
          <w:sz w:val="26"/>
          <w:szCs w:val="26"/>
          <w:lang w:eastAsia="es-ES"/>
        </w:rPr>
        <w:t xml:space="preserve">, </w:t>
      </w:r>
      <w:r w:rsidR="00DB36CC" w:rsidRPr="00F142FF">
        <w:rPr>
          <w:sz w:val="26"/>
          <w:szCs w:val="26"/>
          <w:lang w:eastAsia="es-ES"/>
        </w:rPr>
        <w:t>1</w:t>
      </w:r>
      <w:r w:rsidR="00F142FF" w:rsidRPr="00F142FF">
        <w:rPr>
          <w:sz w:val="26"/>
          <w:szCs w:val="26"/>
          <w:lang w:eastAsia="es-ES"/>
        </w:rPr>
        <w:t>0</w:t>
      </w:r>
      <w:r w:rsidRPr="00F142FF">
        <w:rPr>
          <w:sz w:val="26"/>
          <w:szCs w:val="26"/>
          <w:lang w:eastAsia="es-ES"/>
        </w:rPr>
        <w:t xml:space="preserve"> de </w:t>
      </w:r>
      <w:r w:rsidR="00CA5BFC" w:rsidRPr="00F142FF">
        <w:rPr>
          <w:sz w:val="26"/>
          <w:szCs w:val="26"/>
          <w:lang w:eastAsia="es-ES"/>
        </w:rPr>
        <w:t>enero de 2019</w:t>
      </w:r>
    </w:p>
    <w:p w:rsidR="006F6A3E" w:rsidRDefault="006F6A3E" w:rsidP="006F6A3E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80"/>
        <w:ind w:firstLine="0"/>
        <w:jc w:val="center"/>
        <w:rPr>
          <w:rFonts w:ascii="Arial" w:hAnsi="Arial"/>
          <w:b/>
          <w:color w:val="000000"/>
          <w:kern w:val="28"/>
          <w:sz w:val="32"/>
          <w:szCs w:val="32"/>
        </w:rPr>
      </w:pPr>
      <w:r w:rsidRPr="00FE3658">
        <w:rPr>
          <w:rFonts w:cs="Arial"/>
          <w:color w:val="000000"/>
        </w:rPr>
        <w:t>La presidenta,</w:t>
      </w:r>
      <w:r>
        <w:rPr>
          <w:rFonts w:cs="Arial"/>
          <w:color w:val="000000"/>
        </w:rPr>
        <w:t xml:space="preserve"> </w:t>
      </w:r>
      <w:r w:rsidRPr="006B7777">
        <w:rPr>
          <w:rFonts w:cs="Arial"/>
          <w:color w:val="000000"/>
        </w:rPr>
        <w:t>Asunción Olaechea Estanga</w:t>
      </w:r>
      <w:r>
        <w:rPr>
          <w:sz w:val="32"/>
          <w:szCs w:val="32"/>
        </w:rPr>
        <w:br w:type="page"/>
      </w:r>
    </w:p>
    <w:p w:rsidR="000D153B" w:rsidRDefault="000D153B" w:rsidP="009A29F8">
      <w:pPr>
        <w:pStyle w:val="atitulo1"/>
        <w:spacing w:after="440"/>
      </w:pPr>
      <w:bookmarkStart w:id="17" w:name="_Toc534892125"/>
      <w:r>
        <w:lastRenderedPageBreak/>
        <w:t xml:space="preserve">Anexo 1. Relación de </w:t>
      </w:r>
      <w:r w:rsidR="009412D7">
        <w:t xml:space="preserve">Entidades locales </w:t>
      </w:r>
      <w:r>
        <w:t>que no han remitido información</w:t>
      </w:r>
      <w:bookmarkEnd w:id="17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Arano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Arruazu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Azuelo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Cabanillas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Caparroso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El Busto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Eslava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Espronceda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Fustiñana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Goñi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Irañeta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Leotz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Lodosa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Los Arcos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Petilla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 de Aragón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Puente La Reina/Gares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Santacara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Torralba del Río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Uharte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Arakil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Urdax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>/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Urdazubi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 xml:space="preserve">Villamayor de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Monjardín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Zugarramurdi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 xml:space="preserve">Mancomunidad de Personal de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Beire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>-Pitillas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 xml:space="preserve">Mancomunidad de Servicios de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Huarte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 y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Egüés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,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Esteribar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 y Aranguren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Mancomunidad de Ser</w:t>
      </w:r>
      <w:r w:rsidR="00844464">
        <w:rPr>
          <w:color w:val="000000"/>
          <w:sz w:val="26"/>
          <w:szCs w:val="26"/>
          <w:lang w:val="es-ES" w:eastAsia="es-ES"/>
        </w:rPr>
        <w:t>vicios Sociales de Base -</w:t>
      </w:r>
      <w:proofErr w:type="spellStart"/>
      <w:r w:rsidR="00844464">
        <w:rPr>
          <w:color w:val="000000"/>
          <w:sz w:val="26"/>
          <w:szCs w:val="26"/>
          <w:lang w:val="es-ES" w:eastAsia="es-ES"/>
        </w:rPr>
        <w:t>Iranzu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 xml:space="preserve">Mancomunidad de Servicios Sociales de Base de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Allo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, Arellano,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Arróniz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,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Dicastillo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 y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Lerín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Mancomunidad de Servicios Sociales de Base de la Zona de Los Arcos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lastRenderedPageBreak/>
        <w:t>Mancomunidad de Servicios Sociales de Base de la Zona de Etxarri-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Aranatz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 xml:space="preserve">Mancomunidad Deportiva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Araitz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,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Areso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,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Betelu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,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Larraun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,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Lekunberri</w:t>
      </w:r>
      <w:proofErr w:type="spellEnd"/>
    </w:p>
    <w:p w:rsidR="00F509A0" w:rsidRPr="00B631D4" w:rsidRDefault="00F509A0" w:rsidP="00F509A0">
      <w:pPr>
        <w:ind w:firstLine="0"/>
        <w:jc w:val="left"/>
        <w:rPr>
          <w:sz w:val="26"/>
          <w:szCs w:val="26"/>
          <w:lang w:val="es-ES" w:eastAsia="es-ES"/>
        </w:rPr>
      </w:pPr>
      <w:r w:rsidRPr="00B631D4">
        <w:rPr>
          <w:sz w:val="26"/>
          <w:szCs w:val="26"/>
          <w:lang w:val="es-ES" w:eastAsia="es-ES"/>
        </w:rPr>
        <w:t>Mancomunidad Residencial San Francisco Javier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 xml:space="preserve">Mancomunidad Servicios Sociales de Base de 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Ansoain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,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Berrioplano</w:t>
      </w:r>
      <w:proofErr w:type="gramStart"/>
      <w:r w:rsidRPr="00B631D4">
        <w:rPr>
          <w:color w:val="000000"/>
          <w:sz w:val="26"/>
          <w:szCs w:val="26"/>
          <w:lang w:val="es-ES" w:eastAsia="es-ES"/>
        </w:rPr>
        <w:t>,Berriozar</w:t>
      </w:r>
      <w:proofErr w:type="spellEnd"/>
      <w:proofErr w:type="gramEnd"/>
      <w:r w:rsidRPr="00B631D4">
        <w:rPr>
          <w:color w:val="000000"/>
          <w:sz w:val="26"/>
          <w:szCs w:val="26"/>
          <w:lang w:val="es-ES" w:eastAsia="es-ES"/>
        </w:rPr>
        <w:t xml:space="preserve">, Iza y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Juslapeña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 xml:space="preserve">Comunidad de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Bardenas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 Reales</w:t>
      </w:r>
    </w:p>
    <w:p w:rsidR="00F509A0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Mancomunidad Gestión de Residuos Sólidos Urbanos de Irati</w:t>
      </w:r>
    </w:p>
    <w:p w:rsidR="00F509A0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>
        <w:rPr>
          <w:color w:val="000000"/>
          <w:sz w:val="26"/>
          <w:szCs w:val="26"/>
          <w:lang w:val="es-ES" w:eastAsia="es-ES"/>
        </w:rPr>
        <w:t xml:space="preserve">Unión de </w:t>
      </w:r>
      <w:proofErr w:type="spellStart"/>
      <w:r>
        <w:rPr>
          <w:color w:val="000000"/>
          <w:sz w:val="26"/>
          <w:szCs w:val="26"/>
          <w:lang w:val="es-ES" w:eastAsia="es-ES"/>
        </w:rPr>
        <w:t>Aralar</w:t>
      </w:r>
      <w:proofErr w:type="spellEnd"/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Abaigar</w:t>
      </w:r>
      <w:proofErr w:type="spellEnd"/>
      <w:r w:rsidRPr="0063474C">
        <w:rPr>
          <w:color w:val="000000"/>
          <w:sz w:val="24"/>
          <w:szCs w:val="24"/>
          <w:vertAlign w:val="superscript"/>
          <w:lang w:val="es-ES" w:eastAsia="es-ES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Baztan</w:t>
      </w:r>
      <w:proofErr w:type="spellEnd"/>
      <w:r w:rsidRPr="0063474C">
        <w:rPr>
          <w:color w:val="000000"/>
          <w:sz w:val="24"/>
          <w:szCs w:val="24"/>
          <w:vertAlign w:val="superscript"/>
          <w:lang w:val="es-ES" w:eastAsia="es-ES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Vidangoz</w:t>
      </w:r>
      <w:proofErr w:type="spellEnd"/>
      <w:r w:rsidRPr="00B631D4">
        <w:rPr>
          <w:color w:val="000000"/>
          <w:sz w:val="26"/>
          <w:szCs w:val="26"/>
          <w:lang w:val="es-ES" w:eastAsia="es-ES"/>
        </w:rPr>
        <w:t xml:space="preserve"> /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Bidankoze</w:t>
      </w:r>
      <w:proofErr w:type="spellEnd"/>
      <w:r w:rsidRPr="0063474C">
        <w:rPr>
          <w:color w:val="000000"/>
          <w:sz w:val="24"/>
          <w:szCs w:val="24"/>
          <w:vertAlign w:val="superscript"/>
          <w:lang w:val="es-ES" w:eastAsia="es-ES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 xml:space="preserve">Etxarri </w:t>
      </w:r>
      <w:proofErr w:type="spellStart"/>
      <w:r w:rsidRPr="00B631D4">
        <w:rPr>
          <w:color w:val="000000"/>
          <w:sz w:val="26"/>
          <w:szCs w:val="26"/>
          <w:lang w:val="es-ES" w:eastAsia="es-ES"/>
        </w:rPr>
        <w:t>Aranatz</w:t>
      </w:r>
      <w:proofErr w:type="spellEnd"/>
      <w:r w:rsidRPr="0063474C">
        <w:rPr>
          <w:color w:val="000000"/>
          <w:sz w:val="24"/>
          <w:szCs w:val="24"/>
          <w:vertAlign w:val="superscript"/>
          <w:lang w:val="es-ES" w:eastAsia="es-ES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Imotz</w:t>
      </w:r>
      <w:proofErr w:type="spellEnd"/>
      <w:r w:rsidRPr="0063474C">
        <w:rPr>
          <w:color w:val="000000"/>
          <w:sz w:val="24"/>
          <w:szCs w:val="24"/>
          <w:vertAlign w:val="superscript"/>
          <w:lang w:val="es-ES" w:eastAsia="es-ES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proofErr w:type="spellStart"/>
      <w:r w:rsidRPr="00B631D4">
        <w:rPr>
          <w:color w:val="000000"/>
          <w:sz w:val="26"/>
          <w:szCs w:val="26"/>
          <w:lang w:val="es-ES" w:eastAsia="es-ES"/>
        </w:rPr>
        <w:t>Lakuntza</w:t>
      </w:r>
      <w:proofErr w:type="spellEnd"/>
      <w:r w:rsidRPr="0063474C">
        <w:rPr>
          <w:color w:val="000000"/>
          <w:sz w:val="24"/>
          <w:szCs w:val="24"/>
          <w:vertAlign w:val="superscript"/>
          <w:lang w:val="es-ES" w:eastAsia="es-ES"/>
        </w:rPr>
        <w:t>*</w:t>
      </w:r>
    </w:p>
    <w:p w:rsidR="00F509A0" w:rsidRPr="00B631D4" w:rsidRDefault="00F509A0" w:rsidP="00F509A0">
      <w:pPr>
        <w:ind w:firstLine="0"/>
        <w:jc w:val="left"/>
        <w:rPr>
          <w:color w:val="000000"/>
          <w:sz w:val="26"/>
          <w:szCs w:val="26"/>
          <w:lang w:val="es-ES" w:eastAsia="es-ES"/>
        </w:rPr>
      </w:pPr>
      <w:r w:rsidRPr="00B631D4">
        <w:rPr>
          <w:color w:val="000000"/>
          <w:sz w:val="26"/>
          <w:szCs w:val="26"/>
          <w:lang w:val="es-ES" w:eastAsia="es-ES"/>
        </w:rPr>
        <w:t>Mancomunidad de la Ribera</w:t>
      </w:r>
      <w:r w:rsidRPr="0063474C">
        <w:rPr>
          <w:color w:val="000000"/>
          <w:sz w:val="24"/>
          <w:szCs w:val="24"/>
          <w:vertAlign w:val="superscript"/>
          <w:lang w:val="es-ES" w:eastAsia="es-ES"/>
        </w:rPr>
        <w:t>*</w:t>
      </w:r>
    </w:p>
    <w:p w:rsidR="00477C53" w:rsidRDefault="00477C53" w:rsidP="00F509A0">
      <w:pPr>
        <w:pStyle w:val="atitulo3"/>
        <w:spacing w:after="140"/>
      </w:pPr>
    </w:p>
    <w:p w:rsidR="00E7554F" w:rsidRPr="00844464" w:rsidRDefault="00E7554F" w:rsidP="0063474C">
      <w:pPr>
        <w:pStyle w:val="texto"/>
        <w:ind w:firstLine="0"/>
        <w:rPr>
          <w:rFonts w:ascii="Arial Narrow" w:hAnsi="Arial Narrow"/>
          <w:sz w:val="22"/>
          <w:szCs w:val="22"/>
        </w:rPr>
      </w:pPr>
      <w:r w:rsidRPr="00844464">
        <w:rPr>
          <w:rFonts w:ascii="Arial Narrow" w:hAnsi="Arial Narrow"/>
          <w:sz w:val="22"/>
          <w:szCs w:val="22"/>
        </w:rPr>
        <w:t>*</w:t>
      </w:r>
      <w:r w:rsidR="0063474C">
        <w:rPr>
          <w:rFonts w:ascii="Arial Narrow" w:hAnsi="Arial Narrow"/>
          <w:sz w:val="22"/>
          <w:szCs w:val="22"/>
        </w:rPr>
        <w:t xml:space="preserve"> </w:t>
      </w:r>
      <w:r w:rsidRPr="00844464">
        <w:rPr>
          <w:rFonts w:ascii="Arial Narrow" w:hAnsi="Arial Narrow"/>
          <w:sz w:val="22"/>
          <w:szCs w:val="22"/>
        </w:rPr>
        <w:t xml:space="preserve">Relación de entidades locales que </w:t>
      </w:r>
      <w:r w:rsidR="00F414A0">
        <w:rPr>
          <w:rFonts w:ascii="Arial Narrow" w:hAnsi="Arial Narrow"/>
          <w:sz w:val="22"/>
          <w:szCs w:val="22"/>
        </w:rPr>
        <w:t>han enviado</w:t>
      </w:r>
      <w:r w:rsidRPr="00844464">
        <w:rPr>
          <w:rFonts w:ascii="Arial Narrow" w:hAnsi="Arial Narrow"/>
          <w:sz w:val="22"/>
          <w:szCs w:val="22"/>
        </w:rPr>
        <w:t xml:space="preserve"> la información de forma incompleta</w:t>
      </w:r>
    </w:p>
    <w:p w:rsidR="00564F2D" w:rsidRPr="004B2F01" w:rsidRDefault="00564F2D" w:rsidP="004B2F01">
      <w:pPr>
        <w:pStyle w:val="atitulo3"/>
      </w:pPr>
    </w:p>
    <w:sectPr w:rsidR="00564F2D" w:rsidRPr="004B2F01" w:rsidSect="00D2472C">
      <w:headerReference w:type="even" r:id="rId14"/>
      <w:footerReference w:type="default" r:id="rId15"/>
      <w:type w:val="oddPage"/>
      <w:pgSz w:w="11907" w:h="16840" w:code="9"/>
      <w:pgMar w:top="2109" w:right="1559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12" w:rsidRDefault="00B74512">
      <w:r>
        <w:separator/>
      </w:r>
    </w:p>
    <w:p w:rsidR="00B74512" w:rsidRDefault="00B74512"/>
    <w:p w:rsidR="00B74512" w:rsidRDefault="00B74512"/>
    <w:p w:rsidR="00B74512" w:rsidRDefault="00B74512"/>
  </w:endnote>
  <w:endnote w:type="continuationSeparator" w:id="0">
    <w:p w:rsidR="00B74512" w:rsidRDefault="00B74512">
      <w:r>
        <w:continuationSeparator/>
      </w:r>
    </w:p>
    <w:p w:rsidR="00B74512" w:rsidRDefault="00B74512"/>
    <w:p w:rsidR="00B74512" w:rsidRDefault="00B74512"/>
    <w:p w:rsidR="00B74512" w:rsidRDefault="00B74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Default="00B74512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4512" w:rsidRDefault="00B74512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Pr="00F03814" w:rsidRDefault="00B74512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308EFA80" wp14:editId="782CDD55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512" w:rsidRPr="00F74E38" w:rsidRDefault="00B74512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  <w:p w:rsidR="00B74512" w:rsidRPr="00C13453" w:rsidRDefault="00B74512" w:rsidP="00D2472C">
    <w:pPr>
      <w:pStyle w:val="BorradorProvisional"/>
      <w:ind w:left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Default="00B74512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Pr="00F03814" w:rsidRDefault="00B74512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605B848A" wp14:editId="31F895C0">
          <wp:extent cx="219075" cy="371475"/>
          <wp:effectExtent l="0" t="0" r="9525" b="9525"/>
          <wp:docPr id="6" name="Imagen 6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EB7A81">
      <w:rPr>
        <w:rStyle w:val="Nmerodepgina"/>
        <w:noProof/>
        <w:szCs w:val="24"/>
      </w:rPr>
      <w:t>20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-</w:t>
    </w:r>
  </w:p>
  <w:p w:rsidR="00B74512" w:rsidRPr="00C13453" w:rsidRDefault="00B74512" w:rsidP="00D2472C">
    <w:pPr>
      <w:pStyle w:val="BorradorProvisional"/>
      <w:ind w:left="0"/>
      <w:jc w:val="center"/>
    </w:pPr>
  </w:p>
  <w:p w:rsidR="00B74512" w:rsidRDefault="00B745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12" w:rsidRDefault="00B74512">
      <w:r>
        <w:separator/>
      </w:r>
    </w:p>
    <w:p w:rsidR="00B74512" w:rsidRDefault="00B74512"/>
    <w:p w:rsidR="00B74512" w:rsidRDefault="00B74512"/>
    <w:p w:rsidR="00B74512" w:rsidRDefault="00B74512"/>
  </w:footnote>
  <w:footnote w:type="continuationSeparator" w:id="0">
    <w:p w:rsidR="00B74512" w:rsidRDefault="00B74512">
      <w:r>
        <w:continuationSeparator/>
      </w:r>
    </w:p>
    <w:p w:rsidR="00B74512" w:rsidRDefault="00B74512"/>
    <w:p w:rsidR="00B74512" w:rsidRDefault="00B74512"/>
    <w:p w:rsidR="00B74512" w:rsidRDefault="00B745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Default="00B74512" w:rsidP="007C36BE">
    <w:pPr>
      <w:pStyle w:val="Encabezado"/>
      <w:pBdr>
        <w:bottom w:val="single" w:sz="4" w:space="1" w:color="auto"/>
      </w:pBdr>
      <w:spacing w:after="40"/>
      <w:ind w:firstLine="0"/>
      <w:jc w:val="left"/>
      <w:rPr>
        <w:lang w:val="es-ES"/>
      </w:rPr>
    </w:pPr>
    <w:r>
      <w:rPr>
        <w:b/>
        <w:noProof/>
        <w:lang w:val="es-ES" w:eastAsia="es-ES"/>
      </w:rPr>
      <w:drawing>
        <wp:inline distT="0" distB="0" distL="0" distR="0" wp14:anchorId="003F2844" wp14:editId="11F86178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512" w:rsidRPr="006F6A3E" w:rsidRDefault="00B74512" w:rsidP="00960836">
    <w:pPr>
      <w:pStyle w:val="Encabezado"/>
      <w:pBdr>
        <w:bottom w:val="single" w:sz="4" w:space="1" w:color="auto"/>
      </w:pBdr>
      <w:spacing w:after="40"/>
      <w:ind w:firstLine="0"/>
      <w:rPr>
        <w:sz w:val="13"/>
        <w:szCs w:val="13"/>
      </w:rPr>
    </w:pPr>
    <w:r w:rsidRPr="006F6A3E">
      <w:rPr>
        <w:sz w:val="13"/>
        <w:szCs w:val="13"/>
        <w:lang w:val="es-ES"/>
      </w:rPr>
      <w:t>Informe de fiscalización sobre reparos emitidos por los interventores de las entidades locales de navarra,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Default="00B74512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12" w:rsidRDefault="00B74512"/>
  <w:p w:rsidR="00B74512" w:rsidRDefault="00B74512"/>
  <w:p w:rsidR="00B74512" w:rsidRDefault="00B745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2E2"/>
    <w:multiLevelType w:val="hybridMultilevel"/>
    <w:tmpl w:val="0434AD5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B94FF8"/>
    <w:multiLevelType w:val="hybridMultilevel"/>
    <w:tmpl w:val="6D98E624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">
    <w:nsid w:val="130E3CB9"/>
    <w:multiLevelType w:val="hybridMultilevel"/>
    <w:tmpl w:val="010EC37E"/>
    <w:lvl w:ilvl="0" w:tplc="3FEA6F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3076"/>
    <w:multiLevelType w:val="hybridMultilevel"/>
    <w:tmpl w:val="9738A8D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CB5B25"/>
    <w:multiLevelType w:val="hybridMultilevel"/>
    <w:tmpl w:val="044AF456"/>
    <w:lvl w:ilvl="0" w:tplc="51CC8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442CA"/>
    <w:multiLevelType w:val="hybridMultilevel"/>
    <w:tmpl w:val="EEEA4F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E339A7"/>
    <w:multiLevelType w:val="hybridMultilevel"/>
    <w:tmpl w:val="5132487A"/>
    <w:lvl w:ilvl="0" w:tplc="9FAAD1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4E7BB5"/>
    <w:multiLevelType w:val="hybridMultilevel"/>
    <w:tmpl w:val="49DAA646"/>
    <w:lvl w:ilvl="0" w:tplc="7D00F810">
      <w:numFmt w:val="bullet"/>
      <w:lvlText w:val="-"/>
      <w:lvlJc w:val="left"/>
      <w:pPr>
        <w:ind w:left="1999" w:hanging="360"/>
      </w:pPr>
      <w:rPr>
        <w:rFonts w:ascii="Verdana" w:eastAsia="Verdana" w:hAnsi="Verdana" w:cs="Verdana" w:hint="default"/>
        <w:w w:val="73"/>
        <w:sz w:val="20"/>
        <w:szCs w:val="20"/>
      </w:rPr>
    </w:lvl>
    <w:lvl w:ilvl="1" w:tplc="08D04D10">
      <w:numFmt w:val="bullet"/>
      <w:lvlText w:val="•"/>
      <w:lvlJc w:val="left"/>
      <w:pPr>
        <w:ind w:left="2978" w:hanging="360"/>
      </w:pPr>
      <w:rPr>
        <w:rFonts w:hint="default"/>
      </w:rPr>
    </w:lvl>
    <w:lvl w:ilvl="2" w:tplc="E32EE1EA">
      <w:numFmt w:val="bullet"/>
      <w:lvlText w:val="•"/>
      <w:lvlJc w:val="left"/>
      <w:pPr>
        <w:ind w:left="3956" w:hanging="360"/>
      </w:pPr>
      <w:rPr>
        <w:rFonts w:hint="default"/>
      </w:rPr>
    </w:lvl>
    <w:lvl w:ilvl="3" w:tplc="70A4DCC4">
      <w:numFmt w:val="bullet"/>
      <w:lvlText w:val="•"/>
      <w:lvlJc w:val="left"/>
      <w:pPr>
        <w:ind w:left="4935" w:hanging="360"/>
      </w:pPr>
      <w:rPr>
        <w:rFonts w:hint="default"/>
      </w:rPr>
    </w:lvl>
    <w:lvl w:ilvl="4" w:tplc="D63C70C2">
      <w:numFmt w:val="bullet"/>
      <w:lvlText w:val="•"/>
      <w:lvlJc w:val="left"/>
      <w:pPr>
        <w:ind w:left="5913" w:hanging="360"/>
      </w:pPr>
      <w:rPr>
        <w:rFonts w:hint="default"/>
      </w:rPr>
    </w:lvl>
    <w:lvl w:ilvl="5" w:tplc="38F0CE6C">
      <w:numFmt w:val="bullet"/>
      <w:lvlText w:val="•"/>
      <w:lvlJc w:val="left"/>
      <w:pPr>
        <w:ind w:left="6892" w:hanging="360"/>
      </w:pPr>
      <w:rPr>
        <w:rFonts w:hint="default"/>
      </w:rPr>
    </w:lvl>
    <w:lvl w:ilvl="6" w:tplc="98CA075E">
      <w:numFmt w:val="bullet"/>
      <w:lvlText w:val="•"/>
      <w:lvlJc w:val="left"/>
      <w:pPr>
        <w:ind w:left="7870" w:hanging="360"/>
      </w:pPr>
      <w:rPr>
        <w:rFonts w:hint="default"/>
      </w:rPr>
    </w:lvl>
    <w:lvl w:ilvl="7" w:tplc="E070E686">
      <w:numFmt w:val="bullet"/>
      <w:lvlText w:val="•"/>
      <w:lvlJc w:val="left"/>
      <w:pPr>
        <w:ind w:left="8848" w:hanging="360"/>
      </w:pPr>
      <w:rPr>
        <w:rFonts w:hint="default"/>
      </w:rPr>
    </w:lvl>
    <w:lvl w:ilvl="8" w:tplc="3BA8244A">
      <w:numFmt w:val="bullet"/>
      <w:lvlText w:val="•"/>
      <w:lvlJc w:val="left"/>
      <w:pPr>
        <w:ind w:left="9827" w:hanging="360"/>
      </w:pPr>
      <w:rPr>
        <w:rFonts w:hint="default"/>
      </w:rPr>
    </w:lvl>
  </w:abstractNum>
  <w:abstractNum w:abstractNumId="9">
    <w:nsid w:val="1E3E750D"/>
    <w:multiLevelType w:val="hybridMultilevel"/>
    <w:tmpl w:val="398635F0"/>
    <w:lvl w:ilvl="0" w:tplc="32007C3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C9403D"/>
    <w:multiLevelType w:val="hybridMultilevel"/>
    <w:tmpl w:val="6D98E624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04C4833"/>
    <w:multiLevelType w:val="hybridMultilevel"/>
    <w:tmpl w:val="76E25C22"/>
    <w:lvl w:ilvl="0" w:tplc="F3C4404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E84708"/>
    <w:multiLevelType w:val="hybridMultilevel"/>
    <w:tmpl w:val="79C29024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3F5878"/>
    <w:multiLevelType w:val="hybridMultilevel"/>
    <w:tmpl w:val="7D189A5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980BAA"/>
    <w:multiLevelType w:val="hybridMultilevel"/>
    <w:tmpl w:val="6A46937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64F403F"/>
    <w:multiLevelType w:val="hybridMultilevel"/>
    <w:tmpl w:val="02C0ED9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2112E9"/>
    <w:multiLevelType w:val="hybridMultilevel"/>
    <w:tmpl w:val="4E243FC8"/>
    <w:lvl w:ilvl="0" w:tplc="7F8CA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56437"/>
    <w:multiLevelType w:val="hybridMultilevel"/>
    <w:tmpl w:val="EF124ED0"/>
    <w:lvl w:ilvl="0" w:tplc="33DAB5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A61029"/>
    <w:multiLevelType w:val="hybridMultilevel"/>
    <w:tmpl w:val="30F23A0A"/>
    <w:lvl w:ilvl="0" w:tplc="7562CA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34582F"/>
    <w:multiLevelType w:val="hybridMultilevel"/>
    <w:tmpl w:val="A1FE052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475E281E"/>
    <w:multiLevelType w:val="hybridMultilevel"/>
    <w:tmpl w:val="91FE5C2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897723"/>
    <w:multiLevelType w:val="hybridMultilevel"/>
    <w:tmpl w:val="CC603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123680"/>
    <w:multiLevelType w:val="hybridMultilevel"/>
    <w:tmpl w:val="8F38F098"/>
    <w:lvl w:ilvl="0" w:tplc="3B442C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2F4814"/>
    <w:multiLevelType w:val="hybridMultilevel"/>
    <w:tmpl w:val="E5ACA53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5946548"/>
    <w:multiLevelType w:val="hybridMultilevel"/>
    <w:tmpl w:val="8E9ECA38"/>
    <w:lvl w:ilvl="0" w:tplc="83F86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94DC7"/>
    <w:multiLevelType w:val="hybridMultilevel"/>
    <w:tmpl w:val="6D98E624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D0F49C4"/>
    <w:multiLevelType w:val="hybridMultilevel"/>
    <w:tmpl w:val="CC603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1293C84"/>
    <w:multiLevelType w:val="hybridMultilevel"/>
    <w:tmpl w:val="1C6CE31A"/>
    <w:lvl w:ilvl="0" w:tplc="A8EAB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35617"/>
    <w:multiLevelType w:val="hybridMultilevel"/>
    <w:tmpl w:val="CC603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1A66231"/>
    <w:multiLevelType w:val="hybridMultilevel"/>
    <w:tmpl w:val="05E0CFC6"/>
    <w:lvl w:ilvl="0" w:tplc="CCA42C96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1">
    <w:nsid w:val="61C74E71"/>
    <w:multiLevelType w:val="hybridMultilevel"/>
    <w:tmpl w:val="C3369A34"/>
    <w:lvl w:ilvl="0" w:tplc="52B42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967C3"/>
    <w:multiLevelType w:val="hybridMultilevel"/>
    <w:tmpl w:val="34D6692E"/>
    <w:lvl w:ilvl="0" w:tplc="5762E4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4">
    <w:nsid w:val="66550723"/>
    <w:multiLevelType w:val="hybridMultilevel"/>
    <w:tmpl w:val="1ABE6400"/>
    <w:lvl w:ilvl="0" w:tplc="6896A36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7F854D5"/>
    <w:multiLevelType w:val="hybridMultilevel"/>
    <w:tmpl w:val="79C29024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8B77230"/>
    <w:multiLevelType w:val="hybridMultilevel"/>
    <w:tmpl w:val="FE8CD97C"/>
    <w:lvl w:ilvl="0" w:tplc="016CD7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>
    <w:nsid w:val="6F3F15D6"/>
    <w:multiLevelType w:val="hybridMultilevel"/>
    <w:tmpl w:val="C8585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35FA3"/>
    <w:multiLevelType w:val="hybridMultilevel"/>
    <w:tmpl w:val="913A09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4563CB"/>
    <w:multiLevelType w:val="hybridMultilevel"/>
    <w:tmpl w:val="444695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1754BE"/>
    <w:multiLevelType w:val="hybridMultilevel"/>
    <w:tmpl w:val="8F64985A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86B6E82"/>
    <w:multiLevelType w:val="hybridMultilevel"/>
    <w:tmpl w:val="7430BEF8"/>
    <w:lvl w:ilvl="0" w:tplc="D908B44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44">
    <w:nsid w:val="7C7D087D"/>
    <w:multiLevelType w:val="hybridMultilevel"/>
    <w:tmpl w:val="77E2816E"/>
    <w:lvl w:ilvl="0" w:tplc="CF2A382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DA46388"/>
    <w:multiLevelType w:val="hybridMultilevel"/>
    <w:tmpl w:val="2FFE81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3"/>
  </w:num>
  <w:num w:numId="3">
    <w:abstractNumId w:val="2"/>
  </w:num>
  <w:num w:numId="4">
    <w:abstractNumId w:val="20"/>
  </w:num>
  <w:num w:numId="5">
    <w:abstractNumId w:val="37"/>
  </w:num>
  <w:num w:numId="6">
    <w:abstractNumId w:val="2"/>
  </w:num>
  <w:num w:numId="7">
    <w:abstractNumId w:val="2"/>
  </w:num>
  <w:num w:numId="8">
    <w:abstractNumId w:val="2"/>
  </w:num>
  <w:num w:numId="9">
    <w:abstractNumId w:val="31"/>
  </w:num>
  <w:num w:numId="10">
    <w:abstractNumId w:val="28"/>
  </w:num>
  <w:num w:numId="11">
    <w:abstractNumId w:val="5"/>
  </w:num>
  <w:num w:numId="12">
    <w:abstractNumId w:val="16"/>
  </w:num>
  <w:num w:numId="13">
    <w:abstractNumId w:val="18"/>
  </w:num>
  <w:num w:numId="14">
    <w:abstractNumId w:val="34"/>
  </w:num>
  <w:num w:numId="15">
    <w:abstractNumId w:val="32"/>
  </w:num>
  <w:num w:numId="16">
    <w:abstractNumId w:val="25"/>
  </w:num>
  <w:num w:numId="17">
    <w:abstractNumId w:val="3"/>
  </w:num>
  <w:num w:numId="18">
    <w:abstractNumId w:val="36"/>
  </w:num>
  <w:num w:numId="19">
    <w:abstractNumId w:val="42"/>
  </w:num>
  <w:num w:numId="20">
    <w:abstractNumId w:val="23"/>
  </w:num>
  <w:num w:numId="21">
    <w:abstractNumId w:val="9"/>
  </w:num>
  <w:num w:numId="22">
    <w:abstractNumId w:val="29"/>
  </w:num>
  <w:num w:numId="23">
    <w:abstractNumId w:val="44"/>
  </w:num>
  <w:num w:numId="24">
    <w:abstractNumId w:val="10"/>
  </w:num>
  <w:num w:numId="25">
    <w:abstractNumId w:val="7"/>
  </w:num>
  <w:num w:numId="26">
    <w:abstractNumId w:val="14"/>
  </w:num>
  <w:num w:numId="27">
    <w:abstractNumId w:val="17"/>
  </w:num>
  <w:num w:numId="28">
    <w:abstractNumId w:val="27"/>
  </w:num>
  <w:num w:numId="29">
    <w:abstractNumId w:val="26"/>
  </w:num>
  <w:num w:numId="30">
    <w:abstractNumId w:val="1"/>
  </w:num>
  <w:num w:numId="31">
    <w:abstractNumId w:val="4"/>
  </w:num>
  <w:num w:numId="32">
    <w:abstractNumId w:val="22"/>
  </w:num>
  <w:num w:numId="33">
    <w:abstractNumId w:val="13"/>
  </w:num>
  <w:num w:numId="34">
    <w:abstractNumId w:val="15"/>
  </w:num>
  <w:num w:numId="35">
    <w:abstractNumId w:val="0"/>
  </w:num>
  <w:num w:numId="36">
    <w:abstractNumId w:val="12"/>
  </w:num>
  <w:num w:numId="37">
    <w:abstractNumId w:val="35"/>
  </w:num>
  <w:num w:numId="38">
    <w:abstractNumId w:val="11"/>
  </w:num>
  <w:num w:numId="39">
    <w:abstractNumId w:val="41"/>
  </w:num>
  <w:num w:numId="40">
    <w:abstractNumId w:val="24"/>
  </w:num>
  <w:num w:numId="41">
    <w:abstractNumId w:val="19"/>
  </w:num>
  <w:num w:numId="42">
    <w:abstractNumId w:val="39"/>
  </w:num>
  <w:num w:numId="43">
    <w:abstractNumId w:val="40"/>
  </w:num>
  <w:num w:numId="44">
    <w:abstractNumId w:val="6"/>
  </w:num>
  <w:num w:numId="45">
    <w:abstractNumId w:val="38"/>
  </w:num>
  <w:num w:numId="46">
    <w:abstractNumId w:val="45"/>
  </w:num>
  <w:num w:numId="47">
    <w:abstractNumId w:val="21"/>
  </w:num>
  <w:num w:numId="48">
    <w:abstractNumId w:val="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F3"/>
    <w:rsid w:val="000019D8"/>
    <w:rsid w:val="00002BBC"/>
    <w:rsid w:val="00002DF3"/>
    <w:rsid w:val="00006736"/>
    <w:rsid w:val="00006A97"/>
    <w:rsid w:val="0001123B"/>
    <w:rsid w:val="00012A7F"/>
    <w:rsid w:val="00013970"/>
    <w:rsid w:val="00017A3A"/>
    <w:rsid w:val="00027035"/>
    <w:rsid w:val="00032B4D"/>
    <w:rsid w:val="00036E42"/>
    <w:rsid w:val="0004373B"/>
    <w:rsid w:val="000448FA"/>
    <w:rsid w:val="00053A42"/>
    <w:rsid w:val="00054213"/>
    <w:rsid w:val="0005517D"/>
    <w:rsid w:val="00055A9E"/>
    <w:rsid w:val="0006133D"/>
    <w:rsid w:val="00063585"/>
    <w:rsid w:val="00071CD0"/>
    <w:rsid w:val="0007211F"/>
    <w:rsid w:val="00075692"/>
    <w:rsid w:val="00085CEF"/>
    <w:rsid w:val="00087B8D"/>
    <w:rsid w:val="00087DB3"/>
    <w:rsid w:val="00093D67"/>
    <w:rsid w:val="00093E60"/>
    <w:rsid w:val="00097D3C"/>
    <w:rsid w:val="000A18B7"/>
    <w:rsid w:val="000A2C1E"/>
    <w:rsid w:val="000A4697"/>
    <w:rsid w:val="000B06AD"/>
    <w:rsid w:val="000B0EAE"/>
    <w:rsid w:val="000B2728"/>
    <w:rsid w:val="000B3943"/>
    <w:rsid w:val="000B4477"/>
    <w:rsid w:val="000C0704"/>
    <w:rsid w:val="000C2B07"/>
    <w:rsid w:val="000C39CC"/>
    <w:rsid w:val="000C50A0"/>
    <w:rsid w:val="000C5BFC"/>
    <w:rsid w:val="000C7566"/>
    <w:rsid w:val="000D153B"/>
    <w:rsid w:val="000D188E"/>
    <w:rsid w:val="000D51B2"/>
    <w:rsid w:val="000D5335"/>
    <w:rsid w:val="000E7B86"/>
    <w:rsid w:val="000F2B66"/>
    <w:rsid w:val="000F3D83"/>
    <w:rsid w:val="000F5BCC"/>
    <w:rsid w:val="00100F12"/>
    <w:rsid w:val="00103589"/>
    <w:rsid w:val="001045C9"/>
    <w:rsid w:val="001075ED"/>
    <w:rsid w:val="00107CC1"/>
    <w:rsid w:val="00111A92"/>
    <w:rsid w:val="001145C3"/>
    <w:rsid w:val="001161D2"/>
    <w:rsid w:val="00123372"/>
    <w:rsid w:val="00125BDC"/>
    <w:rsid w:val="00130075"/>
    <w:rsid w:val="00131DF1"/>
    <w:rsid w:val="00132C38"/>
    <w:rsid w:val="001335F1"/>
    <w:rsid w:val="00133984"/>
    <w:rsid w:val="00134C71"/>
    <w:rsid w:val="001365C4"/>
    <w:rsid w:val="0014147D"/>
    <w:rsid w:val="00141D29"/>
    <w:rsid w:val="00143FC9"/>
    <w:rsid w:val="0014506A"/>
    <w:rsid w:val="00145C21"/>
    <w:rsid w:val="0014728F"/>
    <w:rsid w:val="00150542"/>
    <w:rsid w:val="001521A2"/>
    <w:rsid w:val="00152358"/>
    <w:rsid w:val="001529A8"/>
    <w:rsid w:val="00155BFF"/>
    <w:rsid w:val="00160F66"/>
    <w:rsid w:val="00162FED"/>
    <w:rsid w:val="001633AF"/>
    <w:rsid w:val="00166A6C"/>
    <w:rsid w:val="00173EDD"/>
    <w:rsid w:val="0017402B"/>
    <w:rsid w:val="00181D37"/>
    <w:rsid w:val="001835B7"/>
    <w:rsid w:val="0018426B"/>
    <w:rsid w:val="00185A37"/>
    <w:rsid w:val="00185BD4"/>
    <w:rsid w:val="00194309"/>
    <w:rsid w:val="00194C92"/>
    <w:rsid w:val="0019660E"/>
    <w:rsid w:val="001A5F66"/>
    <w:rsid w:val="001B39E2"/>
    <w:rsid w:val="001B3DCE"/>
    <w:rsid w:val="001C2B26"/>
    <w:rsid w:val="001C3A32"/>
    <w:rsid w:val="001C4DC7"/>
    <w:rsid w:val="001D0D35"/>
    <w:rsid w:val="001D4AF8"/>
    <w:rsid w:val="001D4F09"/>
    <w:rsid w:val="001F1482"/>
    <w:rsid w:val="001F20D7"/>
    <w:rsid w:val="001F68EC"/>
    <w:rsid w:val="001F7744"/>
    <w:rsid w:val="002014EB"/>
    <w:rsid w:val="00201E76"/>
    <w:rsid w:val="00202B1A"/>
    <w:rsid w:val="00203438"/>
    <w:rsid w:val="00204979"/>
    <w:rsid w:val="00207DB2"/>
    <w:rsid w:val="00211D69"/>
    <w:rsid w:val="002179DB"/>
    <w:rsid w:val="00221E46"/>
    <w:rsid w:val="00227E48"/>
    <w:rsid w:val="00230577"/>
    <w:rsid w:val="0023209D"/>
    <w:rsid w:val="002333F8"/>
    <w:rsid w:val="00233D79"/>
    <w:rsid w:val="00236171"/>
    <w:rsid w:val="00237657"/>
    <w:rsid w:val="00242BA7"/>
    <w:rsid w:val="002437B5"/>
    <w:rsid w:val="00244EF1"/>
    <w:rsid w:val="00246F21"/>
    <w:rsid w:val="00253E78"/>
    <w:rsid w:val="00262C3C"/>
    <w:rsid w:val="00264C88"/>
    <w:rsid w:val="0026532C"/>
    <w:rsid w:val="0026575D"/>
    <w:rsid w:val="002705B0"/>
    <w:rsid w:val="0027129B"/>
    <w:rsid w:val="002717A6"/>
    <w:rsid w:val="00272015"/>
    <w:rsid w:val="00273C10"/>
    <w:rsid w:val="00274B4C"/>
    <w:rsid w:val="00276264"/>
    <w:rsid w:val="00281DCA"/>
    <w:rsid w:val="002919C1"/>
    <w:rsid w:val="00297B04"/>
    <w:rsid w:val="002A056C"/>
    <w:rsid w:val="002A22FC"/>
    <w:rsid w:val="002A66A5"/>
    <w:rsid w:val="002A6EBB"/>
    <w:rsid w:val="002B21E9"/>
    <w:rsid w:val="002B2B87"/>
    <w:rsid w:val="002B4E0F"/>
    <w:rsid w:val="002B5754"/>
    <w:rsid w:val="002C1EA8"/>
    <w:rsid w:val="002C7026"/>
    <w:rsid w:val="002C7E08"/>
    <w:rsid w:val="002D089F"/>
    <w:rsid w:val="002D223B"/>
    <w:rsid w:val="002D5635"/>
    <w:rsid w:val="002D65E8"/>
    <w:rsid w:val="002D7D32"/>
    <w:rsid w:val="002E01D3"/>
    <w:rsid w:val="002E02E5"/>
    <w:rsid w:val="002E0478"/>
    <w:rsid w:val="002E0791"/>
    <w:rsid w:val="002E1B92"/>
    <w:rsid w:val="002E327F"/>
    <w:rsid w:val="002E3513"/>
    <w:rsid w:val="002E7B81"/>
    <w:rsid w:val="002F09FB"/>
    <w:rsid w:val="002F0FE3"/>
    <w:rsid w:val="002F1AF0"/>
    <w:rsid w:val="002F2530"/>
    <w:rsid w:val="002F272A"/>
    <w:rsid w:val="002F3225"/>
    <w:rsid w:val="002F53B4"/>
    <w:rsid w:val="002F76D6"/>
    <w:rsid w:val="00301AD0"/>
    <w:rsid w:val="00303506"/>
    <w:rsid w:val="00307057"/>
    <w:rsid w:val="003078A7"/>
    <w:rsid w:val="00312819"/>
    <w:rsid w:val="00312E9C"/>
    <w:rsid w:val="00313875"/>
    <w:rsid w:val="003203BF"/>
    <w:rsid w:val="00321369"/>
    <w:rsid w:val="00325371"/>
    <w:rsid w:val="00330137"/>
    <w:rsid w:val="00330787"/>
    <w:rsid w:val="003316CA"/>
    <w:rsid w:val="00337493"/>
    <w:rsid w:val="0034285F"/>
    <w:rsid w:val="0034322D"/>
    <w:rsid w:val="00343E2E"/>
    <w:rsid w:val="003464A4"/>
    <w:rsid w:val="00351684"/>
    <w:rsid w:val="00354458"/>
    <w:rsid w:val="00360E12"/>
    <w:rsid w:val="00363653"/>
    <w:rsid w:val="0036509D"/>
    <w:rsid w:val="0037228C"/>
    <w:rsid w:val="003738FD"/>
    <w:rsid w:val="00375212"/>
    <w:rsid w:val="00375B1B"/>
    <w:rsid w:val="003810BE"/>
    <w:rsid w:val="00386910"/>
    <w:rsid w:val="00386F6C"/>
    <w:rsid w:val="00387709"/>
    <w:rsid w:val="00387794"/>
    <w:rsid w:val="003945BD"/>
    <w:rsid w:val="00397076"/>
    <w:rsid w:val="00397162"/>
    <w:rsid w:val="003A335E"/>
    <w:rsid w:val="003A3DD2"/>
    <w:rsid w:val="003A615C"/>
    <w:rsid w:val="003B0A29"/>
    <w:rsid w:val="003B3573"/>
    <w:rsid w:val="003B5813"/>
    <w:rsid w:val="003C03EA"/>
    <w:rsid w:val="003C196B"/>
    <w:rsid w:val="003C6E1D"/>
    <w:rsid w:val="003D058C"/>
    <w:rsid w:val="003D76B1"/>
    <w:rsid w:val="003E067F"/>
    <w:rsid w:val="003E17A6"/>
    <w:rsid w:val="003E40FE"/>
    <w:rsid w:val="003E4AA5"/>
    <w:rsid w:val="003E6FB5"/>
    <w:rsid w:val="003F06E6"/>
    <w:rsid w:val="003F1CEC"/>
    <w:rsid w:val="003F43BF"/>
    <w:rsid w:val="003F5A44"/>
    <w:rsid w:val="003F6BE4"/>
    <w:rsid w:val="00401473"/>
    <w:rsid w:val="00403CF8"/>
    <w:rsid w:val="00407459"/>
    <w:rsid w:val="00411839"/>
    <w:rsid w:val="00412FA4"/>
    <w:rsid w:val="00414D01"/>
    <w:rsid w:val="004170FE"/>
    <w:rsid w:val="004209E6"/>
    <w:rsid w:val="0042324B"/>
    <w:rsid w:val="004234E8"/>
    <w:rsid w:val="00426805"/>
    <w:rsid w:val="00430150"/>
    <w:rsid w:val="004302F9"/>
    <w:rsid w:val="0043229B"/>
    <w:rsid w:val="004348B1"/>
    <w:rsid w:val="00435287"/>
    <w:rsid w:val="00440A22"/>
    <w:rsid w:val="004501FA"/>
    <w:rsid w:val="0045550E"/>
    <w:rsid w:val="00456456"/>
    <w:rsid w:val="00462367"/>
    <w:rsid w:val="0046490C"/>
    <w:rsid w:val="00470287"/>
    <w:rsid w:val="00470733"/>
    <w:rsid w:val="00477C53"/>
    <w:rsid w:val="00485380"/>
    <w:rsid w:val="00493D87"/>
    <w:rsid w:val="00494AC4"/>
    <w:rsid w:val="004950D4"/>
    <w:rsid w:val="00497763"/>
    <w:rsid w:val="004A0506"/>
    <w:rsid w:val="004A2342"/>
    <w:rsid w:val="004A2F62"/>
    <w:rsid w:val="004B1DB8"/>
    <w:rsid w:val="004B2F01"/>
    <w:rsid w:val="004B4182"/>
    <w:rsid w:val="004B4538"/>
    <w:rsid w:val="004B6FB6"/>
    <w:rsid w:val="004C05FA"/>
    <w:rsid w:val="004C3423"/>
    <w:rsid w:val="004C571D"/>
    <w:rsid w:val="004D0565"/>
    <w:rsid w:val="004D35A2"/>
    <w:rsid w:val="004D5FD1"/>
    <w:rsid w:val="004F303F"/>
    <w:rsid w:val="004F3E68"/>
    <w:rsid w:val="004F7C93"/>
    <w:rsid w:val="00506105"/>
    <w:rsid w:val="00513162"/>
    <w:rsid w:val="005167BD"/>
    <w:rsid w:val="00525809"/>
    <w:rsid w:val="00535130"/>
    <w:rsid w:val="00537302"/>
    <w:rsid w:val="00543949"/>
    <w:rsid w:val="00555509"/>
    <w:rsid w:val="00561C5B"/>
    <w:rsid w:val="00564F2D"/>
    <w:rsid w:val="00566CDA"/>
    <w:rsid w:val="0056727E"/>
    <w:rsid w:val="00567BA6"/>
    <w:rsid w:val="00570033"/>
    <w:rsid w:val="00570147"/>
    <w:rsid w:val="00570D1E"/>
    <w:rsid w:val="0057130B"/>
    <w:rsid w:val="0057307E"/>
    <w:rsid w:val="00573A4C"/>
    <w:rsid w:val="00574B79"/>
    <w:rsid w:val="00574D12"/>
    <w:rsid w:val="00574F9B"/>
    <w:rsid w:val="005800B4"/>
    <w:rsid w:val="0058070B"/>
    <w:rsid w:val="0058296F"/>
    <w:rsid w:val="0058684D"/>
    <w:rsid w:val="00595E80"/>
    <w:rsid w:val="005964C6"/>
    <w:rsid w:val="0059650E"/>
    <w:rsid w:val="00596953"/>
    <w:rsid w:val="005A44A8"/>
    <w:rsid w:val="005A556E"/>
    <w:rsid w:val="005A6030"/>
    <w:rsid w:val="005B5621"/>
    <w:rsid w:val="005B57AD"/>
    <w:rsid w:val="005B722E"/>
    <w:rsid w:val="005C02FE"/>
    <w:rsid w:val="005C50AC"/>
    <w:rsid w:val="005C6406"/>
    <w:rsid w:val="005D69D1"/>
    <w:rsid w:val="005E210D"/>
    <w:rsid w:val="005F2425"/>
    <w:rsid w:val="005F5EC7"/>
    <w:rsid w:val="005F7207"/>
    <w:rsid w:val="005F7FCF"/>
    <w:rsid w:val="006032D2"/>
    <w:rsid w:val="00607691"/>
    <w:rsid w:val="0061062C"/>
    <w:rsid w:val="006120B3"/>
    <w:rsid w:val="00613183"/>
    <w:rsid w:val="006133F0"/>
    <w:rsid w:val="00616888"/>
    <w:rsid w:val="006176BE"/>
    <w:rsid w:val="006212CB"/>
    <w:rsid w:val="006251A0"/>
    <w:rsid w:val="0062758C"/>
    <w:rsid w:val="006279F9"/>
    <w:rsid w:val="006314BC"/>
    <w:rsid w:val="0063474C"/>
    <w:rsid w:val="006369EE"/>
    <w:rsid w:val="00646C0A"/>
    <w:rsid w:val="0064700E"/>
    <w:rsid w:val="00650183"/>
    <w:rsid w:val="00650677"/>
    <w:rsid w:val="006627FE"/>
    <w:rsid w:val="006736A9"/>
    <w:rsid w:val="00673BC7"/>
    <w:rsid w:val="00674975"/>
    <w:rsid w:val="00675D39"/>
    <w:rsid w:val="00680AF2"/>
    <w:rsid w:val="0068560B"/>
    <w:rsid w:val="006A1277"/>
    <w:rsid w:val="006A2602"/>
    <w:rsid w:val="006A2D41"/>
    <w:rsid w:val="006A67E1"/>
    <w:rsid w:val="006B3249"/>
    <w:rsid w:val="006B6EE9"/>
    <w:rsid w:val="006B7EC6"/>
    <w:rsid w:val="006C36FB"/>
    <w:rsid w:val="006C7D62"/>
    <w:rsid w:val="006D0B23"/>
    <w:rsid w:val="006D2ED6"/>
    <w:rsid w:val="006D3CDD"/>
    <w:rsid w:val="006D5685"/>
    <w:rsid w:val="006D6329"/>
    <w:rsid w:val="006D7011"/>
    <w:rsid w:val="006E1987"/>
    <w:rsid w:val="006E23B2"/>
    <w:rsid w:val="006E5207"/>
    <w:rsid w:val="006E63D2"/>
    <w:rsid w:val="006E6B11"/>
    <w:rsid w:val="006F5BC5"/>
    <w:rsid w:val="006F5C70"/>
    <w:rsid w:val="006F6A20"/>
    <w:rsid w:val="006F6A3E"/>
    <w:rsid w:val="00702B78"/>
    <w:rsid w:val="007039D2"/>
    <w:rsid w:val="007047B2"/>
    <w:rsid w:val="00704DE7"/>
    <w:rsid w:val="00706868"/>
    <w:rsid w:val="007078B8"/>
    <w:rsid w:val="00714046"/>
    <w:rsid w:val="00715E32"/>
    <w:rsid w:val="007162D1"/>
    <w:rsid w:val="00716463"/>
    <w:rsid w:val="0071706E"/>
    <w:rsid w:val="00726E27"/>
    <w:rsid w:val="00727292"/>
    <w:rsid w:val="00742F6A"/>
    <w:rsid w:val="007446E8"/>
    <w:rsid w:val="00751553"/>
    <w:rsid w:val="0075165E"/>
    <w:rsid w:val="00752269"/>
    <w:rsid w:val="00754E10"/>
    <w:rsid w:val="007576D4"/>
    <w:rsid w:val="00762A29"/>
    <w:rsid w:val="0076327D"/>
    <w:rsid w:val="0076352A"/>
    <w:rsid w:val="00763BE2"/>
    <w:rsid w:val="00767745"/>
    <w:rsid w:val="007707FC"/>
    <w:rsid w:val="00770BE3"/>
    <w:rsid w:val="0077177A"/>
    <w:rsid w:val="007728A8"/>
    <w:rsid w:val="00785A76"/>
    <w:rsid w:val="00787852"/>
    <w:rsid w:val="007915BC"/>
    <w:rsid w:val="007967FA"/>
    <w:rsid w:val="00796E6A"/>
    <w:rsid w:val="00797E7A"/>
    <w:rsid w:val="007A0EA6"/>
    <w:rsid w:val="007A2D9E"/>
    <w:rsid w:val="007B0381"/>
    <w:rsid w:val="007B0F3D"/>
    <w:rsid w:val="007B148D"/>
    <w:rsid w:val="007B18C8"/>
    <w:rsid w:val="007B28DE"/>
    <w:rsid w:val="007B7A5F"/>
    <w:rsid w:val="007C36BE"/>
    <w:rsid w:val="007D53ED"/>
    <w:rsid w:val="007D6001"/>
    <w:rsid w:val="007D7F94"/>
    <w:rsid w:val="007E1B76"/>
    <w:rsid w:val="007E219A"/>
    <w:rsid w:val="007E37BF"/>
    <w:rsid w:val="007E6593"/>
    <w:rsid w:val="007F0299"/>
    <w:rsid w:val="007F1101"/>
    <w:rsid w:val="007F2CB1"/>
    <w:rsid w:val="007F2F01"/>
    <w:rsid w:val="007F3761"/>
    <w:rsid w:val="007F735A"/>
    <w:rsid w:val="00803D20"/>
    <w:rsid w:val="008112A0"/>
    <w:rsid w:val="00811D62"/>
    <w:rsid w:val="0081696D"/>
    <w:rsid w:val="00816E01"/>
    <w:rsid w:val="008173D0"/>
    <w:rsid w:val="00822564"/>
    <w:rsid w:val="00823235"/>
    <w:rsid w:val="008249F1"/>
    <w:rsid w:val="00824AF2"/>
    <w:rsid w:val="00826686"/>
    <w:rsid w:val="00835563"/>
    <w:rsid w:val="00836511"/>
    <w:rsid w:val="00836B02"/>
    <w:rsid w:val="00836EC6"/>
    <w:rsid w:val="0083741E"/>
    <w:rsid w:val="0083752B"/>
    <w:rsid w:val="00837985"/>
    <w:rsid w:val="00840E3D"/>
    <w:rsid w:val="00841D8C"/>
    <w:rsid w:val="00842220"/>
    <w:rsid w:val="00844111"/>
    <w:rsid w:val="00844464"/>
    <w:rsid w:val="00844F74"/>
    <w:rsid w:val="008458A0"/>
    <w:rsid w:val="00846382"/>
    <w:rsid w:val="00850BD2"/>
    <w:rsid w:val="00850F57"/>
    <w:rsid w:val="008536C2"/>
    <w:rsid w:val="00853C68"/>
    <w:rsid w:val="008600C7"/>
    <w:rsid w:val="008617D0"/>
    <w:rsid w:val="00861A60"/>
    <w:rsid w:val="00862357"/>
    <w:rsid w:val="00862D02"/>
    <w:rsid w:val="008637B9"/>
    <w:rsid w:val="00864194"/>
    <w:rsid w:val="00864E18"/>
    <w:rsid w:val="00866681"/>
    <w:rsid w:val="00870399"/>
    <w:rsid w:val="008711EC"/>
    <w:rsid w:val="008718FE"/>
    <w:rsid w:val="00872946"/>
    <w:rsid w:val="00873C31"/>
    <w:rsid w:val="00874266"/>
    <w:rsid w:val="00882B68"/>
    <w:rsid w:val="00883928"/>
    <w:rsid w:val="00883DDE"/>
    <w:rsid w:val="00891D73"/>
    <w:rsid w:val="00892A44"/>
    <w:rsid w:val="008968CB"/>
    <w:rsid w:val="008A2DE8"/>
    <w:rsid w:val="008A312D"/>
    <w:rsid w:val="008A3E09"/>
    <w:rsid w:val="008A3E57"/>
    <w:rsid w:val="008A77A7"/>
    <w:rsid w:val="008B3F34"/>
    <w:rsid w:val="008B4705"/>
    <w:rsid w:val="008B4A84"/>
    <w:rsid w:val="008C524A"/>
    <w:rsid w:val="008C56B9"/>
    <w:rsid w:val="008D05E0"/>
    <w:rsid w:val="008D2600"/>
    <w:rsid w:val="008E0AC0"/>
    <w:rsid w:val="008E221A"/>
    <w:rsid w:val="008E31E5"/>
    <w:rsid w:val="008E3FFE"/>
    <w:rsid w:val="008E60BE"/>
    <w:rsid w:val="008E6B74"/>
    <w:rsid w:val="008F0FAF"/>
    <w:rsid w:val="008F46CD"/>
    <w:rsid w:val="008F6480"/>
    <w:rsid w:val="008F7740"/>
    <w:rsid w:val="00900CA2"/>
    <w:rsid w:val="00903653"/>
    <w:rsid w:val="00904050"/>
    <w:rsid w:val="00910A52"/>
    <w:rsid w:val="00911479"/>
    <w:rsid w:val="0091484D"/>
    <w:rsid w:val="0092497C"/>
    <w:rsid w:val="00925E71"/>
    <w:rsid w:val="0093329F"/>
    <w:rsid w:val="0093517D"/>
    <w:rsid w:val="00937043"/>
    <w:rsid w:val="00937EAB"/>
    <w:rsid w:val="009412D7"/>
    <w:rsid w:val="009445D3"/>
    <w:rsid w:val="00944D65"/>
    <w:rsid w:val="00945734"/>
    <w:rsid w:val="00950625"/>
    <w:rsid w:val="00955A8A"/>
    <w:rsid w:val="00960836"/>
    <w:rsid w:val="0096400D"/>
    <w:rsid w:val="00966600"/>
    <w:rsid w:val="009671D9"/>
    <w:rsid w:val="009709F8"/>
    <w:rsid w:val="00971352"/>
    <w:rsid w:val="00975E5B"/>
    <w:rsid w:val="00977C8F"/>
    <w:rsid w:val="00977F94"/>
    <w:rsid w:val="009863E9"/>
    <w:rsid w:val="00992E20"/>
    <w:rsid w:val="009936FC"/>
    <w:rsid w:val="00993925"/>
    <w:rsid w:val="00993977"/>
    <w:rsid w:val="009A05D1"/>
    <w:rsid w:val="009A1337"/>
    <w:rsid w:val="009A28AC"/>
    <w:rsid w:val="009A29F8"/>
    <w:rsid w:val="009A3A5B"/>
    <w:rsid w:val="009A3F2A"/>
    <w:rsid w:val="009B2AAC"/>
    <w:rsid w:val="009B3521"/>
    <w:rsid w:val="009B541C"/>
    <w:rsid w:val="009C0D2C"/>
    <w:rsid w:val="009C4460"/>
    <w:rsid w:val="009D7192"/>
    <w:rsid w:val="009E0E38"/>
    <w:rsid w:val="009E1A35"/>
    <w:rsid w:val="009E4B55"/>
    <w:rsid w:val="009E647F"/>
    <w:rsid w:val="009F09AA"/>
    <w:rsid w:val="009F2AE7"/>
    <w:rsid w:val="009F2C16"/>
    <w:rsid w:val="009F2C1B"/>
    <w:rsid w:val="009F335C"/>
    <w:rsid w:val="00A002B5"/>
    <w:rsid w:val="00A0260C"/>
    <w:rsid w:val="00A041B5"/>
    <w:rsid w:val="00A04F8C"/>
    <w:rsid w:val="00A05158"/>
    <w:rsid w:val="00A10EFE"/>
    <w:rsid w:val="00A11198"/>
    <w:rsid w:val="00A13BF5"/>
    <w:rsid w:val="00A14837"/>
    <w:rsid w:val="00A225E3"/>
    <w:rsid w:val="00A22889"/>
    <w:rsid w:val="00A23A26"/>
    <w:rsid w:val="00A24A8F"/>
    <w:rsid w:val="00A25708"/>
    <w:rsid w:val="00A25BF0"/>
    <w:rsid w:val="00A3026E"/>
    <w:rsid w:val="00A40334"/>
    <w:rsid w:val="00A44860"/>
    <w:rsid w:val="00A4576A"/>
    <w:rsid w:val="00A45AD0"/>
    <w:rsid w:val="00A45EE9"/>
    <w:rsid w:val="00A53C14"/>
    <w:rsid w:val="00A608F3"/>
    <w:rsid w:val="00A61410"/>
    <w:rsid w:val="00A6198A"/>
    <w:rsid w:val="00A65108"/>
    <w:rsid w:val="00A7067F"/>
    <w:rsid w:val="00A707A7"/>
    <w:rsid w:val="00A718FD"/>
    <w:rsid w:val="00A72341"/>
    <w:rsid w:val="00A776ED"/>
    <w:rsid w:val="00A80E50"/>
    <w:rsid w:val="00A8137F"/>
    <w:rsid w:val="00A83663"/>
    <w:rsid w:val="00A83B0F"/>
    <w:rsid w:val="00A84216"/>
    <w:rsid w:val="00A90804"/>
    <w:rsid w:val="00A90BFA"/>
    <w:rsid w:val="00A92BF3"/>
    <w:rsid w:val="00A93BB7"/>
    <w:rsid w:val="00A943C8"/>
    <w:rsid w:val="00A950A4"/>
    <w:rsid w:val="00A9520D"/>
    <w:rsid w:val="00A9747D"/>
    <w:rsid w:val="00AA00A6"/>
    <w:rsid w:val="00AA6BA8"/>
    <w:rsid w:val="00AA7F5A"/>
    <w:rsid w:val="00AB2340"/>
    <w:rsid w:val="00AB5FE4"/>
    <w:rsid w:val="00AB659D"/>
    <w:rsid w:val="00AC1C5F"/>
    <w:rsid w:val="00AC2047"/>
    <w:rsid w:val="00AC229F"/>
    <w:rsid w:val="00AC7178"/>
    <w:rsid w:val="00AD7671"/>
    <w:rsid w:val="00AE21DA"/>
    <w:rsid w:val="00AE53E8"/>
    <w:rsid w:val="00AE60C6"/>
    <w:rsid w:val="00AE6FE4"/>
    <w:rsid w:val="00AF2059"/>
    <w:rsid w:val="00AF2D6F"/>
    <w:rsid w:val="00AF3D84"/>
    <w:rsid w:val="00AF4161"/>
    <w:rsid w:val="00AF580B"/>
    <w:rsid w:val="00AF7E54"/>
    <w:rsid w:val="00B007C8"/>
    <w:rsid w:val="00B13B49"/>
    <w:rsid w:val="00B14410"/>
    <w:rsid w:val="00B15E61"/>
    <w:rsid w:val="00B24F35"/>
    <w:rsid w:val="00B27EA0"/>
    <w:rsid w:val="00B3215C"/>
    <w:rsid w:val="00B32C88"/>
    <w:rsid w:val="00B34747"/>
    <w:rsid w:val="00B37465"/>
    <w:rsid w:val="00B42E49"/>
    <w:rsid w:val="00B46C69"/>
    <w:rsid w:val="00B50903"/>
    <w:rsid w:val="00B56B85"/>
    <w:rsid w:val="00B62FFE"/>
    <w:rsid w:val="00B631D4"/>
    <w:rsid w:val="00B64A08"/>
    <w:rsid w:val="00B65013"/>
    <w:rsid w:val="00B7123A"/>
    <w:rsid w:val="00B71E29"/>
    <w:rsid w:val="00B7435C"/>
    <w:rsid w:val="00B74512"/>
    <w:rsid w:val="00B76A5E"/>
    <w:rsid w:val="00B76F38"/>
    <w:rsid w:val="00B8085D"/>
    <w:rsid w:val="00B81EFF"/>
    <w:rsid w:val="00B836BB"/>
    <w:rsid w:val="00B84092"/>
    <w:rsid w:val="00B84122"/>
    <w:rsid w:val="00B862B0"/>
    <w:rsid w:val="00B902C9"/>
    <w:rsid w:val="00B9234C"/>
    <w:rsid w:val="00B948FB"/>
    <w:rsid w:val="00B963D3"/>
    <w:rsid w:val="00B96DE1"/>
    <w:rsid w:val="00BA2B7C"/>
    <w:rsid w:val="00BB142A"/>
    <w:rsid w:val="00BB16D6"/>
    <w:rsid w:val="00BB26CD"/>
    <w:rsid w:val="00BB34B9"/>
    <w:rsid w:val="00BB35C2"/>
    <w:rsid w:val="00BB553B"/>
    <w:rsid w:val="00BB72EA"/>
    <w:rsid w:val="00BC28D7"/>
    <w:rsid w:val="00BC376C"/>
    <w:rsid w:val="00BC6321"/>
    <w:rsid w:val="00BC7817"/>
    <w:rsid w:val="00BD2244"/>
    <w:rsid w:val="00BD3819"/>
    <w:rsid w:val="00BD3CB6"/>
    <w:rsid w:val="00BD642D"/>
    <w:rsid w:val="00BD6720"/>
    <w:rsid w:val="00BD6988"/>
    <w:rsid w:val="00BD6AC6"/>
    <w:rsid w:val="00BE1A77"/>
    <w:rsid w:val="00BE4742"/>
    <w:rsid w:val="00BE7383"/>
    <w:rsid w:val="00BE754D"/>
    <w:rsid w:val="00BE7B93"/>
    <w:rsid w:val="00BF1DB9"/>
    <w:rsid w:val="00BF6D10"/>
    <w:rsid w:val="00BF6E79"/>
    <w:rsid w:val="00C020B4"/>
    <w:rsid w:val="00C03F6C"/>
    <w:rsid w:val="00C03FCA"/>
    <w:rsid w:val="00C12108"/>
    <w:rsid w:val="00C121D9"/>
    <w:rsid w:val="00C13453"/>
    <w:rsid w:val="00C220F9"/>
    <w:rsid w:val="00C2541C"/>
    <w:rsid w:val="00C267CB"/>
    <w:rsid w:val="00C26862"/>
    <w:rsid w:val="00C30458"/>
    <w:rsid w:val="00C31C7A"/>
    <w:rsid w:val="00C31DA6"/>
    <w:rsid w:val="00C33260"/>
    <w:rsid w:val="00C33B27"/>
    <w:rsid w:val="00C37298"/>
    <w:rsid w:val="00C3745F"/>
    <w:rsid w:val="00C44E40"/>
    <w:rsid w:val="00C4598F"/>
    <w:rsid w:val="00C50360"/>
    <w:rsid w:val="00C54E12"/>
    <w:rsid w:val="00C55468"/>
    <w:rsid w:val="00C622C3"/>
    <w:rsid w:val="00C63BD5"/>
    <w:rsid w:val="00C74135"/>
    <w:rsid w:val="00C74906"/>
    <w:rsid w:val="00C762B7"/>
    <w:rsid w:val="00C81B40"/>
    <w:rsid w:val="00C81FEA"/>
    <w:rsid w:val="00C83969"/>
    <w:rsid w:val="00C86C95"/>
    <w:rsid w:val="00C92AA9"/>
    <w:rsid w:val="00C9556C"/>
    <w:rsid w:val="00C97A0C"/>
    <w:rsid w:val="00CA05EB"/>
    <w:rsid w:val="00CA06FE"/>
    <w:rsid w:val="00CA3515"/>
    <w:rsid w:val="00CA3A05"/>
    <w:rsid w:val="00CA5BFC"/>
    <w:rsid w:val="00CB14E9"/>
    <w:rsid w:val="00CB641D"/>
    <w:rsid w:val="00CB6D90"/>
    <w:rsid w:val="00CB72C3"/>
    <w:rsid w:val="00CC3131"/>
    <w:rsid w:val="00CC45E4"/>
    <w:rsid w:val="00CD019F"/>
    <w:rsid w:val="00CD27C5"/>
    <w:rsid w:val="00CE05F1"/>
    <w:rsid w:val="00CE2432"/>
    <w:rsid w:val="00CE4169"/>
    <w:rsid w:val="00CE6B51"/>
    <w:rsid w:val="00CE7894"/>
    <w:rsid w:val="00CF06A1"/>
    <w:rsid w:val="00CF1467"/>
    <w:rsid w:val="00CF48D6"/>
    <w:rsid w:val="00CF57D6"/>
    <w:rsid w:val="00CF6C1B"/>
    <w:rsid w:val="00D019D5"/>
    <w:rsid w:val="00D040FE"/>
    <w:rsid w:val="00D066DE"/>
    <w:rsid w:val="00D168FD"/>
    <w:rsid w:val="00D16F64"/>
    <w:rsid w:val="00D2472C"/>
    <w:rsid w:val="00D279BA"/>
    <w:rsid w:val="00D3281A"/>
    <w:rsid w:val="00D404B5"/>
    <w:rsid w:val="00D41E09"/>
    <w:rsid w:val="00D447CB"/>
    <w:rsid w:val="00D47D16"/>
    <w:rsid w:val="00D505F4"/>
    <w:rsid w:val="00D50861"/>
    <w:rsid w:val="00D51CE1"/>
    <w:rsid w:val="00D55238"/>
    <w:rsid w:val="00D562F2"/>
    <w:rsid w:val="00D61B93"/>
    <w:rsid w:val="00D67E4A"/>
    <w:rsid w:val="00D763FD"/>
    <w:rsid w:val="00D845C8"/>
    <w:rsid w:val="00D90AD1"/>
    <w:rsid w:val="00D929D8"/>
    <w:rsid w:val="00D941F7"/>
    <w:rsid w:val="00D967AA"/>
    <w:rsid w:val="00DA4DDF"/>
    <w:rsid w:val="00DA52D4"/>
    <w:rsid w:val="00DB0804"/>
    <w:rsid w:val="00DB2FC4"/>
    <w:rsid w:val="00DB3688"/>
    <w:rsid w:val="00DB36CC"/>
    <w:rsid w:val="00DC382A"/>
    <w:rsid w:val="00DD21C0"/>
    <w:rsid w:val="00DE02C6"/>
    <w:rsid w:val="00DE1923"/>
    <w:rsid w:val="00DE2B33"/>
    <w:rsid w:val="00DE638B"/>
    <w:rsid w:val="00DE72EE"/>
    <w:rsid w:val="00DF37E5"/>
    <w:rsid w:val="00DF5436"/>
    <w:rsid w:val="00E034FE"/>
    <w:rsid w:val="00E041E5"/>
    <w:rsid w:val="00E04888"/>
    <w:rsid w:val="00E0763B"/>
    <w:rsid w:val="00E10302"/>
    <w:rsid w:val="00E17EC5"/>
    <w:rsid w:val="00E26BFD"/>
    <w:rsid w:val="00E27E90"/>
    <w:rsid w:val="00E33D02"/>
    <w:rsid w:val="00E34F2C"/>
    <w:rsid w:val="00E35D79"/>
    <w:rsid w:val="00E4641E"/>
    <w:rsid w:val="00E519AE"/>
    <w:rsid w:val="00E57AF7"/>
    <w:rsid w:val="00E609AF"/>
    <w:rsid w:val="00E6241B"/>
    <w:rsid w:val="00E63B51"/>
    <w:rsid w:val="00E64FCC"/>
    <w:rsid w:val="00E657E1"/>
    <w:rsid w:val="00E703B6"/>
    <w:rsid w:val="00E72200"/>
    <w:rsid w:val="00E72B1B"/>
    <w:rsid w:val="00E7554F"/>
    <w:rsid w:val="00E75D47"/>
    <w:rsid w:val="00E766F5"/>
    <w:rsid w:val="00E80603"/>
    <w:rsid w:val="00E82948"/>
    <w:rsid w:val="00E90218"/>
    <w:rsid w:val="00E913BB"/>
    <w:rsid w:val="00E95F2E"/>
    <w:rsid w:val="00EA0894"/>
    <w:rsid w:val="00EA1508"/>
    <w:rsid w:val="00EA1541"/>
    <w:rsid w:val="00EA32E4"/>
    <w:rsid w:val="00EA43BF"/>
    <w:rsid w:val="00EA7E36"/>
    <w:rsid w:val="00EB0898"/>
    <w:rsid w:val="00EB627B"/>
    <w:rsid w:val="00EB6D94"/>
    <w:rsid w:val="00EB7A81"/>
    <w:rsid w:val="00EC4183"/>
    <w:rsid w:val="00EC6468"/>
    <w:rsid w:val="00EC6708"/>
    <w:rsid w:val="00ED207C"/>
    <w:rsid w:val="00ED325A"/>
    <w:rsid w:val="00ED3F41"/>
    <w:rsid w:val="00ED5615"/>
    <w:rsid w:val="00ED692E"/>
    <w:rsid w:val="00ED69AF"/>
    <w:rsid w:val="00ED7E0F"/>
    <w:rsid w:val="00EE1847"/>
    <w:rsid w:val="00EE240E"/>
    <w:rsid w:val="00EE688E"/>
    <w:rsid w:val="00EE6A6D"/>
    <w:rsid w:val="00EF03E2"/>
    <w:rsid w:val="00EF7F8B"/>
    <w:rsid w:val="00F03814"/>
    <w:rsid w:val="00F07A09"/>
    <w:rsid w:val="00F10028"/>
    <w:rsid w:val="00F1390C"/>
    <w:rsid w:val="00F142FF"/>
    <w:rsid w:val="00F14D98"/>
    <w:rsid w:val="00F203A3"/>
    <w:rsid w:val="00F20C5E"/>
    <w:rsid w:val="00F217C3"/>
    <w:rsid w:val="00F36A1D"/>
    <w:rsid w:val="00F414A0"/>
    <w:rsid w:val="00F44278"/>
    <w:rsid w:val="00F5037A"/>
    <w:rsid w:val="00F509A0"/>
    <w:rsid w:val="00F51B65"/>
    <w:rsid w:val="00F52AAB"/>
    <w:rsid w:val="00F52EB6"/>
    <w:rsid w:val="00F55260"/>
    <w:rsid w:val="00F56E59"/>
    <w:rsid w:val="00F6316B"/>
    <w:rsid w:val="00F65AE0"/>
    <w:rsid w:val="00F74E38"/>
    <w:rsid w:val="00F76D6F"/>
    <w:rsid w:val="00F778B0"/>
    <w:rsid w:val="00F83BC2"/>
    <w:rsid w:val="00F92EC1"/>
    <w:rsid w:val="00F94564"/>
    <w:rsid w:val="00F94C47"/>
    <w:rsid w:val="00FA0421"/>
    <w:rsid w:val="00FA3389"/>
    <w:rsid w:val="00FA3476"/>
    <w:rsid w:val="00FA495F"/>
    <w:rsid w:val="00FB0C10"/>
    <w:rsid w:val="00FB3C36"/>
    <w:rsid w:val="00FB4280"/>
    <w:rsid w:val="00FB7CCE"/>
    <w:rsid w:val="00FC01C8"/>
    <w:rsid w:val="00FC4C4A"/>
    <w:rsid w:val="00FC5027"/>
    <w:rsid w:val="00FC50C7"/>
    <w:rsid w:val="00FC511D"/>
    <w:rsid w:val="00FC68BC"/>
    <w:rsid w:val="00FD11D4"/>
    <w:rsid w:val="00FD225D"/>
    <w:rsid w:val="00FD2384"/>
    <w:rsid w:val="00FD3DD0"/>
    <w:rsid w:val="00FE452E"/>
    <w:rsid w:val="00FE55A2"/>
    <w:rsid w:val="00FF4275"/>
    <w:rsid w:val="00FF4A4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0D15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D153B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0D153B"/>
    <w:rPr>
      <w:b/>
      <w:bCs/>
      <w:sz w:val="28"/>
      <w:szCs w:val="28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0D153B"/>
    <w:rPr>
      <w:sz w:val="52"/>
    </w:rPr>
  </w:style>
  <w:style w:type="character" w:customStyle="1" w:styleId="Ttulo1Car">
    <w:name w:val="Título 1 Car"/>
    <w:basedOn w:val="Fuentedeprrafopredeter"/>
    <w:link w:val="Ttulo1"/>
    <w:uiPriority w:val="99"/>
    <w:rsid w:val="000D153B"/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D153B"/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0D153B"/>
    <w:rPr>
      <w:rFonts w:ascii="Arial" w:hAnsi="Arial" w:cs="Arial"/>
      <w:b/>
      <w:bCs/>
      <w:szCs w:val="26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0D153B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0D15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D1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53B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99"/>
    <w:qFormat/>
    <w:rsid w:val="000D153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0D153B"/>
    <w:rPr>
      <w:rFonts w:cs="Times New Roman"/>
      <w:i/>
      <w:iCs/>
    </w:rPr>
  </w:style>
  <w:style w:type="paragraph" w:styleId="Prrafodelista">
    <w:name w:val="List Paragraph"/>
    <w:basedOn w:val="Normal"/>
    <w:uiPriority w:val="1"/>
    <w:qFormat/>
    <w:rsid w:val="000D153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153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D153B"/>
    <w:rPr>
      <w:i/>
      <w:iCs/>
      <w:color w:val="000000" w:themeColor="text1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0D153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D153B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D153B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D153B"/>
    <w:rPr>
      <w:b/>
      <w:bCs/>
      <w:smallCaps/>
      <w:color w:val="C0504D" w:themeColor="accent2"/>
      <w:spacing w:val="5"/>
      <w:u w:val="single"/>
    </w:rPr>
  </w:style>
  <w:style w:type="character" w:customStyle="1" w:styleId="atitulo1Car">
    <w:name w:val="atitulo1 Car"/>
    <w:basedOn w:val="Fuentedeprrafopredeter"/>
    <w:link w:val="atitulo1"/>
    <w:locked/>
    <w:rsid w:val="000D153B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character" w:customStyle="1" w:styleId="atitulo2Car">
    <w:name w:val="atitulo2 Car"/>
    <w:link w:val="atitulo2"/>
    <w:locked/>
    <w:rsid w:val="000D153B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/>
    </w:rPr>
  </w:style>
  <w:style w:type="paragraph" w:customStyle="1" w:styleId="xl2">
    <w:name w:val="xl2"/>
    <w:basedOn w:val="Normal"/>
    <w:rsid w:val="000D153B"/>
    <w:pPr>
      <w:spacing w:after="240"/>
      <w:ind w:left="525" w:right="75" w:hanging="225"/>
    </w:pPr>
    <w:rPr>
      <w:sz w:val="24"/>
      <w:szCs w:val="24"/>
      <w:lang w:val="es-ES" w:eastAsia="es-ES"/>
    </w:rPr>
  </w:style>
  <w:style w:type="paragraph" w:customStyle="1" w:styleId="aaa">
    <w:name w:val="aaa"/>
    <w:basedOn w:val="Normal"/>
    <w:rsid w:val="000D153B"/>
    <w:pPr>
      <w:tabs>
        <w:tab w:val="left" w:pos="587"/>
        <w:tab w:val="left" w:pos="1418"/>
        <w:tab w:val="left" w:pos="2835"/>
        <w:tab w:val="left" w:pos="4253"/>
        <w:tab w:val="left" w:pos="5670"/>
      </w:tabs>
      <w:spacing w:after="0" w:line="360" w:lineRule="auto"/>
      <w:ind w:left="587" w:hanging="587"/>
    </w:pPr>
    <w:rPr>
      <w:rFonts w:ascii="ITCCentury Book" w:hAnsi="ITCCentury Book"/>
      <w:spacing w:val="-3"/>
      <w:sz w:val="24"/>
      <w:lang w:eastAsia="es-ES"/>
    </w:rPr>
  </w:style>
  <w:style w:type="paragraph" w:customStyle="1" w:styleId="Default">
    <w:name w:val="Default"/>
    <w:rsid w:val="000D15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unhideWhenUsed/>
    <w:rsid w:val="000D153B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paragraph" w:customStyle="1" w:styleId="xl1">
    <w:name w:val="xl1"/>
    <w:basedOn w:val="Normal"/>
    <w:rsid w:val="004F3E68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23372"/>
    <w:pPr>
      <w:widowControl w:val="0"/>
      <w:autoSpaceDE w:val="0"/>
      <w:autoSpaceDN w:val="0"/>
      <w:spacing w:after="0"/>
      <w:ind w:firstLine="0"/>
      <w:jc w:val="left"/>
    </w:pPr>
    <w:rPr>
      <w:rFonts w:ascii="Verdana" w:eastAsia="Verdana" w:hAnsi="Verdana" w:cs="Verdan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3372"/>
    <w:rPr>
      <w:rFonts w:ascii="Verdana" w:eastAsia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0D15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D153B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0D153B"/>
    <w:rPr>
      <w:b/>
      <w:bCs/>
      <w:sz w:val="28"/>
      <w:szCs w:val="28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0D153B"/>
    <w:rPr>
      <w:sz w:val="52"/>
    </w:rPr>
  </w:style>
  <w:style w:type="character" w:customStyle="1" w:styleId="Ttulo1Car">
    <w:name w:val="Título 1 Car"/>
    <w:basedOn w:val="Fuentedeprrafopredeter"/>
    <w:link w:val="Ttulo1"/>
    <w:uiPriority w:val="99"/>
    <w:rsid w:val="000D153B"/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D153B"/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0D153B"/>
    <w:rPr>
      <w:rFonts w:ascii="Arial" w:hAnsi="Arial" w:cs="Arial"/>
      <w:b/>
      <w:bCs/>
      <w:szCs w:val="26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0D153B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0D15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D1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0D153B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99"/>
    <w:qFormat/>
    <w:rsid w:val="000D153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0D153B"/>
    <w:rPr>
      <w:rFonts w:cs="Times New Roman"/>
      <w:i/>
      <w:iCs/>
    </w:rPr>
  </w:style>
  <w:style w:type="paragraph" w:styleId="Prrafodelista">
    <w:name w:val="List Paragraph"/>
    <w:basedOn w:val="Normal"/>
    <w:uiPriority w:val="1"/>
    <w:qFormat/>
    <w:rsid w:val="000D153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153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0D153B"/>
    <w:rPr>
      <w:i/>
      <w:iCs/>
      <w:color w:val="000000" w:themeColor="text1"/>
      <w:lang w:val="es-ES_tradnl" w:eastAsia="en-US"/>
    </w:rPr>
  </w:style>
  <w:style w:type="character" w:styleId="nfasissutil">
    <w:name w:val="Subtle Emphasis"/>
    <w:basedOn w:val="Fuentedeprrafopredeter"/>
    <w:uiPriority w:val="19"/>
    <w:qFormat/>
    <w:rsid w:val="000D153B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0D153B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0D153B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0D153B"/>
    <w:rPr>
      <w:b/>
      <w:bCs/>
      <w:smallCaps/>
      <w:color w:val="C0504D" w:themeColor="accent2"/>
      <w:spacing w:val="5"/>
      <w:u w:val="single"/>
    </w:rPr>
  </w:style>
  <w:style w:type="character" w:customStyle="1" w:styleId="atitulo1Car">
    <w:name w:val="atitulo1 Car"/>
    <w:basedOn w:val="Fuentedeprrafopredeter"/>
    <w:link w:val="atitulo1"/>
    <w:locked/>
    <w:rsid w:val="000D153B"/>
    <w:rPr>
      <w:rFonts w:ascii="Arial" w:hAnsi="Arial"/>
      <w:b/>
      <w:color w:val="000000"/>
      <w:kern w:val="28"/>
      <w:sz w:val="25"/>
      <w:szCs w:val="26"/>
      <w:lang w:val="es-ES_tradnl" w:eastAsia="en-US"/>
    </w:rPr>
  </w:style>
  <w:style w:type="character" w:customStyle="1" w:styleId="atitulo2Car">
    <w:name w:val="atitulo2 Car"/>
    <w:link w:val="atitulo2"/>
    <w:locked/>
    <w:rsid w:val="000D153B"/>
    <w:rPr>
      <w:rFonts w:ascii="Arial" w:hAnsi="Arial"/>
      <w:bCs/>
      <w:iCs/>
      <w:color w:val="000000"/>
      <w:spacing w:val="10"/>
      <w:kern w:val="28"/>
      <w:sz w:val="25"/>
      <w:szCs w:val="26"/>
      <w:lang w:val="es-ES_tradnl" w:eastAsia="en-US"/>
    </w:rPr>
  </w:style>
  <w:style w:type="paragraph" w:customStyle="1" w:styleId="xl2">
    <w:name w:val="xl2"/>
    <w:basedOn w:val="Normal"/>
    <w:rsid w:val="000D153B"/>
    <w:pPr>
      <w:spacing w:after="240"/>
      <w:ind w:left="525" w:right="75" w:hanging="225"/>
    </w:pPr>
    <w:rPr>
      <w:sz w:val="24"/>
      <w:szCs w:val="24"/>
      <w:lang w:val="es-ES" w:eastAsia="es-ES"/>
    </w:rPr>
  </w:style>
  <w:style w:type="paragraph" w:customStyle="1" w:styleId="aaa">
    <w:name w:val="aaa"/>
    <w:basedOn w:val="Normal"/>
    <w:rsid w:val="000D153B"/>
    <w:pPr>
      <w:tabs>
        <w:tab w:val="left" w:pos="587"/>
        <w:tab w:val="left" w:pos="1418"/>
        <w:tab w:val="left" w:pos="2835"/>
        <w:tab w:val="left" w:pos="4253"/>
        <w:tab w:val="left" w:pos="5670"/>
      </w:tabs>
      <w:spacing w:after="0" w:line="360" w:lineRule="auto"/>
      <w:ind w:left="587" w:hanging="587"/>
    </w:pPr>
    <w:rPr>
      <w:rFonts w:ascii="ITCCentury Book" w:hAnsi="ITCCentury Book"/>
      <w:spacing w:val="-3"/>
      <w:sz w:val="24"/>
      <w:lang w:eastAsia="es-ES"/>
    </w:rPr>
  </w:style>
  <w:style w:type="paragraph" w:customStyle="1" w:styleId="Default">
    <w:name w:val="Default"/>
    <w:rsid w:val="000D15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unhideWhenUsed/>
    <w:rsid w:val="000D153B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paragraph" w:customStyle="1" w:styleId="xl1">
    <w:name w:val="xl1"/>
    <w:basedOn w:val="Normal"/>
    <w:rsid w:val="004F3E68"/>
    <w:pPr>
      <w:spacing w:before="100" w:beforeAutospacing="1" w:after="100" w:afterAutospacing="1"/>
      <w:ind w:firstLine="0"/>
      <w:jc w:val="left"/>
    </w:pPr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23372"/>
    <w:pPr>
      <w:widowControl w:val="0"/>
      <w:autoSpaceDE w:val="0"/>
      <w:autoSpaceDN w:val="0"/>
      <w:spacing w:after="0"/>
      <w:ind w:firstLine="0"/>
      <w:jc w:val="left"/>
    </w:pPr>
    <w:rPr>
      <w:rFonts w:ascii="Verdana" w:eastAsia="Verdana" w:hAnsi="Verdana" w:cs="Verdan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3372"/>
    <w:rPr>
      <w:rFonts w:ascii="Verdana" w:eastAsia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EDA9-753D-4128-98E9-799222AC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5536</Words>
  <Characters>29960</Characters>
  <Application>Microsoft Office Word</Application>
  <DocSecurity>4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35426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Lander Laurenz, Isabel (Cámara de Comptos)</dc:creator>
  <cp:lastModifiedBy>Aranaz, Carlota</cp:lastModifiedBy>
  <cp:revision>2</cp:revision>
  <cp:lastPrinted>2019-01-09T07:25:00Z</cp:lastPrinted>
  <dcterms:created xsi:type="dcterms:W3CDTF">2019-01-11T08:56:00Z</dcterms:created>
  <dcterms:modified xsi:type="dcterms:W3CDTF">2019-01-11T08:56:00Z</dcterms:modified>
</cp:coreProperties>
</file>