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jaunak aurkeztutako galdera, enpresa publikoetako lan-baldintzei buruzko azterlanari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Carlos Couso Chamarro jaunak, Legebiltzarreko Erregelamenduan xedatuaren babesean, honako galdera hau aurkezten du, Nafarroako Gobernuko departamentu eskuduneko arduradunak hurrengo Osoko Bilkuran ahoz erantzun dezan.</w:t>
      </w:r>
    </w:p>
    <w:p>
      <w:pPr>
        <w:pStyle w:val="0"/>
        <w:suppressAutoHyphens w:val="false"/>
        <w:rPr>
          <w:rStyle w:val="1"/>
        </w:rPr>
      </w:pPr>
      <w:r>
        <w:rPr>
          <w:rStyle w:val="1"/>
        </w:rPr>
        <w:t xml:space="preserve">Heldu den otsailaren 16an bukatzen da, Parlamentu honek onetsitako mozio batean ezarri zenari jarraiki, enpresa publikoetako lan-baldintzei buruzko azterlan bat egin dezan Nafarroako Gobernuari emandako epea. Zertan da azterlan hori?</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