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criterio para añadir a la pregunta de sexo, además de chico o chica, el epígrafe de “otras opciones” en la encuesta socioeconómica y cultural de la evaluación diagnóstica del curso 2018-2019,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para su contestación oral en Comisión a la siguiente pregunta: </w:t>
      </w:r>
    </w:p>
    <w:p>
      <w:pPr>
        <w:pStyle w:val="0"/>
        <w:suppressAutoHyphens w:val="false"/>
        <w:rPr>
          <w:rStyle w:val="1"/>
        </w:rPr>
      </w:pPr>
      <w:r>
        <w:rPr>
          <w:rStyle w:val="1"/>
        </w:rPr>
        <w:t xml:space="preserve">En la encuesta socioeconómica y cultural de la evaluación diagnóstica del curso 2018-2019 que deben realizar todos los alumnos/as de 4° de Primaria y de 2° de Secundaria entre el 1 y el 28 de febrero, ¿con base en qué criterio se ha añadido en la pregunta de sexo, además de chico o chica, el epígrafe de “otras opciones”? </w:t>
      </w:r>
    </w:p>
    <w:p>
      <w:pPr>
        <w:pStyle w:val="0"/>
        <w:suppressAutoHyphens w:val="false"/>
        <w:rPr>
          <w:rStyle w:val="1"/>
        </w:rPr>
      </w:pPr>
      <w:r>
        <w:rPr>
          <w:rStyle w:val="1"/>
        </w:rPr>
        <w:t xml:space="preserve">Corella, a 26 de febrero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