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9" w:rsidRPr="00824709" w:rsidRDefault="00E42B87" w:rsidP="00824709">
      <w:pPr>
        <w:pStyle w:val="NormalWeb"/>
        <w:spacing w:line="360" w:lineRule="auto"/>
        <w:ind w:firstLine="708"/>
        <w:jc w:val="both"/>
        <w:rPr>
          <w:rFonts w:ascii="Arial" w:hAnsi="Arial" w:cs="Arial"/>
          <w:color w:val="000000"/>
          <w:sz w:val="22"/>
          <w:szCs w:val="22"/>
        </w:rPr>
      </w:pPr>
      <w:r>
        <w:rPr>
          <w:rFonts w:ascii="Arial" w:hAnsi="Arial"/>
          <w:color w:val="000000"/>
          <w:sz w:val="22"/>
          <w:szCs w:val="22"/>
        </w:rPr>
        <w:t>Abenduak 28</w:t>
      </w:r>
    </w:p>
    <w:p w:rsidR="00901293" w:rsidRPr="00E76C9B" w:rsidRDefault="009573E3" w:rsidP="00E42B87">
      <w:pPr>
        <w:pStyle w:val="NormalWeb"/>
        <w:spacing w:line="360" w:lineRule="auto"/>
        <w:ind w:firstLine="708"/>
        <w:jc w:val="both"/>
        <w:rPr>
          <w:rFonts w:ascii="Arial" w:hAnsi="Arial" w:cs="Arial"/>
          <w:sz w:val="22"/>
          <w:szCs w:val="22"/>
        </w:rPr>
      </w:pPr>
      <w:proofErr w:type="spellStart"/>
      <w:r>
        <w:rPr>
          <w:rFonts w:ascii="Arial" w:hAnsi="Arial"/>
          <w:color w:val="000000"/>
          <w:sz w:val="22"/>
          <w:szCs w:val="22"/>
        </w:rPr>
        <w:t>Unión</w:t>
      </w:r>
      <w:proofErr w:type="spellEnd"/>
      <w:r>
        <w:rPr>
          <w:rFonts w:ascii="Arial" w:hAnsi="Arial"/>
          <w:color w:val="000000"/>
          <w:sz w:val="22"/>
          <w:szCs w:val="22"/>
        </w:rPr>
        <w:t xml:space="preserve"> del </w:t>
      </w:r>
      <w:proofErr w:type="spellStart"/>
      <w:r>
        <w:rPr>
          <w:rFonts w:ascii="Arial" w:hAnsi="Arial"/>
          <w:color w:val="000000"/>
          <w:sz w:val="22"/>
          <w:szCs w:val="22"/>
        </w:rPr>
        <w:t>Pueblo</w:t>
      </w:r>
      <w:proofErr w:type="spellEnd"/>
      <w:r>
        <w:rPr>
          <w:rFonts w:ascii="Arial" w:hAnsi="Arial"/>
          <w:color w:val="000000"/>
          <w:sz w:val="22"/>
          <w:szCs w:val="22"/>
        </w:rPr>
        <w:t xml:space="preserve"> Navarro talde parlamentarioari atxikitako Alberto Catalán Higueras</w:t>
      </w:r>
      <w:bookmarkStart w:id="0" w:name="Listadesplegable5"/>
      <w:r>
        <w:rPr>
          <w:rFonts w:ascii="Arial" w:hAnsi="Arial"/>
          <w:color w:val="000000"/>
          <w:sz w:val="22"/>
          <w:szCs w:val="22"/>
        </w:rPr>
        <w:t xml:space="preserve"> </w:t>
      </w:r>
      <w:bookmarkEnd w:id="0"/>
      <w:r>
        <w:rPr>
          <w:rFonts w:ascii="Arial" w:hAnsi="Arial"/>
          <w:color w:val="000000"/>
          <w:sz w:val="22"/>
          <w:szCs w:val="22"/>
        </w:rPr>
        <w:t xml:space="preserve">foru parlamentariak idatziz erantzuteko galdera batzuk egin ditu </w:t>
      </w:r>
      <w:r>
        <w:rPr>
          <w:rFonts w:ascii="Arial" w:hAnsi="Arial"/>
          <w:b/>
          <w:bCs/>
          <w:color w:val="000000"/>
          <w:sz w:val="22"/>
          <w:szCs w:val="22"/>
        </w:rPr>
        <w:t>(9-18/PES-00248)</w:t>
      </w:r>
      <w:r>
        <w:rPr>
          <w:rFonts w:ascii="Arial" w:hAnsi="Arial"/>
          <w:color w:val="000000"/>
          <w:sz w:val="22"/>
          <w:szCs w:val="22"/>
        </w:rPr>
        <w:t>. Hauxe da Landa Garapeneko, Ingurumeneko eta Toki Administrazioko kontseilariak haiei ematen dien erantzuna:</w:t>
      </w:r>
    </w:p>
    <w:p w:rsidR="00E42B87" w:rsidRDefault="00F41082" w:rsidP="00F41082">
      <w:pPr>
        <w:spacing w:line="276" w:lineRule="auto"/>
        <w:jc w:val="both"/>
        <w:rPr>
          <w:rFonts w:ascii="Arial" w:hAnsi="Arial" w:cs="Arial"/>
          <w:b/>
          <w:sz w:val="22"/>
          <w:szCs w:val="22"/>
        </w:rPr>
      </w:pPr>
      <w:r>
        <w:rPr>
          <w:rFonts w:ascii="Arial" w:hAnsi="Arial"/>
          <w:b/>
          <w:sz w:val="22"/>
          <w:szCs w:val="22"/>
        </w:rPr>
        <w:t xml:space="preserve">.- Nafarroako Gobernuak zer erabaki hartu du Erriberako baso-masak espezie autoktonoen bidez kontserbatzeko eta </w:t>
      </w:r>
      <w:proofErr w:type="spellStart"/>
      <w:r>
        <w:rPr>
          <w:rFonts w:ascii="Arial" w:hAnsi="Arial"/>
          <w:b/>
          <w:sz w:val="22"/>
          <w:szCs w:val="22"/>
        </w:rPr>
        <w:t>basoberritzeko</w:t>
      </w:r>
      <w:proofErr w:type="spellEnd"/>
      <w:r>
        <w:rPr>
          <w:rFonts w:ascii="Arial" w:hAnsi="Arial"/>
          <w:b/>
          <w:sz w:val="22"/>
          <w:szCs w:val="22"/>
        </w:rPr>
        <w:t>?</w:t>
      </w:r>
    </w:p>
    <w:p w:rsidR="009624F8" w:rsidRDefault="009624F8" w:rsidP="009624F8">
      <w:pPr>
        <w:pStyle w:val="NormalWeb"/>
        <w:spacing w:line="360" w:lineRule="auto"/>
        <w:ind w:firstLine="708"/>
        <w:jc w:val="both"/>
        <w:rPr>
          <w:rFonts w:ascii="Arial" w:hAnsi="Arial" w:cs="Arial"/>
          <w:color w:val="000000"/>
          <w:sz w:val="22"/>
          <w:szCs w:val="22"/>
        </w:rPr>
      </w:pPr>
      <w:r>
        <w:rPr>
          <w:rFonts w:ascii="Arial" w:hAnsi="Arial"/>
          <w:color w:val="000000"/>
          <w:sz w:val="22"/>
          <w:szCs w:val="22"/>
        </w:rPr>
        <w:t>Landa ingurunean aurrera eramaten diren politiken zatirik handiena “Landa Garapeneko Programak” deitutakoen babespean eginen dira; bereziki honako xede hauetara bideratutako politikak: nekazaritza eta basogintza, baliabideen efizientzia sustatzea eta karbono gutxiko ekonomiara igarotzea, hartara nekazaritzaren, elikagaien eta basogintzaren sektoreak klima aldaketari egokitu ahal izateko. Egun indarrean den Nafarroako Landa Garapeneko Programa 2015eko azaroaren 18an onetsi zuen Europako Batzordeak, eta hartatik dator neurrien zati handi bat.</w:t>
      </w:r>
    </w:p>
    <w:p w:rsidR="009624F8" w:rsidRDefault="009624F8" w:rsidP="009624F8">
      <w:pPr>
        <w:pStyle w:val="NormalWeb"/>
        <w:spacing w:line="360" w:lineRule="auto"/>
        <w:ind w:firstLine="708"/>
        <w:jc w:val="both"/>
        <w:rPr>
          <w:rFonts w:ascii="Arial" w:hAnsi="Arial" w:cs="Arial"/>
          <w:color w:val="000000"/>
          <w:sz w:val="22"/>
          <w:szCs w:val="22"/>
        </w:rPr>
      </w:pPr>
      <w:r>
        <w:rPr>
          <w:rFonts w:ascii="Arial" w:hAnsi="Arial"/>
          <w:color w:val="000000"/>
          <w:sz w:val="22"/>
          <w:szCs w:val="22"/>
        </w:rPr>
        <w:t xml:space="preserve">Aipatutako dokumentuaren aurrekoa den AMIA analisia eta beharrizanak atzematea atalean, beharrizan baten gisara identifikatzen da </w:t>
      </w:r>
      <w:r>
        <w:rPr>
          <w:rFonts w:ascii="Arial" w:hAnsi="Arial"/>
          <w:i/>
          <w:iCs/>
          <w:color w:val="000000"/>
          <w:sz w:val="22"/>
          <w:szCs w:val="22"/>
        </w:rPr>
        <w:t xml:space="preserve">“Landa eremuetako zuhaitz-eremuen azalera handitzea” </w:t>
      </w:r>
      <w:r>
        <w:rPr>
          <w:rFonts w:ascii="Arial" w:hAnsi="Arial"/>
          <w:color w:val="000000"/>
          <w:sz w:val="22"/>
          <w:szCs w:val="22"/>
        </w:rPr>
        <w:t xml:space="preserve">nahiz eta lurraldeak baso-azalera handia duen (Nafarroako azalera osoaren % 60 basoa da) eta hartatik % 73,54 zuhaitz-basoa den (Iturria: Laugarren Baso Inbentario Nazionala). Beharrizan horretarako argudio gisa aipatzen da azalera hori handitzera bideratutako jarduketekin jarraitu beharra dagoela bai nekazaritza-lurretan, bai baso-lurretan eta, bereziki, arrisku natural eta </w:t>
      </w:r>
      <w:proofErr w:type="spellStart"/>
      <w:r>
        <w:rPr>
          <w:rFonts w:ascii="Arial" w:hAnsi="Arial"/>
          <w:color w:val="000000"/>
          <w:sz w:val="22"/>
          <w:szCs w:val="22"/>
        </w:rPr>
        <w:t>antropikoek</w:t>
      </w:r>
      <w:proofErr w:type="spellEnd"/>
      <w:r>
        <w:rPr>
          <w:rFonts w:ascii="Arial" w:hAnsi="Arial"/>
          <w:color w:val="000000"/>
          <w:sz w:val="22"/>
          <w:szCs w:val="22"/>
        </w:rPr>
        <w:t xml:space="preserve"> ukitutako eremuetan, onura bikoitza konbinatuz: batetik, ingurumena hobetzea edo mantentzea eta, bestetik, ahal den neurrian, klima-aldaketa arintzea.</w:t>
      </w:r>
    </w:p>
    <w:p w:rsidR="009624F8" w:rsidRDefault="009624F8" w:rsidP="009624F8">
      <w:pPr>
        <w:pStyle w:val="NormalWeb"/>
        <w:spacing w:line="360" w:lineRule="auto"/>
        <w:ind w:firstLine="708"/>
        <w:jc w:val="both"/>
        <w:rPr>
          <w:rFonts w:ascii="Arial" w:hAnsi="Arial" w:cs="Arial"/>
          <w:color w:val="000000"/>
          <w:sz w:val="22"/>
          <w:szCs w:val="22"/>
        </w:rPr>
      </w:pPr>
      <w:r>
        <w:rPr>
          <w:rFonts w:ascii="Arial" w:hAnsi="Arial"/>
          <w:color w:val="000000"/>
          <w:sz w:val="22"/>
          <w:szCs w:val="22"/>
        </w:rPr>
        <w:t>Programako AMIA analisian deskribatu eta argudiatutako beharrizan hori geroztik gauzatu zen Nafarroako Landa Garapeneko Programaren 8. neurriaren garapenean. 8. neurri horrek honako izendapen hau dauka: “</w:t>
      </w:r>
      <w:r>
        <w:rPr>
          <w:rFonts w:ascii="Arial" w:hAnsi="Arial"/>
          <w:i/>
          <w:iCs/>
          <w:color w:val="000000"/>
          <w:sz w:val="22"/>
          <w:szCs w:val="22"/>
        </w:rPr>
        <w:t>Baso-eremuak garatzeko eta basoen bideragarritasuna hobetzeko inbertsioak”.</w:t>
      </w:r>
      <w:r>
        <w:rPr>
          <w:rFonts w:ascii="Arial" w:hAnsi="Arial"/>
          <w:color w:val="000000"/>
          <w:sz w:val="22"/>
          <w:szCs w:val="22"/>
        </w:rPr>
        <w:t xml:space="preserve"> </w:t>
      </w:r>
    </w:p>
    <w:p w:rsidR="009624F8" w:rsidRDefault="009624F8" w:rsidP="009624F8">
      <w:pPr>
        <w:pStyle w:val="NormalWeb"/>
        <w:spacing w:line="360" w:lineRule="auto"/>
        <w:ind w:firstLine="708"/>
        <w:jc w:val="both"/>
        <w:rPr>
          <w:rFonts w:ascii="Arial" w:hAnsi="Arial" w:cs="Arial"/>
          <w:color w:val="000000"/>
          <w:sz w:val="22"/>
          <w:szCs w:val="22"/>
        </w:rPr>
      </w:pPr>
      <w:r>
        <w:rPr>
          <w:rFonts w:ascii="Arial" w:hAnsi="Arial"/>
          <w:color w:val="000000"/>
          <w:sz w:val="22"/>
          <w:szCs w:val="22"/>
        </w:rPr>
        <w:t xml:space="preserve">Neurri hori, mendien arloko foru araudian logikoki txertatuta egoteaz gainera, Europako mailan enkoadratuta dago, Europako Parlamentuaren eta Kontseiluaren 2013ko abenduaren 17ko 1305/2013 (EB) Erregelamenduaren 21. artikuluan </w:t>
      </w:r>
      <w:proofErr w:type="spellStart"/>
      <w:r>
        <w:rPr>
          <w:rFonts w:ascii="Arial" w:hAnsi="Arial"/>
          <w:color w:val="000000"/>
          <w:sz w:val="22"/>
          <w:szCs w:val="22"/>
        </w:rPr>
        <w:t>—Feader-Landa</w:t>
      </w:r>
      <w:proofErr w:type="spellEnd"/>
      <w:r>
        <w:rPr>
          <w:rFonts w:ascii="Arial" w:hAnsi="Arial"/>
          <w:color w:val="000000"/>
          <w:sz w:val="22"/>
          <w:szCs w:val="22"/>
        </w:rPr>
        <w:t xml:space="preserve"> Garapenerako Europako Nekazaritza Funtsaren bitartezko landa garapenerako laguntzari buruzkoa </w:t>
      </w:r>
      <w:proofErr w:type="spellStart"/>
      <w:r>
        <w:rPr>
          <w:rFonts w:ascii="Arial" w:hAnsi="Arial"/>
          <w:color w:val="000000"/>
          <w:sz w:val="22"/>
          <w:szCs w:val="22"/>
        </w:rPr>
        <w:t>da—</w:t>
      </w:r>
      <w:proofErr w:type="spellEnd"/>
      <w:r>
        <w:rPr>
          <w:rFonts w:ascii="Arial" w:hAnsi="Arial"/>
          <w:color w:val="000000"/>
          <w:sz w:val="22"/>
          <w:szCs w:val="22"/>
        </w:rPr>
        <w:t xml:space="preserve">. </w:t>
      </w:r>
    </w:p>
    <w:p w:rsidR="009624F8" w:rsidRDefault="009624F8" w:rsidP="009624F8">
      <w:pPr>
        <w:pStyle w:val="NormalWeb"/>
        <w:spacing w:line="360" w:lineRule="auto"/>
        <w:ind w:firstLine="708"/>
        <w:jc w:val="both"/>
        <w:outlineLvl w:val="0"/>
        <w:rPr>
          <w:rFonts w:ascii="Arial" w:hAnsi="Arial" w:cs="Arial"/>
          <w:color w:val="000000"/>
          <w:sz w:val="22"/>
          <w:szCs w:val="22"/>
        </w:rPr>
      </w:pPr>
      <w:r>
        <w:rPr>
          <w:rFonts w:ascii="Arial" w:hAnsi="Arial"/>
          <w:color w:val="000000"/>
          <w:sz w:val="22"/>
          <w:szCs w:val="22"/>
        </w:rPr>
        <w:t>Neurri horren barruan, 5 azpi-neurri jasotzen dira. Ondoren garatzen ditugu galdera parlamentarioarekin zerikusia dutenak:</w:t>
      </w:r>
    </w:p>
    <w:p w:rsidR="009624F8" w:rsidRDefault="009624F8" w:rsidP="009624F8">
      <w:pPr>
        <w:pStyle w:val="NormalWeb"/>
        <w:numPr>
          <w:ilvl w:val="0"/>
          <w:numId w:val="12"/>
        </w:numPr>
        <w:spacing w:line="360" w:lineRule="auto"/>
        <w:ind w:left="567"/>
        <w:jc w:val="both"/>
        <w:rPr>
          <w:rFonts w:ascii="Arial" w:hAnsi="Arial" w:cs="Arial"/>
          <w:color w:val="000000"/>
          <w:sz w:val="22"/>
          <w:szCs w:val="22"/>
        </w:rPr>
      </w:pPr>
      <w:proofErr w:type="spellStart"/>
      <w:r>
        <w:rPr>
          <w:rFonts w:ascii="Arial" w:hAnsi="Arial"/>
          <w:color w:val="000000"/>
          <w:sz w:val="22"/>
          <w:szCs w:val="22"/>
        </w:rPr>
        <w:t>Basoberritzerako</w:t>
      </w:r>
      <w:proofErr w:type="spellEnd"/>
      <w:r>
        <w:rPr>
          <w:rFonts w:ascii="Arial" w:hAnsi="Arial"/>
          <w:color w:val="000000"/>
          <w:sz w:val="22"/>
          <w:szCs w:val="22"/>
        </w:rPr>
        <w:t xml:space="preserve">/baso-azalerak sortzeko laguntza. </w:t>
      </w:r>
      <w:r>
        <w:rPr>
          <w:rFonts w:ascii="Arial" w:hAnsi="Arial"/>
          <w:i/>
          <w:color w:val="000000"/>
          <w:sz w:val="22"/>
          <w:szCs w:val="22"/>
        </w:rPr>
        <w:t xml:space="preserve">Landaketen mantentzeari eta nekazaritza-lurrak </w:t>
      </w:r>
      <w:proofErr w:type="spellStart"/>
      <w:r>
        <w:rPr>
          <w:rFonts w:ascii="Arial" w:hAnsi="Arial"/>
          <w:i/>
          <w:color w:val="000000"/>
          <w:sz w:val="22"/>
          <w:szCs w:val="22"/>
        </w:rPr>
        <w:t>basoberritzeko</w:t>
      </w:r>
      <w:proofErr w:type="spellEnd"/>
      <w:r>
        <w:rPr>
          <w:rFonts w:ascii="Arial" w:hAnsi="Arial"/>
          <w:i/>
          <w:color w:val="000000"/>
          <w:sz w:val="22"/>
          <w:szCs w:val="22"/>
        </w:rPr>
        <w:t xml:space="preserve"> aurreko kanpainetako errenta-galerari lotutako neurriak dira. </w:t>
      </w:r>
      <w:bookmarkStart w:id="1" w:name="_Hlk531531242"/>
      <w:r>
        <w:rPr>
          <w:rFonts w:ascii="Arial" w:hAnsi="Arial"/>
          <w:color w:val="000000"/>
          <w:sz w:val="22"/>
          <w:szCs w:val="22"/>
        </w:rPr>
        <w:t>Erriberan, azken urte hauetan, honako kopuru hauek ordaindu dira:</w:t>
      </w:r>
    </w:p>
    <w:tbl>
      <w:tblPr>
        <w:tblW w:w="8588" w:type="dxa"/>
        <w:tblCellMar>
          <w:left w:w="70" w:type="dxa"/>
          <w:right w:w="70" w:type="dxa"/>
        </w:tblCellMar>
        <w:tblLook w:val="0000" w:firstRow="0" w:lastRow="0" w:firstColumn="0" w:lastColumn="0" w:noHBand="0" w:noVBand="0"/>
      </w:tblPr>
      <w:tblGrid>
        <w:gridCol w:w="1539"/>
        <w:gridCol w:w="1478"/>
        <w:gridCol w:w="1313"/>
        <w:gridCol w:w="1438"/>
        <w:gridCol w:w="1447"/>
        <w:gridCol w:w="1373"/>
      </w:tblGrid>
      <w:tr w:rsidR="009624F8" w:rsidRPr="00053D81" w:rsidTr="00053D81">
        <w:trPr>
          <w:trHeight w:val="20"/>
        </w:trPr>
        <w:tc>
          <w:tcPr>
            <w:tcW w:w="1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2011</w:t>
            </w:r>
          </w:p>
        </w:tc>
        <w:tc>
          <w:tcPr>
            <w:tcW w:w="1478" w:type="dxa"/>
            <w:tcBorders>
              <w:top w:val="single" w:sz="4" w:space="0" w:color="auto"/>
              <w:left w:val="nil"/>
              <w:bottom w:val="single" w:sz="4" w:space="0" w:color="auto"/>
              <w:right w:val="single" w:sz="4"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2012</w:t>
            </w:r>
          </w:p>
        </w:tc>
        <w:tc>
          <w:tcPr>
            <w:tcW w:w="1313" w:type="dxa"/>
            <w:tcBorders>
              <w:top w:val="single" w:sz="4" w:space="0" w:color="auto"/>
              <w:left w:val="nil"/>
              <w:bottom w:val="single" w:sz="4" w:space="0" w:color="auto"/>
              <w:right w:val="single" w:sz="4"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2013</w:t>
            </w:r>
          </w:p>
        </w:tc>
        <w:tc>
          <w:tcPr>
            <w:tcW w:w="1438" w:type="dxa"/>
            <w:tcBorders>
              <w:top w:val="single" w:sz="4" w:space="0" w:color="auto"/>
              <w:left w:val="nil"/>
              <w:bottom w:val="single" w:sz="4" w:space="0" w:color="auto"/>
              <w:right w:val="single" w:sz="4"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2014</w:t>
            </w:r>
          </w:p>
        </w:tc>
        <w:tc>
          <w:tcPr>
            <w:tcW w:w="1447" w:type="dxa"/>
            <w:tcBorders>
              <w:top w:val="single" w:sz="4" w:space="0" w:color="auto"/>
              <w:left w:val="nil"/>
              <w:bottom w:val="single" w:sz="4" w:space="0" w:color="auto"/>
              <w:right w:val="single" w:sz="4"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2015</w:t>
            </w:r>
          </w:p>
        </w:tc>
        <w:tc>
          <w:tcPr>
            <w:tcW w:w="1373" w:type="dxa"/>
            <w:tcBorders>
              <w:top w:val="single" w:sz="4" w:space="0" w:color="auto"/>
              <w:left w:val="nil"/>
              <w:bottom w:val="single" w:sz="4" w:space="0" w:color="auto"/>
              <w:right w:val="single" w:sz="4"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2016</w:t>
            </w:r>
          </w:p>
        </w:tc>
      </w:tr>
      <w:tr w:rsidR="009624F8" w:rsidRPr="00053D81" w:rsidTr="00053D81">
        <w:trPr>
          <w:trHeight w:val="20"/>
        </w:trPr>
        <w:tc>
          <w:tcPr>
            <w:tcW w:w="1539" w:type="dxa"/>
            <w:tcBorders>
              <w:top w:val="nil"/>
              <w:left w:val="single" w:sz="4" w:space="0" w:color="auto"/>
              <w:bottom w:val="single" w:sz="4" w:space="0" w:color="auto"/>
              <w:right w:val="single" w:sz="4" w:space="0" w:color="auto"/>
            </w:tcBorders>
            <w:noWrap/>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116.189,41 €</w:t>
            </w:r>
          </w:p>
        </w:tc>
        <w:tc>
          <w:tcPr>
            <w:tcW w:w="1478" w:type="dxa"/>
            <w:tcBorders>
              <w:top w:val="nil"/>
              <w:left w:val="nil"/>
              <w:bottom w:val="single" w:sz="4" w:space="0" w:color="auto"/>
              <w:right w:val="single" w:sz="4" w:space="0" w:color="auto"/>
            </w:tcBorders>
            <w:noWrap/>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128.804,30 €</w:t>
            </w:r>
          </w:p>
        </w:tc>
        <w:tc>
          <w:tcPr>
            <w:tcW w:w="1313" w:type="dxa"/>
            <w:tcBorders>
              <w:top w:val="nil"/>
              <w:left w:val="nil"/>
              <w:bottom w:val="single" w:sz="4" w:space="0" w:color="auto"/>
              <w:right w:val="single" w:sz="4" w:space="0" w:color="auto"/>
            </w:tcBorders>
            <w:noWrap/>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101.126,93 €</w:t>
            </w:r>
          </w:p>
        </w:tc>
        <w:tc>
          <w:tcPr>
            <w:tcW w:w="1438" w:type="dxa"/>
            <w:tcBorders>
              <w:top w:val="nil"/>
              <w:left w:val="nil"/>
              <w:bottom w:val="single" w:sz="4" w:space="0" w:color="auto"/>
              <w:right w:val="single" w:sz="4" w:space="0" w:color="auto"/>
            </w:tcBorders>
            <w:noWrap/>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136.107,31 €</w:t>
            </w:r>
          </w:p>
        </w:tc>
        <w:tc>
          <w:tcPr>
            <w:tcW w:w="1447" w:type="dxa"/>
            <w:tcBorders>
              <w:top w:val="nil"/>
              <w:left w:val="nil"/>
              <w:bottom w:val="single" w:sz="4" w:space="0" w:color="auto"/>
              <w:right w:val="single" w:sz="4" w:space="0" w:color="auto"/>
            </w:tcBorders>
            <w:noWrap/>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100.362,84 €</w:t>
            </w:r>
          </w:p>
        </w:tc>
        <w:tc>
          <w:tcPr>
            <w:tcW w:w="1373" w:type="dxa"/>
            <w:tcBorders>
              <w:top w:val="nil"/>
              <w:left w:val="nil"/>
              <w:bottom w:val="single" w:sz="4" w:space="0" w:color="auto"/>
              <w:right w:val="single" w:sz="4" w:space="0" w:color="auto"/>
            </w:tcBorders>
            <w:noWrap/>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76.979,88 €</w:t>
            </w:r>
          </w:p>
        </w:tc>
      </w:tr>
      <w:bookmarkEnd w:id="1"/>
    </w:tbl>
    <w:p w:rsidR="009624F8" w:rsidRDefault="009624F8" w:rsidP="009624F8">
      <w:pPr>
        <w:pStyle w:val="NormalWeb"/>
        <w:spacing w:line="360" w:lineRule="auto"/>
        <w:ind w:left="567"/>
        <w:jc w:val="both"/>
        <w:rPr>
          <w:rFonts w:ascii="Arial" w:hAnsi="Arial" w:cs="Arial"/>
          <w:color w:val="000000"/>
          <w:sz w:val="22"/>
          <w:szCs w:val="22"/>
        </w:rPr>
      </w:pPr>
    </w:p>
    <w:p w:rsidR="009624F8" w:rsidRDefault="009624F8" w:rsidP="009624F8">
      <w:pPr>
        <w:pStyle w:val="NormalWeb"/>
        <w:numPr>
          <w:ilvl w:val="0"/>
          <w:numId w:val="12"/>
        </w:numPr>
        <w:spacing w:line="360" w:lineRule="auto"/>
        <w:ind w:left="567"/>
        <w:jc w:val="both"/>
        <w:rPr>
          <w:rFonts w:ascii="Arial" w:hAnsi="Arial" w:cs="Arial"/>
          <w:color w:val="000000"/>
          <w:sz w:val="22"/>
          <w:szCs w:val="22"/>
        </w:rPr>
      </w:pPr>
      <w:r>
        <w:rPr>
          <w:rFonts w:ascii="Arial" w:hAnsi="Arial"/>
          <w:color w:val="000000"/>
          <w:sz w:val="22"/>
          <w:szCs w:val="22"/>
        </w:rPr>
        <w:t xml:space="preserve">Baso-ekosistemen egokitze-gaitasuna eta ingurumen-balioa handitzeko inbertsioetarako laguntza. Azpi-neurri hori gauzatzen da urtero egiten diren baso lanetarako laguntzetarako kanpainetan, toki entitateek edo partikularrek eskatuta egiten direnetan. Erriberan, azken urte hauetan, honako zenbateko hauek ordaindu dira toki entitateentzako baso-lanetarako laguntzetarako kanpainan: </w:t>
      </w:r>
    </w:p>
    <w:tbl>
      <w:tblPr>
        <w:tblW w:w="7200" w:type="dxa"/>
        <w:jc w:val="center"/>
        <w:tblCellMar>
          <w:left w:w="70" w:type="dxa"/>
          <w:right w:w="70" w:type="dxa"/>
        </w:tblCellMar>
        <w:tblLook w:val="0000" w:firstRow="0" w:lastRow="0" w:firstColumn="0" w:lastColumn="0" w:noHBand="0" w:noVBand="0"/>
      </w:tblPr>
      <w:tblGrid>
        <w:gridCol w:w="1200"/>
        <w:gridCol w:w="1200"/>
        <w:gridCol w:w="1200"/>
        <w:gridCol w:w="1200"/>
        <w:gridCol w:w="1200"/>
        <w:gridCol w:w="1200"/>
      </w:tblGrid>
      <w:tr w:rsidR="009624F8" w:rsidRPr="00053D81" w:rsidTr="00053D81">
        <w:trPr>
          <w:trHeight w:val="20"/>
          <w:jc w:val="center"/>
        </w:trPr>
        <w:tc>
          <w:tcPr>
            <w:tcW w:w="120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2011</w:t>
            </w:r>
          </w:p>
        </w:tc>
        <w:tc>
          <w:tcPr>
            <w:tcW w:w="1200" w:type="dxa"/>
            <w:tcBorders>
              <w:top w:val="single" w:sz="8" w:space="0" w:color="auto"/>
              <w:left w:val="nil"/>
              <w:bottom w:val="single" w:sz="8" w:space="0" w:color="auto"/>
              <w:right w:val="single" w:sz="8"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2012</w:t>
            </w:r>
          </w:p>
        </w:tc>
        <w:tc>
          <w:tcPr>
            <w:tcW w:w="1200" w:type="dxa"/>
            <w:tcBorders>
              <w:top w:val="single" w:sz="8" w:space="0" w:color="auto"/>
              <w:left w:val="nil"/>
              <w:bottom w:val="single" w:sz="8" w:space="0" w:color="auto"/>
              <w:right w:val="single" w:sz="8"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2013</w:t>
            </w:r>
          </w:p>
        </w:tc>
        <w:tc>
          <w:tcPr>
            <w:tcW w:w="1200" w:type="dxa"/>
            <w:tcBorders>
              <w:top w:val="single" w:sz="8" w:space="0" w:color="auto"/>
              <w:left w:val="nil"/>
              <w:bottom w:val="single" w:sz="8" w:space="0" w:color="auto"/>
              <w:right w:val="single" w:sz="8"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2014</w:t>
            </w:r>
          </w:p>
        </w:tc>
        <w:tc>
          <w:tcPr>
            <w:tcW w:w="1200" w:type="dxa"/>
            <w:tcBorders>
              <w:top w:val="single" w:sz="8" w:space="0" w:color="auto"/>
              <w:left w:val="nil"/>
              <w:bottom w:val="single" w:sz="8" w:space="0" w:color="auto"/>
              <w:right w:val="single" w:sz="8"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2015-16</w:t>
            </w:r>
          </w:p>
        </w:tc>
        <w:tc>
          <w:tcPr>
            <w:tcW w:w="1200" w:type="dxa"/>
            <w:tcBorders>
              <w:top w:val="single" w:sz="8" w:space="0" w:color="auto"/>
              <w:left w:val="nil"/>
              <w:bottom w:val="single" w:sz="8" w:space="0" w:color="auto"/>
              <w:right w:val="single" w:sz="8"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2016 -17</w:t>
            </w:r>
          </w:p>
        </w:tc>
      </w:tr>
      <w:tr w:rsidR="009624F8" w:rsidRPr="00053D81" w:rsidTr="00053D81">
        <w:trPr>
          <w:trHeight w:val="20"/>
          <w:jc w:val="center"/>
        </w:trPr>
        <w:tc>
          <w:tcPr>
            <w:tcW w:w="1200" w:type="dxa"/>
            <w:tcBorders>
              <w:top w:val="single" w:sz="4" w:space="0" w:color="auto"/>
              <w:left w:val="single" w:sz="4" w:space="0" w:color="auto"/>
              <w:bottom w:val="single" w:sz="4" w:space="0" w:color="auto"/>
              <w:right w:val="single" w:sz="4" w:space="0" w:color="auto"/>
            </w:tcBorders>
            <w:noWrap/>
            <w:vAlign w:val="bottom"/>
          </w:tcPr>
          <w:p w:rsidR="009624F8" w:rsidRPr="00053D81" w:rsidRDefault="009624F8" w:rsidP="00053D81">
            <w:pPr>
              <w:spacing w:before="40" w:after="40"/>
              <w:jc w:val="right"/>
              <w:rPr>
                <w:rFonts w:ascii="Calibri" w:hAnsi="Calibri"/>
                <w:color w:val="000000"/>
                <w:sz w:val="18"/>
                <w:szCs w:val="18"/>
              </w:rPr>
            </w:pPr>
            <w:r w:rsidRPr="00053D81">
              <w:rPr>
                <w:rFonts w:ascii="Calibri" w:hAnsi="Calibri"/>
                <w:color w:val="000000"/>
                <w:sz w:val="18"/>
                <w:szCs w:val="18"/>
              </w:rPr>
              <w:t>56.785,22</w:t>
            </w:r>
          </w:p>
        </w:tc>
        <w:tc>
          <w:tcPr>
            <w:tcW w:w="1200" w:type="dxa"/>
            <w:tcBorders>
              <w:top w:val="single" w:sz="4" w:space="0" w:color="auto"/>
              <w:left w:val="nil"/>
              <w:bottom w:val="single" w:sz="4" w:space="0" w:color="auto"/>
              <w:right w:val="single" w:sz="4" w:space="0" w:color="auto"/>
            </w:tcBorders>
            <w:noWrap/>
            <w:vAlign w:val="bottom"/>
          </w:tcPr>
          <w:p w:rsidR="009624F8" w:rsidRPr="00053D81" w:rsidRDefault="009624F8" w:rsidP="00053D81">
            <w:pPr>
              <w:spacing w:before="40" w:after="40"/>
              <w:jc w:val="right"/>
              <w:rPr>
                <w:rFonts w:ascii="Calibri" w:hAnsi="Calibri"/>
                <w:color w:val="000000"/>
                <w:sz w:val="18"/>
                <w:szCs w:val="18"/>
              </w:rPr>
            </w:pPr>
            <w:r w:rsidRPr="00053D81">
              <w:rPr>
                <w:rFonts w:ascii="Calibri" w:hAnsi="Calibri"/>
                <w:color w:val="000000"/>
                <w:sz w:val="18"/>
                <w:szCs w:val="18"/>
              </w:rPr>
              <w:t>35.588,95</w:t>
            </w:r>
          </w:p>
        </w:tc>
        <w:tc>
          <w:tcPr>
            <w:tcW w:w="1200" w:type="dxa"/>
            <w:tcBorders>
              <w:top w:val="single" w:sz="4" w:space="0" w:color="auto"/>
              <w:left w:val="nil"/>
              <w:bottom w:val="single" w:sz="4" w:space="0" w:color="auto"/>
              <w:right w:val="single" w:sz="4" w:space="0" w:color="auto"/>
            </w:tcBorders>
            <w:noWrap/>
            <w:vAlign w:val="bottom"/>
          </w:tcPr>
          <w:p w:rsidR="009624F8" w:rsidRPr="00053D81" w:rsidRDefault="009624F8" w:rsidP="00053D81">
            <w:pPr>
              <w:spacing w:before="40" w:after="40"/>
              <w:jc w:val="right"/>
              <w:rPr>
                <w:rFonts w:ascii="Calibri" w:hAnsi="Calibri"/>
                <w:color w:val="000000"/>
                <w:sz w:val="18"/>
                <w:szCs w:val="18"/>
              </w:rPr>
            </w:pPr>
            <w:r w:rsidRPr="00053D81">
              <w:rPr>
                <w:rFonts w:ascii="Calibri" w:hAnsi="Calibri"/>
                <w:color w:val="000000"/>
                <w:sz w:val="18"/>
                <w:szCs w:val="18"/>
              </w:rPr>
              <w:t>0,00</w:t>
            </w:r>
          </w:p>
        </w:tc>
        <w:tc>
          <w:tcPr>
            <w:tcW w:w="1200" w:type="dxa"/>
            <w:tcBorders>
              <w:top w:val="single" w:sz="4" w:space="0" w:color="auto"/>
              <w:left w:val="nil"/>
              <w:bottom w:val="single" w:sz="4" w:space="0" w:color="auto"/>
              <w:right w:val="single" w:sz="4" w:space="0" w:color="auto"/>
            </w:tcBorders>
            <w:noWrap/>
            <w:vAlign w:val="bottom"/>
          </w:tcPr>
          <w:p w:rsidR="009624F8" w:rsidRPr="00053D81" w:rsidRDefault="009624F8" w:rsidP="00053D81">
            <w:pPr>
              <w:spacing w:before="40" w:after="40"/>
              <w:jc w:val="right"/>
              <w:rPr>
                <w:rFonts w:ascii="Calibri" w:hAnsi="Calibri"/>
                <w:color w:val="000000"/>
                <w:sz w:val="18"/>
                <w:szCs w:val="18"/>
              </w:rPr>
            </w:pPr>
            <w:r w:rsidRPr="00053D81">
              <w:rPr>
                <w:rFonts w:ascii="Calibri" w:hAnsi="Calibri"/>
                <w:color w:val="000000"/>
                <w:sz w:val="18"/>
                <w:szCs w:val="18"/>
              </w:rPr>
              <w:t>0,00</w:t>
            </w:r>
          </w:p>
        </w:tc>
        <w:tc>
          <w:tcPr>
            <w:tcW w:w="1200" w:type="dxa"/>
            <w:tcBorders>
              <w:top w:val="single" w:sz="4" w:space="0" w:color="auto"/>
              <w:left w:val="nil"/>
              <w:bottom w:val="single" w:sz="4" w:space="0" w:color="auto"/>
              <w:right w:val="single" w:sz="4" w:space="0" w:color="auto"/>
            </w:tcBorders>
            <w:noWrap/>
            <w:vAlign w:val="bottom"/>
          </w:tcPr>
          <w:p w:rsidR="009624F8" w:rsidRPr="00053D81" w:rsidRDefault="009624F8" w:rsidP="00053D81">
            <w:pPr>
              <w:spacing w:before="40" w:after="40"/>
              <w:jc w:val="right"/>
              <w:rPr>
                <w:rFonts w:ascii="Calibri" w:hAnsi="Calibri"/>
                <w:color w:val="000000"/>
                <w:sz w:val="18"/>
                <w:szCs w:val="18"/>
              </w:rPr>
            </w:pPr>
            <w:r w:rsidRPr="00053D81">
              <w:rPr>
                <w:rFonts w:ascii="Calibri" w:hAnsi="Calibri"/>
                <w:color w:val="000000"/>
                <w:sz w:val="18"/>
                <w:szCs w:val="18"/>
              </w:rPr>
              <w:t>0,00</w:t>
            </w:r>
          </w:p>
        </w:tc>
        <w:tc>
          <w:tcPr>
            <w:tcW w:w="1200" w:type="dxa"/>
            <w:tcBorders>
              <w:top w:val="nil"/>
              <w:left w:val="nil"/>
              <w:bottom w:val="single" w:sz="4" w:space="0" w:color="auto"/>
              <w:right w:val="single" w:sz="4" w:space="0" w:color="auto"/>
            </w:tcBorders>
            <w:noWrap/>
            <w:vAlign w:val="bottom"/>
          </w:tcPr>
          <w:p w:rsidR="009624F8" w:rsidRPr="00053D81" w:rsidRDefault="009624F8" w:rsidP="00053D81">
            <w:pPr>
              <w:spacing w:before="40" w:after="40"/>
              <w:jc w:val="right"/>
              <w:rPr>
                <w:rFonts w:ascii="Calibri" w:hAnsi="Calibri"/>
                <w:color w:val="000000"/>
                <w:sz w:val="18"/>
                <w:szCs w:val="18"/>
              </w:rPr>
            </w:pPr>
            <w:r w:rsidRPr="00053D81">
              <w:rPr>
                <w:rFonts w:ascii="Calibri" w:hAnsi="Calibri"/>
                <w:color w:val="000000"/>
                <w:sz w:val="18"/>
                <w:szCs w:val="18"/>
              </w:rPr>
              <w:t>26.681,34</w:t>
            </w:r>
          </w:p>
        </w:tc>
      </w:tr>
    </w:tbl>
    <w:p w:rsidR="009624F8" w:rsidRDefault="009624F8" w:rsidP="009624F8">
      <w:pPr>
        <w:pStyle w:val="NormalWeb"/>
        <w:spacing w:line="360" w:lineRule="auto"/>
        <w:jc w:val="both"/>
        <w:rPr>
          <w:rFonts w:ascii="Arial" w:hAnsi="Arial" w:cs="Arial"/>
          <w:color w:val="000000"/>
          <w:sz w:val="22"/>
          <w:szCs w:val="22"/>
        </w:rPr>
      </w:pPr>
    </w:p>
    <w:p w:rsidR="009624F8" w:rsidRDefault="009624F8" w:rsidP="009624F8">
      <w:pPr>
        <w:pStyle w:val="NormalWeb"/>
        <w:spacing w:line="360" w:lineRule="auto"/>
        <w:jc w:val="both"/>
        <w:rPr>
          <w:rFonts w:ascii="Arial" w:hAnsi="Arial" w:cs="Arial"/>
          <w:color w:val="000000"/>
          <w:sz w:val="22"/>
          <w:szCs w:val="22"/>
        </w:rPr>
      </w:pPr>
      <w:r>
        <w:rPr>
          <w:rFonts w:ascii="Arial" w:hAnsi="Arial"/>
          <w:color w:val="000000"/>
          <w:sz w:val="22"/>
          <w:szCs w:val="22"/>
        </w:rPr>
        <w:t>Eta honako kopuru hauek eragile eta elkarte pribatuentzako laguntzetarako kanpainaren esparruan:</w:t>
      </w:r>
    </w:p>
    <w:tbl>
      <w:tblPr>
        <w:tblW w:w="7200" w:type="dxa"/>
        <w:jc w:val="center"/>
        <w:tblCellMar>
          <w:left w:w="70" w:type="dxa"/>
          <w:right w:w="70" w:type="dxa"/>
        </w:tblCellMar>
        <w:tblLook w:val="0000" w:firstRow="0" w:lastRow="0" w:firstColumn="0" w:lastColumn="0" w:noHBand="0" w:noVBand="0"/>
      </w:tblPr>
      <w:tblGrid>
        <w:gridCol w:w="1200"/>
        <w:gridCol w:w="1200"/>
        <w:gridCol w:w="1200"/>
        <w:gridCol w:w="1200"/>
        <w:gridCol w:w="1200"/>
        <w:gridCol w:w="1200"/>
      </w:tblGrid>
      <w:tr w:rsidR="009624F8" w:rsidRPr="00053D81" w:rsidTr="00053D81">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bookmarkStart w:id="2" w:name="_GoBack"/>
            <w:r w:rsidRPr="00053D81">
              <w:rPr>
                <w:rFonts w:ascii="Calibri" w:hAnsi="Calibri"/>
                <w:b/>
                <w:bCs/>
                <w:color w:val="000000"/>
                <w:sz w:val="18"/>
                <w:szCs w:val="18"/>
              </w:rPr>
              <w:t>2011</w:t>
            </w:r>
          </w:p>
        </w:tc>
        <w:tc>
          <w:tcPr>
            <w:tcW w:w="1200" w:type="dxa"/>
            <w:tcBorders>
              <w:top w:val="single" w:sz="4" w:space="0" w:color="auto"/>
              <w:left w:val="nil"/>
              <w:bottom w:val="single" w:sz="4" w:space="0" w:color="auto"/>
              <w:right w:val="single" w:sz="4"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2012</w:t>
            </w:r>
          </w:p>
        </w:tc>
        <w:tc>
          <w:tcPr>
            <w:tcW w:w="1200" w:type="dxa"/>
            <w:tcBorders>
              <w:top w:val="single" w:sz="4" w:space="0" w:color="auto"/>
              <w:left w:val="nil"/>
              <w:bottom w:val="single" w:sz="4" w:space="0" w:color="auto"/>
              <w:right w:val="single" w:sz="4"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2013</w:t>
            </w:r>
          </w:p>
        </w:tc>
        <w:tc>
          <w:tcPr>
            <w:tcW w:w="1200" w:type="dxa"/>
            <w:tcBorders>
              <w:top w:val="single" w:sz="4" w:space="0" w:color="auto"/>
              <w:left w:val="nil"/>
              <w:bottom w:val="single" w:sz="4" w:space="0" w:color="auto"/>
              <w:right w:val="single" w:sz="4"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2014</w:t>
            </w:r>
          </w:p>
        </w:tc>
        <w:tc>
          <w:tcPr>
            <w:tcW w:w="1200" w:type="dxa"/>
            <w:tcBorders>
              <w:top w:val="single" w:sz="4" w:space="0" w:color="auto"/>
              <w:left w:val="nil"/>
              <w:bottom w:val="single" w:sz="4" w:space="0" w:color="auto"/>
              <w:right w:val="single" w:sz="4"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2015-16</w:t>
            </w:r>
          </w:p>
        </w:tc>
        <w:tc>
          <w:tcPr>
            <w:tcW w:w="1200" w:type="dxa"/>
            <w:tcBorders>
              <w:top w:val="single" w:sz="4" w:space="0" w:color="auto"/>
              <w:left w:val="nil"/>
              <w:bottom w:val="single" w:sz="4" w:space="0" w:color="auto"/>
              <w:right w:val="single" w:sz="4" w:space="0" w:color="auto"/>
            </w:tcBorders>
            <w:shd w:val="clear" w:color="auto" w:fill="C6D9F1" w:themeFill="text2" w:themeFillTint="33"/>
            <w:vAlign w:val="bottom"/>
          </w:tcPr>
          <w:p w:rsidR="009624F8" w:rsidRPr="00053D81" w:rsidRDefault="009624F8" w:rsidP="00053D81">
            <w:pPr>
              <w:spacing w:before="40" w:after="40"/>
              <w:jc w:val="center"/>
              <w:rPr>
                <w:rFonts w:ascii="Calibri" w:hAnsi="Calibri"/>
                <w:b/>
                <w:bCs/>
                <w:color w:val="000000"/>
                <w:sz w:val="18"/>
                <w:szCs w:val="18"/>
              </w:rPr>
            </w:pPr>
            <w:r w:rsidRPr="00053D81">
              <w:rPr>
                <w:rFonts w:ascii="Calibri" w:hAnsi="Calibri"/>
                <w:b/>
                <w:bCs/>
                <w:color w:val="000000"/>
                <w:sz w:val="18"/>
                <w:szCs w:val="18"/>
              </w:rPr>
              <w:t>2016-17</w:t>
            </w:r>
          </w:p>
        </w:tc>
      </w:tr>
      <w:tr w:rsidR="009624F8" w:rsidRPr="00053D81" w:rsidTr="00053D81">
        <w:trPr>
          <w:trHeight w:val="20"/>
          <w:jc w:val="center"/>
        </w:trPr>
        <w:tc>
          <w:tcPr>
            <w:tcW w:w="1200" w:type="dxa"/>
            <w:tcBorders>
              <w:top w:val="nil"/>
              <w:left w:val="single" w:sz="4" w:space="0" w:color="auto"/>
              <w:bottom w:val="single" w:sz="4" w:space="0" w:color="auto"/>
              <w:right w:val="single" w:sz="4" w:space="0" w:color="auto"/>
            </w:tcBorders>
            <w:noWrap/>
            <w:vAlign w:val="bottom"/>
          </w:tcPr>
          <w:p w:rsidR="009624F8" w:rsidRPr="00053D81" w:rsidRDefault="009624F8" w:rsidP="00053D81">
            <w:pPr>
              <w:spacing w:before="40" w:after="40"/>
              <w:jc w:val="right"/>
              <w:rPr>
                <w:rFonts w:ascii="Calibri" w:hAnsi="Calibri"/>
                <w:color w:val="000000"/>
                <w:sz w:val="18"/>
                <w:szCs w:val="18"/>
              </w:rPr>
            </w:pPr>
            <w:r w:rsidRPr="00053D81">
              <w:rPr>
                <w:rFonts w:ascii="Calibri" w:hAnsi="Calibri"/>
                <w:color w:val="000000"/>
                <w:sz w:val="18"/>
                <w:szCs w:val="18"/>
              </w:rPr>
              <w:t>58.807,74</w:t>
            </w:r>
          </w:p>
        </w:tc>
        <w:tc>
          <w:tcPr>
            <w:tcW w:w="1200" w:type="dxa"/>
            <w:tcBorders>
              <w:top w:val="nil"/>
              <w:left w:val="nil"/>
              <w:bottom w:val="single" w:sz="4" w:space="0" w:color="auto"/>
              <w:right w:val="single" w:sz="4" w:space="0" w:color="auto"/>
            </w:tcBorders>
            <w:noWrap/>
            <w:vAlign w:val="bottom"/>
          </w:tcPr>
          <w:p w:rsidR="009624F8" w:rsidRPr="00053D81" w:rsidRDefault="009624F8" w:rsidP="00053D81">
            <w:pPr>
              <w:spacing w:before="40" w:after="40"/>
              <w:jc w:val="right"/>
              <w:rPr>
                <w:rFonts w:ascii="Calibri" w:hAnsi="Calibri"/>
                <w:color w:val="000000"/>
                <w:sz w:val="18"/>
                <w:szCs w:val="18"/>
              </w:rPr>
            </w:pPr>
            <w:r w:rsidRPr="00053D81">
              <w:rPr>
                <w:rFonts w:ascii="Calibri" w:hAnsi="Calibri"/>
                <w:color w:val="000000"/>
                <w:sz w:val="18"/>
                <w:szCs w:val="18"/>
              </w:rPr>
              <w:t>7.783,35</w:t>
            </w:r>
          </w:p>
        </w:tc>
        <w:tc>
          <w:tcPr>
            <w:tcW w:w="1200" w:type="dxa"/>
            <w:tcBorders>
              <w:top w:val="nil"/>
              <w:left w:val="nil"/>
              <w:bottom w:val="single" w:sz="4" w:space="0" w:color="auto"/>
              <w:right w:val="single" w:sz="4" w:space="0" w:color="auto"/>
            </w:tcBorders>
            <w:noWrap/>
            <w:vAlign w:val="bottom"/>
          </w:tcPr>
          <w:p w:rsidR="009624F8" w:rsidRPr="00053D81" w:rsidRDefault="009624F8" w:rsidP="00053D81">
            <w:pPr>
              <w:spacing w:before="40" w:after="40"/>
              <w:jc w:val="right"/>
              <w:rPr>
                <w:rFonts w:ascii="Calibri" w:hAnsi="Calibri"/>
                <w:color w:val="000000"/>
                <w:sz w:val="18"/>
                <w:szCs w:val="18"/>
              </w:rPr>
            </w:pPr>
            <w:r w:rsidRPr="00053D81">
              <w:rPr>
                <w:rFonts w:ascii="Calibri" w:hAnsi="Calibri"/>
                <w:color w:val="000000"/>
                <w:sz w:val="18"/>
                <w:szCs w:val="18"/>
              </w:rPr>
              <w:t>0</w:t>
            </w:r>
          </w:p>
        </w:tc>
        <w:tc>
          <w:tcPr>
            <w:tcW w:w="1200" w:type="dxa"/>
            <w:tcBorders>
              <w:top w:val="nil"/>
              <w:left w:val="nil"/>
              <w:bottom w:val="single" w:sz="4" w:space="0" w:color="auto"/>
              <w:right w:val="single" w:sz="4" w:space="0" w:color="auto"/>
            </w:tcBorders>
            <w:noWrap/>
            <w:vAlign w:val="bottom"/>
          </w:tcPr>
          <w:p w:rsidR="009624F8" w:rsidRPr="00053D81" w:rsidRDefault="009624F8" w:rsidP="00053D81">
            <w:pPr>
              <w:spacing w:before="40" w:after="40"/>
              <w:jc w:val="right"/>
              <w:rPr>
                <w:rFonts w:ascii="Calibri" w:hAnsi="Calibri"/>
                <w:color w:val="000000"/>
                <w:sz w:val="18"/>
                <w:szCs w:val="18"/>
              </w:rPr>
            </w:pPr>
            <w:r w:rsidRPr="00053D81">
              <w:rPr>
                <w:rFonts w:ascii="Calibri" w:hAnsi="Calibri"/>
                <w:color w:val="000000"/>
                <w:sz w:val="18"/>
                <w:szCs w:val="18"/>
              </w:rPr>
              <w:t>0</w:t>
            </w:r>
          </w:p>
        </w:tc>
        <w:tc>
          <w:tcPr>
            <w:tcW w:w="1200" w:type="dxa"/>
            <w:tcBorders>
              <w:top w:val="nil"/>
              <w:left w:val="nil"/>
              <w:bottom w:val="single" w:sz="4" w:space="0" w:color="auto"/>
              <w:right w:val="single" w:sz="4" w:space="0" w:color="auto"/>
            </w:tcBorders>
            <w:noWrap/>
            <w:vAlign w:val="bottom"/>
          </w:tcPr>
          <w:p w:rsidR="009624F8" w:rsidRPr="00053D81" w:rsidRDefault="009624F8" w:rsidP="00053D81">
            <w:pPr>
              <w:spacing w:before="40" w:after="40"/>
              <w:jc w:val="right"/>
              <w:rPr>
                <w:rFonts w:ascii="Calibri" w:hAnsi="Calibri"/>
                <w:color w:val="000000"/>
                <w:sz w:val="18"/>
                <w:szCs w:val="18"/>
              </w:rPr>
            </w:pPr>
            <w:r w:rsidRPr="00053D81">
              <w:rPr>
                <w:rFonts w:ascii="Calibri" w:hAnsi="Calibri"/>
                <w:color w:val="000000"/>
                <w:sz w:val="18"/>
                <w:szCs w:val="18"/>
              </w:rPr>
              <w:t>21.350,29</w:t>
            </w:r>
          </w:p>
        </w:tc>
        <w:tc>
          <w:tcPr>
            <w:tcW w:w="1200" w:type="dxa"/>
            <w:tcBorders>
              <w:top w:val="nil"/>
              <w:left w:val="nil"/>
              <w:bottom w:val="single" w:sz="4" w:space="0" w:color="auto"/>
              <w:right w:val="single" w:sz="4" w:space="0" w:color="auto"/>
            </w:tcBorders>
            <w:noWrap/>
            <w:vAlign w:val="bottom"/>
          </w:tcPr>
          <w:p w:rsidR="009624F8" w:rsidRPr="00053D81" w:rsidRDefault="009624F8" w:rsidP="00053D81">
            <w:pPr>
              <w:spacing w:before="40" w:after="40"/>
              <w:jc w:val="right"/>
              <w:rPr>
                <w:rFonts w:ascii="Calibri" w:hAnsi="Calibri"/>
                <w:color w:val="000000"/>
                <w:sz w:val="18"/>
                <w:szCs w:val="18"/>
              </w:rPr>
            </w:pPr>
            <w:r w:rsidRPr="00053D81">
              <w:rPr>
                <w:rFonts w:ascii="Calibri" w:hAnsi="Calibri"/>
                <w:color w:val="000000"/>
                <w:sz w:val="18"/>
                <w:szCs w:val="18"/>
              </w:rPr>
              <w:t>9.910,4</w:t>
            </w:r>
          </w:p>
        </w:tc>
      </w:tr>
      <w:bookmarkEnd w:id="2"/>
    </w:tbl>
    <w:p w:rsidR="009624F8" w:rsidRDefault="009624F8" w:rsidP="009624F8">
      <w:pPr>
        <w:pStyle w:val="NormalWeb"/>
        <w:spacing w:line="360" w:lineRule="auto"/>
        <w:jc w:val="both"/>
        <w:rPr>
          <w:rFonts w:ascii="Arial" w:hAnsi="Arial" w:cs="Arial"/>
          <w:color w:val="000000"/>
          <w:sz w:val="22"/>
          <w:szCs w:val="22"/>
        </w:rPr>
      </w:pPr>
    </w:p>
    <w:p w:rsidR="009624F8" w:rsidRDefault="009624F8" w:rsidP="009624F8">
      <w:pPr>
        <w:pStyle w:val="NormalWeb"/>
        <w:spacing w:line="360" w:lineRule="auto"/>
        <w:ind w:firstLine="708"/>
        <w:jc w:val="both"/>
        <w:rPr>
          <w:rFonts w:ascii="Arial" w:hAnsi="Arial" w:cs="Arial"/>
          <w:color w:val="000000"/>
          <w:sz w:val="22"/>
          <w:szCs w:val="22"/>
        </w:rPr>
      </w:pPr>
      <w:r>
        <w:rPr>
          <w:rFonts w:ascii="Arial" w:hAnsi="Arial"/>
          <w:color w:val="000000"/>
          <w:sz w:val="22"/>
          <w:szCs w:val="22"/>
        </w:rPr>
        <w:t>Aipatutako kanpainak biurtekoak dira. Une honetan, 2017-2018 kanpainaren ordainketa egiten ari da; hori dela eta, momentuz, ezin izan dira kasuko kopuruak sartu. Abendu honetan, halaber, 2018-2019ko kanpainako laguntzak ematen ari dira.</w:t>
      </w:r>
    </w:p>
    <w:p w:rsidR="009624F8" w:rsidRPr="007D5A22" w:rsidRDefault="009624F8" w:rsidP="009624F8">
      <w:pPr>
        <w:pStyle w:val="NormalWeb"/>
        <w:spacing w:line="360" w:lineRule="auto"/>
        <w:ind w:firstLine="708"/>
        <w:jc w:val="both"/>
        <w:rPr>
          <w:rFonts w:ascii="Arial" w:hAnsi="Arial" w:cs="Arial"/>
          <w:color w:val="000000"/>
          <w:sz w:val="22"/>
          <w:szCs w:val="22"/>
        </w:rPr>
      </w:pPr>
      <w:r>
        <w:rPr>
          <w:rFonts w:ascii="Arial" w:hAnsi="Arial"/>
          <w:color w:val="000000"/>
          <w:sz w:val="22"/>
          <w:szCs w:val="22"/>
        </w:rPr>
        <w:t xml:space="preserve">Laguntzetarako kanpaina hauetan </w:t>
      </w:r>
      <w:proofErr w:type="spellStart"/>
      <w:r>
        <w:rPr>
          <w:rFonts w:ascii="Arial" w:hAnsi="Arial"/>
          <w:color w:val="000000"/>
          <w:sz w:val="22"/>
          <w:szCs w:val="22"/>
        </w:rPr>
        <w:t>basoberritzeak</w:t>
      </w:r>
      <w:proofErr w:type="spellEnd"/>
      <w:r>
        <w:rPr>
          <w:rFonts w:ascii="Arial" w:hAnsi="Arial"/>
          <w:color w:val="000000"/>
          <w:sz w:val="22"/>
          <w:szCs w:val="22"/>
        </w:rPr>
        <w:t xml:space="preserve">, baso-lanak, biodibertsitatea eta azpiegitura txikiak sartzen dira. </w:t>
      </w:r>
      <w:proofErr w:type="spellStart"/>
      <w:r>
        <w:rPr>
          <w:rFonts w:ascii="Arial" w:hAnsi="Arial"/>
          <w:color w:val="000000"/>
          <w:sz w:val="22"/>
          <w:szCs w:val="22"/>
        </w:rPr>
        <w:t>Basoberritzeen</w:t>
      </w:r>
      <w:proofErr w:type="spellEnd"/>
      <w:r>
        <w:rPr>
          <w:rFonts w:ascii="Arial" w:hAnsi="Arial"/>
          <w:color w:val="000000"/>
          <w:sz w:val="22"/>
          <w:szCs w:val="22"/>
        </w:rPr>
        <w:t xml:space="preserve"> kasuan, diru-laguntzak eman daitezke soilik </w:t>
      </w:r>
      <w:proofErr w:type="spellStart"/>
      <w:r>
        <w:rPr>
          <w:rFonts w:ascii="Arial" w:hAnsi="Arial"/>
          <w:color w:val="000000"/>
          <w:sz w:val="22"/>
          <w:szCs w:val="22"/>
        </w:rPr>
        <w:t>LGPan</w:t>
      </w:r>
      <w:proofErr w:type="spellEnd"/>
      <w:r>
        <w:rPr>
          <w:rFonts w:ascii="Arial" w:hAnsi="Arial"/>
          <w:color w:val="000000"/>
          <w:sz w:val="22"/>
          <w:szCs w:val="22"/>
        </w:rPr>
        <w:t xml:space="preserve"> sarturik dauden espezieak erabiltzen dituztenei; espezie horietatik gehienak bertakoak dira. Nolanahi ere, nahitaezkoa da proiektu edo oroitidazki tekniko bat aurkeztea, non baso-espezieen egokitasuna segurtatzen baita.  </w:t>
      </w:r>
    </w:p>
    <w:p w:rsidR="00E42B87" w:rsidRDefault="009624F8" w:rsidP="009624F8">
      <w:pPr>
        <w:pStyle w:val="Textoindependiente"/>
        <w:spacing w:before="120" w:after="0" w:line="360" w:lineRule="auto"/>
        <w:ind w:firstLine="708"/>
        <w:rPr>
          <w:rFonts w:cs="Arial"/>
          <w:color w:val="000000"/>
          <w:sz w:val="22"/>
          <w:szCs w:val="22"/>
        </w:rPr>
      </w:pPr>
      <w:r>
        <w:rPr>
          <w:color w:val="000000"/>
          <w:sz w:val="22"/>
          <w:szCs w:val="22"/>
        </w:rPr>
        <w:t xml:space="preserve">Azkenean, aipatu beharra dago 2018ko abuztuaren 22an, eta Gobernuaren erabaki baten bitartez, baimena eman zela 2020ko ekitaldiari egoztekoak zaizkion urte anitzeko konpromisoak hartzeko —2.950.000 euro egiten </w:t>
      </w:r>
      <w:proofErr w:type="spellStart"/>
      <w:r>
        <w:rPr>
          <w:color w:val="000000"/>
          <w:sz w:val="22"/>
          <w:szCs w:val="22"/>
        </w:rPr>
        <w:t>dute—</w:t>
      </w:r>
      <w:proofErr w:type="spellEnd"/>
      <w:r>
        <w:rPr>
          <w:color w:val="000000"/>
          <w:sz w:val="22"/>
          <w:szCs w:val="22"/>
        </w:rPr>
        <w:t>, 2019-2020 kanpainako toki entitateek eta eragile eta elkarte pribatuek sustatutako baso-lanetarako laguntzen deialdiak sustatzeko (04.03.05 eta 08.05.01 neurriak), zeinak sarturik baitaude 2014-2020 aldirako Nafarroako Foru Komunitateko Landa Garapeneko Programan; horrek esan nahi du aurreko kanpainan baino 650.000 euro gehiago egonen direla.</w:t>
      </w:r>
    </w:p>
    <w:p w:rsidR="00E42B87" w:rsidRDefault="00011E8C" w:rsidP="00011E8C">
      <w:pPr>
        <w:spacing w:line="276" w:lineRule="auto"/>
        <w:jc w:val="both"/>
        <w:rPr>
          <w:rFonts w:ascii="Arial" w:hAnsi="Arial" w:cs="Arial"/>
          <w:b/>
          <w:sz w:val="22"/>
          <w:szCs w:val="22"/>
        </w:rPr>
      </w:pPr>
      <w:r>
        <w:rPr>
          <w:rFonts w:ascii="Arial" w:hAnsi="Arial"/>
          <w:b/>
          <w:sz w:val="22"/>
          <w:szCs w:val="22"/>
        </w:rPr>
        <w:t>.- Nafarroako Gobernuak zer erabaki hartu du Hondakinei buruzko 200/98/EEE Esparru Zuzentarauak eta 2017-2027 urteetarako Nafarroako Hondakinen Planak berak ezartzen dituen printzipioak eta helburuak betetzea bermatzeko, “</w:t>
      </w:r>
      <w:proofErr w:type="spellStart"/>
      <w:r>
        <w:rPr>
          <w:rFonts w:ascii="Arial" w:hAnsi="Arial"/>
          <w:b/>
          <w:sz w:val="22"/>
          <w:szCs w:val="22"/>
        </w:rPr>
        <w:t>El</w:t>
      </w:r>
      <w:proofErr w:type="spellEnd"/>
      <w:r>
        <w:rPr>
          <w:rFonts w:ascii="Arial" w:hAnsi="Arial"/>
          <w:b/>
          <w:sz w:val="22"/>
          <w:szCs w:val="22"/>
        </w:rPr>
        <w:t xml:space="preserve"> </w:t>
      </w:r>
      <w:proofErr w:type="spellStart"/>
      <w:r>
        <w:rPr>
          <w:rFonts w:ascii="Arial" w:hAnsi="Arial"/>
          <w:b/>
          <w:sz w:val="22"/>
          <w:szCs w:val="22"/>
        </w:rPr>
        <w:t>Culebrete</w:t>
      </w:r>
      <w:proofErr w:type="spellEnd"/>
      <w:r>
        <w:rPr>
          <w:rFonts w:ascii="Arial" w:hAnsi="Arial"/>
          <w:b/>
          <w:sz w:val="22"/>
          <w:szCs w:val="22"/>
        </w:rPr>
        <w:t>” (Tutera) plantako hondakinen kudeaketari dagokionez?</w:t>
      </w:r>
    </w:p>
    <w:p w:rsidR="002D6B4A" w:rsidRDefault="002D6B4A" w:rsidP="00824709">
      <w:pPr>
        <w:numPr>
          <w:ilvl w:val="0"/>
          <w:numId w:val="13"/>
        </w:numPr>
        <w:spacing w:after="200" w:line="360" w:lineRule="auto"/>
        <w:ind w:left="426"/>
        <w:jc w:val="both"/>
        <w:rPr>
          <w:rFonts w:ascii="Arial" w:hAnsi="Arial" w:cs="Arial"/>
          <w:sz w:val="22"/>
        </w:rPr>
      </w:pPr>
      <w:r>
        <w:rPr>
          <w:rFonts w:ascii="Arial" w:hAnsi="Arial"/>
          <w:sz w:val="22"/>
        </w:rPr>
        <w:t xml:space="preserve">Lehenbizi, instalazioa dela-eta kontrol- eta ikuskatze-lan bat egiten ari da, zeinak berekin baitakar, bestak beste, indarrean dagoela aipatutako araudian eta plangintzan aurreikusitako helburuen betetzea. Instalazio hori aldatzeko berriki egin diren </w:t>
      </w:r>
      <w:r>
        <w:rPr>
          <w:rFonts w:ascii="Arial" w:hAnsi="Arial"/>
          <w:sz w:val="22"/>
        </w:rPr>
        <w:lastRenderedPageBreak/>
        <w:t xml:space="preserve">espedienteak izapidetu dira, gai organikoaren zatia </w:t>
      </w:r>
      <w:proofErr w:type="spellStart"/>
      <w:r>
        <w:rPr>
          <w:rFonts w:ascii="Arial" w:hAnsi="Arial"/>
          <w:sz w:val="22"/>
        </w:rPr>
        <w:t>bioegonkortu</w:t>
      </w:r>
      <w:proofErr w:type="spellEnd"/>
      <w:r>
        <w:rPr>
          <w:rFonts w:ascii="Arial" w:hAnsi="Arial"/>
          <w:sz w:val="22"/>
        </w:rPr>
        <w:t xml:space="preserve"> gisa edo konpost gisa tratatzeko, jatorriaren arabera; hartara, lehenengo kasuan, gai organikoaren isurketaren aurreko tratamendua eginen da, edo bigarren kasuan, konpost gisako erabilerarako tratamendua. Instalazioaren aldaketa garrantzitsu hori abuztuaren 21eko 301E/2018 Ebazpenaren bidez onetsi zen. Aldaketa funtzionamenduan sartu aurretik, titularrak abian jartzeari buruzko erantzukizunpeko adierazpen bat aurkeztu beharko du Landa Garapeneko, Ingurumeneko Departamentuan, eta Nafarroako Gobernuak egiaztatu eginen du.</w:t>
      </w:r>
    </w:p>
    <w:p w:rsidR="003E7D06" w:rsidRPr="00824709" w:rsidRDefault="003E7D06" w:rsidP="003E7D06">
      <w:pPr>
        <w:spacing w:after="200" w:line="360" w:lineRule="auto"/>
        <w:ind w:left="426"/>
        <w:jc w:val="both"/>
        <w:rPr>
          <w:rFonts w:ascii="Arial" w:hAnsi="Arial" w:cs="Arial"/>
          <w:sz w:val="22"/>
        </w:rPr>
      </w:pPr>
      <w:r>
        <w:rPr>
          <w:rFonts w:ascii="Arial" w:hAnsi="Arial"/>
          <w:sz w:val="22"/>
        </w:rPr>
        <w:t>2017-2019 aldirako Tokiko Inbertsioen Planaren barruan, Erriberako Mankomunitateak aurkeztutako proiektu bat sartu da, egonkortze aerobioko planta bat egiteko, 1.423.963,55 euroko ekarpen batekin (uztailaren 12ko 504/2018 Ebazpena). Proiektu hori exekuzio-fasean dago. Une honetan, hasierako ordainketa izapidetzen ari da.</w:t>
      </w:r>
    </w:p>
    <w:p w:rsidR="002D6B4A" w:rsidRPr="002D6B4A" w:rsidRDefault="002D6B4A" w:rsidP="002D6B4A">
      <w:pPr>
        <w:numPr>
          <w:ilvl w:val="0"/>
          <w:numId w:val="13"/>
        </w:numPr>
        <w:spacing w:after="200" w:line="360" w:lineRule="auto"/>
        <w:ind w:left="426"/>
        <w:jc w:val="both"/>
        <w:rPr>
          <w:rFonts w:ascii="Arial" w:hAnsi="Arial" w:cs="Arial"/>
          <w:sz w:val="22"/>
        </w:rPr>
      </w:pPr>
      <w:r>
        <w:rPr>
          <w:rFonts w:ascii="Arial" w:hAnsi="Arial"/>
          <w:sz w:val="22"/>
        </w:rPr>
        <w:t>Gainera, Hondakinen Prebentziorako eta Ekonomia Zirkularra Sustatzeko Bulegoak, eta, zehazki, Nafarroako Hiri Hondakinen Partzuergoa egiten ari den lanaren barruan, gai organikoen prebentzio- eta bilketa-lanetan lagun egiteko honako zeregin hauek gauzatzen ari dira:</w:t>
      </w:r>
    </w:p>
    <w:p w:rsidR="00E42B87" w:rsidRDefault="002D6B4A" w:rsidP="002D6B4A">
      <w:pPr>
        <w:spacing w:line="360" w:lineRule="auto"/>
        <w:ind w:left="851"/>
        <w:jc w:val="both"/>
        <w:rPr>
          <w:rFonts w:ascii="Arial" w:hAnsi="Arial" w:cs="Arial"/>
          <w:sz w:val="22"/>
        </w:rPr>
      </w:pPr>
      <w:r>
        <w:rPr>
          <w:rFonts w:ascii="Arial" w:hAnsi="Arial"/>
          <w:sz w:val="22"/>
        </w:rPr>
        <w:t>PREBENTZIOA</w:t>
      </w:r>
    </w:p>
    <w:p w:rsidR="002D6B4A" w:rsidRPr="002D6B4A" w:rsidRDefault="002D6B4A" w:rsidP="002D6B4A">
      <w:pPr>
        <w:numPr>
          <w:ilvl w:val="0"/>
          <w:numId w:val="14"/>
        </w:numPr>
        <w:spacing w:after="200" w:line="360" w:lineRule="auto"/>
        <w:ind w:left="851"/>
        <w:jc w:val="both"/>
        <w:rPr>
          <w:rFonts w:ascii="Arial" w:hAnsi="Arial" w:cs="Arial"/>
          <w:sz w:val="22"/>
        </w:rPr>
      </w:pPr>
      <w:r>
        <w:rPr>
          <w:rFonts w:ascii="Arial" w:hAnsi="Arial"/>
          <w:sz w:val="22"/>
        </w:rPr>
        <w:t>Une hauetan, Erriberako Mankomunitatearekin lan egiten ari gara hondakinen prebentziorako eta hurbileko merkataritza sustatzeko proiektu batean. Bertatik bertara egon gara proiektu hori ikusten, eta eskaini dugu proiektua sar dadila hondakinen partzuergoak mankomunitate guztietan bultzatzen duen prebentzio programetan.</w:t>
      </w:r>
    </w:p>
    <w:p w:rsidR="002D6B4A" w:rsidRPr="002D6B4A" w:rsidRDefault="002D6B4A" w:rsidP="002D6B4A">
      <w:pPr>
        <w:numPr>
          <w:ilvl w:val="0"/>
          <w:numId w:val="14"/>
        </w:numPr>
        <w:spacing w:after="200" w:line="360" w:lineRule="auto"/>
        <w:ind w:left="851"/>
        <w:jc w:val="both"/>
        <w:rPr>
          <w:rFonts w:ascii="Arial" w:hAnsi="Arial" w:cs="Arial"/>
          <w:sz w:val="22"/>
        </w:rPr>
      </w:pPr>
      <w:r>
        <w:rPr>
          <w:rFonts w:ascii="Arial" w:hAnsi="Arial"/>
          <w:sz w:val="22"/>
        </w:rPr>
        <w:t>Tuterako azokan prebentzio-jardunaldia egin da, eta tokiko eta hurbiltasuneko kontsumoko esperientziak aurkeztu dira. Ontzirik gabeko merkataritza. Jarduera horretan, oihalezko poltsa berrerabilgarriak banatu ziren azokako saltoki guztietan.</w:t>
      </w:r>
    </w:p>
    <w:p w:rsidR="002D6B4A" w:rsidRPr="002D6B4A" w:rsidRDefault="002D6B4A" w:rsidP="002D6B4A">
      <w:pPr>
        <w:numPr>
          <w:ilvl w:val="0"/>
          <w:numId w:val="14"/>
        </w:numPr>
        <w:spacing w:after="200" w:line="360" w:lineRule="auto"/>
        <w:ind w:left="851"/>
        <w:jc w:val="both"/>
        <w:rPr>
          <w:rFonts w:ascii="Arial" w:hAnsi="Arial" w:cs="Arial"/>
          <w:sz w:val="22"/>
        </w:rPr>
      </w:pPr>
      <w:r>
        <w:rPr>
          <w:rFonts w:ascii="Arial" w:hAnsi="Arial"/>
          <w:sz w:val="22"/>
        </w:rPr>
        <w:t xml:space="preserve">Cascanteko ikastetxe publikoan Nafarroa osorako hezkuntza-proiektu bat aurkeztu zen, </w:t>
      </w:r>
      <w:proofErr w:type="spellStart"/>
      <w:r>
        <w:rPr>
          <w:rFonts w:ascii="Arial" w:hAnsi="Arial"/>
          <w:sz w:val="22"/>
        </w:rPr>
        <w:t>BokatONas</w:t>
      </w:r>
      <w:proofErr w:type="spellEnd"/>
      <w:r>
        <w:rPr>
          <w:rFonts w:ascii="Arial" w:hAnsi="Arial"/>
          <w:sz w:val="22"/>
        </w:rPr>
        <w:t xml:space="preserve"> delakoa banatuz (ogitarteko-ontzia, ikastetxean bilgarrien erabilera gutxitzeko).</w:t>
      </w:r>
    </w:p>
    <w:p w:rsidR="002D6B4A" w:rsidRPr="002D6B4A" w:rsidRDefault="002D6B4A" w:rsidP="002D6B4A">
      <w:pPr>
        <w:numPr>
          <w:ilvl w:val="0"/>
          <w:numId w:val="14"/>
        </w:numPr>
        <w:spacing w:after="200" w:line="360" w:lineRule="auto"/>
        <w:ind w:left="851"/>
        <w:jc w:val="both"/>
        <w:rPr>
          <w:rFonts w:ascii="Arial" w:hAnsi="Arial" w:cs="Arial"/>
          <w:sz w:val="22"/>
        </w:rPr>
      </w:pPr>
      <w:r>
        <w:rPr>
          <w:rFonts w:ascii="Arial" w:hAnsi="Arial"/>
          <w:sz w:val="22"/>
        </w:rPr>
        <w:t>Ikastetxe berean, hamarretakoaren orduan patioan sortutako hondakinen sailkapena egin zen.</w:t>
      </w:r>
    </w:p>
    <w:p w:rsidR="002D6B4A" w:rsidRPr="002D6B4A" w:rsidRDefault="002D6B4A" w:rsidP="002D6B4A">
      <w:pPr>
        <w:numPr>
          <w:ilvl w:val="0"/>
          <w:numId w:val="14"/>
        </w:numPr>
        <w:spacing w:after="200" w:line="360" w:lineRule="auto"/>
        <w:ind w:left="851"/>
        <w:jc w:val="both"/>
        <w:rPr>
          <w:rFonts w:ascii="Arial" w:hAnsi="Arial" w:cs="Arial"/>
          <w:sz w:val="22"/>
        </w:rPr>
      </w:pPr>
      <w:r>
        <w:rPr>
          <w:rFonts w:ascii="Arial" w:hAnsi="Arial"/>
          <w:sz w:val="22"/>
        </w:rPr>
        <w:t xml:space="preserve">Tuteran jardunaldi oso bat egin zen, jarduera askorekin, prebentzio-astearen barruan. Hartan, bisita bat egin zen, Erriberako hainbat hautetsirekin batera, Elikagaien Bankura, Villa Javier jantoki sozialera eta </w:t>
      </w:r>
      <w:proofErr w:type="spellStart"/>
      <w:r>
        <w:rPr>
          <w:rFonts w:ascii="Arial" w:hAnsi="Arial"/>
          <w:sz w:val="22"/>
        </w:rPr>
        <w:t>El</w:t>
      </w:r>
      <w:proofErr w:type="spellEnd"/>
      <w:r>
        <w:rPr>
          <w:rFonts w:ascii="Arial" w:hAnsi="Arial"/>
          <w:sz w:val="22"/>
        </w:rPr>
        <w:t xml:space="preserve"> </w:t>
      </w:r>
      <w:proofErr w:type="spellStart"/>
      <w:r>
        <w:rPr>
          <w:rFonts w:ascii="Arial" w:hAnsi="Arial"/>
          <w:sz w:val="22"/>
        </w:rPr>
        <w:t>Capacico</w:t>
      </w:r>
      <w:proofErr w:type="spellEnd"/>
      <w:r>
        <w:rPr>
          <w:rFonts w:ascii="Arial" w:hAnsi="Arial"/>
          <w:sz w:val="22"/>
        </w:rPr>
        <w:t xml:space="preserve"> supermerkatura, elikagaien alferrik galtzea arintzeko ahaleginaren barruan.</w:t>
      </w:r>
    </w:p>
    <w:p w:rsidR="002D6B4A" w:rsidRPr="002D6B4A" w:rsidRDefault="002D6B4A" w:rsidP="002D6B4A">
      <w:pPr>
        <w:numPr>
          <w:ilvl w:val="0"/>
          <w:numId w:val="14"/>
        </w:numPr>
        <w:spacing w:after="200" w:line="360" w:lineRule="auto"/>
        <w:ind w:left="851"/>
        <w:jc w:val="both"/>
        <w:rPr>
          <w:rFonts w:ascii="Arial" w:hAnsi="Arial" w:cs="Arial"/>
          <w:sz w:val="22"/>
        </w:rPr>
      </w:pPr>
      <w:r>
        <w:rPr>
          <w:rFonts w:ascii="Arial" w:hAnsi="Arial"/>
          <w:sz w:val="22"/>
        </w:rPr>
        <w:t>Egun berean, “</w:t>
      </w:r>
      <w:proofErr w:type="spellStart"/>
      <w:r>
        <w:rPr>
          <w:rFonts w:ascii="Arial" w:hAnsi="Arial"/>
          <w:sz w:val="22"/>
        </w:rPr>
        <w:t>nikezdutbotatzen</w:t>
      </w:r>
      <w:proofErr w:type="spellEnd"/>
      <w:r>
        <w:rPr>
          <w:rFonts w:ascii="Arial" w:hAnsi="Arial"/>
          <w:sz w:val="22"/>
        </w:rPr>
        <w:t xml:space="preserve">” izena hartu dutenen jardunaldi bat egon zen Tuterako azokan, elikagaien zein jantzien eta bizikleten </w:t>
      </w:r>
      <w:proofErr w:type="spellStart"/>
      <w:r>
        <w:rPr>
          <w:rFonts w:ascii="Arial" w:hAnsi="Arial"/>
          <w:sz w:val="22"/>
        </w:rPr>
        <w:t>errerabilpenari</w:t>
      </w:r>
      <w:proofErr w:type="spellEnd"/>
      <w:r>
        <w:rPr>
          <w:rFonts w:ascii="Arial" w:hAnsi="Arial"/>
          <w:sz w:val="22"/>
        </w:rPr>
        <w:t xml:space="preserve"> buruzko tailerrekin. Jardunaldian, paperezko poltsa berrerabilgarriak banatu ziren, “</w:t>
      </w:r>
      <w:proofErr w:type="spellStart"/>
      <w:r>
        <w:rPr>
          <w:rFonts w:ascii="Arial" w:hAnsi="Arial"/>
          <w:sz w:val="22"/>
        </w:rPr>
        <w:t>Agurplásticoadiós</w:t>
      </w:r>
      <w:proofErr w:type="spellEnd"/>
      <w:r>
        <w:rPr>
          <w:rFonts w:ascii="Arial" w:hAnsi="Arial"/>
          <w:sz w:val="22"/>
        </w:rPr>
        <w:t>” kanpainaren barruan.</w:t>
      </w:r>
    </w:p>
    <w:p w:rsidR="002D6B4A" w:rsidRPr="002D6B4A" w:rsidRDefault="002D6B4A" w:rsidP="002D6B4A">
      <w:pPr>
        <w:numPr>
          <w:ilvl w:val="0"/>
          <w:numId w:val="14"/>
        </w:numPr>
        <w:spacing w:after="200" w:line="360" w:lineRule="auto"/>
        <w:ind w:left="851"/>
        <w:jc w:val="both"/>
        <w:rPr>
          <w:rFonts w:ascii="Arial" w:hAnsi="Arial" w:cs="Arial"/>
          <w:sz w:val="22"/>
        </w:rPr>
      </w:pPr>
      <w:r>
        <w:rPr>
          <w:rFonts w:ascii="Arial" w:hAnsi="Arial"/>
          <w:sz w:val="22"/>
        </w:rPr>
        <w:t>Erriberako Mankomunitatean, 35.000 paperezko poltsa banatu ziren tokiko eta hurbileko saltokietan.</w:t>
      </w:r>
    </w:p>
    <w:p w:rsidR="002D6B4A" w:rsidRPr="002D6B4A" w:rsidRDefault="002D6B4A" w:rsidP="002D6B4A">
      <w:pPr>
        <w:numPr>
          <w:ilvl w:val="0"/>
          <w:numId w:val="14"/>
        </w:numPr>
        <w:spacing w:after="200" w:line="360" w:lineRule="auto"/>
        <w:ind w:left="851"/>
        <w:jc w:val="both"/>
        <w:rPr>
          <w:rFonts w:ascii="Arial" w:hAnsi="Arial" w:cs="Arial"/>
          <w:sz w:val="22"/>
        </w:rPr>
      </w:pPr>
      <w:r>
        <w:rPr>
          <w:rFonts w:ascii="Arial" w:hAnsi="Arial"/>
          <w:sz w:val="22"/>
        </w:rPr>
        <w:t xml:space="preserve">Ontziteria berrerabilgarria eraman dira Murchanteko gazteen jaietara, eta edalontzi berrerabilgarriak, berriz, Ribaforadako “La </w:t>
      </w:r>
      <w:proofErr w:type="spellStart"/>
      <w:r>
        <w:rPr>
          <w:rFonts w:ascii="Arial" w:hAnsi="Arial"/>
          <w:sz w:val="22"/>
        </w:rPr>
        <w:t>Pellejo</w:t>
      </w:r>
      <w:proofErr w:type="spellEnd"/>
      <w:r>
        <w:rPr>
          <w:rFonts w:ascii="Arial" w:hAnsi="Arial"/>
          <w:sz w:val="22"/>
        </w:rPr>
        <w:t>” motorzaleen bilgunera.</w:t>
      </w:r>
    </w:p>
    <w:p w:rsidR="00E42B87" w:rsidRDefault="002D6B4A" w:rsidP="002D6B4A">
      <w:pPr>
        <w:numPr>
          <w:ilvl w:val="0"/>
          <w:numId w:val="14"/>
        </w:numPr>
        <w:spacing w:after="200" w:line="360" w:lineRule="auto"/>
        <w:ind w:left="851"/>
        <w:jc w:val="both"/>
        <w:rPr>
          <w:rFonts w:ascii="Arial" w:hAnsi="Arial" w:cs="Arial"/>
          <w:sz w:val="22"/>
        </w:rPr>
      </w:pPr>
      <w:r>
        <w:rPr>
          <w:rFonts w:ascii="Arial" w:hAnsi="Arial"/>
          <w:sz w:val="22"/>
        </w:rPr>
        <w:t>Elikagaien Bankuarekin elikagaien hondarren bilketa egin da, iraungitzeko pronto dauden elikagaiak jasotzeko bide bat irekitze aldera, haiek, gizarte zerbitzuen bitartez, ohiko banaketaren zirkuituan sartzeko. Bai Hondakinen Partzuergoa, bai mankomunitatea bera prest daude finantzaketa eta logistika bilatzeko. Arazoa edo zailtasuna, une honetan, Elikagaien Bankuko boluntarioengan dago.</w:t>
      </w:r>
    </w:p>
    <w:p w:rsidR="00E42B87" w:rsidRDefault="002D6B4A" w:rsidP="002D6B4A">
      <w:pPr>
        <w:spacing w:line="360" w:lineRule="auto"/>
        <w:ind w:left="851"/>
        <w:jc w:val="both"/>
        <w:rPr>
          <w:rFonts w:ascii="Arial" w:hAnsi="Arial" w:cs="Arial"/>
          <w:sz w:val="22"/>
        </w:rPr>
      </w:pPr>
      <w:r>
        <w:rPr>
          <w:rFonts w:ascii="Arial" w:hAnsi="Arial"/>
          <w:sz w:val="22"/>
        </w:rPr>
        <w:t>GAI ORGANIKOA</w:t>
      </w:r>
    </w:p>
    <w:p w:rsidR="002D6B4A" w:rsidRPr="002D6B4A" w:rsidRDefault="002D6B4A" w:rsidP="002D6B4A">
      <w:pPr>
        <w:numPr>
          <w:ilvl w:val="0"/>
          <w:numId w:val="14"/>
        </w:numPr>
        <w:spacing w:after="200" w:line="360" w:lineRule="auto"/>
        <w:ind w:left="851"/>
        <w:jc w:val="both"/>
        <w:rPr>
          <w:rFonts w:ascii="Arial" w:hAnsi="Arial" w:cs="Arial"/>
          <w:sz w:val="22"/>
        </w:rPr>
      </w:pPr>
      <w:r>
        <w:rPr>
          <w:rFonts w:ascii="Arial" w:hAnsi="Arial"/>
          <w:sz w:val="22"/>
        </w:rPr>
        <w:t xml:space="preserve">Une honetan, 5. edukiontziarekin, gaikako bilketa egiten da Tuterako merkataritza-eremuetan: 238 tona jasotzen dira. Irailean jakinarazi zen aurrekonturik ez zegoela 2018an hasteko, eta konpromisoa hartu zuten 2019ko aurrekontuetan sartzeko; zehazki, Tuteran 5. edukiontziaren bidezko bilketa egiteko. </w:t>
      </w:r>
    </w:p>
    <w:p w:rsidR="00E42B87" w:rsidRDefault="002D6B4A" w:rsidP="002D6B4A">
      <w:pPr>
        <w:numPr>
          <w:ilvl w:val="0"/>
          <w:numId w:val="14"/>
        </w:numPr>
        <w:spacing w:after="200" w:line="360" w:lineRule="auto"/>
        <w:ind w:left="851"/>
        <w:jc w:val="both"/>
        <w:rPr>
          <w:rFonts w:ascii="Arial" w:hAnsi="Arial" w:cs="Arial"/>
          <w:sz w:val="22"/>
        </w:rPr>
      </w:pPr>
      <w:r>
        <w:rPr>
          <w:rFonts w:ascii="Arial" w:hAnsi="Arial"/>
          <w:sz w:val="22"/>
        </w:rPr>
        <w:t xml:space="preserve">Prebentzio Bulegoak </w:t>
      </w:r>
      <w:proofErr w:type="spellStart"/>
      <w:r>
        <w:rPr>
          <w:rFonts w:ascii="Arial" w:hAnsi="Arial"/>
          <w:sz w:val="22"/>
        </w:rPr>
        <w:t>Queiles</w:t>
      </w:r>
      <w:proofErr w:type="spellEnd"/>
      <w:r>
        <w:rPr>
          <w:rFonts w:ascii="Arial" w:hAnsi="Arial"/>
          <w:sz w:val="22"/>
        </w:rPr>
        <w:t xml:space="preserve"> aldean udalerriko inauste-hondarrak </w:t>
      </w:r>
      <w:proofErr w:type="spellStart"/>
      <w:r>
        <w:rPr>
          <w:rFonts w:ascii="Arial" w:hAnsi="Arial"/>
          <w:sz w:val="22"/>
        </w:rPr>
        <w:t>konpostatzeko</w:t>
      </w:r>
      <w:proofErr w:type="spellEnd"/>
      <w:r>
        <w:rPr>
          <w:rFonts w:ascii="Arial" w:hAnsi="Arial"/>
          <w:sz w:val="22"/>
        </w:rPr>
        <w:t xml:space="preserve"> proiektu bat egin du, Goialdeko </w:t>
      </w:r>
      <w:proofErr w:type="spellStart"/>
      <w:r>
        <w:rPr>
          <w:rFonts w:ascii="Arial" w:hAnsi="Arial"/>
          <w:sz w:val="22"/>
        </w:rPr>
        <w:t>Queilesko</w:t>
      </w:r>
      <w:proofErr w:type="spellEnd"/>
      <w:r>
        <w:rPr>
          <w:rFonts w:ascii="Arial" w:hAnsi="Arial"/>
          <w:sz w:val="22"/>
        </w:rPr>
        <w:t xml:space="preserve">, Murchanteko eta Erriberako Mankomunitateko gizarte zerbitzuekin batera. Udalak prestatutako eremu batean, inauste-hondarrak tratatu eta </w:t>
      </w:r>
      <w:proofErr w:type="spellStart"/>
      <w:r>
        <w:rPr>
          <w:rFonts w:ascii="Arial" w:hAnsi="Arial"/>
          <w:sz w:val="22"/>
        </w:rPr>
        <w:t>konpostatuko</w:t>
      </w:r>
      <w:proofErr w:type="spellEnd"/>
      <w:r>
        <w:rPr>
          <w:rFonts w:ascii="Arial" w:hAnsi="Arial"/>
          <w:sz w:val="22"/>
        </w:rPr>
        <w:t xml:space="preserve"> dira, herriko ostalaritzako gai organikoekin batera.</w:t>
      </w:r>
    </w:p>
    <w:p w:rsidR="00E42B87" w:rsidRDefault="00966998" w:rsidP="00E320CB">
      <w:pPr>
        <w:pStyle w:val="Textoindependiente"/>
        <w:spacing w:before="120" w:after="0" w:line="360" w:lineRule="auto"/>
        <w:ind w:firstLine="708"/>
        <w:rPr>
          <w:rFonts w:cs="Arial"/>
          <w:sz w:val="22"/>
          <w:szCs w:val="22"/>
        </w:rPr>
      </w:pPr>
      <w:r>
        <w:rPr>
          <w:sz w:val="22"/>
          <w:szCs w:val="22"/>
        </w:rPr>
        <w:t>Hori guztia jakinarazten dizut Nafarroako Parlamentuko Erregelamenduaren 194. artikulua betetzeko.</w:t>
      </w:r>
    </w:p>
    <w:p w:rsidR="00E42B87" w:rsidRDefault="00901293" w:rsidP="00901293">
      <w:pPr>
        <w:spacing w:line="360" w:lineRule="auto"/>
        <w:jc w:val="center"/>
        <w:rPr>
          <w:rFonts w:ascii="Arial" w:hAnsi="Arial" w:cs="Arial"/>
          <w:sz w:val="22"/>
          <w:szCs w:val="22"/>
        </w:rPr>
      </w:pPr>
      <w:r>
        <w:rPr>
          <w:rFonts w:ascii="Arial" w:hAnsi="Arial"/>
          <w:sz w:val="22"/>
          <w:szCs w:val="22"/>
        </w:rPr>
        <w:t>Iruñean, 2018ko abenduaren 14an</w:t>
      </w:r>
    </w:p>
    <w:p w:rsidR="00E42B87" w:rsidRDefault="00E42B87" w:rsidP="00E42B87">
      <w:pPr>
        <w:widowControl w:val="0"/>
        <w:autoSpaceDE w:val="0"/>
        <w:autoSpaceDN w:val="0"/>
        <w:adjustRightInd w:val="0"/>
        <w:spacing w:line="360" w:lineRule="auto"/>
        <w:jc w:val="center"/>
        <w:rPr>
          <w:rFonts w:ascii="Arial" w:hAnsi="Arial" w:cs="Arial"/>
          <w:sz w:val="22"/>
          <w:szCs w:val="22"/>
        </w:rPr>
      </w:pPr>
      <w:r>
        <w:rPr>
          <w:rFonts w:ascii="Arial" w:hAnsi="Arial"/>
          <w:sz w:val="22"/>
          <w:szCs w:val="22"/>
        </w:rPr>
        <w:t xml:space="preserve">Landa Garapeneko, Ingurumeneko eta Toki Administrazioko kontseilaria: Isabel Elizalde </w:t>
      </w:r>
      <w:proofErr w:type="spellStart"/>
      <w:r>
        <w:rPr>
          <w:rFonts w:ascii="Arial" w:hAnsi="Arial"/>
          <w:sz w:val="22"/>
          <w:szCs w:val="22"/>
        </w:rPr>
        <w:t>Arretxea</w:t>
      </w:r>
      <w:proofErr w:type="spellEnd"/>
    </w:p>
    <w:sectPr w:rsidR="00E42B87" w:rsidSect="00F008A3">
      <w:headerReference w:type="default" r:id="rId9"/>
      <w:footerReference w:type="default" r:id="rId10"/>
      <w:footerReference w:type="first" r:id="rId11"/>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4E" w:rsidRDefault="0010674E">
      <w:r>
        <w:separator/>
      </w:r>
    </w:p>
  </w:endnote>
  <w:endnote w:type="continuationSeparator" w:id="0">
    <w:p w:rsidR="0010674E" w:rsidRDefault="0010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8"/>
      <w:gridCol w:w="2126"/>
    </w:tblGrid>
    <w:tr w:rsidR="00F41082" w:rsidRPr="00124D6B" w:rsidTr="00C75BB9">
      <w:tc>
        <w:tcPr>
          <w:tcW w:w="8648" w:type="dxa"/>
        </w:tcPr>
        <w:p w:rsidR="00F41082" w:rsidRPr="00124D6B" w:rsidRDefault="00F41082" w:rsidP="00C75BB9">
          <w:pPr>
            <w:pStyle w:val="Piedepgina"/>
            <w:tabs>
              <w:tab w:val="clear" w:pos="4252"/>
              <w:tab w:val="center" w:pos="5705"/>
            </w:tabs>
          </w:pPr>
        </w:p>
      </w:tc>
      <w:tc>
        <w:tcPr>
          <w:tcW w:w="2126" w:type="dxa"/>
        </w:tcPr>
        <w:p w:rsidR="00F41082" w:rsidRPr="00124D6B" w:rsidRDefault="00F41082" w:rsidP="00C75BB9">
          <w:pPr>
            <w:pStyle w:val="Piedepgina"/>
            <w:jc w:val="right"/>
            <w:rPr>
              <w:sz w:val="14"/>
              <w:szCs w:val="14"/>
            </w:rPr>
          </w:pPr>
        </w:p>
      </w:tc>
    </w:tr>
  </w:tbl>
  <w:p w:rsidR="00F41082" w:rsidRDefault="00F410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82" w:rsidRPr="00124D6B" w:rsidRDefault="00F41082" w:rsidP="00E42B87">
    <w:pPr>
      <w:pStyle w:val="Piedepgina"/>
      <w:rPr>
        <w:sz w:val="14"/>
        <w:szCs w:val="14"/>
      </w:rPr>
    </w:pPr>
    <w:r>
      <w:tab/>
    </w:r>
  </w:p>
  <w:p w:rsidR="00E42B87" w:rsidRDefault="00E42B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4E" w:rsidRDefault="0010674E">
      <w:r>
        <w:separator/>
      </w:r>
    </w:p>
  </w:footnote>
  <w:footnote w:type="continuationSeparator" w:id="0">
    <w:p w:rsidR="0010674E" w:rsidRDefault="00106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82" w:rsidRDefault="00F41082"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87A5B52"/>
    <w:multiLevelType w:val="hybridMultilevel"/>
    <w:tmpl w:val="68748E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143DF1"/>
    <w:multiLevelType w:val="hybridMultilevel"/>
    <w:tmpl w:val="E12873D4"/>
    <w:lvl w:ilvl="0" w:tplc="1EFC0DF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FB82A94"/>
    <w:multiLevelType w:val="hybridMultilevel"/>
    <w:tmpl w:val="7564F99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17B7C37"/>
    <w:multiLevelType w:val="hybridMultilevel"/>
    <w:tmpl w:val="5EDCB6E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75FE5C83"/>
    <w:multiLevelType w:val="hybridMultilevel"/>
    <w:tmpl w:val="E26AA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1"/>
  </w:num>
  <w:num w:numId="5">
    <w:abstractNumId w:val="8"/>
  </w:num>
  <w:num w:numId="6">
    <w:abstractNumId w:val="4"/>
  </w:num>
  <w:num w:numId="7">
    <w:abstractNumId w:val="9"/>
  </w:num>
  <w:num w:numId="8">
    <w:abstractNumId w:val="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11E8C"/>
    <w:rsid w:val="000429E0"/>
    <w:rsid w:val="00053D81"/>
    <w:rsid w:val="000608A6"/>
    <w:rsid w:val="00072C4F"/>
    <w:rsid w:val="0008313F"/>
    <w:rsid w:val="000C4EA8"/>
    <w:rsid w:val="0010674E"/>
    <w:rsid w:val="00162111"/>
    <w:rsid w:val="001D3AA7"/>
    <w:rsid w:val="001E2EDF"/>
    <w:rsid w:val="002364F6"/>
    <w:rsid w:val="002A7F52"/>
    <w:rsid w:val="002B0435"/>
    <w:rsid w:val="002C487D"/>
    <w:rsid w:val="002D6B4A"/>
    <w:rsid w:val="002D7F3F"/>
    <w:rsid w:val="002F09BF"/>
    <w:rsid w:val="0030333F"/>
    <w:rsid w:val="003059EB"/>
    <w:rsid w:val="00335D98"/>
    <w:rsid w:val="0037010A"/>
    <w:rsid w:val="003E7D06"/>
    <w:rsid w:val="003F202A"/>
    <w:rsid w:val="0041058C"/>
    <w:rsid w:val="00440B04"/>
    <w:rsid w:val="00453C47"/>
    <w:rsid w:val="0046104F"/>
    <w:rsid w:val="004E12F7"/>
    <w:rsid w:val="004F4DAA"/>
    <w:rsid w:val="0051364C"/>
    <w:rsid w:val="005521B3"/>
    <w:rsid w:val="00592A62"/>
    <w:rsid w:val="005D18F1"/>
    <w:rsid w:val="005F0890"/>
    <w:rsid w:val="00612F2B"/>
    <w:rsid w:val="006415DD"/>
    <w:rsid w:val="006422F9"/>
    <w:rsid w:val="00645385"/>
    <w:rsid w:val="0068375C"/>
    <w:rsid w:val="006E3228"/>
    <w:rsid w:val="007100D4"/>
    <w:rsid w:val="00710131"/>
    <w:rsid w:val="00722D06"/>
    <w:rsid w:val="007751A2"/>
    <w:rsid w:val="007D3B60"/>
    <w:rsid w:val="00807388"/>
    <w:rsid w:val="00824709"/>
    <w:rsid w:val="00842199"/>
    <w:rsid w:val="008501A8"/>
    <w:rsid w:val="00862504"/>
    <w:rsid w:val="00886558"/>
    <w:rsid w:val="008932F8"/>
    <w:rsid w:val="008E7325"/>
    <w:rsid w:val="00901293"/>
    <w:rsid w:val="009222E1"/>
    <w:rsid w:val="009573E3"/>
    <w:rsid w:val="009624F8"/>
    <w:rsid w:val="00966998"/>
    <w:rsid w:val="009B017C"/>
    <w:rsid w:val="00A526BF"/>
    <w:rsid w:val="00A52CE4"/>
    <w:rsid w:val="00A572B9"/>
    <w:rsid w:val="00B8751E"/>
    <w:rsid w:val="00BA2B0D"/>
    <w:rsid w:val="00BA3258"/>
    <w:rsid w:val="00BD7FDC"/>
    <w:rsid w:val="00BF26FD"/>
    <w:rsid w:val="00C0086A"/>
    <w:rsid w:val="00C14281"/>
    <w:rsid w:val="00C2236F"/>
    <w:rsid w:val="00C32F70"/>
    <w:rsid w:val="00C75BB9"/>
    <w:rsid w:val="00C8136E"/>
    <w:rsid w:val="00C92EC7"/>
    <w:rsid w:val="00CD2597"/>
    <w:rsid w:val="00CE3A5E"/>
    <w:rsid w:val="00D32628"/>
    <w:rsid w:val="00D56BC4"/>
    <w:rsid w:val="00D81ABA"/>
    <w:rsid w:val="00D81E4B"/>
    <w:rsid w:val="00D92403"/>
    <w:rsid w:val="00D963CD"/>
    <w:rsid w:val="00DA210E"/>
    <w:rsid w:val="00DC3750"/>
    <w:rsid w:val="00DC4813"/>
    <w:rsid w:val="00DC4FB9"/>
    <w:rsid w:val="00E16985"/>
    <w:rsid w:val="00E320CB"/>
    <w:rsid w:val="00E42B87"/>
    <w:rsid w:val="00E76C9B"/>
    <w:rsid w:val="00E76CF6"/>
    <w:rsid w:val="00E85304"/>
    <w:rsid w:val="00E9767F"/>
    <w:rsid w:val="00EB02C9"/>
    <w:rsid w:val="00EC430E"/>
    <w:rsid w:val="00EF6384"/>
    <w:rsid w:val="00F008A3"/>
    <w:rsid w:val="00F0596D"/>
    <w:rsid w:val="00F41082"/>
    <w:rsid w:val="00F57AC4"/>
    <w:rsid w:val="00F72A37"/>
    <w:rsid w:val="00F76EE5"/>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uiPriority w:val="99"/>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uiPriority w:val="99"/>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D432-D73C-4AE2-838F-DDE56E46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6</TotalTime>
  <Pages>4</Pages>
  <Words>1064</Words>
  <Characters>8213</Characters>
  <Application>Microsoft Office Word</Application>
  <DocSecurity>0</DocSecurity>
  <Lines>68</Lines>
  <Paragraphs>18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Iñaki De Santiago</cp:lastModifiedBy>
  <cp:revision>3</cp:revision>
  <cp:lastPrinted>2018-12-14T08:03:00Z</cp:lastPrinted>
  <dcterms:created xsi:type="dcterms:W3CDTF">2019-04-09T11:22:00Z</dcterms:created>
  <dcterms:modified xsi:type="dcterms:W3CDTF">2019-04-09T12:17:00Z</dcterms:modified>
</cp:coreProperties>
</file>