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40" w:rsidRDefault="00794F40" w:rsidP="003341C7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Otsailaren 15a</w:t>
      </w:r>
    </w:p>
    <w:p w:rsidR="003341C7" w:rsidRPr="003341C7" w:rsidRDefault="003341C7" w:rsidP="003341C7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Podemos-Ahal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Dugu-Orain</w:t>
      </w:r>
      <w:proofErr w:type="spellEnd"/>
      <w:r>
        <w:rPr>
          <w:rFonts w:ascii="Arial" w:hAnsi="Arial"/>
          <w:sz w:val="24"/>
          <w:szCs w:val="24"/>
        </w:rPr>
        <w:t xml:space="preserve"> Bai talde parlamentarioko Mikel Buil García jaunak seme-alaba bateko edo biko familia </w:t>
      </w:r>
      <w:proofErr w:type="spellStart"/>
      <w:r>
        <w:rPr>
          <w:rFonts w:ascii="Arial" w:hAnsi="Arial"/>
          <w:sz w:val="24"/>
          <w:szCs w:val="24"/>
        </w:rPr>
        <w:t>gurasobakarren</w:t>
      </w:r>
      <w:proofErr w:type="spellEnd"/>
      <w:r>
        <w:rPr>
          <w:rFonts w:ascii="Arial" w:hAnsi="Arial"/>
          <w:sz w:val="24"/>
          <w:szCs w:val="24"/>
        </w:rPr>
        <w:t xml:space="preserve"> kopuruari eta 9.888€ baino gutxiagoko edo 11.724€ baino gehiagoko diru-sarrerak dituzten familia unitateei buruzko galdera aurkeztu du, idatzi erantzun dakion (9-19/PES-00006 galdera, 2019ko urtarrilaren 16koa, 160. erregistro-zenbakia daramana). Hona Nafarroako Gobernuko Ogasuneko eta Finantza Politikako kontseilariaren erantzuna:</w:t>
      </w:r>
    </w:p>
    <w:p w:rsidR="003341C7" w:rsidRPr="003341C7" w:rsidRDefault="003341C7" w:rsidP="003341C7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Pertsona fisikoen errentaren gaineko zergaren aitorpenen erregistroan jasota ageri denez, honako datu hauek azaltzen dira 2017ko zergaldiari dagokionez:   </w:t>
      </w:r>
    </w:p>
    <w:p w:rsidR="003341C7" w:rsidRPr="003341C7" w:rsidRDefault="003341C7" w:rsidP="003341C7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341C7" w:rsidRPr="003341C7" w:rsidRDefault="003341C7" w:rsidP="003341C7">
      <w:pPr>
        <w:jc w:val="both"/>
        <w:rPr>
          <w:sz w:val="24"/>
          <w:szCs w:val="24"/>
        </w:rPr>
      </w:pPr>
    </w:p>
    <w:tbl>
      <w:tblPr>
        <w:tblW w:w="6860" w:type="dxa"/>
        <w:tblInd w:w="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3047"/>
        <w:gridCol w:w="1699"/>
      </w:tblGrid>
      <w:tr w:rsidR="003341C7" w:rsidRPr="00357702" w:rsidTr="00357702">
        <w:trPr>
          <w:trHeight w:val="2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bookmarkStart w:id="0" w:name="_GoBack"/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PFEZaren aitorpen kopurua, 2017 (75.6 artikulua). </w:t>
            </w:r>
          </w:p>
        </w:tc>
      </w:tr>
      <w:tr w:rsidR="003341C7" w:rsidRPr="00357702" w:rsidTr="00357702">
        <w:trPr>
          <w:trHeight w:val="20"/>
        </w:trPr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3341C7" w:rsidRPr="00357702" w:rsidTr="00357702">
        <w:trPr>
          <w:trHeight w:val="2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Familia-osaera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Diru-sarrerak. (Zerga-oinarria)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Aitorpen kopurua</w:t>
            </w:r>
          </w:p>
        </w:tc>
      </w:tr>
      <w:tr w:rsidR="003341C7" w:rsidRPr="00357702" w:rsidTr="00357702">
        <w:trPr>
          <w:trHeight w:val="2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Seme-alaba bat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Urtean 9.888€ baino gutxiago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1.044</w:t>
            </w:r>
          </w:p>
        </w:tc>
      </w:tr>
      <w:tr w:rsidR="003341C7" w:rsidRPr="00357702" w:rsidTr="003577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Urtean 9.888€ baino gehiago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2.835</w:t>
            </w:r>
          </w:p>
        </w:tc>
      </w:tr>
      <w:tr w:rsidR="003341C7" w:rsidRPr="00357702" w:rsidTr="003577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3.879</w:t>
            </w:r>
          </w:p>
        </w:tc>
      </w:tr>
      <w:tr w:rsidR="003341C7" w:rsidRPr="00357702" w:rsidTr="00357702">
        <w:trPr>
          <w:trHeight w:val="20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Bi seme-alaba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Urtean 11.724 € baino gutxiago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763</w:t>
            </w:r>
          </w:p>
        </w:tc>
      </w:tr>
      <w:tr w:rsidR="003341C7" w:rsidRPr="00357702" w:rsidTr="003577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Urtean 11.724 € baino gehiago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57702">
              <w:rPr>
                <w:rFonts w:asciiTheme="minorHAnsi" w:hAnsiTheme="minorHAnsi"/>
                <w:sz w:val="18"/>
                <w:szCs w:val="18"/>
              </w:rPr>
              <w:t>1.697</w:t>
            </w:r>
          </w:p>
        </w:tc>
      </w:tr>
      <w:tr w:rsidR="003341C7" w:rsidRPr="00357702" w:rsidTr="003577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341C7" w:rsidRPr="00357702" w:rsidRDefault="003341C7" w:rsidP="0035770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7702">
              <w:rPr>
                <w:rFonts w:asciiTheme="minorHAnsi" w:hAnsiTheme="minorHAnsi"/>
                <w:b/>
                <w:bCs/>
                <w:sz w:val="18"/>
                <w:szCs w:val="18"/>
              </w:rPr>
              <w:t>2.460</w:t>
            </w:r>
          </w:p>
        </w:tc>
      </w:tr>
      <w:bookmarkEnd w:id="0"/>
    </w:tbl>
    <w:p w:rsidR="003341C7" w:rsidRPr="003341C7" w:rsidRDefault="003341C7" w:rsidP="003341C7">
      <w:pPr>
        <w:jc w:val="both"/>
        <w:rPr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Aitorpenen kopurua:</w:t>
      </w:r>
      <w:r>
        <w:rPr>
          <w:rFonts w:ascii="Arial" w:hAnsi="Arial"/>
          <w:sz w:val="24"/>
          <w:szCs w:val="24"/>
        </w:rPr>
        <w:t xml:space="preserve"> 2017ko zergaldian aurkeztutako aitorpenen kopurua da, zeinean gutxieneko </w:t>
      </w:r>
      <w:proofErr w:type="spellStart"/>
      <w:r>
        <w:rPr>
          <w:rFonts w:ascii="Arial" w:hAnsi="Arial"/>
          <w:sz w:val="24"/>
          <w:szCs w:val="24"/>
        </w:rPr>
        <w:t>personalarengatiko</w:t>
      </w:r>
      <w:proofErr w:type="spellEnd"/>
      <w:r>
        <w:rPr>
          <w:rFonts w:ascii="Arial" w:hAnsi="Arial"/>
          <w:sz w:val="24"/>
          <w:szCs w:val="24"/>
        </w:rPr>
        <w:t xml:space="preserve"> kenkarian esleitutako zenbatekoa baita Pertsona fisikoen errentaren gaineko zergari buruzko Foru Legearen Testu </w:t>
      </w:r>
      <w:proofErr w:type="spellStart"/>
      <w:r>
        <w:rPr>
          <w:rFonts w:ascii="Arial" w:hAnsi="Arial"/>
          <w:sz w:val="24"/>
          <w:szCs w:val="24"/>
        </w:rPr>
        <w:t>Bateginaren</w:t>
      </w:r>
      <w:proofErr w:type="spellEnd"/>
      <w:r>
        <w:rPr>
          <w:rFonts w:ascii="Arial" w:hAnsi="Arial"/>
          <w:sz w:val="24"/>
          <w:szCs w:val="24"/>
        </w:rPr>
        <w:t xml:space="preserve"> 75. artikuluko 6. erregelaren arabera igotako zenbatekoa (</w:t>
      </w:r>
      <w:proofErr w:type="spellStart"/>
      <w:r>
        <w:rPr>
          <w:rFonts w:ascii="Arial" w:hAnsi="Arial"/>
          <w:sz w:val="24"/>
          <w:szCs w:val="24"/>
        </w:rPr>
        <w:t>ekainaern</w:t>
      </w:r>
      <w:proofErr w:type="spellEnd"/>
      <w:r>
        <w:rPr>
          <w:rFonts w:ascii="Arial" w:hAnsi="Arial"/>
          <w:sz w:val="24"/>
          <w:szCs w:val="24"/>
        </w:rPr>
        <w:t xml:space="preserve"> 2ko 4/2009 Legegintzako Foru Dekretua) eta diru-sarrerei nahiz familia-osaerari dagokienez ondotik zehazten diren baldintzak betetzen baitituzte.  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Diru-sarrerak (zerga-oinarria): </w:t>
      </w:r>
      <w:r>
        <w:rPr>
          <w:rFonts w:ascii="Arial" w:hAnsi="Arial"/>
          <w:sz w:val="24"/>
          <w:szCs w:val="24"/>
        </w:rPr>
        <w:t xml:space="preserve">Zerga-oinarriaren zati orokorraren eta aurrezkiaren zati bereziaren batura: Subjektu pasiboak 507 + 8841 laukitxoetan esleitutako zenbatekoa:  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Familia-osaera: </w:t>
      </w:r>
      <w:proofErr w:type="spellStart"/>
      <w:r>
        <w:rPr>
          <w:rFonts w:ascii="Arial" w:hAnsi="Arial"/>
          <w:b/>
          <w:sz w:val="24"/>
          <w:szCs w:val="24"/>
        </w:rPr>
        <w:t>Seme-alabat</w:t>
      </w:r>
      <w:proofErr w:type="spellEnd"/>
      <w:r>
        <w:rPr>
          <w:rFonts w:ascii="Arial" w:hAnsi="Arial"/>
          <w:b/>
          <w:sz w:val="24"/>
          <w:szCs w:val="24"/>
        </w:rPr>
        <w:t xml:space="preserve"> bat (bi seme-alaba): </w:t>
      </w:r>
      <w:proofErr w:type="spellStart"/>
      <w:r>
        <w:rPr>
          <w:rFonts w:ascii="Arial" w:hAnsi="Arial"/>
          <w:sz w:val="24"/>
          <w:szCs w:val="24"/>
        </w:rPr>
        <w:t>Seme-alabat</w:t>
      </w:r>
      <w:proofErr w:type="spellEnd"/>
      <w:r>
        <w:rPr>
          <w:rFonts w:ascii="Arial" w:hAnsi="Arial"/>
          <w:sz w:val="24"/>
          <w:szCs w:val="24"/>
        </w:rPr>
        <w:t xml:space="preserve"> batengatik (edo bi seme-alabarengatik) gutxieneko familiarragatiko kenkarian esleitutako zenbatekoa, PFEZaren testu </w:t>
      </w:r>
      <w:proofErr w:type="spellStart"/>
      <w:r>
        <w:rPr>
          <w:rFonts w:ascii="Arial" w:hAnsi="Arial"/>
          <w:sz w:val="24"/>
          <w:szCs w:val="24"/>
        </w:rPr>
        <w:t>bateginaren</w:t>
      </w:r>
      <w:proofErr w:type="spellEnd"/>
      <w:r>
        <w:rPr>
          <w:rFonts w:ascii="Arial" w:hAnsi="Arial"/>
          <w:sz w:val="24"/>
          <w:szCs w:val="24"/>
        </w:rPr>
        <w:t xml:space="preserve"> 62.9 b </w:t>
      </w:r>
      <w:proofErr w:type="spellStart"/>
      <w:r>
        <w:rPr>
          <w:rFonts w:ascii="Arial" w:hAnsi="Arial"/>
          <w:sz w:val="24"/>
          <w:szCs w:val="24"/>
        </w:rPr>
        <w:t>b’)</w:t>
      </w:r>
      <w:proofErr w:type="spellEnd"/>
      <w:r>
        <w:rPr>
          <w:rFonts w:ascii="Arial" w:hAnsi="Arial"/>
          <w:sz w:val="24"/>
          <w:szCs w:val="24"/>
        </w:rPr>
        <w:t xml:space="preserve"> artikuluarekin bat.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Horren ondorioetarako, honako lege-manuak aipatu beharra dago:  </w:t>
      </w:r>
    </w:p>
    <w:p w:rsidR="003341C7" w:rsidRPr="003341C7" w:rsidRDefault="003341C7" w:rsidP="003341C7">
      <w:pPr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i/>
          <w:sz w:val="24"/>
          <w:szCs w:val="24"/>
        </w:rPr>
        <w:t xml:space="preserve">75. artikulua. Baterako </w:t>
      </w:r>
      <w:proofErr w:type="spellStart"/>
      <w:r>
        <w:rPr>
          <w:rFonts w:ascii="Arial" w:hAnsi="Arial"/>
          <w:b/>
          <w:i/>
          <w:sz w:val="24"/>
          <w:szCs w:val="24"/>
        </w:rPr>
        <w:t>tributazioaren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arau bereziak.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“6ª. Seigarrena. 71.1.c) artikuluan aipatzen diren familia unitateen kasuan, aitari edo amari dagokion gutxieneko pertsonalarengatiko kenkaria –62.9.a) artikuluan </w:t>
      </w:r>
      <w:proofErr w:type="spellStart"/>
      <w:r>
        <w:rPr>
          <w:rFonts w:ascii="Arial" w:hAnsi="Arial"/>
          <w:i/>
          <w:sz w:val="24"/>
          <w:szCs w:val="24"/>
        </w:rPr>
        <w:t>ezarritakoa–</w:t>
      </w:r>
      <w:proofErr w:type="spellEnd"/>
      <w:r>
        <w:rPr>
          <w:rFonts w:ascii="Arial" w:hAnsi="Arial"/>
          <w:i/>
          <w:sz w:val="24"/>
          <w:szCs w:val="24"/>
        </w:rPr>
        <w:t xml:space="preserve"> 600 euro handituko da. Igoera hori ez da gertatuko aita eta ama elkarrekin bizi badira eta zaintza partekatuko kasuetan".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71. artikulua. Familia unitatearen kontzeptua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1. Zerga honen eraginetarako, ondokoak dira famili unitateak: 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a) Legez berezita ez dauden senar-emazteek eta, kasua bada, adin txikiko seme-alabek </w:t>
      </w:r>
      <w:proofErr w:type="spellStart"/>
      <w:r>
        <w:rPr>
          <w:rFonts w:ascii="Arial" w:hAnsi="Arial"/>
          <w:i/>
          <w:sz w:val="24"/>
          <w:szCs w:val="24"/>
        </w:rPr>
        <w:t>–gurasoen</w:t>
      </w:r>
      <w:proofErr w:type="spellEnd"/>
      <w:r>
        <w:rPr>
          <w:rFonts w:ascii="Arial" w:hAnsi="Arial"/>
          <w:i/>
          <w:sz w:val="24"/>
          <w:szCs w:val="24"/>
        </w:rPr>
        <w:t xml:space="preserve"> baimenez haiengandik aparte bizi direnak izan </w:t>
      </w:r>
      <w:proofErr w:type="spellStart"/>
      <w:r>
        <w:rPr>
          <w:rFonts w:ascii="Arial" w:hAnsi="Arial"/>
          <w:i/>
          <w:sz w:val="24"/>
          <w:szCs w:val="24"/>
        </w:rPr>
        <w:t>ezik–</w:t>
      </w:r>
      <w:proofErr w:type="spellEnd"/>
      <w:r>
        <w:rPr>
          <w:rFonts w:ascii="Arial" w:hAnsi="Arial"/>
          <w:i/>
          <w:sz w:val="24"/>
          <w:szCs w:val="24"/>
        </w:rPr>
        <w:t xml:space="preserve"> eta judizialki ezgaitutako adin nagusiko seme-alabek, luzatu edo birgaitutako guraso-ahalgopean daudenek, osatutakoa.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b) (...)       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c) Legezko banantzea ematen denetan edo ezkontza-loturarik edo bikote egonkorrik ez dagoenean, famili unitatea gurasoetako batek eta harekin bizi diren seme-alaba guztiek osatzen dutena izanen da, baldin eta aurreko </w:t>
      </w:r>
      <w:proofErr w:type="spellStart"/>
      <w:r>
        <w:rPr>
          <w:rFonts w:ascii="Arial" w:hAnsi="Arial"/>
          <w:i/>
          <w:sz w:val="24"/>
          <w:szCs w:val="24"/>
        </w:rPr>
        <w:t>idatz-zatietako</w:t>
      </w:r>
      <w:proofErr w:type="spellEnd"/>
      <w:r>
        <w:rPr>
          <w:rFonts w:ascii="Arial" w:hAnsi="Arial"/>
          <w:i/>
          <w:sz w:val="24"/>
          <w:szCs w:val="24"/>
        </w:rPr>
        <w:t xml:space="preserve"> baldintzak betetzen badituzte."      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i/>
          <w:sz w:val="24"/>
          <w:szCs w:val="24"/>
        </w:rPr>
        <w:t>62.9 artikulua. Kenkari pertsonal eta familiarrak.</w:t>
      </w: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“a) Gutxieneko pertsonalarengatik.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Oro har, gutxieneko pertsonalarengatiko kenkaria subjektu pasibo bakoitzeko urteko 972 eurokoa izanen da (...)= 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62.9 artikulua. Kenkari pertsonal eta familiarrak.</w:t>
      </w: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341C7" w:rsidRPr="003341C7" w:rsidRDefault="003341C7" w:rsidP="003341C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b) Gutxieneko familiarrengatik:</w:t>
      </w:r>
    </w:p>
    <w:p w:rsidR="003341C7" w:rsidRPr="003341C7" w:rsidRDefault="003341C7" w:rsidP="003341C7">
      <w:pPr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“</w:t>
      </w:r>
      <w:proofErr w:type="spellStart"/>
      <w:r>
        <w:rPr>
          <w:rFonts w:ascii="Arial" w:hAnsi="Arial"/>
          <w:i/>
          <w:sz w:val="24"/>
          <w:szCs w:val="24"/>
        </w:rPr>
        <w:t>b)’</w:t>
      </w:r>
      <w:proofErr w:type="spellEnd"/>
      <w:r>
        <w:rPr>
          <w:rFonts w:ascii="Arial" w:hAnsi="Arial"/>
          <w:i/>
          <w:sz w:val="24"/>
          <w:szCs w:val="24"/>
        </w:rPr>
        <w:t>: Hogeita hamar urte baino gutxiagoko ondorengo ahaide ezkongabe bakoitzeko, baldin eta subjektu pasiboarekin bizi bada eta ondorio askotarako errenta-adierazle publikotik goragoko urteko errentarik jasotzen ez badu, salbuetsiak bazter utzirik (...)</w:t>
      </w:r>
    </w:p>
    <w:p w:rsidR="003341C7" w:rsidRPr="003341C7" w:rsidRDefault="003341C7" w:rsidP="003341C7">
      <w:pPr>
        <w:jc w:val="both"/>
        <w:rPr>
          <w:rFonts w:ascii="Arial" w:hAnsi="Arial" w:cs="Arial"/>
          <w:i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Definizio horien arabera, eta erantsirik </w:t>
      </w:r>
      <w:proofErr w:type="spellStart"/>
      <w:r>
        <w:rPr>
          <w:rFonts w:ascii="Arial" w:hAnsi="Arial"/>
          <w:sz w:val="24"/>
          <w:szCs w:val="24"/>
        </w:rPr>
        <w:t>doantaulan</w:t>
      </w:r>
      <w:proofErr w:type="spellEnd"/>
      <w:r>
        <w:rPr>
          <w:rFonts w:ascii="Arial" w:hAnsi="Arial"/>
          <w:sz w:val="24"/>
          <w:szCs w:val="24"/>
        </w:rPr>
        <w:t xml:space="preserve"> jaso denez, honako hauek dira 2017ko PFEZaren adierazpenen datuak: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numPr>
          <w:ilvl w:val="0"/>
          <w:numId w:val="5"/>
        </w:numPr>
        <w:suppressAutoHyphens w:val="0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Aitorpenaren egileak gutxieneko pertsonal areagotuko zenbatekoa (75.6ª </w:t>
      </w:r>
      <w:proofErr w:type="spellStart"/>
      <w:r>
        <w:rPr>
          <w:rFonts w:ascii="Arial" w:hAnsi="Arial"/>
          <w:sz w:val="24"/>
          <w:szCs w:val="24"/>
        </w:rPr>
        <w:t>art</w:t>
      </w:r>
      <w:proofErr w:type="spellEnd"/>
      <w:r>
        <w:rPr>
          <w:rFonts w:ascii="Arial" w:hAnsi="Arial"/>
          <w:sz w:val="24"/>
          <w:szCs w:val="24"/>
        </w:rPr>
        <w:t xml:space="preserve">.), seme-alaba baten gutxieneko familiarreko zenbatekoa, urtean 9.888€ baino gutxiagoko zerga-oinarriko zenbatekoa esleitu duen aitorpenen kopurua: </w:t>
      </w:r>
      <w:r>
        <w:rPr>
          <w:rFonts w:ascii="Arial" w:hAnsi="Arial"/>
          <w:b/>
          <w:sz w:val="24"/>
          <w:szCs w:val="24"/>
        </w:rPr>
        <w:t>1.044 aitorpen.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41C7" w:rsidRPr="003341C7" w:rsidRDefault="003341C7" w:rsidP="003341C7">
      <w:pPr>
        <w:numPr>
          <w:ilvl w:val="0"/>
          <w:numId w:val="5"/>
        </w:numPr>
        <w:suppressAutoHyphens w:val="0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Aitorpenaren egileak gutxieneko pertsonal areagotuko zenbatekoa (75.6ª </w:t>
      </w:r>
      <w:proofErr w:type="spellStart"/>
      <w:r>
        <w:rPr>
          <w:rFonts w:ascii="Arial" w:hAnsi="Arial"/>
          <w:sz w:val="24"/>
          <w:szCs w:val="24"/>
        </w:rPr>
        <w:t>art</w:t>
      </w:r>
      <w:proofErr w:type="spellEnd"/>
      <w:r>
        <w:rPr>
          <w:rFonts w:ascii="Arial" w:hAnsi="Arial"/>
          <w:sz w:val="24"/>
          <w:szCs w:val="24"/>
        </w:rPr>
        <w:t xml:space="preserve">.), seme-alaba baten gutxieneko familiarreko zenbatekoa, urtean 9.888€ baino gehiagoko zerga-oinarriko zenbatekoa esleitu duen adierazpenen kopurua: </w:t>
      </w:r>
      <w:r>
        <w:rPr>
          <w:rFonts w:ascii="Arial" w:hAnsi="Arial"/>
          <w:b/>
          <w:sz w:val="24"/>
          <w:szCs w:val="24"/>
        </w:rPr>
        <w:t>2.835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aitorpen.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41C7" w:rsidRPr="003341C7" w:rsidRDefault="003341C7" w:rsidP="003341C7">
      <w:pPr>
        <w:numPr>
          <w:ilvl w:val="0"/>
          <w:numId w:val="5"/>
        </w:numPr>
        <w:suppressAutoHyphens w:val="0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Aitorpenaren egileak gutxieneko pertsonal areagotuko zenbatekoa (75.6ª </w:t>
      </w:r>
      <w:proofErr w:type="spellStart"/>
      <w:r>
        <w:rPr>
          <w:rFonts w:ascii="Arial" w:hAnsi="Arial"/>
          <w:sz w:val="24"/>
          <w:szCs w:val="24"/>
        </w:rPr>
        <w:t>art</w:t>
      </w:r>
      <w:proofErr w:type="spellEnd"/>
      <w:r>
        <w:rPr>
          <w:rFonts w:ascii="Arial" w:hAnsi="Arial"/>
          <w:sz w:val="24"/>
          <w:szCs w:val="24"/>
        </w:rPr>
        <w:t xml:space="preserve">.), seme-alaba biren gutxieneko familiarreko zenbatekoa, urtean 11.724 € baino gutxiagoko zerga-oinarriko zenbatekoa esleitu duen aitorpenen kopurua: </w:t>
      </w:r>
      <w:r>
        <w:rPr>
          <w:rFonts w:ascii="Arial" w:hAnsi="Arial"/>
          <w:b/>
          <w:sz w:val="24"/>
          <w:szCs w:val="24"/>
        </w:rPr>
        <w:t>763 aitorpen.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3341C7" w:rsidRPr="003341C7" w:rsidRDefault="003341C7" w:rsidP="003341C7">
      <w:pPr>
        <w:numPr>
          <w:ilvl w:val="0"/>
          <w:numId w:val="5"/>
        </w:numPr>
        <w:suppressAutoHyphens w:val="0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Aitorpenaren egileak gutxieneko pertsonal areagotuko zenbatekoa (75.6ª </w:t>
      </w:r>
      <w:proofErr w:type="spellStart"/>
      <w:r>
        <w:rPr>
          <w:rFonts w:ascii="Arial" w:hAnsi="Arial"/>
          <w:sz w:val="24"/>
          <w:szCs w:val="24"/>
        </w:rPr>
        <w:t>art</w:t>
      </w:r>
      <w:proofErr w:type="spellEnd"/>
      <w:r>
        <w:rPr>
          <w:rFonts w:ascii="Arial" w:hAnsi="Arial"/>
          <w:sz w:val="24"/>
          <w:szCs w:val="24"/>
        </w:rPr>
        <w:t xml:space="preserve">.), seme-alaba biren gutxieneko familiarreko zenbatekoa, urtean 11.724 € baino gehiagoko zerga-oinarriko zenbatekoa esleitu duen adierazpenen kopurua: </w:t>
      </w:r>
      <w:r>
        <w:rPr>
          <w:rFonts w:ascii="Arial" w:hAnsi="Arial"/>
          <w:b/>
          <w:sz w:val="24"/>
          <w:szCs w:val="24"/>
        </w:rPr>
        <w:t>1.697 aitorpen.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Zehaztu beharra dago datu horietatik kanpo gelditzen direla honako familia </w:t>
      </w:r>
      <w:proofErr w:type="spellStart"/>
      <w:r>
        <w:rPr>
          <w:rFonts w:ascii="Arial" w:hAnsi="Arial"/>
          <w:sz w:val="24"/>
          <w:szCs w:val="24"/>
        </w:rPr>
        <w:t>gurasobakar</w:t>
      </w:r>
      <w:proofErr w:type="spellEnd"/>
      <w:r>
        <w:rPr>
          <w:rFonts w:ascii="Arial" w:hAnsi="Arial"/>
          <w:sz w:val="24"/>
          <w:szCs w:val="24"/>
        </w:rPr>
        <w:t xml:space="preserve"> hauek: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1.- 71.1.c) artikuluko familia unitateak (adibidez: 17 urteko seme-alaba, errentekin), aitorpen bananduaren hautua egin dutenak, orduan ez baitute gutxieneko pertsonal areagotua. 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2.- Familia unitate zergaduna ez izatea (seme-alabak 18 urte baino gehiago edukitzeagatik).</w:t>
      </w:r>
    </w:p>
    <w:p w:rsidR="003341C7" w:rsidRPr="003341C7" w:rsidRDefault="003341C7" w:rsidP="003341C7">
      <w:pPr>
        <w:jc w:val="both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Hori guztia jakinarazten dizut, Nafarroako Parlamentuko Erregelamenduaren 194. artikulua betez.</w:t>
      </w:r>
    </w:p>
    <w:p w:rsidR="003341C7" w:rsidRPr="003341C7" w:rsidRDefault="003341C7" w:rsidP="003341C7">
      <w:pPr>
        <w:spacing w:line="360" w:lineRule="auto"/>
        <w:rPr>
          <w:rFonts w:ascii="Arial" w:hAnsi="Arial" w:cs="Arial"/>
          <w:sz w:val="24"/>
          <w:szCs w:val="24"/>
        </w:rPr>
      </w:pPr>
    </w:p>
    <w:p w:rsidR="003341C7" w:rsidRPr="003341C7" w:rsidRDefault="003341C7" w:rsidP="003341C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2019ko otsailaren 13an</w:t>
      </w:r>
    </w:p>
    <w:p w:rsidR="003341C7" w:rsidRPr="003341C7" w:rsidRDefault="003341C7" w:rsidP="003341C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3341C7" w:rsidRPr="003341C7" w:rsidRDefault="003341C7" w:rsidP="003341C7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Ogasuneko eta Finantza Politikako kontseilaria: Mikel Aranburu Urtasun</w:t>
      </w:r>
    </w:p>
    <w:sectPr w:rsidR="003341C7" w:rsidRPr="003341C7" w:rsidSect="00794F40">
      <w:headerReference w:type="default" r:id="rId8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DF" w:rsidRDefault="005451DF">
      <w:r>
        <w:separator/>
      </w:r>
    </w:p>
  </w:endnote>
  <w:endnote w:type="continuationSeparator" w:id="0">
    <w:p w:rsidR="005451DF" w:rsidRDefault="0054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DF" w:rsidRDefault="005451DF">
      <w:r>
        <w:separator/>
      </w:r>
    </w:p>
  </w:footnote>
  <w:footnote w:type="continuationSeparator" w:id="0">
    <w:p w:rsidR="005451DF" w:rsidRDefault="0054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7B530B">
    <w:pPr>
      <w:pStyle w:val="Encabezado"/>
    </w:pP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9C2"/>
    <w:multiLevelType w:val="hybridMultilevel"/>
    <w:tmpl w:val="D6D4FA4A"/>
    <w:lvl w:ilvl="0" w:tplc="E2CE7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C2C1BF7"/>
    <w:multiLevelType w:val="hybridMultilevel"/>
    <w:tmpl w:val="D13A39FA"/>
    <w:lvl w:ilvl="0" w:tplc="F62A296C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811DCB"/>
    <w:multiLevelType w:val="hybridMultilevel"/>
    <w:tmpl w:val="29E22B82"/>
    <w:lvl w:ilvl="0" w:tplc="6F86F6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0928F2"/>
    <w:rsid w:val="001222D7"/>
    <w:rsid w:val="001702F9"/>
    <w:rsid w:val="001B5098"/>
    <w:rsid w:val="001E194B"/>
    <w:rsid w:val="00241972"/>
    <w:rsid w:val="00251869"/>
    <w:rsid w:val="003341C7"/>
    <w:rsid w:val="00357702"/>
    <w:rsid w:val="00377524"/>
    <w:rsid w:val="003E6743"/>
    <w:rsid w:val="005451DF"/>
    <w:rsid w:val="00600254"/>
    <w:rsid w:val="00612A1F"/>
    <w:rsid w:val="00664DEC"/>
    <w:rsid w:val="00702080"/>
    <w:rsid w:val="00735733"/>
    <w:rsid w:val="00756A3F"/>
    <w:rsid w:val="00794F40"/>
    <w:rsid w:val="007B530B"/>
    <w:rsid w:val="007C0F3F"/>
    <w:rsid w:val="0080444B"/>
    <w:rsid w:val="0085208F"/>
    <w:rsid w:val="008F0F62"/>
    <w:rsid w:val="009F34FF"/>
    <w:rsid w:val="00A440BD"/>
    <w:rsid w:val="00A51184"/>
    <w:rsid w:val="00A70FFA"/>
    <w:rsid w:val="00A745B2"/>
    <w:rsid w:val="00AA7769"/>
    <w:rsid w:val="00AA7DEF"/>
    <w:rsid w:val="00B839ED"/>
    <w:rsid w:val="00BE1CD8"/>
    <w:rsid w:val="00C313D0"/>
    <w:rsid w:val="00CA1DC1"/>
    <w:rsid w:val="00D51064"/>
    <w:rsid w:val="00ED0D46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Iñaki De Santiago</cp:lastModifiedBy>
  <cp:revision>3</cp:revision>
  <cp:lastPrinted>2018-03-21T09:45:00Z</cp:lastPrinted>
  <dcterms:created xsi:type="dcterms:W3CDTF">2019-04-16T11:08:00Z</dcterms:created>
  <dcterms:modified xsi:type="dcterms:W3CDTF">2019-04-16T11:39:00Z</dcterms:modified>
</cp:coreProperties>
</file>