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A32" w:rsidRPr="00730AE6" w:rsidRDefault="00CB70CD" w:rsidP="00207D58">
      <w:pPr>
        <w:pStyle w:val="EstiloPortada"/>
        <w:ind w:left="3840" w:right="-58"/>
        <w:rPr>
          <w:b w:val="0"/>
          <w:color w:val="BFBFBF" w:themeColor="background1" w:themeShade="BF"/>
        </w:rPr>
      </w:pPr>
      <w:r w:rsidRPr="00730AE6">
        <w:rPr>
          <w:b w:val="0"/>
          <w:noProof/>
          <w:color w:val="A6A6A6" w:themeColor="background1" w:themeShade="A6"/>
          <w:lang w:val="es-ES" w:eastAsia="es-ES"/>
        </w:rPr>
        <mc:AlternateContent>
          <mc:Choice Requires="wps">
            <w:drawing>
              <wp:anchor distT="0" distB="0" distL="114300" distR="114300" simplePos="0" relativeHeight="251657728" behindDoc="0" locked="0" layoutInCell="1" allowOverlap="1" wp14:anchorId="17B09400" wp14:editId="6C2A9478">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73054A" w:rsidRPr="002C7026" w:rsidRDefault="0073054A" w:rsidP="002C7026">
                            <w:pPr>
                              <w:spacing w:after="0"/>
                              <w:ind w:firstLine="0"/>
                              <w:jc w:val="center"/>
                              <w:rPr>
                                <w:rFonts w:ascii="Trajan" w:hAnsi="Trajan"/>
                                <w:sz w:val="18"/>
                                <w:szCs w:val="18"/>
                                <w:lang w:val="es-ES"/>
                              </w:rPr>
                            </w:pPr>
                            <w:r w:rsidRPr="002C7026">
                              <w:rPr>
                                <w:rFonts w:ascii="Trajan" w:hAnsi="Trajan"/>
                                <w:sz w:val="18"/>
                                <w:szCs w:val="18"/>
                                <w:lang w:val="es-ES"/>
                              </w:rPr>
                              <w:t>Cámara de</w:t>
                            </w:r>
                          </w:p>
                          <w:p w:rsidR="0073054A" w:rsidRPr="002C7026" w:rsidRDefault="0073054A"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73054A" w:rsidRPr="002C7026" w:rsidRDefault="0073054A" w:rsidP="002C7026">
                            <w:pPr>
                              <w:spacing w:after="0"/>
                              <w:ind w:firstLine="0"/>
                              <w:jc w:val="center"/>
                              <w:rPr>
                                <w:rFonts w:ascii="Trajan" w:hAnsi="Trajan"/>
                                <w:sz w:val="18"/>
                                <w:szCs w:val="18"/>
                                <w:lang w:val="es-ES"/>
                              </w:rPr>
                            </w:pPr>
                            <w:proofErr w:type="gramStart"/>
                            <w:r>
                              <w:rPr>
                                <w:rFonts w:ascii="Trajan" w:hAnsi="Trajan"/>
                                <w:sz w:val="18"/>
                                <w:szCs w:val="18"/>
                                <w:lang w:val="es-ES"/>
                              </w:rPr>
                              <w:t>d</w:t>
                            </w:r>
                            <w:r w:rsidRPr="002C7026">
                              <w:rPr>
                                <w:rFonts w:ascii="Trajan" w:hAnsi="Trajan"/>
                                <w:sz w:val="18"/>
                                <w:szCs w:val="18"/>
                                <w:lang w:val="es-ES"/>
                              </w:rPr>
                              <w:t>e</w:t>
                            </w:r>
                            <w:proofErr w:type="gramEnd"/>
                            <w:r w:rsidRPr="002C7026">
                              <w:rPr>
                                <w:rFonts w:ascii="Trajan" w:hAnsi="Trajan"/>
                                <w:sz w:val="18"/>
                                <w:szCs w:val="18"/>
                                <w:lang w:val="es-ES"/>
                              </w:rPr>
                              <w:t xml:space="preserve"> Navarra</w:t>
                            </w:r>
                          </w:p>
                          <w:p w:rsidR="0073054A" w:rsidRPr="002C7026" w:rsidRDefault="0073054A" w:rsidP="002C7026">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Nafarroako</w:t>
                            </w:r>
                          </w:p>
                          <w:p w:rsidR="0073054A" w:rsidRPr="002C7026" w:rsidRDefault="0073054A" w:rsidP="002C7026">
                            <w:pPr>
                              <w:spacing w:after="0"/>
                              <w:ind w:firstLine="0"/>
                              <w:jc w:val="center"/>
                              <w:rPr>
                                <w:rFonts w:ascii="Trajan" w:hAnsi="Trajan"/>
                                <w:color w:val="808080"/>
                                <w:sz w:val="18"/>
                                <w:szCs w:val="18"/>
                                <w:lang w:val="es-ES"/>
                              </w:rPr>
                            </w:pPr>
                            <w:r>
                              <w:rPr>
                                <w:rFonts w:ascii="Trajan" w:hAnsi="Trajan"/>
                                <w:color w:val="808080"/>
                                <w:sz w:val="18"/>
                                <w:szCs w:val="18"/>
                                <w:lang w:val="es-ES"/>
                              </w:rPr>
                              <w:t>Kontuen</w:t>
                            </w:r>
                          </w:p>
                          <w:p w:rsidR="0073054A" w:rsidRPr="002C7026" w:rsidRDefault="0073054A" w:rsidP="002C7026">
                            <w:pPr>
                              <w:spacing w:after="0"/>
                              <w:ind w:firstLine="0"/>
                              <w:jc w:val="center"/>
                              <w:rPr>
                                <w:rFonts w:ascii="Trajan" w:hAnsi="Trajan"/>
                                <w:color w:val="808080"/>
                                <w:sz w:val="18"/>
                                <w:szCs w:val="18"/>
                                <w:lang w:val="es-ES"/>
                              </w:rPr>
                            </w:pPr>
                            <w:r>
                              <w:rPr>
                                <w:rFonts w:ascii="Trajan" w:hAnsi="Trajan"/>
                                <w:color w:val="808080"/>
                                <w:sz w:val="18"/>
                                <w:szCs w:val="18"/>
                                <w:lang w:val="es-ES"/>
                              </w:rPr>
                              <w:t>G</w:t>
                            </w:r>
                            <w:r w:rsidRPr="002C7026">
                              <w:rPr>
                                <w:rFonts w:ascii="Trajan" w:hAnsi="Trajan"/>
                                <w:color w:val="808080"/>
                                <w:sz w:val="18"/>
                                <w:szCs w:val="18"/>
                                <w:lang w:val="es-ES"/>
                              </w:rPr>
                              <w:t>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73054A" w:rsidRPr="002C7026" w:rsidRDefault="0073054A" w:rsidP="002C7026">
                      <w:pPr>
                        <w:spacing w:after="0"/>
                        <w:ind w:firstLine="0"/>
                        <w:jc w:val="center"/>
                        <w:rPr>
                          <w:rFonts w:ascii="Trajan" w:hAnsi="Trajan"/>
                          <w:sz w:val="18"/>
                          <w:szCs w:val="18"/>
                          <w:lang w:val="es-ES"/>
                        </w:rPr>
                      </w:pPr>
                      <w:r w:rsidRPr="002C7026">
                        <w:rPr>
                          <w:rFonts w:ascii="Trajan" w:hAnsi="Trajan"/>
                          <w:sz w:val="18"/>
                          <w:szCs w:val="18"/>
                          <w:lang w:val="es-ES"/>
                        </w:rPr>
                        <w:t>Cámara de</w:t>
                      </w:r>
                    </w:p>
                    <w:p w:rsidR="0073054A" w:rsidRPr="002C7026" w:rsidRDefault="0073054A"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73054A" w:rsidRPr="002C7026" w:rsidRDefault="0073054A" w:rsidP="002C7026">
                      <w:pPr>
                        <w:spacing w:after="0"/>
                        <w:ind w:firstLine="0"/>
                        <w:jc w:val="center"/>
                        <w:rPr>
                          <w:rFonts w:ascii="Trajan" w:hAnsi="Trajan"/>
                          <w:sz w:val="18"/>
                          <w:szCs w:val="18"/>
                          <w:lang w:val="es-ES"/>
                        </w:rPr>
                      </w:pPr>
                      <w:proofErr w:type="gramStart"/>
                      <w:r>
                        <w:rPr>
                          <w:rFonts w:ascii="Trajan" w:hAnsi="Trajan"/>
                          <w:sz w:val="18"/>
                          <w:szCs w:val="18"/>
                          <w:lang w:val="es-ES"/>
                        </w:rPr>
                        <w:t>d</w:t>
                      </w:r>
                      <w:r w:rsidRPr="002C7026">
                        <w:rPr>
                          <w:rFonts w:ascii="Trajan" w:hAnsi="Trajan"/>
                          <w:sz w:val="18"/>
                          <w:szCs w:val="18"/>
                          <w:lang w:val="es-ES"/>
                        </w:rPr>
                        <w:t>e</w:t>
                      </w:r>
                      <w:proofErr w:type="gramEnd"/>
                      <w:r w:rsidRPr="002C7026">
                        <w:rPr>
                          <w:rFonts w:ascii="Trajan" w:hAnsi="Trajan"/>
                          <w:sz w:val="18"/>
                          <w:szCs w:val="18"/>
                          <w:lang w:val="es-ES"/>
                        </w:rPr>
                        <w:t xml:space="preserve"> Navarra</w:t>
                      </w:r>
                    </w:p>
                    <w:p w:rsidR="0073054A" w:rsidRPr="002C7026" w:rsidRDefault="0073054A" w:rsidP="002C7026">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Nafarroako</w:t>
                      </w:r>
                    </w:p>
                    <w:p w:rsidR="0073054A" w:rsidRPr="002C7026" w:rsidRDefault="0073054A" w:rsidP="002C7026">
                      <w:pPr>
                        <w:spacing w:after="0"/>
                        <w:ind w:firstLine="0"/>
                        <w:jc w:val="center"/>
                        <w:rPr>
                          <w:rFonts w:ascii="Trajan" w:hAnsi="Trajan"/>
                          <w:color w:val="808080"/>
                          <w:sz w:val="18"/>
                          <w:szCs w:val="18"/>
                          <w:lang w:val="es-ES"/>
                        </w:rPr>
                      </w:pPr>
                      <w:r>
                        <w:rPr>
                          <w:rFonts w:ascii="Trajan" w:hAnsi="Trajan"/>
                          <w:color w:val="808080"/>
                          <w:sz w:val="18"/>
                          <w:szCs w:val="18"/>
                          <w:lang w:val="es-ES"/>
                        </w:rPr>
                        <w:t>Kontuen</w:t>
                      </w:r>
                    </w:p>
                    <w:p w:rsidR="0073054A" w:rsidRPr="002C7026" w:rsidRDefault="0073054A" w:rsidP="002C7026">
                      <w:pPr>
                        <w:spacing w:after="0"/>
                        <w:ind w:firstLine="0"/>
                        <w:jc w:val="center"/>
                        <w:rPr>
                          <w:rFonts w:ascii="Trajan" w:hAnsi="Trajan"/>
                          <w:color w:val="808080"/>
                          <w:sz w:val="18"/>
                          <w:szCs w:val="18"/>
                          <w:lang w:val="es-ES"/>
                        </w:rPr>
                      </w:pPr>
                      <w:r>
                        <w:rPr>
                          <w:rFonts w:ascii="Trajan" w:hAnsi="Trajan"/>
                          <w:color w:val="808080"/>
                          <w:sz w:val="18"/>
                          <w:szCs w:val="18"/>
                          <w:lang w:val="es-ES"/>
                        </w:rPr>
                        <w:t>G</w:t>
                      </w:r>
                      <w:r w:rsidRPr="002C7026">
                        <w:rPr>
                          <w:rFonts w:ascii="Trajan" w:hAnsi="Trajan"/>
                          <w:color w:val="808080"/>
                          <w:sz w:val="18"/>
                          <w:szCs w:val="18"/>
                          <w:lang w:val="es-ES"/>
                        </w:rPr>
                        <w:t>anbera</w:t>
                      </w:r>
                    </w:p>
                  </w:txbxContent>
                </v:textbox>
              </v:shape>
            </w:pict>
          </mc:Fallback>
        </mc:AlternateContent>
      </w:r>
    </w:p>
    <w:p w:rsidR="001C3A32" w:rsidRPr="00730AE6" w:rsidRDefault="001C3A32" w:rsidP="008325B4">
      <w:pPr>
        <w:pStyle w:val="texto"/>
        <w:ind w:left="4536"/>
        <w:rPr>
          <w:rFonts w:ascii="Arial" w:hAnsi="Arial" w:cs="Arial"/>
          <w:b/>
          <w:sz w:val="36"/>
          <w:szCs w:val="36"/>
        </w:rPr>
      </w:pPr>
    </w:p>
    <w:p w:rsidR="00AF58F5" w:rsidRPr="00730AE6" w:rsidRDefault="008656F3" w:rsidP="008325B4">
      <w:pPr>
        <w:pStyle w:val="EstiloPortada"/>
        <w:spacing w:before="0"/>
        <w:ind w:left="4536" w:right="-425"/>
        <w:rPr>
          <w:sz w:val="48"/>
          <w:szCs w:val="48"/>
        </w:rPr>
      </w:pPr>
      <w:r w:rsidRPr="00730AE6">
        <w:rPr>
          <w:sz w:val="48"/>
          <w:szCs w:val="48"/>
        </w:rPr>
        <w:t>Universidad Pública</w:t>
      </w:r>
    </w:p>
    <w:p w:rsidR="00D7670F" w:rsidRPr="00730AE6" w:rsidRDefault="00AF58F5" w:rsidP="008325B4">
      <w:pPr>
        <w:pStyle w:val="EstiloPortada"/>
        <w:spacing w:before="0"/>
        <w:ind w:left="4536" w:right="-425"/>
        <w:rPr>
          <w:sz w:val="48"/>
          <w:szCs w:val="48"/>
        </w:rPr>
      </w:pPr>
      <w:proofErr w:type="gramStart"/>
      <w:r w:rsidRPr="00730AE6">
        <w:rPr>
          <w:sz w:val="48"/>
          <w:szCs w:val="48"/>
        </w:rPr>
        <w:t>de</w:t>
      </w:r>
      <w:proofErr w:type="gramEnd"/>
      <w:r w:rsidR="008A12E8" w:rsidRPr="00730AE6">
        <w:rPr>
          <w:sz w:val="48"/>
          <w:szCs w:val="48"/>
        </w:rPr>
        <w:t xml:space="preserve"> Navarra</w:t>
      </w:r>
      <w:r w:rsidR="003B312F" w:rsidRPr="00730AE6">
        <w:rPr>
          <w:sz w:val="48"/>
          <w:szCs w:val="48"/>
        </w:rPr>
        <w:t>,</w:t>
      </w:r>
      <w:r w:rsidR="00BB29A4" w:rsidRPr="00730AE6">
        <w:rPr>
          <w:sz w:val="48"/>
          <w:szCs w:val="48"/>
        </w:rPr>
        <w:t xml:space="preserve"> </w:t>
      </w:r>
      <w:r w:rsidR="003B312F" w:rsidRPr="00730AE6">
        <w:rPr>
          <w:sz w:val="48"/>
          <w:szCs w:val="48"/>
        </w:rPr>
        <w:t>201</w:t>
      </w:r>
      <w:r w:rsidR="002827A3" w:rsidRPr="00730AE6">
        <w:rPr>
          <w:sz w:val="48"/>
          <w:szCs w:val="48"/>
        </w:rPr>
        <w:t>7</w:t>
      </w:r>
    </w:p>
    <w:p w:rsidR="001C3A32" w:rsidRPr="00730AE6" w:rsidRDefault="001C3A32" w:rsidP="00BB29A4">
      <w:pPr>
        <w:pStyle w:val="texto"/>
        <w:ind w:left="1843" w:right="-142"/>
      </w:pPr>
    </w:p>
    <w:p w:rsidR="00FE4963" w:rsidRPr="00730AE6" w:rsidRDefault="00FE4963" w:rsidP="00891D73">
      <w:pPr>
        <w:pStyle w:val="texto"/>
      </w:pPr>
    </w:p>
    <w:p w:rsidR="00FE4963" w:rsidRPr="00730AE6" w:rsidRDefault="00FE4963" w:rsidP="00891D73">
      <w:pPr>
        <w:pStyle w:val="texto"/>
      </w:pPr>
    </w:p>
    <w:p w:rsidR="002F2530" w:rsidRPr="00730AE6" w:rsidRDefault="002F2530" w:rsidP="00891D73">
      <w:pPr>
        <w:pStyle w:val="texto"/>
      </w:pPr>
    </w:p>
    <w:p w:rsidR="002F2530" w:rsidRPr="00730AE6" w:rsidRDefault="002F2530" w:rsidP="00891D73">
      <w:pPr>
        <w:pStyle w:val="texto"/>
      </w:pPr>
    </w:p>
    <w:p w:rsidR="001C3A32" w:rsidRPr="00730AE6" w:rsidRDefault="001C3A32" w:rsidP="00891D73">
      <w:pPr>
        <w:pStyle w:val="texto"/>
      </w:pPr>
    </w:p>
    <w:p w:rsidR="001C3A32" w:rsidRPr="00730AE6" w:rsidRDefault="001C3A32" w:rsidP="00891D73">
      <w:pPr>
        <w:pStyle w:val="texto"/>
      </w:pPr>
    </w:p>
    <w:p w:rsidR="001C3A32" w:rsidRPr="00730AE6" w:rsidRDefault="001C3A32" w:rsidP="00891D73">
      <w:pPr>
        <w:pStyle w:val="texto"/>
      </w:pPr>
    </w:p>
    <w:p w:rsidR="00BB29A4" w:rsidRPr="00730AE6" w:rsidRDefault="00BB29A4" w:rsidP="00891D73">
      <w:pPr>
        <w:pStyle w:val="texto"/>
      </w:pPr>
    </w:p>
    <w:p w:rsidR="00BB29A4" w:rsidRDefault="00BB29A4" w:rsidP="00891D73">
      <w:pPr>
        <w:pStyle w:val="texto"/>
      </w:pPr>
    </w:p>
    <w:p w:rsidR="008F1523" w:rsidRDefault="008F1523" w:rsidP="00891D73">
      <w:pPr>
        <w:pStyle w:val="texto"/>
      </w:pPr>
    </w:p>
    <w:p w:rsidR="008F1523" w:rsidRDefault="008F1523" w:rsidP="00891D73">
      <w:pPr>
        <w:pStyle w:val="texto"/>
      </w:pPr>
    </w:p>
    <w:p w:rsidR="008F1523" w:rsidRPr="00730AE6" w:rsidRDefault="008F1523" w:rsidP="00891D73">
      <w:pPr>
        <w:pStyle w:val="texto"/>
      </w:pPr>
    </w:p>
    <w:p w:rsidR="00BB29A4" w:rsidRPr="00730AE6" w:rsidRDefault="00BB29A4" w:rsidP="00891D73">
      <w:pPr>
        <w:pStyle w:val="texto"/>
      </w:pPr>
    </w:p>
    <w:p w:rsidR="00BB29A4" w:rsidRPr="00730AE6" w:rsidRDefault="00BB29A4" w:rsidP="00891D73">
      <w:pPr>
        <w:pStyle w:val="texto"/>
      </w:pPr>
    </w:p>
    <w:p w:rsidR="00873B7F" w:rsidRPr="00730AE6" w:rsidRDefault="00873B7F" w:rsidP="00891D73">
      <w:pPr>
        <w:pStyle w:val="texto"/>
      </w:pPr>
    </w:p>
    <w:p w:rsidR="00716463" w:rsidRPr="006B5569" w:rsidRDefault="00317F02" w:rsidP="009936FC">
      <w:pPr>
        <w:pStyle w:val="Fechaportada"/>
      </w:pPr>
      <w:r>
        <w:t>Marzo</w:t>
      </w:r>
      <w:r w:rsidR="00351E8D" w:rsidRPr="006B5569">
        <w:t xml:space="preserve"> de</w:t>
      </w:r>
      <w:r w:rsidR="008656F3" w:rsidRPr="006B5569">
        <w:t xml:space="preserve"> 201</w:t>
      </w:r>
      <w:r w:rsidR="00AA0208" w:rsidRPr="006B5569">
        <w:t>9</w:t>
      </w:r>
    </w:p>
    <w:p w:rsidR="008E3FFE" w:rsidRPr="006B5569" w:rsidRDefault="008E3FFE" w:rsidP="00891D73">
      <w:pPr>
        <w:pStyle w:val="ndice"/>
        <w:rPr>
          <w:rFonts w:ascii="Times New Roman" w:hAnsi="Times New Roman"/>
          <w:color w:val="auto"/>
        </w:rPr>
        <w:sectPr w:rsidR="008E3FFE" w:rsidRPr="006B5569" w:rsidSect="00C13CBB">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Pr="00730AE6" w:rsidRDefault="00891D73" w:rsidP="00891D73">
      <w:pPr>
        <w:pStyle w:val="ndice"/>
      </w:pPr>
      <w:r w:rsidRPr="00730AE6">
        <w:lastRenderedPageBreak/>
        <w:t>Índice</w:t>
      </w:r>
    </w:p>
    <w:p w:rsidR="0014728F" w:rsidRPr="00730AE6" w:rsidRDefault="004950CC" w:rsidP="001841D5">
      <w:pPr>
        <w:pStyle w:val="texto"/>
        <w:ind w:right="-211"/>
        <w:jc w:val="right"/>
        <w:rPr>
          <w:smallCaps/>
          <w:sz w:val="20"/>
          <w:szCs w:val="20"/>
        </w:rPr>
      </w:pPr>
      <w:r w:rsidRPr="00730AE6">
        <w:tab/>
      </w:r>
      <w:r w:rsidRPr="00730AE6">
        <w:tab/>
      </w:r>
      <w:r w:rsidRPr="00730AE6">
        <w:tab/>
      </w:r>
      <w:r w:rsidRPr="00730AE6">
        <w:tab/>
      </w:r>
      <w:r w:rsidRPr="00730AE6">
        <w:tab/>
      </w:r>
      <w:r w:rsidRPr="00730AE6">
        <w:rPr>
          <w:smallCaps/>
          <w:sz w:val="20"/>
          <w:szCs w:val="20"/>
        </w:rPr>
        <w:t>página</w:t>
      </w:r>
    </w:p>
    <w:p w:rsidR="00865646" w:rsidRDefault="00882BEB">
      <w:pPr>
        <w:pStyle w:val="TDC1"/>
        <w:rPr>
          <w:rFonts w:asciiTheme="minorHAnsi" w:eastAsiaTheme="minorEastAsia" w:hAnsiTheme="minorHAnsi" w:cstheme="minorBidi"/>
          <w:smallCaps w:val="0"/>
          <w:noProof/>
          <w:szCs w:val="22"/>
          <w:lang w:val="es-ES" w:eastAsia="es-ES"/>
        </w:rPr>
      </w:pPr>
      <w:r w:rsidRPr="00730AE6">
        <w:fldChar w:fldCharType="begin"/>
      </w:r>
      <w:r w:rsidRPr="00730AE6">
        <w:instrText xml:space="preserve"> TOC \o "1-3" \h \z \t "atitulo1;1;atitulo2;2" </w:instrText>
      </w:r>
      <w:r w:rsidRPr="00730AE6">
        <w:fldChar w:fldCharType="separate"/>
      </w:r>
      <w:hyperlink w:anchor="_Toc3967009" w:history="1">
        <w:r w:rsidR="00865646" w:rsidRPr="00555E2D">
          <w:rPr>
            <w:rStyle w:val="Hipervnculo"/>
            <w:noProof/>
          </w:rPr>
          <w:t>Resumen ejecutivo</w:t>
        </w:r>
        <w:r w:rsidR="00865646">
          <w:rPr>
            <w:noProof/>
            <w:webHidden/>
          </w:rPr>
          <w:tab/>
        </w:r>
        <w:r w:rsidR="00865646">
          <w:rPr>
            <w:noProof/>
            <w:webHidden/>
          </w:rPr>
          <w:fldChar w:fldCharType="begin"/>
        </w:r>
        <w:r w:rsidR="00865646">
          <w:rPr>
            <w:noProof/>
            <w:webHidden/>
          </w:rPr>
          <w:instrText xml:space="preserve"> PAGEREF _Toc3967009 \h </w:instrText>
        </w:r>
        <w:r w:rsidR="00865646">
          <w:rPr>
            <w:noProof/>
            <w:webHidden/>
          </w:rPr>
        </w:r>
        <w:r w:rsidR="00865646">
          <w:rPr>
            <w:noProof/>
            <w:webHidden/>
          </w:rPr>
          <w:fldChar w:fldCharType="separate"/>
        </w:r>
        <w:r w:rsidR="0073054A">
          <w:rPr>
            <w:noProof/>
            <w:webHidden/>
          </w:rPr>
          <w:t>3</w:t>
        </w:r>
        <w:r w:rsidR="00865646">
          <w:rPr>
            <w:noProof/>
            <w:webHidden/>
          </w:rPr>
          <w:fldChar w:fldCharType="end"/>
        </w:r>
      </w:hyperlink>
    </w:p>
    <w:p w:rsidR="00865646" w:rsidRDefault="009B3BE6">
      <w:pPr>
        <w:pStyle w:val="TDC1"/>
        <w:rPr>
          <w:rFonts w:asciiTheme="minorHAnsi" w:eastAsiaTheme="minorEastAsia" w:hAnsiTheme="minorHAnsi" w:cstheme="minorBidi"/>
          <w:smallCaps w:val="0"/>
          <w:noProof/>
          <w:szCs w:val="22"/>
          <w:lang w:val="es-ES" w:eastAsia="es-ES"/>
        </w:rPr>
      </w:pPr>
      <w:hyperlink w:anchor="_Toc3967010" w:history="1">
        <w:r w:rsidR="00865646" w:rsidRPr="00555E2D">
          <w:rPr>
            <w:rStyle w:val="Hipervnculo"/>
            <w:noProof/>
          </w:rPr>
          <w:t>I. Introducción</w:t>
        </w:r>
        <w:r w:rsidR="00865646">
          <w:rPr>
            <w:noProof/>
            <w:webHidden/>
          </w:rPr>
          <w:tab/>
        </w:r>
        <w:r w:rsidR="00865646">
          <w:rPr>
            <w:noProof/>
            <w:webHidden/>
          </w:rPr>
          <w:fldChar w:fldCharType="begin"/>
        </w:r>
        <w:r w:rsidR="00865646">
          <w:rPr>
            <w:noProof/>
            <w:webHidden/>
          </w:rPr>
          <w:instrText xml:space="preserve"> PAGEREF _Toc3967010 \h </w:instrText>
        </w:r>
        <w:r w:rsidR="00865646">
          <w:rPr>
            <w:noProof/>
            <w:webHidden/>
          </w:rPr>
        </w:r>
        <w:r w:rsidR="00865646">
          <w:rPr>
            <w:noProof/>
            <w:webHidden/>
          </w:rPr>
          <w:fldChar w:fldCharType="separate"/>
        </w:r>
        <w:r w:rsidR="0073054A">
          <w:rPr>
            <w:noProof/>
            <w:webHidden/>
          </w:rPr>
          <w:t>4</w:t>
        </w:r>
        <w:r w:rsidR="00865646">
          <w:rPr>
            <w:noProof/>
            <w:webHidden/>
          </w:rPr>
          <w:fldChar w:fldCharType="end"/>
        </w:r>
      </w:hyperlink>
    </w:p>
    <w:p w:rsidR="00865646" w:rsidRDefault="009B3BE6">
      <w:pPr>
        <w:pStyle w:val="TDC1"/>
        <w:rPr>
          <w:rFonts w:asciiTheme="minorHAnsi" w:eastAsiaTheme="minorEastAsia" w:hAnsiTheme="minorHAnsi" w:cstheme="minorBidi"/>
          <w:smallCaps w:val="0"/>
          <w:noProof/>
          <w:szCs w:val="22"/>
          <w:lang w:val="es-ES" w:eastAsia="es-ES"/>
        </w:rPr>
      </w:pPr>
      <w:hyperlink w:anchor="_Toc3967011" w:history="1">
        <w:r w:rsidR="00865646" w:rsidRPr="00555E2D">
          <w:rPr>
            <w:rStyle w:val="Hipervnculo"/>
            <w:noProof/>
          </w:rPr>
          <w:t>II. Organización de la Universidad Pública de Navarra</w:t>
        </w:r>
        <w:r w:rsidR="00865646">
          <w:rPr>
            <w:noProof/>
            <w:webHidden/>
          </w:rPr>
          <w:tab/>
        </w:r>
        <w:r w:rsidR="00865646">
          <w:rPr>
            <w:noProof/>
            <w:webHidden/>
          </w:rPr>
          <w:fldChar w:fldCharType="begin"/>
        </w:r>
        <w:r w:rsidR="00865646">
          <w:rPr>
            <w:noProof/>
            <w:webHidden/>
          </w:rPr>
          <w:instrText xml:space="preserve"> PAGEREF _Toc3967011 \h </w:instrText>
        </w:r>
        <w:r w:rsidR="00865646">
          <w:rPr>
            <w:noProof/>
            <w:webHidden/>
          </w:rPr>
        </w:r>
        <w:r w:rsidR="00865646">
          <w:rPr>
            <w:noProof/>
            <w:webHidden/>
          </w:rPr>
          <w:fldChar w:fldCharType="separate"/>
        </w:r>
        <w:r w:rsidR="0073054A">
          <w:rPr>
            <w:noProof/>
            <w:webHidden/>
          </w:rPr>
          <w:t>6</w:t>
        </w:r>
        <w:r w:rsidR="00865646">
          <w:rPr>
            <w:noProof/>
            <w:webHidden/>
          </w:rPr>
          <w:fldChar w:fldCharType="end"/>
        </w:r>
      </w:hyperlink>
    </w:p>
    <w:p w:rsidR="00865646" w:rsidRDefault="009B3BE6">
      <w:pPr>
        <w:pStyle w:val="TDC1"/>
        <w:rPr>
          <w:rFonts w:asciiTheme="minorHAnsi" w:eastAsiaTheme="minorEastAsia" w:hAnsiTheme="minorHAnsi" w:cstheme="minorBidi"/>
          <w:smallCaps w:val="0"/>
          <w:noProof/>
          <w:szCs w:val="22"/>
          <w:lang w:val="es-ES" w:eastAsia="es-ES"/>
        </w:rPr>
      </w:pPr>
      <w:hyperlink w:anchor="_Toc3967012" w:history="1">
        <w:r w:rsidR="00865646" w:rsidRPr="00555E2D">
          <w:rPr>
            <w:rStyle w:val="Hipervnculo"/>
            <w:noProof/>
          </w:rPr>
          <w:t>III. Objetivo y alcance</w:t>
        </w:r>
        <w:r w:rsidR="00865646">
          <w:rPr>
            <w:noProof/>
            <w:webHidden/>
          </w:rPr>
          <w:tab/>
        </w:r>
        <w:r w:rsidR="00865646">
          <w:rPr>
            <w:noProof/>
            <w:webHidden/>
          </w:rPr>
          <w:fldChar w:fldCharType="begin"/>
        </w:r>
        <w:r w:rsidR="00865646">
          <w:rPr>
            <w:noProof/>
            <w:webHidden/>
          </w:rPr>
          <w:instrText xml:space="preserve"> PAGEREF _Toc3967012 \h </w:instrText>
        </w:r>
        <w:r w:rsidR="00865646">
          <w:rPr>
            <w:noProof/>
            <w:webHidden/>
          </w:rPr>
        </w:r>
        <w:r w:rsidR="00865646">
          <w:rPr>
            <w:noProof/>
            <w:webHidden/>
          </w:rPr>
          <w:fldChar w:fldCharType="separate"/>
        </w:r>
        <w:r w:rsidR="0073054A">
          <w:rPr>
            <w:noProof/>
            <w:webHidden/>
          </w:rPr>
          <w:t>11</w:t>
        </w:r>
        <w:r w:rsidR="00865646">
          <w:rPr>
            <w:noProof/>
            <w:webHidden/>
          </w:rPr>
          <w:fldChar w:fldCharType="end"/>
        </w:r>
      </w:hyperlink>
    </w:p>
    <w:p w:rsidR="00865646" w:rsidRDefault="009B3BE6">
      <w:pPr>
        <w:pStyle w:val="TDC1"/>
        <w:rPr>
          <w:rFonts w:asciiTheme="minorHAnsi" w:eastAsiaTheme="minorEastAsia" w:hAnsiTheme="minorHAnsi" w:cstheme="minorBidi"/>
          <w:smallCaps w:val="0"/>
          <w:noProof/>
          <w:szCs w:val="22"/>
          <w:lang w:val="es-ES" w:eastAsia="es-ES"/>
        </w:rPr>
      </w:pPr>
      <w:hyperlink w:anchor="_Toc3967013" w:history="1">
        <w:r w:rsidR="00865646" w:rsidRPr="00555E2D">
          <w:rPr>
            <w:rStyle w:val="Hipervnculo"/>
            <w:noProof/>
          </w:rPr>
          <w:t>IV. Opinión</w:t>
        </w:r>
        <w:r w:rsidR="00865646">
          <w:rPr>
            <w:noProof/>
            <w:webHidden/>
          </w:rPr>
          <w:tab/>
        </w:r>
        <w:r w:rsidR="00865646">
          <w:rPr>
            <w:noProof/>
            <w:webHidden/>
          </w:rPr>
          <w:fldChar w:fldCharType="begin"/>
        </w:r>
        <w:r w:rsidR="00865646">
          <w:rPr>
            <w:noProof/>
            <w:webHidden/>
          </w:rPr>
          <w:instrText xml:space="preserve"> PAGEREF _Toc3967013 \h </w:instrText>
        </w:r>
        <w:r w:rsidR="00865646">
          <w:rPr>
            <w:noProof/>
            <w:webHidden/>
          </w:rPr>
        </w:r>
        <w:r w:rsidR="00865646">
          <w:rPr>
            <w:noProof/>
            <w:webHidden/>
          </w:rPr>
          <w:fldChar w:fldCharType="separate"/>
        </w:r>
        <w:r w:rsidR="0073054A">
          <w:rPr>
            <w:noProof/>
            <w:webHidden/>
          </w:rPr>
          <w:t>12</w:t>
        </w:r>
        <w:r w:rsidR="00865646">
          <w:rPr>
            <w:noProof/>
            <w:webHidden/>
          </w:rPr>
          <w:fldChar w:fldCharType="end"/>
        </w:r>
      </w:hyperlink>
    </w:p>
    <w:p w:rsidR="00865646" w:rsidRDefault="009B3BE6">
      <w:pPr>
        <w:pStyle w:val="TDC2"/>
        <w:rPr>
          <w:rFonts w:asciiTheme="minorHAnsi" w:eastAsiaTheme="minorEastAsia" w:hAnsiTheme="minorHAnsi" w:cstheme="minorBidi"/>
          <w:noProof/>
          <w:szCs w:val="22"/>
          <w:lang w:val="es-ES" w:eastAsia="es-ES"/>
        </w:rPr>
      </w:pPr>
      <w:hyperlink w:anchor="_Toc3967014" w:history="1">
        <w:r w:rsidR="00865646" w:rsidRPr="00555E2D">
          <w:rPr>
            <w:rStyle w:val="Hipervnculo"/>
            <w:noProof/>
          </w:rPr>
          <w:t>IV.1. Opinión de auditoría financiera sobre las cuentas anuales de 2017</w:t>
        </w:r>
        <w:r w:rsidR="00865646">
          <w:rPr>
            <w:noProof/>
            <w:webHidden/>
          </w:rPr>
          <w:tab/>
        </w:r>
        <w:r w:rsidR="00865646">
          <w:rPr>
            <w:noProof/>
            <w:webHidden/>
          </w:rPr>
          <w:fldChar w:fldCharType="begin"/>
        </w:r>
        <w:r w:rsidR="00865646">
          <w:rPr>
            <w:noProof/>
            <w:webHidden/>
          </w:rPr>
          <w:instrText xml:space="preserve"> PAGEREF _Toc3967014 \h </w:instrText>
        </w:r>
        <w:r w:rsidR="00865646">
          <w:rPr>
            <w:noProof/>
            <w:webHidden/>
          </w:rPr>
        </w:r>
        <w:r w:rsidR="00865646">
          <w:rPr>
            <w:noProof/>
            <w:webHidden/>
          </w:rPr>
          <w:fldChar w:fldCharType="separate"/>
        </w:r>
        <w:r w:rsidR="0073054A">
          <w:rPr>
            <w:noProof/>
            <w:webHidden/>
          </w:rPr>
          <w:t>13</w:t>
        </w:r>
        <w:r w:rsidR="00865646">
          <w:rPr>
            <w:noProof/>
            <w:webHidden/>
          </w:rPr>
          <w:fldChar w:fldCharType="end"/>
        </w:r>
      </w:hyperlink>
    </w:p>
    <w:p w:rsidR="00865646" w:rsidRDefault="009B3BE6">
      <w:pPr>
        <w:pStyle w:val="TDC2"/>
        <w:rPr>
          <w:rFonts w:asciiTheme="minorHAnsi" w:eastAsiaTheme="minorEastAsia" w:hAnsiTheme="minorHAnsi" w:cstheme="minorBidi"/>
          <w:noProof/>
          <w:szCs w:val="22"/>
          <w:lang w:val="es-ES" w:eastAsia="es-ES"/>
        </w:rPr>
      </w:pPr>
      <w:hyperlink w:anchor="_Toc3967015" w:history="1">
        <w:r w:rsidR="00865646" w:rsidRPr="00555E2D">
          <w:rPr>
            <w:rStyle w:val="Hipervnculo"/>
            <w:noProof/>
          </w:rPr>
          <w:t>IV.2. Opinión de fiscalización del cumplimiento de legalidad</w:t>
        </w:r>
        <w:r w:rsidR="00865646">
          <w:rPr>
            <w:noProof/>
            <w:webHidden/>
          </w:rPr>
          <w:tab/>
        </w:r>
        <w:r w:rsidR="00865646">
          <w:rPr>
            <w:noProof/>
            <w:webHidden/>
          </w:rPr>
          <w:fldChar w:fldCharType="begin"/>
        </w:r>
        <w:r w:rsidR="00865646">
          <w:rPr>
            <w:noProof/>
            <w:webHidden/>
          </w:rPr>
          <w:instrText xml:space="preserve"> PAGEREF _Toc3967015 \h </w:instrText>
        </w:r>
        <w:r w:rsidR="00865646">
          <w:rPr>
            <w:noProof/>
            <w:webHidden/>
          </w:rPr>
        </w:r>
        <w:r w:rsidR="00865646">
          <w:rPr>
            <w:noProof/>
            <w:webHidden/>
          </w:rPr>
          <w:fldChar w:fldCharType="separate"/>
        </w:r>
        <w:r w:rsidR="0073054A">
          <w:rPr>
            <w:noProof/>
            <w:webHidden/>
          </w:rPr>
          <w:t>13</w:t>
        </w:r>
        <w:r w:rsidR="00865646">
          <w:rPr>
            <w:noProof/>
            <w:webHidden/>
          </w:rPr>
          <w:fldChar w:fldCharType="end"/>
        </w:r>
      </w:hyperlink>
    </w:p>
    <w:p w:rsidR="00865646" w:rsidRDefault="009B3BE6">
      <w:pPr>
        <w:pStyle w:val="TDC1"/>
        <w:rPr>
          <w:rFonts w:asciiTheme="minorHAnsi" w:eastAsiaTheme="minorEastAsia" w:hAnsiTheme="minorHAnsi" w:cstheme="minorBidi"/>
          <w:smallCaps w:val="0"/>
          <w:noProof/>
          <w:szCs w:val="22"/>
          <w:lang w:val="es-ES" w:eastAsia="es-ES"/>
        </w:rPr>
      </w:pPr>
      <w:hyperlink w:anchor="_Toc3967016" w:history="1">
        <w:r w:rsidR="00865646" w:rsidRPr="00555E2D">
          <w:rPr>
            <w:rStyle w:val="Hipervnculo"/>
            <w:noProof/>
          </w:rPr>
          <w:t>V. Resumen de las cuentas anuales de la Universidad Pública de Navarra, ejercicio 2017</w:t>
        </w:r>
        <w:r w:rsidR="00865646">
          <w:rPr>
            <w:noProof/>
            <w:webHidden/>
          </w:rPr>
          <w:tab/>
        </w:r>
        <w:r w:rsidR="00865646">
          <w:rPr>
            <w:noProof/>
            <w:webHidden/>
          </w:rPr>
          <w:fldChar w:fldCharType="begin"/>
        </w:r>
        <w:r w:rsidR="00865646">
          <w:rPr>
            <w:noProof/>
            <w:webHidden/>
          </w:rPr>
          <w:instrText xml:space="preserve"> PAGEREF _Toc3967016 \h </w:instrText>
        </w:r>
        <w:r w:rsidR="00865646">
          <w:rPr>
            <w:noProof/>
            <w:webHidden/>
          </w:rPr>
        </w:r>
        <w:r w:rsidR="00865646">
          <w:rPr>
            <w:noProof/>
            <w:webHidden/>
          </w:rPr>
          <w:fldChar w:fldCharType="separate"/>
        </w:r>
        <w:r w:rsidR="0073054A">
          <w:rPr>
            <w:noProof/>
            <w:webHidden/>
          </w:rPr>
          <w:t>15</w:t>
        </w:r>
        <w:r w:rsidR="00865646">
          <w:rPr>
            <w:noProof/>
            <w:webHidden/>
          </w:rPr>
          <w:fldChar w:fldCharType="end"/>
        </w:r>
      </w:hyperlink>
    </w:p>
    <w:p w:rsidR="00865646" w:rsidRDefault="009B3BE6">
      <w:pPr>
        <w:pStyle w:val="TDC2"/>
        <w:rPr>
          <w:rFonts w:asciiTheme="minorHAnsi" w:eastAsiaTheme="minorEastAsia" w:hAnsiTheme="minorHAnsi" w:cstheme="minorBidi"/>
          <w:noProof/>
          <w:szCs w:val="22"/>
          <w:lang w:val="es-ES" w:eastAsia="es-ES"/>
        </w:rPr>
      </w:pPr>
      <w:hyperlink w:anchor="_Toc3967017" w:history="1">
        <w:r w:rsidR="00865646" w:rsidRPr="00555E2D">
          <w:rPr>
            <w:rStyle w:val="Hipervnculo"/>
            <w:noProof/>
          </w:rPr>
          <w:t>V.1. Liquidación del presupuesto de 2017</w:t>
        </w:r>
        <w:r w:rsidR="00865646">
          <w:rPr>
            <w:noProof/>
            <w:webHidden/>
          </w:rPr>
          <w:tab/>
        </w:r>
        <w:r w:rsidR="00865646">
          <w:rPr>
            <w:noProof/>
            <w:webHidden/>
          </w:rPr>
          <w:fldChar w:fldCharType="begin"/>
        </w:r>
        <w:r w:rsidR="00865646">
          <w:rPr>
            <w:noProof/>
            <w:webHidden/>
          </w:rPr>
          <w:instrText xml:space="preserve"> PAGEREF _Toc3967017 \h </w:instrText>
        </w:r>
        <w:r w:rsidR="00865646">
          <w:rPr>
            <w:noProof/>
            <w:webHidden/>
          </w:rPr>
        </w:r>
        <w:r w:rsidR="00865646">
          <w:rPr>
            <w:noProof/>
            <w:webHidden/>
          </w:rPr>
          <w:fldChar w:fldCharType="separate"/>
        </w:r>
        <w:r w:rsidR="0073054A">
          <w:rPr>
            <w:noProof/>
            <w:webHidden/>
          </w:rPr>
          <w:t>15</w:t>
        </w:r>
        <w:r w:rsidR="00865646">
          <w:rPr>
            <w:noProof/>
            <w:webHidden/>
          </w:rPr>
          <w:fldChar w:fldCharType="end"/>
        </w:r>
      </w:hyperlink>
    </w:p>
    <w:p w:rsidR="00865646" w:rsidRDefault="009B3BE6">
      <w:pPr>
        <w:pStyle w:val="TDC2"/>
        <w:rPr>
          <w:rFonts w:asciiTheme="minorHAnsi" w:eastAsiaTheme="minorEastAsia" w:hAnsiTheme="minorHAnsi" w:cstheme="minorBidi"/>
          <w:noProof/>
          <w:szCs w:val="22"/>
          <w:lang w:val="es-ES" w:eastAsia="es-ES"/>
        </w:rPr>
      </w:pPr>
      <w:hyperlink w:anchor="_Toc3967018" w:history="1">
        <w:r w:rsidR="00865646" w:rsidRPr="00555E2D">
          <w:rPr>
            <w:rStyle w:val="Hipervnculo"/>
            <w:noProof/>
          </w:rPr>
          <w:t>V.2. Resultado presupuestario del ejercicio 2017</w:t>
        </w:r>
        <w:r w:rsidR="00865646">
          <w:rPr>
            <w:noProof/>
            <w:webHidden/>
          </w:rPr>
          <w:tab/>
        </w:r>
        <w:r w:rsidR="00865646">
          <w:rPr>
            <w:noProof/>
            <w:webHidden/>
          </w:rPr>
          <w:fldChar w:fldCharType="begin"/>
        </w:r>
        <w:r w:rsidR="00865646">
          <w:rPr>
            <w:noProof/>
            <w:webHidden/>
          </w:rPr>
          <w:instrText xml:space="preserve"> PAGEREF _Toc3967018 \h </w:instrText>
        </w:r>
        <w:r w:rsidR="00865646">
          <w:rPr>
            <w:noProof/>
            <w:webHidden/>
          </w:rPr>
        </w:r>
        <w:r w:rsidR="00865646">
          <w:rPr>
            <w:noProof/>
            <w:webHidden/>
          </w:rPr>
          <w:fldChar w:fldCharType="separate"/>
        </w:r>
        <w:r w:rsidR="0073054A">
          <w:rPr>
            <w:noProof/>
            <w:webHidden/>
          </w:rPr>
          <w:t>16</w:t>
        </w:r>
        <w:r w:rsidR="00865646">
          <w:rPr>
            <w:noProof/>
            <w:webHidden/>
          </w:rPr>
          <w:fldChar w:fldCharType="end"/>
        </w:r>
      </w:hyperlink>
    </w:p>
    <w:p w:rsidR="00865646" w:rsidRDefault="009B3BE6">
      <w:pPr>
        <w:pStyle w:val="TDC2"/>
        <w:rPr>
          <w:rFonts w:asciiTheme="minorHAnsi" w:eastAsiaTheme="minorEastAsia" w:hAnsiTheme="minorHAnsi" w:cstheme="minorBidi"/>
          <w:noProof/>
          <w:szCs w:val="22"/>
          <w:lang w:val="es-ES" w:eastAsia="es-ES"/>
        </w:rPr>
      </w:pPr>
      <w:hyperlink w:anchor="_Toc3967019" w:history="1">
        <w:r w:rsidR="00865646" w:rsidRPr="00555E2D">
          <w:rPr>
            <w:rStyle w:val="Hipervnculo"/>
            <w:noProof/>
          </w:rPr>
          <w:t>V.3. Remanente de Tesorería a 31 de diciembre de 2017</w:t>
        </w:r>
        <w:r w:rsidR="00865646">
          <w:rPr>
            <w:noProof/>
            <w:webHidden/>
          </w:rPr>
          <w:tab/>
        </w:r>
        <w:r w:rsidR="00865646">
          <w:rPr>
            <w:noProof/>
            <w:webHidden/>
          </w:rPr>
          <w:fldChar w:fldCharType="begin"/>
        </w:r>
        <w:r w:rsidR="00865646">
          <w:rPr>
            <w:noProof/>
            <w:webHidden/>
          </w:rPr>
          <w:instrText xml:space="preserve"> PAGEREF _Toc3967019 \h </w:instrText>
        </w:r>
        <w:r w:rsidR="00865646">
          <w:rPr>
            <w:noProof/>
            <w:webHidden/>
          </w:rPr>
        </w:r>
        <w:r w:rsidR="00865646">
          <w:rPr>
            <w:noProof/>
            <w:webHidden/>
          </w:rPr>
          <w:fldChar w:fldCharType="separate"/>
        </w:r>
        <w:r w:rsidR="0073054A">
          <w:rPr>
            <w:noProof/>
            <w:webHidden/>
          </w:rPr>
          <w:t>16</w:t>
        </w:r>
        <w:r w:rsidR="00865646">
          <w:rPr>
            <w:noProof/>
            <w:webHidden/>
          </w:rPr>
          <w:fldChar w:fldCharType="end"/>
        </w:r>
      </w:hyperlink>
    </w:p>
    <w:p w:rsidR="00865646" w:rsidRDefault="009B3BE6">
      <w:pPr>
        <w:pStyle w:val="TDC2"/>
        <w:rPr>
          <w:rFonts w:asciiTheme="minorHAnsi" w:eastAsiaTheme="minorEastAsia" w:hAnsiTheme="minorHAnsi" w:cstheme="minorBidi"/>
          <w:noProof/>
          <w:szCs w:val="22"/>
          <w:lang w:val="es-ES" w:eastAsia="es-ES"/>
        </w:rPr>
      </w:pPr>
      <w:hyperlink w:anchor="_Toc3967020" w:history="1">
        <w:r w:rsidR="00865646" w:rsidRPr="00555E2D">
          <w:rPr>
            <w:rStyle w:val="Hipervnculo"/>
            <w:noProof/>
          </w:rPr>
          <w:t>V.4. Balance a 31 de diciembre de 2017</w:t>
        </w:r>
        <w:r w:rsidR="00865646">
          <w:rPr>
            <w:noProof/>
            <w:webHidden/>
          </w:rPr>
          <w:tab/>
        </w:r>
        <w:r w:rsidR="00865646">
          <w:rPr>
            <w:noProof/>
            <w:webHidden/>
          </w:rPr>
          <w:fldChar w:fldCharType="begin"/>
        </w:r>
        <w:r w:rsidR="00865646">
          <w:rPr>
            <w:noProof/>
            <w:webHidden/>
          </w:rPr>
          <w:instrText xml:space="preserve"> PAGEREF _Toc3967020 \h </w:instrText>
        </w:r>
        <w:r w:rsidR="00865646">
          <w:rPr>
            <w:noProof/>
            <w:webHidden/>
          </w:rPr>
        </w:r>
        <w:r w:rsidR="00865646">
          <w:rPr>
            <w:noProof/>
            <w:webHidden/>
          </w:rPr>
          <w:fldChar w:fldCharType="separate"/>
        </w:r>
        <w:r w:rsidR="0073054A">
          <w:rPr>
            <w:noProof/>
            <w:webHidden/>
          </w:rPr>
          <w:t>17</w:t>
        </w:r>
        <w:r w:rsidR="00865646">
          <w:rPr>
            <w:noProof/>
            <w:webHidden/>
          </w:rPr>
          <w:fldChar w:fldCharType="end"/>
        </w:r>
      </w:hyperlink>
    </w:p>
    <w:p w:rsidR="00865646" w:rsidRDefault="009B3BE6">
      <w:pPr>
        <w:pStyle w:val="TDC2"/>
        <w:rPr>
          <w:rFonts w:asciiTheme="minorHAnsi" w:eastAsiaTheme="minorEastAsia" w:hAnsiTheme="minorHAnsi" w:cstheme="minorBidi"/>
          <w:noProof/>
          <w:szCs w:val="22"/>
          <w:lang w:val="es-ES" w:eastAsia="es-ES"/>
        </w:rPr>
      </w:pPr>
      <w:hyperlink w:anchor="_Toc3967021" w:history="1">
        <w:r w:rsidR="00865646" w:rsidRPr="00555E2D">
          <w:rPr>
            <w:rStyle w:val="Hipervnculo"/>
            <w:noProof/>
          </w:rPr>
          <w:t>V.5. Cuenta de resultado económico-patrimonial 2017</w:t>
        </w:r>
        <w:r w:rsidR="00865646">
          <w:rPr>
            <w:noProof/>
            <w:webHidden/>
          </w:rPr>
          <w:tab/>
        </w:r>
        <w:r w:rsidR="00865646">
          <w:rPr>
            <w:noProof/>
            <w:webHidden/>
          </w:rPr>
          <w:fldChar w:fldCharType="begin"/>
        </w:r>
        <w:r w:rsidR="00865646">
          <w:rPr>
            <w:noProof/>
            <w:webHidden/>
          </w:rPr>
          <w:instrText xml:space="preserve"> PAGEREF _Toc3967021 \h </w:instrText>
        </w:r>
        <w:r w:rsidR="00865646">
          <w:rPr>
            <w:noProof/>
            <w:webHidden/>
          </w:rPr>
        </w:r>
        <w:r w:rsidR="00865646">
          <w:rPr>
            <w:noProof/>
            <w:webHidden/>
          </w:rPr>
          <w:fldChar w:fldCharType="separate"/>
        </w:r>
        <w:r w:rsidR="0073054A">
          <w:rPr>
            <w:noProof/>
            <w:webHidden/>
          </w:rPr>
          <w:t>18</w:t>
        </w:r>
        <w:r w:rsidR="00865646">
          <w:rPr>
            <w:noProof/>
            <w:webHidden/>
          </w:rPr>
          <w:fldChar w:fldCharType="end"/>
        </w:r>
      </w:hyperlink>
    </w:p>
    <w:p w:rsidR="00865646" w:rsidRDefault="009B3BE6">
      <w:pPr>
        <w:pStyle w:val="TDC1"/>
        <w:rPr>
          <w:rFonts w:asciiTheme="minorHAnsi" w:eastAsiaTheme="minorEastAsia" w:hAnsiTheme="minorHAnsi" w:cstheme="minorBidi"/>
          <w:smallCaps w:val="0"/>
          <w:noProof/>
          <w:szCs w:val="22"/>
          <w:lang w:val="es-ES" w:eastAsia="es-ES"/>
        </w:rPr>
      </w:pPr>
      <w:hyperlink w:anchor="_Toc3967022" w:history="1">
        <w:r w:rsidR="00865646" w:rsidRPr="00555E2D">
          <w:rPr>
            <w:rStyle w:val="Hipervnculo"/>
            <w:noProof/>
          </w:rPr>
          <w:t>VI. Conclusiones y recomendaciones</w:t>
        </w:r>
        <w:r w:rsidR="00865646">
          <w:rPr>
            <w:noProof/>
            <w:webHidden/>
          </w:rPr>
          <w:tab/>
        </w:r>
        <w:r w:rsidR="00865646">
          <w:rPr>
            <w:noProof/>
            <w:webHidden/>
          </w:rPr>
          <w:fldChar w:fldCharType="begin"/>
        </w:r>
        <w:r w:rsidR="00865646">
          <w:rPr>
            <w:noProof/>
            <w:webHidden/>
          </w:rPr>
          <w:instrText xml:space="preserve"> PAGEREF _Toc3967022 \h </w:instrText>
        </w:r>
        <w:r w:rsidR="00865646">
          <w:rPr>
            <w:noProof/>
            <w:webHidden/>
          </w:rPr>
        </w:r>
        <w:r w:rsidR="00865646">
          <w:rPr>
            <w:noProof/>
            <w:webHidden/>
          </w:rPr>
          <w:fldChar w:fldCharType="separate"/>
        </w:r>
        <w:r w:rsidR="0073054A">
          <w:rPr>
            <w:noProof/>
            <w:webHidden/>
          </w:rPr>
          <w:t>19</w:t>
        </w:r>
        <w:r w:rsidR="00865646">
          <w:rPr>
            <w:noProof/>
            <w:webHidden/>
          </w:rPr>
          <w:fldChar w:fldCharType="end"/>
        </w:r>
      </w:hyperlink>
    </w:p>
    <w:p w:rsidR="00865646" w:rsidRDefault="009B3BE6">
      <w:pPr>
        <w:pStyle w:val="TDC2"/>
        <w:rPr>
          <w:rFonts w:asciiTheme="minorHAnsi" w:eastAsiaTheme="minorEastAsia" w:hAnsiTheme="minorHAnsi" w:cstheme="minorBidi"/>
          <w:noProof/>
          <w:szCs w:val="22"/>
          <w:lang w:val="es-ES" w:eastAsia="es-ES"/>
        </w:rPr>
      </w:pPr>
      <w:hyperlink w:anchor="_Toc3967023" w:history="1">
        <w:r w:rsidR="00865646" w:rsidRPr="00555E2D">
          <w:rPr>
            <w:rStyle w:val="Hipervnculo"/>
            <w:noProof/>
          </w:rPr>
          <w:t>VI.1. Presupuesto de la Universidad Pública de Navarra 2017.</w:t>
        </w:r>
        <w:r w:rsidR="00865646">
          <w:rPr>
            <w:noProof/>
            <w:webHidden/>
          </w:rPr>
          <w:tab/>
        </w:r>
        <w:r w:rsidR="00865646">
          <w:rPr>
            <w:noProof/>
            <w:webHidden/>
          </w:rPr>
          <w:fldChar w:fldCharType="begin"/>
        </w:r>
        <w:r w:rsidR="00865646">
          <w:rPr>
            <w:noProof/>
            <w:webHidden/>
          </w:rPr>
          <w:instrText xml:space="preserve"> PAGEREF _Toc3967023 \h </w:instrText>
        </w:r>
        <w:r w:rsidR="00865646">
          <w:rPr>
            <w:noProof/>
            <w:webHidden/>
          </w:rPr>
        </w:r>
        <w:r w:rsidR="00865646">
          <w:rPr>
            <w:noProof/>
            <w:webHidden/>
          </w:rPr>
          <w:fldChar w:fldCharType="separate"/>
        </w:r>
        <w:r w:rsidR="0073054A">
          <w:rPr>
            <w:noProof/>
            <w:webHidden/>
          </w:rPr>
          <w:t>19</w:t>
        </w:r>
        <w:r w:rsidR="00865646">
          <w:rPr>
            <w:noProof/>
            <w:webHidden/>
          </w:rPr>
          <w:fldChar w:fldCharType="end"/>
        </w:r>
      </w:hyperlink>
    </w:p>
    <w:p w:rsidR="00865646" w:rsidRDefault="009B3BE6">
      <w:pPr>
        <w:pStyle w:val="TDC2"/>
        <w:rPr>
          <w:rFonts w:asciiTheme="minorHAnsi" w:eastAsiaTheme="minorEastAsia" w:hAnsiTheme="minorHAnsi" w:cstheme="minorBidi"/>
          <w:noProof/>
          <w:szCs w:val="22"/>
          <w:lang w:val="es-ES" w:eastAsia="es-ES"/>
        </w:rPr>
      </w:pPr>
      <w:hyperlink w:anchor="_Toc3967024" w:history="1">
        <w:r w:rsidR="00865646" w:rsidRPr="00555E2D">
          <w:rPr>
            <w:rStyle w:val="Hipervnculo"/>
            <w:noProof/>
          </w:rPr>
          <w:t>VI.2. Situación económico-financiera de la Universidad Pública de Navarra a 31 de diciembre de 2017</w:t>
        </w:r>
        <w:r w:rsidR="00865646">
          <w:rPr>
            <w:noProof/>
            <w:webHidden/>
          </w:rPr>
          <w:tab/>
        </w:r>
        <w:r w:rsidR="00865646">
          <w:rPr>
            <w:noProof/>
            <w:webHidden/>
          </w:rPr>
          <w:fldChar w:fldCharType="begin"/>
        </w:r>
        <w:r w:rsidR="00865646">
          <w:rPr>
            <w:noProof/>
            <w:webHidden/>
          </w:rPr>
          <w:instrText xml:space="preserve"> PAGEREF _Toc3967024 \h </w:instrText>
        </w:r>
        <w:r w:rsidR="00865646">
          <w:rPr>
            <w:noProof/>
            <w:webHidden/>
          </w:rPr>
        </w:r>
        <w:r w:rsidR="00865646">
          <w:rPr>
            <w:noProof/>
            <w:webHidden/>
          </w:rPr>
          <w:fldChar w:fldCharType="separate"/>
        </w:r>
        <w:r w:rsidR="0073054A">
          <w:rPr>
            <w:noProof/>
            <w:webHidden/>
          </w:rPr>
          <w:t>22</w:t>
        </w:r>
        <w:r w:rsidR="00865646">
          <w:rPr>
            <w:noProof/>
            <w:webHidden/>
          </w:rPr>
          <w:fldChar w:fldCharType="end"/>
        </w:r>
      </w:hyperlink>
    </w:p>
    <w:p w:rsidR="00865646" w:rsidRDefault="009B3BE6">
      <w:pPr>
        <w:pStyle w:val="TDC2"/>
        <w:rPr>
          <w:rFonts w:asciiTheme="minorHAnsi" w:eastAsiaTheme="minorEastAsia" w:hAnsiTheme="minorHAnsi" w:cstheme="minorBidi"/>
          <w:noProof/>
          <w:szCs w:val="22"/>
          <w:lang w:val="es-ES" w:eastAsia="es-ES"/>
        </w:rPr>
      </w:pPr>
      <w:hyperlink w:anchor="_Toc3967025" w:history="1">
        <w:r w:rsidR="00865646" w:rsidRPr="00555E2D">
          <w:rPr>
            <w:rStyle w:val="Hipervnculo"/>
            <w:noProof/>
          </w:rPr>
          <w:t>VI.3. Seguimiento de recomendaciones emitidas en informes anteriores de esta Cámara de Comptos</w:t>
        </w:r>
        <w:r w:rsidR="00865646">
          <w:rPr>
            <w:noProof/>
            <w:webHidden/>
          </w:rPr>
          <w:tab/>
        </w:r>
        <w:r w:rsidR="00865646">
          <w:rPr>
            <w:noProof/>
            <w:webHidden/>
          </w:rPr>
          <w:fldChar w:fldCharType="begin"/>
        </w:r>
        <w:r w:rsidR="00865646">
          <w:rPr>
            <w:noProof/>
            <w:webHidden/>
          </w:rPr>
          <w:instrText xml:space="preserve"> PAGEREF _Toc3967025 \h </w:instrText>
        </w:r>
        <w:r w:rsidR="00865646">
          <w:rPr>
            <w:noProof/>
            <w:webHidden/>
          </w:rPr>
        </w:r>
        <w:r w:rsidR="00865646">
          <w:rPr>
            <w:noProof/>
            <w:webHidden/>
          </w:rPr>
          <w:fldChar w:fldCharType="separate"/>
        </w:r>
        <w:r w:rsidR="0073054A">
          <w:rPr>
            <w:noProof/>
            <w:webHidden/>
          </w:rPr>
          <w:t>24</w:t>
        </w:r>
        <w:r w:rsidR="00865646">
          <w:rPr>
            <w:noProof/>
            <w:webHidden/>
          </w:rPr>
          <w:fldChar w:fldCharType="end"/>
        </w:r>
      </w:hyperlink>
    </w:p>
    <w:p w:rsidR="00865646" w:rsidRDefault="009B3BE6">
      <w:pPr>
        <w:pStyle w:val="TDC2"/>
        <w:rPr>
          <w:rFonts w:asciiTheme="minorHAnsi" w:eastAsiaTheme="minorEastAsia" w:hAnsiTheme="minorHAnsi" w:cstheme="minorBidi"/>
          <w:noProof/>
          <w:szCs w:val="22"/>
          <w:lang w:val="es-ES" w:eastAsia="es-ES"/>
        </w:rPr>
      </w:pPr>
      <w:hyperlink w:anchor="_Toc3967026" w:history="1">
        <w:r w:rsidR="00865646" w:rsidRPr="00555E2D">
          <w:rPr>
            <w:rStyle w:val="Hipervnculo"/>
            <w:noProof/>
          </w:rPr>
          <w:t>VI.4. Áreas de gestión relevantes</w:t>
        </w:r>
        <w:r w:rsidR="00865646">
          <w:rPr>
            <w:noProof/>
            <w:webHidden/>
          </w:rPr>
          <w:tab/>
        </w:r>
        <w:r w:rsidR="00865646">
          <w:rPr>
            <w:noProof/>
            <w:webHidden/>
          </w:rPr>
          <w:fldChar w:fldCharType="begin"/>
        </w:r>
        <w:r w:rsidR="00865646">
          <w:rPr>
            <w:noProof/>
            <w:webHidden/>
          </w:rPr>
          <w:instrText xml:space="preserve"> PAGEREF _Toc3967026 \h </w:instrText>
        </w:r>
        <w:r w:rsidR="00865646">
          <w:rPr>
            <w:noProof/>
            <w:webHidden/>
          </w:rPr>
        </w:r>
        <w:r w:rsidR="00865646">
          <w:rPr>
            <w:noProof/>
            <w:webHidden/>
          </w:rPr>
          <w:fldChar w:fldCharType="separate"/>
        </w:r>
        <w:r w:rsidR="0073054A">
          <w:rPr>
            <w:noProof/>
            <w:webHidden/>
          </w:rPr>
          <w:t>25</w:t>
        </w:r>
        <w:r w:rsidR="00865646">
          <w:rPr>
            <w:noProof/>
            <w:webHidden/>
          </w:rPr>
          <w:fldChar w:fldCharType="end"/>
        </w:r>
      </w:hyperlink>
    </w:p>
    <w:p w:rsidR="00865646" w:rsidRDefault="009B3BE6">
      <w:pPr>
        <w:pStyle w:val="TDC1"/>
        <w:rPr>
          <w:rFonts w:asciiTheme="minorHAnsi" w:eastAsiaTheme="minorEastAsia" w:hAnsiTheme="minorHAnsi" w:cstheme="minorBidi"/>
          <w:smallCaps w:val="0"/>
          <w:noProof/>
          <w:szCs w:val="22"/>
          <w:lang w:val="es-ES" w:eastAsia="es-ES"/>
        </w:rPr>
      </w:pPr>
      <w:hyperlink w:anchor="_Toc3967027" w:history="1">
        <w:r w:rsidR="00865646" w:rsidRPr="00555E2D">
          <w:rPr>
            <w:rStyle w:val="Hipervnculo"/>
            <w:noProof/>
          </w:rPr>
          <w:t>Anexo I. Evolución de indicadores no financieros</w:t>
        </w:r>
        <w:r w:rsidR="00865646">
          <w:rPr>
            <w:noProof/>
            <w:webHidden/>
          </w:rPr>
          <w:tab/>
        </w:r>
        <w:r w:rsidR="00865646">
          <w:rPr>
            <w:noProof/>
            <w:webHidden/>
          </w:rPr>
          <w:fldChar w:fldCharType="begin"/>
        </w:r>
        <w:r w:rsidR="00865646">
          <w:rPr>
            <w:noProof/>
            <w:webHidden/>
          </w:rPr>
          <w:instrText xml:space="preserve"> PAGEREF _Toc3967027 \h </w:instrText>
        </w:r>
        <w:r w:rsidR="00865646">
          <w:rPr>
            <w:noProof/>
            <w:webHidden/>
          </w:rPr>
        </w:r>
        <w:r w:rsidR="00865646">
          <w:rPr>
            <w:noProof/>
            <w:webHidden/>
          </w:rPr>
          <w:fldChar w:fldCharType="separate"/>
        </w:r>
        <w:r w:rsidR="0073054A">
          <w:rPr>
            <w:noProof/>
            <w:webHidden/>
          </w:rPr>
          <w:t>47</w:t>
        </w:r>
        <w:r w:rsidR="00865646">
          <w:rPr>
            <w:noProof/>
            <w:webHidden/>
          </w:rPr>
          <w:fldChar w:fldCharType="end"/>
        </w:r>
      </w:hyperlink>
    </w:p>
    <w:p w:rsidR="00865646" w:rsidRDefault="009B3BE6">
      <w:pPr>
        <w:pStyle w:val="TDC1"/>
        <w:rPr>
          <w:rFonts w:asciiTheme="minorHAnsi" w:eastAsiaTheme="minorEastAsia" w:hAnsiTheme="minorHAnsi" w:cstheme="minorBidi"/>
          <w:smallCaps w:val="0"/>
          <w:noProof/>
          <w:szCs w:val="22"/>
          <w:lang w:val="es-ES" w:eastAsia="es-ES"/>
        </w:rPr>
      </w:pPr>
      <w:hyperlink w:anchor="_Toc3967028" w:history="1">
        <w:r w:rsidR="00865646" w:rsidRPr="00555E2D">
          <w:rPr>
            <w:rStyle w:val="Hipervnculo"/>
            <w:noProof/>
          </w:rPr>
          <w:t>Anexo II. Evolución personal efectivo Universidad a 31 de diciembre</w:t>
        </w:r>
        <w:r w:rsidR="00865646">
          <w:rPr>
            <w:noProof/>
            <w:webHidden/>
          </w:rPr>
          <w:tab/>
        </w:r>
        <w:r w:rsidR="00865646">
          <w:rPr>
            <w:noProof/>
            <w:webHidden/>
          </w:rPr>
          <w:fldChar w:fldCharType="begin"/>
        </w:r>
        <w:r w:rsidR="00865646">
          <w:rPr>
            <w:noProof/>
            <w:webHidden/>
          </w:rPr>
          <w:instrText xml:space="preserve"> PAGEREF _Toc3967028 \h </w:instrText>
        </w:r>
        <w:r w:rsidR="00865646">
          <w:rPr>
            <w:noProof/>
            <w:webHidden/>
          </w:rPr>
        </w:r>
        <w:r w:rsidR="00865646">
          <w:rPr>
            <w:noProof/>
            <w:webHidden/>
          </w:rPr>
          <w:fldChar w:fldCharType="separate"/>
        </w:r>
        <w:r w:rsidR="0073054A">
          <w:rPr>
            <w:noProof/>
            <w:webHidden/>
          </w:rPr>
          <w:t>48</w:t>
        </w:r>
        <w:r w:rsidR="00865646">
          <w:rPr>
            <w:noProof/>
            <w:webHidden/>
          </w:rPr>
          <w:fldChar w:fldCharType="end"/>
        </w:r>
      </w:hyperlink>
    </w:p>
    <w:p w:rsidR="00865646" w:rsidRDefault="009B3BE6">
      <w:pPr>
        <w:pStyle w:val="TDC1"/>
        <w:rPr>
          <w:rFonts w:asciiTheme="minorHAnsi" w:eastAsiaTheme="minorEastAsia" w:hAnsiTheme="minorHAnsi" w:cstheme="minorBidi"/>
          <w:smallCaps w:val="0"/>
          <w:noProof/>
          <w:szCs w:val="22"/>
          <w:lang w:val="es-ES" w:eastAsia="es-ES"/>
        </w:rPr>
      </w:pPr>
      <w:hyperlink w:anchor="_Toc3967029" w:history="1">
        <w:r w:rsidR="00865646" w:rsidRPr="00555E2D">
          <w:rPr>
            <w:rStyle w:val="Hipervnculo"/>
            <w:noProof/>
          </w:rPr>
          <w:t>Anexo III. Indicadores de las actividades de la Fundación Universidad-Sociedad</w:t>
        </w:r>
        <w:r w:rsidR="00865646">
          <w:rPr>
            <w:noProof/>
            <w:webHidden/>
          </w:rPr>
          <w:tab/>
        </w:r>
        <w:r w:rsidR="00865646">
          <w:rPr>
            <w:noProof/>
            <w:webHidden/>
          </w:rPr>
          <w:fldChar w:fldCharType="begin"/>
        </w:r>
        <w:r w:rsidR="00865646">
          <w:rPr>
            <w:noProof/>
            <w:webHidden/>
          </w:rPr>
          <w:instrText xml:space="preserve"> PAGEREF _Toc3967029 \h </w:instrText>
        </w:r>
        <w:r w:rsidR="00865646">
          <w:rPr>
            <w:noProof/>
            <w:webHidden/>
          </w:rPr>
        </w:r>
        <w:r w:rsidR="00865646">
          <w:rPr>
            <w:noProof/>
            <w:webHidden/>
          </w:rPr>
          <w:fldChar w:fldCharType="separate"/>
        </w:r>
        <w:r w:rsidR="0073054A">
          <w:rPr>
            <w:noProof/>
            <w:webHidden/>
          </w:rPr>
          <w:t>49</w:t>
        </w:r>
        <w:r w:rsidR="00865646">
          <w:rPr>
            <w:noProof/>
            <w:webHidden/>
          </w:rPr>
          <w:fldChar w:fldCharType="end"/>
        </w:r>
      </w:hyperlink>
    </w:p>
    <w:p w:rsidR="00865646" w:rsidRDefault="009B3BE6">
      <w:pPr>
        <w:pStyle w:val="TDC1"/>
        <w:rPr>
          <w:rFonts w:asciiTheme="minorHAnsi" w:eastAsiaTheme="minorEastAsia" w:hAnsiTheme="minorHAnsi" w:cstheme="minorBidi"/>
          <w:smallCaps w:val="0"/>
          <w:noProof/>
          <w:szCs w:val="22"/>
          <w:lang w:val="es-ES" w:eastAsia="es-ES"/>
        </w:rPr>
      </w:pPr>
      <w:hyperlink w:anchor="_Toc3967030" w:history="1">
        <w:r w:rsidR="00865646" w:rsidRPr="00555E2D">
          <w:rPr>
            <w:rStyle w:val="Hipervnculo"/>
            <w:noProof/>
          </w:rPr>
          <w:t>Cuentas Anuales de la Universidad Pública de Navarra 2017</w:t>
        </w:r>
        <w:r w:rsidR="00865646">
          <w:rPr>
            <w:noProof/>
            <w:webHidden/>
          </w:rPr>
          <w:tab/>
        </w:r>
        <w:r w:rsidR="00865646">
          <w:rPr>
            <w:noProof/>
            <w:webHidden/>
          </w:rPr>
          <w:fldChar w:fldCharType="begin"/>
        </w:r>
        <w:r w:rsidR="00865646">
          <w:rPr>
            <w:noProof/>
            <w:webHidden/>
          </w:rPr>
          <w:instrText xml:space="preserve"> PAGEREF _Toc3967030 \h </w:instrText>
        </w:r>
        <w:r w:rsidR="00865646">
          <w:rPr>
            <w:noProof/>
            <w:webHidden/>
          </w:rPr>
        </w:r>
        <w:r w:rsidR="00865646">
          <w:rPr>
            <w:noProof/>
            <w:webHidden/>
          </w:rPr>
          <w:fldChar w:fldCharType="separate"/>
        </w:r>
        <w:r w:rsidR="0073054A">
          <w:rPr>
            <w:noProof/>
            <w:webHidden/>
          </w:rPr>
          <w:t>50</w:t>
        </w:r>
        <w:r w:rsidR="00865646">
          <w:rPr>
            <w:noProof/>
            <w:webHidden/>
          </w:rPr>
          <w:fldChar w:fldCharType="end"/>
        </w:r>
      </w:hyperlink>
    </w:p>
    <w:p w:rsidR="00891D73" w:rsidRPr="00730AE6" w:rsidRDefault="00882BEB" w:rsidP="00146342">
      <w:pPr>
        <w:pStyle w:val="texto"/>
      </w:pPr>
      <w:r w:rsidRPr="00730AE6">
        <w:fldChar w:fldCharType="end"/>
      </w:r>
    </w:p>
    <w:p w:rsidR="00891D73" w:rsidRPr="00730AE6" w:rsidRDefault="00891D73" w:rsidP="00146342">
      <w:pPr>
        <w:pStyle w:val="texto"/>
      </w:pPr>
    </w:p>
    <w:p w:rsidR="008E3FFE" w:rsidRPr="00730AE6" w:rsidRDefault="008E3FFE" w:rsidP="00587AC6">
      <w:pPr>
        <w:pStyle w:val="texto"/>
        <w:ind w:firstLine="0"/>
        <w:sectPr w:rsidR="008E3FFE" w:rsidRPr="00730AE6" w:rsidSect="00C13CBB">
          <w:type w:val="oddPage"/>
          <w:pgSz w:w="11907" w:h="16840" w:code="9"/>
          <w:pgMar w:top="2109" w:right="1559" w:bottom="1644" w:left="1559" w:header="369" w:footer="402" w:gutter="0"/>
          <w:pgNumType w:start="3"/>
          <w:cols w:space="720"/>
          <w:docGrid w:linePitch="360"/>
        </w:sectPr>
      </w:pPr>
    </w:p>
    <w:p w:rsidR="00455464" w:rsidRPr="008F1523" w:rsidRDefault="00455464" w:rsidP="008900BC">
      <w:pPr>
        <w:pStyle w:val="atitulo1"/>
        <w:rPr>
          <w:color w:val="auto"/>
        </w:rPr>
      </w:pPr>
      <w:bookmarkStart w:id="1" w:name="_Toc3967009"/>
      <w:bookmarkStart w:id="2" w:name="_Toc303592528"/>
      <w:bookmarkStart w:id="3" w:name="_Toc309383711"/>
      <w:bookmarkStart w:id="4" w:name="_Toc339016600"/>
      <w:r w:rsidRPr="008F1523">
        <w:rPr>
          <w:color w:val="auto"/>
        </w:rPr>
        <w:lastRenderedPageBreak/>
        <w:t>Resumen ejecutivo</w:t>
      </w:r>
      <w:bookmarkEnd w:id="1"/>
    </w:p>
    <w:p w:rsidR="00923682" w:rsidRPr="00730AE6" w:rsidRDefault="00923682" w:rsidP="00EE420A">
      <w:pPr>
        <w:pStyle w:val="texto"/>
        <w:spacing w:before="120" w:after="120"/>
      </w:pPr>
      <w:r w:rsidRPr="00730AE6">
        <w:t xml:space="preserve">La Cámara de Comptos ha fiscalizado las cuentas </w:t>
      </w:r>
      <w:r w:rsidR="00012B76" w:rsidRPr="00730AE6">
        <w:t>anuales</w:t>
      </w:r>
      <w:r w:rsidRPr="00730AE6">
        <w:t xml:space="preserve"> de la Universidad Pública de Navarra corre</w:t>
      </w:r>
      <w:r w:rsidR="00AA0208" w:rsidRPr="00730AE6">
        <w:t>spondientes al ejercicio 2017</w:t>
      </w:r>
      <w:r w:rsidRPr="00730AE6">
        <w:t>.</w:t>
      </w:r>
    </w:p>
    <w:p w:rsidR="00923682" w:rsidRPr="005A63AB" w:rsidRDefault="00AA1285" w:rsidP="00EE420A">
      <w:pPr>
        <w:pStyle w:val="texto"/>
        <w:spacing w:before="120" w:after="120"/>
        <w:rPr>
          <w:spacing w:val="0"/>
        </w:rPr>
      </w:pPr>
      <w:r w:rsidRPr="005A63AB">
        <w:rPr>
          <w:spacing w:val="0"/>
        </w:rPr>
        <w:t xml:space="preserve">Como </w:t>
      </w:r>
      <w:r w:rsidR="00923682" w:rsidRPr="005A63AB">
        <w:rPr>
          <w:spacing w:val="0"/>
        </w:rPr>
        <w:t xml:space="preserve">información relevante de la </w:t>
      </w:r>
      <w:r w:rsidR="00A32A9C" w:rsidRPr="005A63AB">
        <w:rPr>
          <w:spacing w:val="0"/>
        </w:rPr>
        <w:t>Universidad</w:t>
      </w:r>
      <w:r w:rsidR="000054F6" w:rsidRPr="005A63AB">
        <w:rPr>
          <w:spacing w:val="0"/>
        </w:rPr>
        <w:t xml:space="preserve"> </w:t>
      </w:r>
      <w:r w:rsidRPr="005A63AB">
        <w:rPr>
          <w:spacing w:val="0"/>
        </w:rPr>
        <w:t xml:space="preserve">en el </w:t>
      </w:r>
      <w:r w:rsidR="000054F6" w:rsidRPr="005A63AB">
        <w:rPr>
          <w:spacing w:val="0"/>
        </w:rPr>
        <w:t>ejercicio</w:t>
      </w:r>
      <w:r w:rsidR="00923682" w:rsidRPr="005A63AB">
        <w:rPr>
          <w:spacing w:val="0"/>
        </w:rPr>
        <w:t xml:space="preserve"> 201</w:t>
      </w:r>
      <w:r w:rsidR="00AA0208" w:rsidRPr="005A63AB">
        <w:rPr>
          <w:spacing w:val="0"/>
        </w:rPr>
        <w:t>7</w:t>
      </w:r>
      <w:r w:rsidR="00923682" w:rsidRPr="005A63AB">
        <w:rPr>
          <w:spacing w:val="0"/>
        </w:rPr>
        <w:t xml:space="preserve"> </w:t>
      </w:r>
      <w:r w:rsidRPr="005A63AB">
        <w:rPr>
          <w:spacing w:val="0"/>
        </w:rPr>
        <w:t>señalamos</w:t>
      </w:r>
      <w:r w:rsidR="00923682" w:rsidRPr="005A63AB">
        <w:rPr>
          <w:spacing w:val="0"/>
        </w:rPr>
        <w:t>:</w:t>
      </w:r>
    </w:p>
    <w:p w:rsidR="00923682" w:rsidRPr="00730AE6" w:rsidRDefault="000054F6" w:rsidP="00EE420A">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90"/>
        <w:rPr>
          <w:szCs w:val="26"/>
        </w:rPr>
      </w:pPr>
      <w:r>
        <w:rPr>
          <w:szCs w:val="26"/>
        </w:rPr>
        <w:t>H</w:t>
      </w:r>
      <w:r w:rsidR="00923682" w:rsidRPr="00730AE6">
        <w:rPr>
          <w:szCs w:val="26"/>
        </w:rPr>
        <w:t>a realizado un</w:t>
      </w:r>
      <w:r>
        <w:rPr>
          <w:szCs w:val="26"/>
        </w:rPr>
        <w:t>os</w:t>
      </w:r>
      <w:r w:rsidR="00923682" w:rsidRPr="00730AE6">
        <w:rPr>
          <w:szCs w:val="26"/>
        </w:rPr>
        <w:t xml:space="preserve"> gasto</w:t>
      </w:r>
      <w:r>
        <w:rPr>
          <w:szCs w:val="26"/>
        </w:rPr>
        <w:t>s</w:t>
      </w:r>
      <w:r w:rsidR="00923682" w:rsidRPr="00730AE6">
        <w:rPr>
          <w:szCs w:val="26"/>
        </w:rPr>
        <w:t xml:space="preserve"> presupuestario</w:t>
      </w:r>
      <w:r>
        <w:rPr>
          <w:szCs w:val="26"/>
        </w:rPr>
        <w:t>s</w:t>
      </w:r>
      <w:r w:rsidR="00923682" w:rsidRPr="00730AE6">
        <w:rPr>
          <w:szCs w:val="26"/>
        </w:rPr>
        <w:t xml:space="preserve"> de 7</w:t>
      </w:r>
      <w:r w:rsidR="00F76AEB" w:rsidRPr="00730AE6">
        <w:rPr>
          <w:szCs w:val="26"/>
        </w:rPr>
        <w:t>8</w:t>
      </w:r>
      <w:r w:rsidR="00923682" w:rsidRPr="00730AE6">
        <w:rPr>
          <w:szCs w:val="26"/>
        </w:rPr>
        <w:t>,</w:t>
      </w:r>
      <w:r w:rsidR="00F76AEB" w:rsidRPr="00730AE6">
        <w:rPr>
          <w:szCs w:val="26"/>
        </w:rPr>
        <w:t>20</w:t>
      </w:r>
      <w:r w:rsidR="00923682" w:rsidRPr="00730AE6">
        <w:rPr>
          <w:szCs w:val="26"/>
        </w:rPr>
        <w:t xml:space="preserve"> millones y </w:t>
      </w:r>
      <w:r w:rsidR="007B056C">
        <w:rPr>
          <w:szCs w:val="26"/>
        </w:rPr>
        <w:t xml:space="preserve">ha </w:t>
      </w:r>
      <w:r w:rsidR="006955A6">
        <w:rPr>
          <w:szCs w:val="26"/>
        </w:rPr>
        <w:t>ingresado</w:t>
      </w:r>
      <w:r w:rsidR="007B056C">
        <w:rPr>
          <w:szCs w:val="26"/>
        </w:rPr>
        <w:t xml:space="preserve"> </w:t>
      </w:r>
      <w:r w:rsidR="00923682" w:rsidRPr="00730AE6">
        <w:rPr>
          <w:szCs w:val="26"/>
        </w:rPr>
        <w:t>7</w:t>
      </w:r>
      <w:r w:rsidR="00B94651" w:rsidRPr="00730AE6">
        <w:rPr>
          <w:szCs w:val="26"/>
        </w:rPr>
        <w:t>6</w:t>
      </w:r>
      <w:r w:rsidR="00923682" w:rsidRPr="00730AE6">
        <w:rPr>
          <w:szCs w:val="26"/>
        </w:rPr>
        <w:t>,</w:t>
      </w:r>
      <w:r w:rsidR="00B94651" w:rsidRPr="00730AE6">
        <w:rPr>
          <w:szCs w:val="26"/>
        </w:rPr>
        <w:t>99</w:t>
      </w:r>
      <w:r w:rsidR="00923682" w:rsidRPr="00730AE6">
        <w:rPr>
          <w:szCs w:val="26"/>
        </w:rPr>
        <w:t xml:space="preserve"> millones. </w:t>
      </w:r>
    </w:p>
    <w:p w:rsidR="00075BFC" w:rsidRPr="000054F6" w:rsidRDefault="00A92DB3" w:rsidP="00EE420A">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90"/>
      </w:pPr>
      <w:r w:rsidRPr="000054F6">
        <w:rPr>
          <w:szCs w:val="26"/>
        </w:rPr>
        <w:t xml:space="preserve">El personal de la </w:t>
      </w:r>
      <w:r w:rsidR="00A32A9C" w:rsidRPr="000054F6">
        <w:rPr>
          <w:szCs w:val="26"/>
        </w:rPr>
        <w:t>Universidad</w:t>
      </w:r>
      <w:r w:rsidRPr="000054F6">
        <w:rPr>
          <w:szCs w:val="26"/>
        </w:rPr>
        <w:t xml:space="preserve"> </w:t>
      </w:r>
      <w:r w:rsidR="008F216B">
        <w:rPr>
          <w:szCs w:val="26"/>
        </w:rPr>
        <w:t xml:space="preserve">a 31 de diciembre de 2017 </w:t>
      </w:r>
      <w:r w:rsidRPr="000054F6">
        <w:rPr>
          <w:szCs w:val="26"/>
        </w:rPr>
        <w:t xml:space="preserve">asciende a </w:t>
      </w:r>
      <w:r w:rsidR="00923682" w:rsidRPr="000054F6">
        <w:rPr>
          <w:szCs w:val="26"/>
        </w:rPr>
        <w:t>1.</w:t>
      </w:r>
      <w:r w:rsidR="005C67AB" w:rsidRPr="000054F6">
        <w:rPr>
          <w:szCs w:val="26"/>
        </w:rPr>
        <w:t>615</w:t>
      </w:r>
      <w:r w:rsidR="00923682" w:rsidRPr="000054F6">
        <w:rPr>
          <w:szCs w:val="26"/>
        </w:rPr>
        <w:t xml:space="preserve"> empleados, de los que el </w:t>
      </w:r>
      <w:r w:rsidR="004F156D">
        <w:rPr>
          <w:szCs w:val="26"/>
        </w:rPr>
        <w:t>5</w:t>
      </w:r>
      <w:r w:rsidR="00B94651" w:rsidRPr="000054F6">
        <w:rPr>
          <w:szCs w:val="26"/>
        </w:rPr>
        <w:t>6</w:t>
      </w:r>
      <w:r w:rsidR="00923682" w:rsidRPr="000054F6">
        <w:rPr>
          <w:szCs w:val="26"/>
        </w:rPr>
        <w:t xml:space="preserve"> por ci</w:t>
      </w:r>
      <w:r w:rsidR="004F156D">
        <w:rPr>
          <w:szCs w:val="26"/>
        </w:rPr>
        <w:t>ento corresponde a personal docente.</w:t>
      </w:r>
    </w:p>
    <w:p w:rsidR="00923682" w:rsidRPr="008940A5" w:rsidRDefault="00923682" w:rsidP="00EE420A">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90"/>
      </w:pPr>
      <w:r w:rsidRPr="008940A5">
        <w:rPr>
          <w:szCs w:val="26"/>
        </w:rPr>
        <w:t>El número de alumnos</w:t>
      </w:r>
      <w:r w:rsidR="008F216B">
        <w:rPr>
          <w:szCs w:val="26"/>
        </w:rPr>
        <w:t xml:space="preserve"> en el curso 2017/2018</w:t>
      </w:r>
      <w:r w:rsidRPr="008940A5">
        <w:rPr>
          <w:szCs w:val="26"/>
        </w:rPr>
        <w:t xml:space="preserve"> asciende a 8.</w:t>
      </w:r>
      <w:r w:rsidR="008940A5" w:rsidRPr="008940A5">
        <w:rPr>
          <w:szCs w:val="26"/>
        </w:rPr>
        <w:t>059</w:t>
      </w:r>
      <w:r w:rsidRPr="008940A5">
        <w:rPr>
          <w:szCs w:val="26"/>
        </w:rPr>
        <w:t xml:space="preserve"> estudiantes.</w:t>
      </w:r>
    </w:p>
    <w:p w:rsidR="00923682" w:rsidRPr="00730AE6" w:rsidRDefault="00923682" w:rsidP="00EE420A">
      <w:pPr>
        <w:pStyle w:val="texto"/>
        <w:spacing w:before="120" w:after="120"/>
      </w:pPr>
      <w:r w:rsidRPr="00730AE6">
        <w:t>Las principales conclusiones de</w:t>
      </w:r>
      <w:r w:rsidR="009926B2" w:rsidRPr="00730AE6">
        <w:t>l</w:t>
      </w:r>
      <w:r w:rsidR="00CA686B">
        <w:t xml:space="preserve"> </w:t>
      </w:r>
      <w:r w:rsidR="009926B2" w:rsidRPr="00730AE6">
        <w:t xml:space="preserve"> </w:t>
      </w:r>
      <w:r w:rsidRPr="00730AE6">
        <w:t xml:space="preserve">trabajo </w:t>
      </w:r>
      <w:r w:rsidR="009926B2" w:rsidRPr="00730AE6">
        <w:t xml:space="preserve">realizado </w:t>
      </w:r>
      <w:r w:rsidRPr="00730AE6">
        <w:t>s</w:t>
      </w:r>
      <w:r w:rsidR="009926B2" w:rsidRPr="00730AE6">
        <w:t>on las siguientes:</w:t>
      </w:r>
    </w:p>
    <w:p w:rsidR="00923682" w:rsidRPr="00730AE6" w:rsidRDefault="009926B2" w:rsidP="00EE420A">
      <w:pPr>
        <w:pStyle w:val="texto"/>
        <w:spacing w:before="120" w:after="120"/>
      </w:pPr>
      <w:r w:rsidRPr="00730AE6">
        <w:t>1. ª</w:t>
      </w:r>
      <w:r w:rsidR="00923682" w:rsidRPr="00730AE6">
        <w:t xml:space="preserve"> Las cuentas anuales de la </w:t>
      </w:r>
      <w:r w:rsidR="00A32A9C">
        <w:t>Universidad</w:t>
      </w:r>
      <w:r w:rsidR="00923682" w:rsidRPr="00730AE6">
        <w:t xml:space="preserve"> </w:t>
      </w:r>
      <w:r w:rsidR="00C32852" w:rsidRPr="00730AE6">
        <w:t xml:space="preserve">a 31 de diciembre de 2017 </w:t>
      </w:r>
      <w:r w:rsidR="00923682" w:rsidRPr="00730AE6">
        <w:t>reflejan fielmente, en sus aspectos significativos, la imagen de su patrimonio, de su s</w:t>
      </w:r>
      <w:r w:rsidR="00923682" w:rsidRPr="00730AE6">
        <w:t>i</w:t>
      </w:r>
      <w:r w:rsidR="00923682" w:rsidRPr="00730AE6">
        <w:t>tuación financiera y de sus resultados</w:t>
      </w:r>
      <w:r w:rsidR="00E75E00" w:rsidRPr="00730AE6">
        <w:t xml:space="preserve"> económicos y presupuestarios</w:t>
      </w:r>
      <w:r w:rsidR="00923682" w:rsidRPr="00730AE6">
        <w:t>.</w:t>
      </w:r>
    </w:p>
    <w:p w:rsidR="00923682" w:rsidRPr="00730AE6" w:rsidRDefault="00A578FC" w:rsidP="00EE420A">
      <w:pPr>
        <w:pStyle w:val="texto"/>
        <w:spacing w:before="120" w:after="120"/>
      </w:pPr>
      <w:r w:rsidRPr="00730AE6">
        <w:t>2. ª</w:t>
      </w:r>
      <w:r w:rsidR="00923682" w:rsidRPr="00730AE6">
        <w:t xml:space="preserve"> La</w:t>
      </w:r>
      <w:r w:rsidRPr="00730AE6">
        <w:t xml:space="preserve">s </w:t>
      </w:r>
      <w:r w:rsidR="00923682" w:rsidRPr="00730AE6">
        <w:t>actividad</w:t>
      </w:r>
      <w:r w:rsidRPr="00730AE6">
        <w:t>es, operaciones presupuestarias y financieras y la inform</w:t>
      </w:r>
      <w:r w:rsidRPr="00730AE6">
        <w:t>a</w:t>
      </w:r>
      <w:r w:rsidRPr="00730AE6">
        <w:t>ción reflejada en las cuentas anuales del ejercicio 2017,</w:t>
      </w:r>
      <w:r w:rsidR="00923682" w:rsidRPr="00730AE6">
        <w:t xml:space="preserve"> </w:t>
      </w:r>
      <w:r w:rsidRPr="00730AE6">
        <w:t xml:space="preserve">teniendo en cuenta el alcance del trabajo realizado, </w:t>
      </w:r>
      <w:r w:rsidR="00923682" w:rsidRPr="00730AE6">
        <w:t>resulta</w:t>
      </w:r>
      <w:r w:rsidRPr="00730AE6">
        <w:t>n</w:t>
      </w:r>
      <w:r w:rsidR="00923682" w:rsidRPr="00730AE6">
        <w:t xml:space="preserve"> conforme</w:t>
      </w:r>
      <w:r w:rsidRPr="00730AE6">
        <w:t>s</w:t>
      </w:r>
      <w:r w:rsidR="00923682" w:rsidRPr="00730AE6">
        <w:t>, en todos los aspectos signif</w:t>
      </w:r>
      <w:r w:rsidR="00923682" w:rsidRPr="00730AE6">
        <w:t>i</w:t>
      </w:r>
      <w:r w:rsidR="00923682" w:rsidRPr="00730AE6">
        <w:t>cativos, con la normativa aplicable a la gestión de fondos públicos.</w:t>
      </w:r>
    </w:p>
    <w:p w:rsidR="004F1730" w:rsidRDefault="003433D3" w:rsidP="00EE420A">
      <w:pPr>
        <w:pStyle w:val="texto"/>
        <w:tabs>
          <w:tab w:val="clear" w:pos="2835"/>
          <w:tab w:val="clear" w:pos="3969"/>
          <w:tab w:val="clear" w:pos="5103"/>
          <w:tab w:val="clear" w:pos="6237"/>
          <w:tab w:val="clear" w:pos="7371"/>
          <w:tab w:val="num" w:pos="300"/>
          <w:tab w:val="num" w:pos="720"/>
        </w:tabs>
        <w:spacing w:before="120" w:after="120"/>
        <w:rPr>
          <w:szCs w:val="26"/>
        </w:rPr>
      </w:pPr>
      <w:r w:rsidRPr="004F1730">
        <w:t>3. ª</w:t>
      </w:r>
      <w:r w:rsidR="00923682" w:rsidRPr="004F1730">
        <w:t xml:space="preserve"> </w:t>
      </w:r>
      <w:r w:rsidR="007B056C">
        <w:t>A 31 de diciembre de 2017, la situación</w:t>
      </w:r>
      <w:r w:rsidR="004F1730" w:rsidRPr="004F1730">
        <w:rPr>
          <w:szCs w:val="26"/>
        </w:rPr>
        <w:t xml:space="preserve"> económico-financiera de la un</w:t>
      </w:r>
      <w:r w:rsidR="004F1730" w:rsidRPr="004F1730">
        <w:rPr>
          <w:szCs w:val="26"/>
        </w:rPr>
        <w:t>i</w:t>
      </w:r>
      <w:r w:rsidR="004F1730" w:rsidRPr="004F1730">
        <w:rPr>
          <w:szCs w:val="26"/>
        </w:rPr>
        <w:t xml:space="preserve">versidad </w:t>
      </w:r>
      <w:r w:rsidR="004F1730">
        <w:rPr>
          <w:szCs w:val="26"/>
        </w:rPr>
        <w:t xml:space="preserve">es </w:t>
      </w:r>
      <w:r w:rsidR="004F1730" w:rsidRPr="001A1912">
        <w:rPr>
          <w:szCs w:val="26"/>
        </w:rPr>
        <w:t xml:space="preserve">saneada. </w:t>
      </w:r>
      <w:r w:rsidR="004F1730">
        <w:rPr>
          <w:szCs w:val="26"/>
        </w:rPr>
        <w:t>D</w:t>
      </w:r>
      <w:r w:rsidR="004F1730" w:rsidRPr="001A1912">
        <w:rPr>
          <w:szCs w:val="26"/>
        </w:rPr>
        <w:t xml:space="preserve">estacamos un remanente de tesorería </w:t>
      </w:r>
      <w:r w:rsidR="004F1730">
        <w:rPr>
          <w:szCs w:val="26"/>
        </w:rPr>
        <w:t>para gastos generales</w:t>
      </w:r>
      <w:r w:rsidR="004F1730" w:rsidRPr="001A1912">
        <w:rPr>
          <w:szCs w:val="26"/>
        </w:rPr>
        <w:t xml:space="preserve"> </w:t>
      </w:r>
      <w:r w:rsidR="004F1730">
        <w:rPr>
          <w:szCs w:val="26"/>
        </w:rPr>
        <w:t>de 4,41 millones de euros</w:t>
      </w:r>
      <w:r w:rsidR="004F1730" w:rsidRPr="001A1912">
        <w:rPr>
          <w:szCs w:val="26"/>
        </w:rPr>
        <w:t xml:space="preserve">, un endeudamiento </w:t>
      </w:r>
      <w:r w:rsidR="004F1730">
        <w:rPr>
          <w:szCs w:val="26"/>
        </w:rPr>
        <w:t xml:space="preserve">de 3,26 millones de euros </w:t>
      </w:r>
      <w:r w:rsidR="004F1730" w:rsidRPr="001A1912">
        <w:rPr>
          <w:szCs w:val="26"/>
        </w:rPr>
        <w:t xml:space="preserve">y </w:t>
      </w:r>
      <w:r w:rsidR="004F1730">
        <w:rPr>
          <w:szCs w:val="26"/>
        </w:rPr>
        <w:t>un sa</w:t>
      </w:r>
      <w:r w:rsidR="004F1730">
        <w:rPr>
          <w:szCs w:val="26"/>
        </w:rPr>
        <w:t>l</w:t>
      </w:r>
      <w:r w:rsidR="004F1730">
        <w:rPr>
          <w:szCs w:val="26"/>
        </w:rPr>
        <w:t xml:space="preserve">do de </w:t>
      </w:r>
      <w:r w:rsidR="004F1730" w:rsidRPr="001A1912">
        <w:rPr>
          <w:szCs w:val="26"/>
        </w:rPr>
        <w:t xml:space="preserve">tesorería </w:t>
      </w:r>
      <w:r w:rsidR="004F1730">
        <w:rPr>
          <w:szCs w:val="26"/>
        </w:rPr>
        <w:t xml:space="preserve">de 7,72 millones de euros. </w:t>
      </w:r>
      <w:r w:rsidR="004F1730" w:rsidRPr="001A1912">
        <w:rPr>
          <w:szCs w:val="26"/>
        </w:rPr>
        <w:t xml:space="preserve">Sin embargo, </w:t>
      </w:r>
      <w:r w:rsidR="004F1730">
        <w:rPr>
          <w:szCs w:val="26"/>
        </w:rPr>
        <w:t xml:space="preserve">algunos </w:t>
      </w:r>
      <w:r w:rsidR="004F1730" w:rsidRPr="001A1912">
        <w:rPr>
          <w:szCs w:val="26"/>
        </w:rPr>
        <w:t xml:space="preserve">indicadores </w:t>
      </w:r>
      <w:r w:rsidR="004F1730">
        <w:rPr>
          <w:szCs w:val="26"/>
        </w:rPr>
        <w:t>c</w:t>
      </w:r>
      <w:r w:rsidR="004F1730">
        <w:rPr>
          <w:szCs w:val="26"/>
        </w:rPr>
        <w:t>o</w:t>
      </w:r>
      <w:r w:rsidR="004F1730">
        <w:rPr>
          <w:szCs w:val="26"/>
        </w:rPr>
        <w:t>mo el resultado presupuestario no finan</w:t>
      </w:r>
      <w:r w:rsidR="000438F8">
        <w:rPr>
          <w:szCs w:val="26"/>
        </w:rPr>
        <w:t xml:space="preserve">ciero y el ahorro bruto y neto </w:t>
      </w:r>
      <w:r w:rsidR="004F1730" w:rsidRPr="001A1912">
        <w:rPr>
          <w:szCs w:val="26"/>
        </w:rPr>
        <w:t>han empe</w:t>
      </w:r>
      <w:r w:rsidR="004F1730" w:rsidRPr="001A1912">
        <w:rPr>
          <w:szCs w:val="26"/>
        </w:rPr>
        <w:t>o</w:t>
      </w:r>
      <w:r w:rsidR="004F1730" w:rsidRPr="001A1912">
        <w:rPr>
          <w:szCs w:val="26"/>
        </w:rPr>
        <w:t>rado respecto a 2016</w:t>
      </w:r>
      <w:r w:rsidR="004F1730">
        <w:rPr>
          <w:szCs w:val="26"/>
        </w:rPr>
        <w:t>.</w:t>
      </w:r>
      <w:r w:rsidR="004F1730" w:rsidRPr="001A1912">
        <w:rPr>
          <w:szCs w:val="26"/>
        </w:rPr>
        <w:t xml:space="preserve"> </w:t>
      </w:r>
    </w:p>
    <w:p w:rsidR="00AB003B" w:rsidRPr="008940A5" w:rsidRDefault="003433D3" w:rsidP="00EE420A">
      <w:pPr>
        <w:pStyle w:val="texto"/>
        <w:spacing w:before="120" w:after="120"/>
      </w:pPr>
      <w:r w:rsidRPr="008940A5">
        <w:t>4. ª</w:t>
      </w:r>
      <w:r w:rsidR="00923682" w:rsidRPr="008940A5">
        <w:t xml:space="preserve"> Con carácter general, la </w:t>
      </w:r>
      <w:r w:rsidR="00A32A9C" w:rsidRPr="008940A5">
        <w:t>Universidad</w:t>
      </w:r>
      <w:r w:rsidR="00923682" w:rsidRPr="008940A5">
        <w:t xml:space="preserve"> está implantando las recomendaci</w:t>
      </w:r>
      <w:r w:rsidR="00923682" w:rsidRPr="008940A5">
        <w:t>o</w:t>
      </w:r>
      <w:r w:rsidR="00923682" w:rsidRPr="008940A5">
        <w:t xml:space="preserve">nes de esta Cámara expuestas en informes anteriores. </w:t>
      </w:r>
    </w:p>
    <w:p w:rsidR="000C5950" w:rsidRDefault="000F3688" w:rsidP="00EE420A">
      <w:pPr>
        <w:pStyle w:val="texto"/>
        <w:spacing w:before="120" w:after="120"/>
      </w:pPr>
      <w:r>
        <w:t>5</w:t>
      </w:r>
      <w:r w:rsidR="000C5950" w:rsidRPr="00ED39CF">
        <w:t>. ª A efectos de la Ley Orgánica de Estabilidad Presupuestaria y Sostenibil</w:t>
      </w:r>
      <w:r w:rsidR="000C5950" w:rsidRPr="00ED39CF">
        <w:t>i</w:t>
      </w:r>
      <w:r w:rsidR="000C5950" w:rsidRPr="00ED39CF">
        <w:t xml:space="preserve">dad Financiera, la </w:t>
      </w:r>
      <w:r w:rsidR="00A32A9C">
        <w:t>Universidad</w:t>
      </w:r>
      <w:r w:rsidR="000C5950" w:rsidRPr="00ED39CF">
        <w:t xml:space="preserve"> forma parte del sector “administraciones públ</w:t>
      </w:r>
      <w:r w:rsidR="000C5950" w:rsidRPr="00ED39CF">
        <w:t>i</w:t>
      </w:r>
      <w:r w:rsidR="000C5950" w:rsidRPr="00ED39CF">
        <w:t>cas” de la Administración de la Comunidad Foral. En consecuencia, es en este sector donde se verifica globalmente el cumplimiento de los principios que em</w:t>
      </w:r>
      <w:r w:rsidR="000C5950" w:rsidRPr="00ED39CF">
        <w:t>a</w:t>
      </w:r>
      <w:r w:rsidR="000C5950" w:rsidRPr="00ED39CF">
        <w:t>nan de la citada Ley Orgánica. En 2017, de acuerdo con el informe de esta C</w:t>
      </w:r>
      <w:r w:rsidR="000C5950" w:rsidRPr="00ED39CF">
        <w:t>á</w:t>
      </w:r>
      <w:r w:rsidR="000C5950" w:rsidRPr="00ED39CF">
        <w:t>mara sobre las cuentas generales de Navarra para dicho ejercicio, el Sector A</w:t>
      </w:r>
      <w:r w:rsidR="000C5950" w:rsidRPr="00ED39CF">
        <w:t>d</w:t>
      </w:r>
      <w:r w:rsidR="000C5950" w:rsidRPr="00ED39CF">
        <w:t>ministración Pública de la Comunidad Foral ha cumplido con todos las exige</w:t>
      </w:r>
      <w:r w:rsidR="000C5950" w:rsidRPr="00ED39CF">
        <w:t>n</w:t>
      </w:r>
      <w:r w:rsidR="000C5950" w:rsidRPr="00ED39CF">
        <w:t>cias</w:t>
      </w:r>
      <w:r w:rsidR="008940A5">
        <w:t>,</w:t>
      </w:r>
      <w:r w:rsidR="000C5950" w:rsidRPr="00ED39CF">
        <w:t xml:space="preserve"> a excepción de la relacionada con l</w:t>
      </w:r>
      <w:r w:rsidR="00E037D2">
        <w:t>a</w:t>
      </w:r>
      <w:r w:rsidR="000C5950" w:rsidRPr="00ED39CF">
        <w:t xml:space="preserve"> regla del gasto</w:t>
      </w:r>
      <w:r w:rsidR="000C5950" w:rsidRPr="004004C4">
        <w:t xml:space="preserve">. </w:t>
      </w:r>
    </w:p>
    <w:p w:rsidR="00455464" w:rsidRPr="00730AE6" w:rsidRDefault="000F3688" w:rsidP="005A63AB">
      <w:pPr>
        <w:pStyle w:val="texto"/>
        <w:spacing w:before="120" w:after="120"/>
        <w:rPr>
          <w:rFonts w:ascii="Arial" w:hAnsi="Arial"/>
          <w:b/>
          <w:color w:val="000000"/>
          <w:kern w:val="28"/>
          <w:sz w:val="25"/>
          <w:szCs w:val="26"/>
        </w:rPr>
      </w:pPr>
      <w:r>
        <w:t>6</w:t>
      </w:r>
      <w:r w:rsidR="003433D3" w:rsidRPr="00730AE6">
        <w:t>. ª</w:t>
      </w:r>
      <w:r w:rsidR="00AB003B" w:rsidRPr="00730AE6">
        <w:t xml:space="preserve"> El 29 de diciembre de 2017 se firma entre el Gobierno de Navarra y la Universidad Pública de Navarra el convenio de financiación plurianual para el periodo 2018-2020, con el objetivo de garantizar la estabilidad y viabilidad f</w:t>
      </w:r>
      <w:r w:rsidR="00AB003B" w:rsidRPr="00730AE6">
        <w:t>i</w:t>
      </w:r>
      <w:r w:rsidR="00AB003B" w:rsidRPr="00730AE6">
        <w:t xml:space="preserve">nanciera de la </w:t>
      </w:r>
      <w:r w:rsidR="00A32A9C">
        <w:t>Universidad</w:t>
      </w:r>
      <w:r w:rsidR="00AB003B" w:rsidRPr="00730AE6">
        <w:t>.</w:t>
      </w:r>
      <w:r w:rsidR="00455464" w:rsidRPr="00730AE6">
        <w:br w:type="page"/>
      </w:r>
    </w:p>
    <w:p w:rsidR="00432E52" w:rsidRPr="00730AE6" w:rsidRDefault="00882BEB" w:rsidP="008900BC">
      <w:pPr>
        <w:pStyle w:val="atitulo1"/>
      </w:pPr>
      <w:bookmarkStart w:id="5" w:name="_Toc3967010"/>
      <w:r w:rsidRPr="00730AE6">
        <w:lastRenderedPageBreak/>
        <w:t>I. Introducción</w:t>
      </w:r>
      <w:bookmarkEnd w:id="2"/>
      <w:bookmarkEnd w:id="3"/>
      <w:bookmarkEnd w:id="4"/>
      <w:bookmarkEnd w:id="5"/>
      <w:r w:rsidR="00F60E62" w:rsidRPr="00730AE6">
        <w:t xml:space="preserve"> </w:t>
      </w:r>
    </w:p>
    <w:p w:rsidR="00B74792" w:rsidRPr="005A63AB" w:rsidRDefault="00605BA1" w:rsidP="00BC44CE">
      <w:pPr>
        <w:pStyle w:val="texto"/>
        <w:spacing w:before="120" w:after="120"/>
        <w:rPr>
          <w:spacing w:val="0"/>
          <w:szCs w:val="26"/>
        </w:rPr>
      </w:pPr>
      <w:r w:rsidRPr="005A63AB">
        <w:rPr>
          <w:spacing w:val="0"/>
          <w:szCs w:val="26"/>
        </w:rPr>
        <w:t xml:space="preserve">La Cámara de Comptos, de acuerdo con su programa de actuación para 2018, ha fiscalizado las cuentas anuales de la Universidad Pública de Navarra (en adelante, </w:t>
      </w:r>
      <w:r w:rsidR="009D7DD5" w:rsidRPr="005A63AB">
        <w:rPr>
          <w:spacing w:val="0"/>
          <w:szCs w:val="26"/>
        </w:rPr>
        <w:t>Universidad</w:t>
      </w:r>
      <w:r w:rsidRPr="005A63AB">
        <w:rPr>
          <w:spacing w:val="0"/>
          <w:szCs w:val="26"/>
        </w:rPr>
        <w:t>) correspondientes al ejercicio de 2017</w:t>
      </w:r>
      <w:r w:rsidR="00A700E0" w:rsidRPr="005A63AB">
        <w:rPr>
          <w:spacing w:val="0"/>
          <w:szCs w:val="26"/>
        </w:rPr>
        <w:t>, que comprenden las cuentas de la Universidad y de la Fundación Universidad</w:t>
      </w:r>
      <w:r w:rsidR="002F5615" w:rsidRPr="005A63AB">
        <w:rPr>
          <w:spacing w:val="0"/>
          <w:szCs w:val="26"/>
        </w:rPr>
        <w:t>-Sociedad</w:t>
      </w:r>
      <w:r w:rsidR="00A700E0" w:rsidRPr="005A63AB">
        <w:rPr>
          <w:spacing w:val="0"/>
          <w:szCs w:val="26"/>
        </w:rPr>
        <w:t xml:space="preserve"> (en adelante, Fundación)</w:t>
      </w:r>
      <w:r w:rsidR="005B001B" w:rsidRPr="005A63AB">
        <w:rPr>
          <w:spacing w:val="0"/>
          <w:szCs w:val="26"/>
        </w:rPr>
        <w:t>.</w:t>
      </w:r>
    </w:p>
    <w:p w:rsidR="0076219E" w:rsidRPr="00B87AD5" w:rsidRDefault="00B87AD5" w:rsidP="00BC44CE">
      <w:pPr>
        <w:pStyle w:val="texto"/>
        <w:spacing w:before="120" w:after="120"/>
        <w:rPr>
          <w:szCs w:val="26"/>
        </w:rPr>
      </w:pPr>
      <w:r>
        <w:rPr>
          <w:szCs w:val="26"/>
        </w:rPr>
        <w:t xml:space="preserve">Las </w:t>
      </w:r>
      <w:r w:rsidR="00CF7E8B" w:rsidRPr="00730AE6">
        <w:rPr>
          <w:szCs w:val="26"/>
        </w:rPr>
        <w:t xml:space="preserve">cuentas anuales </w:t>
      </w:r>
      <w:r w:rsidR="00023CB0">
        <w:rPr>
          <w:szCs w:val="26"/>
        </w:rPr>
        <w:t xml:space="preserve">de la </w:t>
      </w:r>
      <w:r w:rsidR="00A32A9C">
        <w:rPr>
          <w:szCs w:val="26"/>
        </w:rPr>
        <w:t>Universidad</w:t>
      </w:r>
      <w:r w:rsidR="00023CB0">
        <w:rPr>
          <w:szCs w:val="26"/>
        </w:rPr>
        <w:t xml:space="preserve"> </w:t>
      </w:r>
      <w:r w:rsidR="00CF7E8B" w:rsidRPr="00730AE6">
        <w:rPr>
          <w:szCs w:val="26"/>
        </w:rPr>
        <w:t>han sido formuladas según el Plan G</w:t>
      </w:r>
      <w:r w:rsidR="00CF7E8B" w:rsidRPr="00730AE6">
        <w:rPr>
          <w:szCs w:val="26"/>
        </w:rPr>
        <w:t>e</w:t>
      </w:r>
      <w:r w:rsidR="00CF7E8B" w:rsidRPr="00730AE6">
        <w:rPr>
          <w:szCs w:val="26"/>
        </w:rPr>
        <w:t xml:space="preserve">neral </w:t>
      </w:r>
      <w:r w:rsidR="00E8615B">
        <w:rPr>
          <w:szCs w:val="26"/>
        </w:rPr>
        <w:t xml:space="preserve">de Contabilidad Pública de 1994 y </w:t>
      </w:r>
      <w:r w:rsidR="00E8615B" w:rsidRPr="00B87AD5">
        <w:rPr>
          <w:szCs w:val="26"/>
        </w:rPr>
        <w:t>l</w:t>
      </w:r>
      <w:r w:rsidR="00023CB0" w:rsidRPr="00B87AD5">
        <w:rPr>
          <w:szCs w:val="26"/>
        </w:rPr>
        <w:t xml:space="preserve">as cuentas anuales de la </w:t>
      </w:r>
      <w:r w:rsidR="004B700E">
        <w:rPr>
          <w:szCs w:val="26"/>
        </w:rPr>
        <w:t>F</w:t>
      </w:r>
      <w:r w:rsidR="00023CB0" w:rsidRPr="00B87AD5">
        <w:rPr>
          <w:szCs w:val="26"/>
        </w:rPr>
        <w:t xml:space="preserve">undación </w:t>
      </w:r>
      <w:r w:rsidR="00DF4704">
        <w:rPr>
          <w:szCs w:val="26"/>
        </w:rPr>
        <w:t>de acuerdo al</w:t>
      </w:r>
      <w:r w:rsidR="00E8615B" w:rsidRPr="00B87AD5">
        <w:rPr>
          <w:szCs w:val="26"/>
        </w:rPr>
        <w:t xml:space="preserve"> Plan de </w:t>
      </w:r>
      <w:r>
        <w:rPr>
          <w:szCs w:val="26"/>
        </w:rPr>
        <w:t>C</w:t>
      </w:r>
      <w:r w:rsidR="00E8615B" w:rsidRPr="00B87AD5">
        <w:rPr>
          <w:szCs w:val="26"/>
        </w:rPr>
        <w:t>ontabilidad de entidades sin ánimo de lucro de 2011.</w:t>
      </w:r>
    </w:p>
    <w:p w:rsidR="00E523CE" w:rsidRDefault="007B0ACE" w:rsidP="00BC44CE">
      <w:pPr>
        <w:pStyle w:val="texto"/>
        <w:tabs>
          <w:tab w:val="clear" w:pos="2835"/>
          <w:tab w:val="clear" w:pos="3969"/>
          <w:tab w:val="clear" w:pos="5103"/>
          <w:tab w:val="clear" w:pos="6237"/>
          <w:tab w:val="clear" w:pos="7371"/>
        </w:tabs>
        <w:spacing w:before="120" w:after="120"/>
        <w:rPr>
          <w:szCs w:val="26"/>
        </w:rPr>
      </w:pPr>
      <w:r w:rsidRPr="00730AE6">
        <w:rPr>
          <w:szCs w:val="26"/>
        </w:rPr>
        <w:t xml:space="preserve">El informe se estructura en </w:t>
      </w:r>
      <w:r w:rsidR="00C85018">
        <w:rPr>
          <w:szCs w:val="26"/>
        </w:rPr>
        <w:t>seis</w:t>
      </w:r>
      <w:r w:rsidRPr="00730AE6">
        <w:rPr>
          <w:b/>
          <w:szCs w:val="26"/>
        </w:rPr>
        <w:t xml:space="preserve"> </w:t>
      </w:r>
      <w:r w:rsidRPr="005A63AB">
        <w:rPr>
          <w:szCs w:val="26"/>
        </w:rPr>
        <w:t>epígrafes,</w:t>
      </w:r>
      <w:r w:rsidRPr="00730AE6">
        <w:rPr>
          <w:szCs w:val="26"/>
        </w:rPr>
        <w:t xml:space="preserve"> incluyendo esta introducción</w:t>
      </w:r>
      <w:r w:rsidR="008D1EB9" w:rsidRPr="00730AE6">
        <w:rPr>
          <w:szCs w:val="26"/>
        </w:rPr>
        <w:t>.</w:t>
      </w:r>
      <w:r w:rsidR="0038122A" w:rsidRPr="00730AE6">
        <w:rPr>
          <w:szCs w:val="26"/>
        </w:rPr>
        <w:t xml:space="preserve"> El </w:t>
      </w:r>
      <w:r w:rsidR="00703010" w:rsidRPr="00730AE6">
        <w:rPr>
          <w:szCs w:val="26"/>
        </w:rPr>
        <w:t>segundo</w:t>
      </w:r>
      <w:r w:rsidR="0038122A" w:rsidRPr="00730AE6">
        <w:rPr>
          <w:szCs w:val="26"/>
        </w:rPr>
        <w:t xml:space="preserve"> </w:t>
      </w:r>
      <w:r w:rsidR="006830EB">
        <w:rPr>
          <w:szCs w:val="26"/>
        </w:rPr>
        <w:t xml:space="preserve">contiene la organización de la </w:t>
      </w:r>
      <w:r w:rsidR="00A32A9C">
        <w:rPr>
          <w:szCs w:val="26"/>
        </w:rPr>
        <w:t>Universidad</w:t>
      </w:r>
      <w:r w:rsidR="006830EB">
        <w:rPr>
          <w:szCs w:val="26"/>
        </w:rPr>
        <w:t xml:space="preserve"> y el tercero </w:t>
      </w:r>
      <w:r w:rsidR="006078A3">
        <w:rPr>
          <w:szCs w:val="26"/>
        </w:rPr>
        <w:t>los</w:t>
      </w:r>
      <w:r w:rsidR="00EF6906">
        <w:rPr>
          <w:szCs w:val="26"/>
        </w:rPr>
        <w:t xml:space="preserve"> objetivo</w:t>
      </w:r>
      <w:r w:rsidR="006078A3">
        <w:rPr>
          <w:szCs w:val="26"/>
        </w:rPr>
        <w:t>s</w:t>
      </w:r>
      <w:r w:rsidR="00EF6906">
        <w:rPr>
          <w:szCs w:val="26"/>
        </w:rPr>
        <w:t xml:space="preserve"> y alcance de la auditoría; el cuarto </w:t>
      </w:r>
      <w:r w:rsidR="0038122A" w:rsidRPr="00730AE6">
        <w:rPr>
          <w:szCs w:val="26"/>
        </w:rPr>
        <w:t>indica nuestra opinión</w:t>
      </w:r>
      <w:r w:rsidR="00F02541" w:rsidRPr="00730AE6">
        <w:rPr>
          <w:szCs w:val="26"/>
        </w:rPr>
        <w:t xml:space="preserve"> financiera y de cumpl</w:t>
      </w:r>
      <w:r w:rsidR="00F02541" w:rsidRPr="00730AE6">
        <w:rPr>
          <w:szCs w:val="26"/>
        </w:rPr>
        <w:t>i</w:t>
      </w:r>
      <w:r w:rsidR="00F02541" w:rsidRPr="00730AE6">
        <w:rPr>
          <w:szCs w:val="26"/>
        </w:rPr>
        <w:t>miento de legalidad</w:t>
      </w:r>
      <w:r w:rsidR="0038122A" w:rsidRPr="00730AE6">
        <w:rPr>
          <w:szCs w:val="26"/>
        </w:rPr>
        <w:t xml:space="preserve"> sobre </w:t>
      </w:r>
      <w:r w:rsidR="000A29D0" w:rsidRPr="00730AE6">
        <w:rPr>
          <w:szCs w:val="26"/>
        </w:rPr>
        <w:t xml:space="preserve">las cuentas </w:t>
      </w:r>
      <w:r w:rsidR="007833DF" w:rsidRPr="00730AE6">
        <w:rPr>
          <w:szCs w:val="26"/>
        </w:rPr>
        <w:t>anuales</w:t>
      </w:r>
      <w:r w:rsidR="000A29D0" w:rsidRPr="00730AE6">
        <w:rPr>
          <w:szCs w:val="26"/>
        </w:rPr>
        <w:t xml:space="preserve"> de la </w:t>
      </w:r>
      <w:r w:rsidR="00A32A9C">
        <w:rPr>
          <w:szCs w:val="26"/>
        </w:rPr>
        <w:t>Universidad</w:t>
      </w:r>
      <w:r w:rsidR="000A29D0" w:rsidRPr="00730AE6">
        <w:rPr>
          <w:szCs w:val="26"/>
        </w:rPr>
        <w:t xml:space="preserve"> </w:t>
      </w:r>
      <w:r w:rsidR="007833DF" w:rsidRPr="00730AE6">
        <w:rPr>
          <w:szCs w:val="26"/>
        </w:rPr>
        <w:t xml:space="preserve">correspondientes al ejercicio </w:t>
      </w:r>
      <w:r w:rsidR="000A29D0" w:rsidRPr="00730AE6">
        <w:rPr>
          <w:szCs w:val="26"/>
        </w:rPr>
        <w:t>de 201</w:t>
      </w:r>
      <w:r w:rsidR="00337C70" w:rsidRPr="00730AE6">
        <w:rPr>
          <w:szCs w:val="26"/>
        </w:rPr>
        <w:t>7</w:t>
      </w:r>
      <w:r w:rsidR="000702E9" w:rsidRPr="00730AE6">
        <w:rPr>
          <w:szCs w:val="26"/>
        </w:rPr>
        <w:t>; un resumen de estas cuentas anuales se refleja en el epígr</w:t>
      </w:r>
      <w:r w:rsidR="000702E9" w:rsidRPr="00730AE6">
        <w:rPr>
          <w:szCs w:val="26"/>
        </w:rPr>
        <w:t>a</w:t>
      </w:r>
      <w:r w:rsidR="000702E9" w:rsidRPr="00730AE6">
        <w:rPr>
          <w:szCs w:val="26"/>
        </w:rPr>
        <w:t xml:space="preserve">fe </w:t>
      </w:r>
      <w:r w:rsidR="00EF6906">
        <w:rPr>
          <w:szCs w:val="26"/>
        </w:rPr>
        <w:t>quinto</w:t>
      </w:r>
      <w:r w:rsidR="000A29D0" w:rsidRPr="00730AE6">
        <w:rPr>
          <w:szCs w:val="26"/>
        </w:rPr>
        <w:t>.</w:t>
      </w:r>
      <w:r w:rsidR="0038122A" w:rsidRPr="00730AE6">
        <w:rPr>
          <w:szCs w:val="26"/>
        </w:rPr>
        <w:t xml:space="preserve"> </w:t>
      </w:r>
      <w:r w:rsidR="006830EB">
        <w:rPr>
          <w:szCs w:val="26"/>
        </w:rPr>
        <w:t>Finalmente, e</w:t>
      </w:r>
      <w:r w:rsidR="0038122A" w:rsidRPr="00730AE6">
        <w:rPr>
          <w:szCs w:val="26"/>
        </w:rPr>
        <w:t xml:space="preserve">n el </w:t>
      </w:r>
      <w:r w:rsidR="00EF6906">
        <w:rPr>
          <w:szCs w:val="26"/>
        </w:rPr>
        <w:t>sext</w:t>
      </w:r>
      <w:r w:rsidR="006830EB">
        <w:rPr>
          <w:szCs w:val="26"/>
        </w:rPr>
        <w:t>o</w:t>
      </w:r>
      <w:r w:rsidR="000702E9" w:rsidRPr="00730AE6">
        <w:rPr>
          <w:szCs w:val="26"/>
        </w:rPr>
        <w:t>,</w:t>
      </w:r>
      <w:r w:rsidR="008D1EB9" w:rsidRPr="00730AE6">
        <w:rPr>
          <w:szCs w:val="26"/>
        </w:rPr>
        <w:t xml:space="preserve"> </w:t>
      </w:r>
      <w:r w:rsidR="000702E9" w:rsidRPr="00730AE6">
        <w:rPr>
          <w:szCs w:val="26"/>
        </w:rPr>
        <w:t>señalamos</w:t>
      </w:r>
      <w:r w:rsidRPr="00730AE6">
        <w:rPr>
          <w:szCs w:val="26"/>
        </w:rPr>
        <w:t xml:space="preserve"> </w:t>
      </w:r>
      <w:r w:rsidR="00385A94" w:rsidRPr="00730AE6">
        <w:rPr>
          <w:szCs w:val="26"/>
        </w:rPr>
        <w:t>un conjunto de</w:t>
      </w:r>
      <w:r w:rsidRPr="00730AE6">
        <w:rPr>
          <w:szCs w:val="26"/>
        </w:rPr>
        <w:t xml:space="preserve"> conclusiones</w:t>
      </w:r>
      <w:r w:rsidR="002B12E4" w:rsidRPr="00730AE6">
        <w:rPr>
          <w:szCs w:val="26"/>
        </w:rPr>
        <w:t xml:space="preserve"> </w:t>
      </w:r>
      <w:r w:rsidR="00337C70" w:rsidRPr="00730AE6">
        <w:rPr>
          <w:szCs w:val="26"/>
        </w:rPr>
        <w:t>y</w:t>
      </w:r>
      <w:r w:rsidR="002B12E4" w:rsidRPr="00730AE6">
        <w:rPr>
          <w:szCs w:val="26"/>
        </w:rPr>
        <w:t xml:space="preserve"> </w:t>
      </w:r>
      <w:r w:rsidR="00105FD3" w:rsidRPr="00730AE6">
        <w:rPr>
          <w:szCs w:val="26"/>
        </w:rPr>
        <w:t>r</w:t>
      </w:r>
      <w:r w:rsidR="00105FD3" w:rsidRPr="00730AE6">
        <w:rPr>
          <w:szCs w:val="26"/>
        </w:rPr>
        <w:t>e</w:t>
      </w:r>
      <w:r w:rsidR="00105FD3" w:rsidRPr="00730AE6">
        <w:rPr>
          <w:szCs w:val="26"/>
        </w:rPr>
        <w:t>comendaciones</w:t>
      </w:r>
      <w:r w:rsidRPr="00730AE6">
        <w:rPr>
          <w:szCs w:val="26"/>
        </w:rPr>
        <w:t xml:space="preserve"> </w:t>
      </w:r>
      <w:r w:rsidR="00730AE6" w:rsidRPr="001A4B87">
        <w:rPr>
          <w:szCs w:val="26"/>
        </w:rPr>
        <w:t xml:space="preserve">sobre </w:t>
      </w:r>
      <w:r w:rsidR="00E523CE" w:rsidRPr="001A4B87">
        <w:rPr>
          <w:szCs w:val="26"/>
        </w:rPr>
        <w:t xml:space="preserve">la situación presupuestaria y financiera de la </w:t>
      </w:r>
      <w:r w:rsidR="00A32A9C">
        <w:rPr>
          <w:szCs w:val="26"/>
        </w:rPr>
        <w:t>Universidad</w:t>
      </w:r>
      <w:r w:rsidR="001A4B87" w:rsidRPr="001A4B87">
        <w:rPr>
          <w:szCs w:val="26"/>
        </w:rPr>
        <w:t xml:space="preserve"> a 31 de diciembre de 2017,</w:t>
      </w:r>
      <w:r w:rsidR="00E523CE" w:rsidRPr="001A4B87">
        <w:rPr>
          <w:szCs w:val="26"/>
        </w:rPr>
        <w:t xml:space="preserve"> </w:t>
      </w:r>
      <w:r w:rsidR="00105FD3" w:rsidRPr="001A4B87">
        <w:rPr>
          <w:szCs w:val="26"/>
        </w:rPr>
        <w:t xml:space="preserve">el </w:t>
      </w:r>
      <w:r w:rsidR="00AA3F44" w:rsidRPr="001A4B87">
        <w:rPr>
          <w:szCs w:val="26"/>
        </w:rPr>
        <w:t>seguimiento</w:t>
      </w:r>
      <w:r w:rsidR="00337C70" w:rsidRPr="001A4B87">
        <w:rPr>
          <w:szCs w:val="26"/>
        </w:rPr>
        <w:t xml:space="preserve"> </w:t>
      </w:r>
      <w:r w:rsidR="00CF4D85" w:rsidRPr="001A4B87">
        <w:rPr>
          <w:szCs w:val="26"/>
        </w:rPr>
        <w:t xml:space="preserve">de </w:t>
      </w:r>
      <w:r w:rsidR="00337C70" w:rsidRPr="001A4B87">
        <w:rPr>
          <w:szCs w:val="26"/>
        </w:rPr>
        <w:t xml:space="preserve">las principales </w:t>
      </w:r>
      <w:r w:rsidR="00CF4D85" w:rsidRPr="001A4B87">
        <w:rPr>
          <w:szCs w:val="26"/>
        </w:rPr>
        <w:t>recomendaciones de informes anteriores de esta Cámara</w:t>
      </w:r>
      <w:r w:rsidR="00C85018">
        <w:rPr>
          <w:szCs w:val="26"/>
        </w:rPr>
        <w:t xml:space="preserve"> </w:t>
      </w:r>
      <w:r w:rsidR="00AA3F44" w:rsidRPr="001A4B87">
        <w:rPr>
          <w:szCs w:val="26"/>
        </w:rPr>
        <w:t>y</w:t>
      </w:r>
      <w:r w:rsidR="007D5AA9" w:rsidRPr="001A4B87">
        <w:rPr>
          <w:szCs w:val="26"/>
        </w:rPr>
        <w:t xml:space="preserve"> sobre otras</w:t>
      </w:r>
      <w:r w:rsidR="00337C70" w:rsidRPr="001A4B87">
        <w:rPr>
          <w:szCs w:val="26"/>
        </w:rPr>
        <w:t xml:space="preserve"> áreas de gestión relevantes.</w:t>
      </w:r>
    </w:p>
    <w:p w:rsidR="001A4B87" w:rsidRPr="007E5523" w:rsidRDefault="001A4B87" w:rsidP="00BC44CE">
      <w:pPr>
        <w:pStyle w:val="texto"/>
        <w:tabs>
          <w:tab w:val="clear" w:pos="2835"/>
          <w:tab w:val="clear" w:pos="3969"/>
          <w:tab w:val="clear" w:pos="5103"/>
          <w:tab w:val="clear" w:pos="6237"/>
          <w:tab w:val="clear" w:pos="7371"/>
        </w:tabs>
        <w:spacing w:before="120" w:after="120"/>
        <w:rPr>
          <w:szCs w:val="26"/>
        </w:rPr>
      </w:pPr>
      <w:r w:rsidRPr="007E5523">
        <w:rPr>
          <w:szCs w:val="26"/>
        </w:rPr>
        <w:t>El informe incluye</w:t>
      </w:r>
      <w:r w:rsidR="00E037D2">
        <w:rPr>
          <w:szCs w:val="26"/>
        </w:rPr>
        <w:t>, además,</w:t>
      </w:r>
      <w:r w:rsidR="007E5523" w:rsidRPr="007E5523">
        <w:rPr>
          <w:szCs w:val="26"/>
        </w:rPr>
        <w:t xml:space="preserve"> </w:t>
      </w:r>
      <w:r w:rsidR="004004C4">
        <w:rPr>
          <w:szCs w:val="26"/>
        </w:rPr>
        <w:t xml:space="preserve">tres anexos: el primero, </w:t>
      </w:r>
      <w:r w:rsidR="004004C4" w:rsidRPr="007E5523">
        <w:rPr>
          <w:szCs w:val="26"/>
        </w:rPr>
        <w:t xml:space="preserve">sobre la evolución </w:t>
      </w:r>
      <w:r w:rsidR="00C42A2A" w:rsidRPr="007E5523">
        <w:rPr>
          <w:szCs w:val="26"/>
        </w:rPr>
        <w:t>de d</w:t>
      </w:r>
      <w:r w:rsidR="00C42A2A" w:rsidRPr="007E5523">
        <w:rPr>
          <w:szCs w:val="26"/>
        </w:rPr>
        <w:t>e</w:t>
      </w:r>
      <w:r w:rsidR="00C42A2A" w:rsidRPr="007E5523">
        <w:rPr>
          <w:szCs w:val="26"/>
        </w:rPr>
        <w:t>terminados indicadores de naturaleza no financiera</w:t>
      </w:r>
      <w:r w:rsidR="007B056C">
        <w:rPr>
          <w:szCs w:val="26"/>
        </w:rPr>
        <w:t>;</w:t>
      </w:r>
      <w:r w:rsidR="00C42A2A" w:rsidRPr="007E5523">
        <w:rPr>
          <w:szCs w:val="26"/>
        </w:rPr>
        <w:t xml:space="preserve"> </w:t>
      </w:r>
      <w:r w:rsidR="00C42A2A">
        <w:rPr>
          <w:szCs w:val="26"/>
        </w:rPr>
        <w:t xml:space="preserve">el segundo, sobre </w:t>
      </w:r>
      <w:r w:rsidR="00C42A2A" w:rsidRPr="007E5523">
        <w:rPr>
          <w:szCs w:val="26"/>
        </w:rPr>
        <w:t>la evol</w:t>
      </w:r>
      <w:r w:rsidR="00C42A2A" w:rsidRPr="007E5523">
        <w:rPr>
          <w:szCs w:val="26"/>
        </w:rPr>
        <w:t>u</w:t>
      </w:r>
      <w:r w:rsidR="00C42A2A" w:rsidRPr="007E5523">
        <w:rPr>
          <w:szCs w:val="26"/>
        </w:rPr>
        <w:t xml:space="preserve">ción </w:t>
      </w:r>
      <w:r w:rsidR="004004C4" w:rsidRPr="007E5523">
        <w:rPr>
          <w:szCs w:val="26"/>
        </w:rPr>
        <w:t xml:space="preserve">del personal </w:t>
      </w:r>
      <w:r w:rsidR="007A7967">
        <w:rPr>
          <w:szCs w:val="26"/>
        </w:rPr>
        <w:t xml:space="preserve">efectivo </w:t>
      </w:r>
      <w:r w:rsidR="004004C4" w:rsidRPr="007E5523">
        <w:rPr>
          <w:szCs w:val="26"/>
        </w:rPr>
        <w:t>de la Universidad</w:t>
      </w:r>
      <w:r w:rsidR="007B056C">
        <w:rPr>
          <w:szCs w:val="26"/>
        </w:rPr>
        <w:t>;</w:t>
      </w:r>
      <w:r w:rsidR="004004C4">
        <w:rPr>
          <w:szCs w:val="26"/>
        </w:rPr>
        <w:t xml:space="preserve"> </w:t>
      </w:r>
      <w:r w:rsidR="006231CA" w:rsidRPr="007E5523">
        <w:rPr>
          <w:szCs w:val="26"/>
        </w:rPr>
        <w:t>y</w:t>
      </w:r>
      <w:r w:rsidR="004004C4">
        <w:rPr>
          <w:szCs w:val="26"/>
        </w:rPr>
        <w:t xml:space="preserve"> el tercero,</w:t>
      </w:r>
      <w:r w:rsidR="006231CA" w:rsidRPr="007E5523">
        <w:rPr>
          <w:szCs w:val="26"/>
        </w:rPr>
        <w:t xml:space="preserve"> </w:t>
      </w:r>
      <w:r w:rsidR="007E5523" w:rsidRPr="007E5523">
        <w:rPr>
          <w:szCs w:val="26"/>
        </w:rPr>
        <w:t>sobre indicadores de</w:t>
      </w:r>
      <w:r w:rsidR="007E5523">
        <w:rPr>
          <w:szCs w:val="26"/>
        </w:rPr>
        <w:t xml:space="preserve"> las</w:t>
      </w:r>
      <w:r w:rsidR="007E5523" w:rsidRPr="007E5523">
        <w:rPr>
          <w:szCs w:val="26"/>
        </w:rPr>
        <w:t xml:space="preserve"> actividad</w:t>
      </w:r>
      <w:r w:rsidR="007E5523">
        <w:rPr>
          <w:szCs w:val="26"/>
        </w:rPr>
        <w:t>es</w:t>
      </w:r>
      <w:r w:rsidR="007E5523" w:rsidRPr="007E5523">
        <w:rPr>
          <w:szCs w:val="26"/>
        </w:rPr>
        <w:t xml:space="preserve"> de la </w:t>
      </w:r>
      <w:r w:rsidR="007E5523">
        <w:rPr>
          <w:szCs w:val="26"/>
        </w:rPr>
        <w:t>F</w:t>
      </w:r>
      <w:r w:rsidR="007E5523" w:rsidRPr="007E5523">
        <w:rPr>
          <w:szCs w:val="26"/>
        </w:rPr>
        <w:t>undación.</w:t>
      </w:r>
    </w:p>
    <w:p w:rsidR="00F70B4A" w:rsidRDefault="00756C17" w:rsidP="00BC44CE">
      <w:pPr>
        <w:pStyle w:val="texto"/>
        <w:tabs>
          <w:tab w:val="clear" w:pos="2835"/>
          <w:tab w:val="clear" w:pos="3969"/>
          <w:tab w:val="clear" w:pos="5103"/>
          <w:tab w:val="clear" w:pos="6237"/>
          <w:tab w:val="clear" w:pos="7371"/>
        </w:tabs>
        <w:spacing w:before="120" w:after="120"/>
        <w:rPr>
          <w:szCs w:val="26"/>
        </w:rPr>
      </w:pPr>
      <w:r w:rsidRPr="00730AE6">
        <w:rPr>
          <w:szCs w:val="26"/>
        </w:rPr>
        <w:t>E</w:t>
      </w:r>
      <w:r w:rsidR="002A20CF" w:rsidRPr="00730AE6">
        <w:rPr>
          <w:szCs w:val="26"/>
        </w:rPr>
        <w:t xml:space="preserve">l informe </w:t>
      </w:r>
      <w:r w:rsidR="00050D8C" w:rsidRPr="00730AE6">
        <w:rPr>
          <w:szCs w:val="26"/>
        </w:rPr>
        <w:t>se</w:t>
      </w:r>
      <w:r w:rsidR="00F61686" w:rsidRPr="00730AE6">
        <w:rPr>
          <w:szCs w:val="26"/>
        </w:rPr>
        <w:t xml:space="preserve"> acompaña de</w:t>
      </w:r>
      <w:r w:rsidR="00425CF6" w:rsidRPr="00730AE6">
        <w:rPr>
          <w:szCs w:val="26"/>
        </w:rPr>
        <w:t xml:space="preserve"> un resumen de</w:t>
      </w:r>
      <w:r w:rsidR="00F61686" w:rsidRPr="00730AE6">
        <w:rPr>
          <w:szCs w:val="26"/>
        </w:rPr>
        <w:t xml:space="preserve"> </w:t>
      </w:r>
      <w:r w:rsidR="0076219E" w:rsidRPr="00730AE6">
        <w:rPr>
          <w:szCs w:val="26"/>
        </w:rPr>
        <w:t>la memoria</w:t>
      </w:r>
      <w:r w:rsidR="000A29D0" w:rsidRPr="00730AE6">
        <w:rPr>
          <w:szCs w:val="26"/>
        </w:rPr>
        <w:t xml:space="preserve"> económica de la </w:t>
      </w:r>
      <w:r w:rsidR="00A32A9C">
        <w:rPr>
          <w:szCs w:val="26"/>
        </w:rPr>
        <w:t>Un</w:t>
      </w:r>
      <w:r w:rsidR="00A32A9C">
        <w:rPr>
          <w:szCs w:val="26"/>
        </w:rPr>
        <w:t>i</w:t>
      </w:r>
      <w:r w:rsidR="00A32A9C">
        <w:rPr>
          <w:szCs w:val="26"/>
        </w:rPr>
        <w:t>versidad</w:t>
      </w:r>
      <w:r w:rsidR="000A29D0" w:rsidRPr="00730AE6">
        <w:rPr>
          <w:szCs w:val="26"/>
        </w:rPr>
        <w:t xml:space="preserve"> correspondiente al ejercicio de 201</w:t>
      </w:r>
      <w:r w:rsidR="00AA0208" w:rsidRPr="00730AE6">
        <w:rPr>
          <w:szCs w:val="26"/>
        </w:rPr>
        <w:t>7</w:t>
      </w:r>
      <w:r w:rsidR="007A7967">
        <w:rPr>
          <w:rStyle w:val="Refdenotaalpie"/>
          <w:szCs w:val="26"/>
        </w:rPr>
        <w:footnoteReference w:id="1"/>
      </w:r>
      <w:r w:rsidR="001A4B87">
        <w:rPr>
          <w:szCs w:val="26"/>
        </w:rPr>
        <w:t xml:space="preserve"> </w:t>
      </w:r>
    </w:p>
    <w:p w:rsidR="00E037D2" w:rsidRDefault="00E037D2" w:rsidP="00BC44CE">
      <w:pPr>
        <w:pStyle w:val="texto"/>
        <w:spacing w:before="120" w:after="120"/>
        <w:rPr>
          <w:szCs w:val="26"/>
        </w:rPr>
      </w:pPr>
      <w:r w:rsidRPr="00730AE6">
        <w:rPr>
          <w:szCs w:val="26"/>
        </w:rPr>
        <w:t xml:space="preserve">En nuestra actuación se han tenido en cuenta los informes realizados por el servicio de Intervención y Auditoría de la Universidad, especialmente el referido a las cuentas anuales de 2017. </w:t>
      </w:r>
    </w:p>
    <w:p w:rsidR="00970543" w:rsidRPr="00730AE6" w:rsidRDefault="00F70B4A" w:rsidP="00BC44CE">
      <w:pPr>
        <w:pStyle w:val="texto"/>
        <w:tabs>
          <w:tab w:val="clear" w:pos="2835"/>
          <w:tab w:val="clear" w:pos="3969"/>
          <w:tab w:val="clear" w:pos="5103"/>
          <w:tab w:val="clear" w:pos="6237"/>
          <w:tab w:val="clear" w:pos="7371"/>
        </w:tabs>
        <w:spacing w:before="120" w:after="120"/>
        <w:rPr>
          <w:szCs w:val="26"/>
        </w:rPr>
      </w:pPr>
      <w:r>
        <w:rPr>
          <w:szCs w:val="26"/>
        </w:rPr>
        <w:t>L</w:t>
      </w:r>
      <w:r w:rsidR="00385A94" w:rsidRPr="00730AE6">
        <w:rPr>
          <w:szCs w:val="26"/>
        </w:rPr>
        <w:t>as</w:t>
      </w:r>
      <w:r w:rsidR="0074731C" w:rsidRPr="00730AE6">
        <w:rPr>
          <w:szCs w:val="26"/>
        </w:rPr>
        <w:t xml:space="preserve"> cuentas de </w:t>
      </w:r>
      <w:r w:rsidR="00196541">
        <w:rPr>
          <w:szCs w:val="26"/>
        </w:rPr>
        <w:t xml:space="preserve">la </w:t>
      </w:r>
      <w:r w:rsidR="00837C10">
        <w:rPr>
          <w:szCs w:val="26"/>
        </w:rPr>
        <w:t>F</w:t>
      </w:r>
      <w:r w:rsidR="0074731C" w:rsidRPr="00730AE6">
        <w:rPr>
          <w:szCs w:val="26"/>
        </w:rPr>
        <w:t xml:space="preserve">undación </w:t>
      </w:r>
      <w:r w:rsidR="00502E69">
        <w:rPr>
          <w:szCs w:val="26"/>
        </w:rPr>
        <w:t>fueron</w:t>
      </w:r>
      <w:r w:rsidR="0074731C" w:rsidRPr="00730AE6">
        <w:rPr>
          <w:szCs w:val="26"/>
        </w:rPr>
        <w:t xml:space="preserve"> objeto de auditoría realizada por profesi</w:t>
      </w:r>
      <w:r w:rsidR="0074731C" w:rsidRPr="00730AE6">
        <w:rPr>
          <w:szCs w:val="26"/>
        </w:rPr>
        <w:t>o</w:t>
      </w:r>
      <w:r w:rsidR="0074731C" w:rsidRPr="00730AE6">
        <w:rPr>
          <w:szCs w:val="26"/>
        </w:rPr>
        <w:t xml:space="preserve">nales externos, </w:t>
      </w:r>
      <w:r w:rsidR="00CF6110" w:rsidRPr="00730AE6">
        <w:rPr>
          <w:szCs w:val="26"/>
        </w:rPr>
        <w:t>los cuales emitieron</w:t>
      </w:r>
      <w:r w:rsidR="0074731C" w:rsidRPr="00730AE6">
        <w:rPr>
          <w:szCs w:val="26"/>
        </w:rPr>
        <w:t xml:space="preserve"> un informe con opinión favorable.</w:t>
      </w:r>
    </w:p>
    <w:p w:rsidR="00AC1037" w:rsidRDefault="00AC1037" w:rsidP="00BC44CE">
      <w:pPr>
        <w:pStyle w:val="texto"/>
        <w:tabs>
          <w:tab w:val="clear" w:pos="2835"/>
          <w:tab w:val="clear" w:pos="3969"/>
          <w:tab w:val="clear" w:pos="5103"/>
          <w:tab w:val="clear" w:pos="6237"/>
          <w:tab w:val="clear" w:pos="7371"/>
        </w:tabs>
        <w:spacing w:before="120" w:after="120"/>
        <w:rPr>
          <w:rFonts w:ascii="Times New (W1)" w:hAnsi="Times New (W1)"/>
          <w:szCs w:val="26"/>
        </w:rPr>
      </w:pPr>
      <w:r w:rsidRPr="00730AE6">
        <w:rPr>
          <w:rFonts w:ascii="Times New (W1)" w:hAnsi="Times New (W1)"/>
          <w:szCs w:val="26"/>
        </w:rPr>
        <w:t>En febrero de 2016, esta Cámara public</w:t>
      </w:r>
      <w:r>
        <w:rPr>
          <w:rFonts w:ascii="Times New (W1)" w:hAnsi="Times New (W1)"/>
          <w:szCs w:val="26"/>
        </w:rPr>
        <w:t>ó un informe sobre las cuentas anuales</w:t>
      </w:r>
      <w:r w:rsidRPr="00730AE6">
        <w:rPr>
          <w:rFonts w:ascii="Times New (W1)" w:hAnsi="Times New (W1)"/>
          <w:szCs w:val="26"/>
        </w:rPr>
        <w:t xml:space="preserve"> de la </w:t>
      </w:r>
      <w:r>
        <w:rPr>
          <w:rFonts w:ascii="Times New (W1)" w:hAnsi="Times New (W1)"/>
          <w:szCs w:val="26"/>
        </w:rPr>
        <w:t>Universidad</w:t>
      </w:r>
      <w:r w:rsidRPr="00730AE6">
        <w:rPr>
          <w:rFonts w:ascii="Times New (W1)" w:hAnsi="Times New (W1)"/>
          <w:szCs w:val="26"/>
        </w:rPr>
        <w:t xml:space="preserve"> correspondientes al ejercicio de 2014.</w:t>
      </w:r>
    </w:p>
    <w:p w:rsidR="0022288A" w:rsidRDefault="0022288A" w:rsidP="00BC44CE">
      <w:pPr>
        <w:pStyle w:val="texto"/>
        <w:tabs>
          <w:tab w:val="clear" w:pos="2835"/>
          <w:tab w:val="clear" w:pos="3969"/>
          <w:tab w:val="clear" w:pos="5103"/>
          <w:tab w:val="clear" w:pos="6237"/>
          <w:tab w:val="clear" w:pos="7371"/>
        </w:tabs>
        <w:spacing w:before="120" w:after="120"/>
        <w:rPr>
          <w:rFonts w:ascii="Times New (W1)" w:hAnsi="Times New (W1)"/>
          <w:szCs w:val="26"/>
        </w:rPr>
      </w:pPr>
      <w:r w:rsidRPr="00730AE6">
        <w:rPr>
          <w:rFonts w:ascii="Times New (W1)" w:hAnsi="Times New (W1)"/>
          <w:szCs w:val="26"/>
        </w:rPr>
        <w:t xml:space="preserve">El trabajo de campo lo </w:t>
      </w:r>
      <w:r w:rsidR="00AC1037">
        <w:rPr>
          <w:rFonts w:ascii="Times New (W1)" w:hAnsi="Times New (W1)"/>
          <w:szCs w:val="26"/>
        </w:rPr>
        <w:t>realizó</w:t>
      </w:r>
      <w:r w:rsidRPr="00730AE6">
        <w:rPr>
          <w:rFonts w:ascii="Times New (W1)" w:hAnsi="Times New (W1)"/>
          <w:szCs w:val="26"/>
        </w:rPr>
        <w:t xml:space="preserve"> entre </w:t>
      </w:r>
      <w:r w:rsidR="00AC1037">
        <w:rPr>
          <w:rFonts w:ascii="Times New (W1)" w:hAnsi="Times New (W1)"/>
          <w:szCs w:val="26"/>
        </w:rPr>
        <w:t>octubre de 2018 y enero de 2019</w:t>
      </w:r>
      <w:r w:rsidRPr="00730AE6">
        <w:rPr>
          <w:rFonts w:ascii="Times New (W1)" w:hAnsi="Times New (W1)"/>
          <w:szCs w:val="26"/>
        </w:rPr>
        <w:t xml:space="preserve"> un equ</w:t>
      </w:r>
      <w:r w:rsidRPr="00730AE6">
        <w:rPr>
          <w:rFonts w:ascii="Times New (W1)" w:hAnsi="Times New (W1)"/>
          <w:szCs w:val="26"/>
        </w:rPr>
        <w:t>i</w:t>
      </w:r>
      <w:r w:rsidRPr="00730AE6">
        <w:rPr>
          <w:rFonts w:ascii="Times New (W1)" w:hAnsi="Times New (W1)"/>
          <w:szCs w:val="26"/>
        </w:rPr>
        <w:t xml:space="preserve">po integrado por cuatro técnicas de auditoría y una auditora, con la colaboración de los servicios jurídicos, informáticos y administrativos de la Cámara. </w:t>
      </w:r>
    </w:p>
    <w:p w:rsidR="006955A6" w:rsidRDefault="006955A6" w:rsidP="007B056C">
      <w:pPr>
        <w:pStyle w:val="texto"/>
        <w:tabs>
          <w:tab w:val="clear" w:pos="2835"/>
          <w:tab w:val="clear" w:pos="3969"/>
          <w:tab w:val="clear" w:pos="5103"/>
          <w:tab w:val="clear" w:pos="6237"/>
          <w:tab w:val="clear" w:pos="7371"/>
        </w:tabs>
        <w:rPr>
          <w:rFonts w:ascii="Times New (W1)" w:hAnsi="Times New (W1)"/>
          <w:szCs w:val="26"/>
        </w:rPr>
      </w:pPr>
    </w:p>
    <w:p w:rsidR="007B056C" w:rsidRPr="006955A6" w:rsidRDefault="007B056C" w:rsidP="007B056C">
      <w:pPr>
        <w:pStyle w:val="texto"/>
        <w:tabs>
          <w:tab w:val="clear" w:pos="2835"/>
          <w:tab w:val="clear" w:pos="3969"/>
          <w:tab w:val="clear" w:pos="5103"/>
          <w:tab w:val="clear" w:pos="6237"/>
          <w:tab w:val="clear" w:pos="7371"/>
        </w:tabs>
        <w:rPr>
          <w:rFonts w:ascii="Times New (W1)" w:hAnsi="Times New (W1)"/>
          <w:szCs w:val="26"/>
        </w:rPr>
      </w:pPr>
      <w:r w:rsidRPr="00E130CE">
        <w:rPr>
          <w:rFonts w:ascii="Times New (W1)" w:hAnsi="Times New (W1)"/>
          <w:szCs w:val="26"/>
        </w:rPr>
        <w:lastRenderedPageBreak/>
        <w:t xml:space="preserve">Los resultados de esta actuación se pusieron de manifiesto al </w:t>
      </w:r>
      <w:r>
        <w:rPr>
          <w:rFonts w:ascii="Times New (W1)" w:hAnsi="Times New (W1)"/>
          <w:szCs w:val="26"/>
        </w:rPr>
        <w:t>r</w:t>
      </w:r>
      <w:r w:rsidRPr="00E130CE">
        <w:rPr>
          <w:rFonts w:ascii="Times New (W1)" w:hAnsi="Times New (W1)"/>
          <w:szCs w:val="26"/>
        </w:rPr>
        <w:t>ector</w:t>
      </w:r>
      <w:r>
        <w:rPr>
          <w:rFonts w:ascii="Times New (W1)" w:hAnsi="Times New (W1)"/>
          <w:szCs w:val="26"/>
        </w:rPr>
        <w:t>,</w:t>
      </w:r>
      <w:r w:rsidRPr="00E130CE">
        <w:rPr>
          <w:rFonts w:ascii="Times New (W1)" w:hAnsi="Times New (W1)"/>
          <w:szCs w:val="26"/>
        </w:rPr>
        <w:t xml:space="preserve"> </w:t>
      </w:r>
      <w:r>
        <w:rPr>
          <w:rFonts w:ascii="Times New (W1)" w:hAnsi="Times New (W1)"/>
          <w:szCs w:val="26"/>
        </w:rPr>
        <w:t xml:space="preserve">al gerente y </w:t>
      </w:r>
      <w:r w:rsidRPr="00E130CE">
        <w:rPr>
          <w:rFonts w:ascii="Times New (W1)" w:hAnsi="Times New (W1)"/>
          <w:szCs w:val="26"/>
        </w:rPr>
        <w:t>al presidente del Consejo Social</w:t>
      </w:r>
      <w:r w:rsidR="006955A6">
        <w:rPr>
          <w:rFonts w:ascii="Times New (W1)" w:hAnsi="Times New (W1)"/>
          <w:szCs w:val="26"/>
        </w:rPr>
        <w:t>,</w:t>
      </w:r>
      <w:r w:rsidRPr="00E130CE">
        <w:rPr>
          <w:rFonts w:ascii="Times New (W1)" w:hAnsi="Times New (W1)"/>
          <w:szCs w:val="26"/>
        </w:rPr>
        <w:t xml:space="preserve"> </w:t>
      </w:r>
      <w:r>
        <w:rPr>
          <w:rFonts w:ascii="Times New (W1)" w:hAnsi="Times New (W1)"/>
          <w:szCs w:val="26"/>
        </w:rPr>
        <w:t xml:space="preserve">de la Universidad Pública de Navarra, </w:t>
      </w:r>
      <w:r w:rsidRPr="00E130CE">
        <w:rPr>
          <w:rFonts w:ascii="Times New (W1)" w:hAnsi="Times New (W1)"/>
          <w:szCs w:val="26"/>
        </w:rPr>
        <w:t>para que formulasen, en su caso, las alegaciones que estimasen oportunas, de confo</w:t>
      </w:r>
      <w:r w:rsidRPr="00E130CE">
        <w:rPr>
          <w:rFonts w:ascii="Times New (W1)" w:hAnsi="Times New (W1)"/>
          <w:szCs w:val="26"/>
        </w:rPr>
        <w:t>r</w:t>
      </w:r>
      <w:r w:rsidRPr="00E130CE">
        <w:rPr>
          <w:rFonts w:ascii="Times New (W1)" w:hAnsi="Times New (W1)"/>
          <w:szCs w:val="26"/>
        </w:rPr>
        <w:t>midad con lo previsto en el art. 11.2 de la Ley  Foral 19/1984, reguladora de la Cámara de Comptos de Navarra.</w:t>
      </w:r>
      <w:r>
        <w:rPr>
          <w:rFonts w:ascii="Times New (W1)" w:hAnsi="Times New (W1)"/>
          <w:szCs w:val="26"/>
        </w:rPr>
        <w:t xml:space="preserve"> Transcurrido el plazo fijado</w:t>
      </w:r>
      <w:r w:rsidRPr="006955A6">
        <w:rPr>
          <w:rFonts w:ascii="Times New (W1)" w:hAnsi="Times New (W1)"/>
          <w:szCs w:val="26"/>
        </w:rPr>
        <w:t>, no se han prese</w:t>
      </w:r>
      <w:r w:rsidRPr="006955A6">
        <w:rPr>
          <w:rFonts w:ascii="Times New (W1)" w:hAnsi="Times New (W1)"/>
          <w:szCs w:val="26"/>
        </w:rPr>
        <w:t>n</w:t>
      </w:r>
      <w:r w:rsidRPr="006955A6">
        <w:rPr>
          <w:rFonts w:ascii="Times New (W1)" w:hAnsi="Times New (W1)"/>
          <w:szCs w:val="26"/>
        </w:rPr>
        <w:t>tado alegaciones al informe.</w:t>
      </w:r>
    </w:p>
    <w:p w:rsidR="00425CF6" w:rsidRPr="00730AE6" w:rsidRDefault="006F1331" w:rsidP="006955A6">
      <w:pPr>
        <w:pStyle w:val="texto"/>
        <w:tabs>
          <w:tab w:val="clear" w:pos="2835"/>
          <w:tab w:val="clear" w:pos="3969"/>
          <w:tab w:val="clear" w:pos="5103"/>
          <w:tab w:val="clear" w:pos="6237"/>
          <w:tab w:val="clear" w:pos="7371"/>
        </w:tabs>
        <w:rPr>
          <w:rFonts w:ascii="Arial" w:hAnsi="Arial"/>
          <w:b/>
          <w:color w:val="000000"/>
          <w:kern w:val="28"/>
          <w:sz w:val="25"/>
          <w:szCs w:val="26"/>
        </w:rPr>
      </w:pPr>
      <w:r w:rsidRPr="00730AE6">
        <w:rPr>
          <w:rFonts w:ascii="Times New (W1)" w:hAnsi="Times New (W1)"/>
          <w:szCs w:val="26"/>
        </w:rPr>
        <w:t xml:space="preserve">Agradecemos al </w:t>
      </w:r>
      <w:r w:rsidR="008900BC" w:rsidRPr="00730AE6">
        <w:rPr>
          <w:rFonts w:ascii="Times New (W1)" w:hAnsi="Times New (W1)"/>
          <w:szCs w:val="26"/>
        </w:rPr>
        <w:t xml:space="preserve">personal de </w:t>
      </w:r>
      <w:r w:rsidR="000A29D0" w:rsidRPr="00730AE6">
        <w:rPr>
          <w:rFonts w:ascii="Times New (W1)" w:hAnsi="Times New (W1)"/>
          <w:szCs w:val="26"/>
        </w:rPr>
        <w:t xml:space="preserve">la </w:t>
      </w:r>
      <w:r w:rsidR="00394C4B" w:rsidRPr="00730AE6">
        <w:rPr>
          <w:rFonts w:ascii="Times New (W1)" w:hAnsi="Times New (W1)"/>
          <w:szCs w:val="26"/>
        </w:rPr>
        <w:t>Universidad</w:t>
      </w:r>
      <w:r w:rsidR="000A29D0" w:rsidRPr="00730AE6">
        <w:rPr>
          <w:rFonts w:ascii="Times New (W1)" w:hAnsi="Times New (W1)"/>
          <w:szCs w:val="26"/>
        </w:rPr>
        <w:t xml:space="preserve"> </w:t>
      </w:r>
      <w:r w:rsidR="00EB285C">
        <w:rPr>
          <w:szCs w:val="26"/>
        </w:rPr>
        <w:t xml:space="preserve">y de la Fundación </w:t>
      </w:r>
      <w:r w:rsidRPr="00730AE6">
        <w:rPr>
          <w:szCs w:val="26"/>
        </w:rPr>
        <w:t>la colaboración prestada en la realización del presente trabajo.</w:t>
      </w:r>
      <w:bookmarkStart w:id="6" w:name="_Toc423419507"/>
      <w:bookmarkStart w:id="7" w:name="_Toc188167194"/>
      <w:bookmarkStart w:id="8" w:name="_Toc303592531"/>
      <w:bookmarkStart w:id="9" w:name="_Toc309383714"/>
      <w:bookmarkStart w:id="10" w:name="_Toc339016603"/>
    </w:p>
    <w:p w:rsidR="007B056C" w:rsidRDefault="007B056C">
      <w:pPr>
        <w:spacing w:after="0"/>
        <w:ind w:firstLine="0"/>
        <w:jc w:val="left"/>
        <w:rPr>
          <w:rFonts w:ascii="Arial" w:hAnsi="Arial"/>
          <w:b/>
          <w:color w:val="000000"/>
          <w:kern w:val="28"/>
          <w:sz w:val="25"/>
          <w:szCs w:val="26"/>
        </w:rPr>
      </w:pPr>
      <w:bookmarkStart w:id="11" w:name="_Toc3967011"/>
      <w:r>
        <w:br w:type="page"/>
      </w:r>
    </w:p>
    <w:p w:rsidR="00745FFB" w:rsidRDefault="00745FFB" w:rsidP="00331AF7">
      <w:pPr>
        <w:pStyle w:val="atitulo1"/>
      </w:pPr>
      <w:r>
        <w:lastRenderedPageBreak/>
        <w:t>II</w:t>
      </w:r>
      <w:r w:rsidR="00F27712">
        <w:t>.</w:t>
      </w:r>
      <w:r>
        <w:t xml:space="preserve"> </w:t>
      </w:r>
      <w:r w:rsidR="002D4300">
        <w:t xml:space="preserve">Organización de la </w:t>
      </w:r>
      <w:r>
        <w:t>Universidad Pública de Navarra</w:t>
      </w:r>
      <w:bookmarkEnd w:id="11"/>
    </w:p>
    <w:p w:rsidR="00745FFB" w:rsidRDefault="008F6F4A" w:rsidP="005A63AB">
      <w:pPr>
        <w:pStyle w:val="texto"/>
        <w:spacing w:after="240"/>
      </w:pPr>
      <w:r>
        <w:t>La Universidad Pública de Navarra es una institución de derecho público, creada por el Parlamento de Navarra en 1987, dotada de personalidad jurídica propia, que tiene encomendado el servicio p</w:t>
      </w:r>
      <w:r w:rsidR="000446DB">
        <w:t>úblico de la educación superior, m</w:t>
      </w:r>
      <w:r w:rsidR="000446DB">
        <w:t>e</w:t>
      </w:r>
      <w:r w:rsidR="000446DB">
        <w:t>diante la docencia y la investigación.</w:t>
      </w:r>
    </w:p>
    <w:p w:rsidR="005064B4" w:rsidRPr="004D4A6D" w:rsidRDefault="005064B4" w:rsidP="005A63AB">
      <w:pPr>
        <w:pStyle w:val="atitulo3"/>
      </w:pPr>
      <w:r w:rsidRPr="004D4A6D">
        <w:t>Órganos de gobierno y administración</w:t>
      </w:r>
    </w:p>
    <w:p w:rsidR="005064B4" w:rsidRPr="00010953" w:rsidRDefault="005064B4" w:rsidP="00B45A13">
      <w:pPr>
        <w:pStyle w:val="texto"/>
        <w:spacing w:before="240"/>
      </w:pPr>
      <w:r w:rsidRPr="00F67631">
        <w:t xml:space="preserve">El gobierno y la administración de la </w:t>
      </w:r>
      <w:r>
        <w:t>Universidad</w:t>
      </w:r>
      <w:r w:rsidRPr="00F67631">
        <w:t xml:space="preserve"> se ejercen a través de órg</w:t>
      </w:r>
      <w:r w:rsidRPr="00F67631">
        <w:t>a</w:t>
      </w:r>
      <w:r w:rsidRPr="00F67631">
        <w:t>nos</w:t>
      </w:r>
      <w:r w:rsidR="006B4205">
        <w:t xml:space="preserve"> colegiados y unipersonales de ámbito general y particular:</w:t>
      </w:r>
    </w:p>
    <w:p w:rsidR="005064B4" w:rsidRPr="00010953" w:rsidRDefault="005064B4" w:rsidP="00B45A13">
      <w:pPr>
        <w:pStyle w:val="texto"/>
        <w:ind w:left="284" w:firstLine="0"/>
      </w:pPr>
      <w:r>
        <w:t>Ó</w:t>
      </w:r>
      <w:r w:rsidRPr="00010953">
        <w:t xml:space="preserve">rganos colegiados </w:t>
      </w:r>
    </w:p>
    <w:p w:rsidR="005064B4" w:rsidRPr="005064B4" w:rsidRDefault="005064B4" w:rsidP="00B45A13">
      <w:pPr>
        <w:pStyle w:val="texto"/>
        <w:numPr>
          <w:ilvl w:val="0"/>
          <w:numId w:val="1"/>
        </w:numPr>
        <w:tabs>
          <w:tab w:val="clear" w:pos="928"/>
          <w:tab w:val="clear" w:pos="2835"/>
          <w:tab w:val="clear" w:pos="3969"/>
          <w:tab w:val="clear" w:pos="5103"/>
          <w:tab w:val="clear" w:pos="6237"/>
          <w:tab w:val="clear" w:pos="7371"/>
          <w:tab w:val="num" w:pos="300"/>
          <w:tab w:val="left" w:pos="480"/>
          <w:tab w:val="num" w:pos="720"/>
          <w:tab w:val="num" w:pos="6597"/>
        </w:tabs>
        <w:spacing w:after="0"/>
        <w:ind w:left="0" w:firstLine="289"/>
      </w:pPr>
      <w:r w:rsidRPr="005064B4">
        <w:t>De ámbito general: el Consejo Social, el Consejo de Gobierno y el Claustro Universitario.</w:t>
      </w:r>
    </w:p>
    <w:p w:rsidR="005064B4" w:rsidRPr="00010953" w:rsidRDefault="005064B4" w:rsidP="00B45A13">
      <w:pPr>
        <w:pStyle w:val="texto"/>
        <w:numPr>
          <w:ilvl w:val="0"/>
          <w:numId w:val="1"/>
        </w:numPr>
        <w:tabs>
          <w:tab w:val="clear" w:pos="928"/>
          <w:tab w:val="clear" w:pos="2835"/>
          <w:tab w:val="clear" w:pos="3969"/>
          <w:tab w:val="clear" w:pos="5103"/>
          <w:tab w:val="clear" w:pos="6237"/>
          <w:tab w:val="clear" w:pos="7371"/>
          <w:tab w:val="num" w:pos="300"/>
          <w:tab w:val="left" w:pos="480"/>
          <w:tab w:val="num" w:pos="720"/>
          <w:tab w:val="num" w:pos="6597"/>
        </w:tabs>
        <w:spacing w:after="0"/>
        <w:ind w:left="0" w:firstLine="289"/>
      </w:pPr>
      <w:r w:rsidRPr="005064B4">
        <w:t>De ámbito particular: la Junta de Centro y el Consejo de Departamento</w:t>
      </w:r>
      <w:r>
        <w:t>.</w:t>
      </w:r>
      <w:r w:rsidRPr="00010953">
        <w:t xml:space="preserve"> </w:t>
      </w:r>
    </w:p>
    <w:p w:rsidR="005064B4" w:rsidRDefault="005064B4" w:rsidP="00B45A13">
      <w:pPr>
        <w:pStyle w:val="texto"/>
        <w:spacing w:before="240" w:after="120"/>
        <w:ind w:left="284" w:firstLine="0"/>
      </w:pPr>
      <w:r>
        <w:t>Ó</w:t>
      </w:r>
      <w:r w:rsidRPr="00010953">
        <w:t xml:space="preserve">rganos unipersonales </w:t>
      </w:r>
    </w:p>
    <w:p w:rsidR="005064B4" w:rsidRPr="00B45A13" w:rsidRDefault="005064B4" w:rsidP="00B45A13">
      <w:pPr>
        <w:pStyle w:val="texto"/>
        <w:numPr>
          <w:ilvl w:val="0"/>
          <w:numId w:val="1"/>
        </w:numPr>
        <w:tabs>
          <w:tab w:val="clear" w:pos="928"/>
          <w:tab w:val="clear" w:pos="2835"/>
          <w:tab w:val="clear" w:pos="3969"/>
          <w:tab w:val="clear" w:pos="5103"/>
          <w:tab w:val="clear" w:pos="6237"/>
          <w:tab w:val="clear" w:pos="7371"/>
          <w:tab w:val="num" w:pos="300"/>
          <w:tab w:val="left" w:pos="480"/>
          <w:tab w:val="num" w:pos="720"/>
          <w:tab w:val="num" w:pos="6597"/>
        </w:tabs>
        <w:spacing w:after="0"/>
        <w:ind w:left="0" w:firstLine="289"/>
      </w:pPr>
      <w:r w:rsidRPr="00010953">
        <w:t xml:space="preserve"> </w:t>
      </w:r>
      <w:r w:rsidRPr="00B45A13">
        <w:t>De ámbito general: el Rector, los Vicerrectores, el Secretario General y el Gerente</w:t>
      </w:r>
      <w:r w:rsidR="00B45A13" w:rsidRPr="00B45A13">
        <w:t>.</w:t>
      </w:r>
    </w:p>
    <w:p w:rsidR="005064B4" w:rsidRPr="005064B4" w:rsidRDefault="005064B4" w:rsidP="005064B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89"/>
        <w:rPr>
          <w:szCs w:val="26"/>
        </w:rPr>
      </w:pPr>
      <w:r w:rsidRPr="005064B4">
        <w:rPr>
          <w:szCs w:val="26"/>
        </w:rPr>
        <w:t xml:space="preserve">De ámbito particular: </w:t>
      </w:r>
      <w:r>
        <w:rPr>
          <w:szCs w:val="26"/>
        </w:rPr>
        <w:t>e</w:t>
      </w:r>
      <w:r w:rsidRPr="005064B4">
        <w:rPr>
          <w:szCs w:val="26"/>
        </w:rPr>
        <w:t>l Decano o Director de la Escuela y el Director de Departamento.</w:t>
      </w:r>
    </w:p>
    <w:p w:rsidR="005064B4" w:rsidRPr="005064B4" w:rsidRDefault="005064B4" w:rsidP="005064B4">
      <w:pPr>
        <w:pStyle w:val="texto"/>
        <w:tabs>
          <w:tab w:val="clear" w:pos="2835"/>
          <w:tab w:val="clear" w:pos="3969"/>
          <w:tab w:val="clear" w:pos="5103"/>
          <w:tab w:val="clear" w:pos="6237"/>
          <w:tab w:val="clear" w:pos="7371"/>
        </w:tabs>
        <w:rPr>
          <w:rFonts w:ascii="Times New (W1)" w:hAnsi="Times New (W1)"/>
          <w:szCs w:val="26"/>
        </w:rPr>
      </w:pPr>
      <w:r w:rsidRPr="005064B4">
        <w:rPr>
          <w:rFonts w:ascii="Times New (W1)" w:hAnsi="Times New (W1)"/>
          <w:szCs w:val="26"/>
        </w:rPr>
        <w:t>El Consejo Social es el órgano colegiado de participación de la sociedad en la Universidad. El Consejo de Gobierno es el órgano de gobierno de la Universidad y está formado por el rector, el secretario general, el gerente, los vicerrectores y 32 representantes de toda la comunidad universitaria.</w:t>
      </w:r>
    </w:p>
    <w:p w:rsidR="005064B4" w:rsidRPr="005064B4" w:rsidRDefault="005064B4" w:rsidP="005A63AB">
      <w:pPr>
        <w:pStyle w:val="texto"/>
        <w:tabs>
          <w:tab w:val="clear" w:pos="2835"/>
          <w:tab w:val="clear" w:pos="3969"/>
          <w:tab w:val="clear" w:pos="5103"/>
          <w:tab w:val="clear" w:pos="6237"/>
          <w:tab w:val="clear" w:pos="7371"/>
        </w:tabs>
        <w:spacing w:after="240"/>
        <w:rPr>
          <w:rFonts w:ascii="Times New (W1)" w:hAnsi="Times New (W1)"/>
          <w:szCs w:val="26"/>
        </w:rPr>
      </w:pPr>
      <w:r w:rsidRPr="005064B4">
        <w:rPr>
          <w:rFonts w:ascii="Times New (W1)" w:hAnsi="Times New (W1)"/>
          <w:szCs w:val="26"/>
        </w:rPr>
        <w:t>El Claustro Universitario es el máximo órgano de representación de la com</w:t>
      </w:r>
      <w:r w:rsidRPr="005064B4">
        <w:rPr>
          <w:rFonts w:ascii="Times New (W1)" w:hAnsi="Times New (W1)"/>
          <w:szCs w:val="26"/>
        </w:rPr>
        <w:t>u</w:t>
      </w:r>
      <w:r w:rsidRPr="005064B4">
        <w:rPr>
          <w:rFonts w:ascii="Times New (W1)" w:hAnsi="Times New (W1)"/>
          <w:szCs w:val="26"/>
        </w:rPr>
        <w:t>nidad universitaria y está formado por el rector, el secretario general, el gerente y 120 miembros de la comunidad universitaria.</w:t>
      </w:r>
    </w:p>
    <w:p w:rsidR="004D4A6D" w:rsidRPr="004D4A6D" w:rsidRDefault="004D4A6D" w:rsidP="005A63AB">
      <w:pPr>
        <w:pStyle w:val="atitulo3"/>
      </w:pPr>
      <w:r w:rsidRPr="004D4A6D">
        <w:t>Estructura organizativa</w:t>
      </w:r>
      <w:r w:rsidR="00D528F9">
        <w:t xml:space="preserve"> docente-investigadora</w:t>
      </w:r>
    </w:p>
    <w:p w:rsidR="001F00EA" w:rsidRDefault="001F00EA" w:rsidP="00B45A13">
      <w:pPr>
        <w:pStyle w:val="texto"/>
        <w:spacing w:before="240"/>
      </w:pPr>
      <w:r>
        <w:t xml:space="preserve">La </w:t>
      </w:r>
      <w:r w:rsidR="00A32A9C">
        <w:t>Universidad</w:t>
      </w:r>
      <w:r>
        <w:t xml:space="preserve"> cuenta con dos campus, situados en Pamplona y Tudela. La estructura organizativa </w:t>
      </w:r>
      <w:r w:rsidR="00A97C01">
        <w:t>básica docente-</w:t>
      </w:r>
      <w:r w:rsidR="00C54754">
        <w:t>investigadora</w:t>
      </w:r>
      <w:r w:rsidR="00A97C01">
        <w:t xml:space="preserve"> </w:t>
      </w:r>
      <w:r w:rsidR="00296CA9">
        <w:t xml:space="preserve">de la </w:t>
      </w:r>
      <w:r w:rsidR="00A32A9C">
        <w:t>Universidad</w:t>
      </w:r>
      <w:r w:rsidR="00296CA9">
        <w:t xml:space="preserve"> </w:t>
      </w:r>
      <w:r>
        <w:t>durante 2017 consta de:</w:t>
      </w:r>
    </w:p>
    <w:p w:rsidR="00E9254F" w:rsidRPr="00E9254F" w:rsidRDefault="00E9254F" w:rsidP="00B45A1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Cuatro</w:t>
      </w:r>
      <w:r w:rsidRPr="00E9254F">
        <w:rPr>
          <w:szCs w:val="26"/>
        </w:rPr>
        <w:t xml:space="preserve"> Facultades: Facultad de Ciencias Económicas y Empresariales, F</w:t>
      </w:r>
      <w:r w:rsidRPr="00E9254F">
        <w:rPr>
          <w:szCs w:val="26"/>
        </w:rPr>
        <w:t>a</w:t>
      </w:r>
      <w:r w:rsidRPr="00E9254F">
        <w:rPr>
          <w:szCs w:val="26"/>
        </w:rPr>
        <w:t>cultad de Ciencias Humanas y Sociales, Facultad de Ciencias Jurídicas y Facu</w:t>
      </w:r>
      <w:r w:rsidRPr="00E9254F">
        <w:rPr>
          <w:szCs w:val="26"/>
        </w:rPr>
        <w:t>l</w:t>
      </w:r>
      <w:r w:rsidRPr="00E9254F">
        <w:rPr>
          <w:szCs w:val="26"/>
        </w:rPr>
        <w:t>tad de Ciencias de la Salud.</w:t>
      </w:r>
    </w:p>
    <w:p w:rsidR="00E9254F" w:rsidRPr="00E9254F" w:rsidRDefault="00E9254F" w:rsidP="00E9254F">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Dos</w:t>
      </w:r>
      <w:r w:rsidRPr="00E9254F">
        <w:rPr>
          <w:szCs w:val="26"/>
        </w:rPr>
        <w:t xml:space="preserve"> Escuelas Técnicas Superiores: </w:t>
      </w:r>
      <w:r w:rsidR="00605BA1">
        <w:rPr>
          <w:szCs w:val="26"/>
        </w:rPr>
        <w:t xml:space="preserve">E.T.S. de Ingenieros Agrónomos y </w:t>
      </w:r>
      <w:r w:rsidRPr="00E9254F">
        <w:rPr>
          <w:szCs w:val="26"/>
        </w:rPr>
        <w:t>E.T.S. de</w:t>
      </w:r>
      <w:r>
        <w:rPr>
          <w:szCs w:val="26"/>
        </w:rPr>
        <w:t xml:space="preserve"> </w:t>
      </w:r>
      <w:r w:rsidRPr="00E9254F">
        <w:rPr>
          <w:szCs w:val="26"/>
        </w:rPr>
        <w:t>Ingenieros Industriales y de Telecomunicación.</w:t>
      </w:r>
    </w:p>
    <w:p w:rsidR="00E9254F" w:rsidRPr="00E9254F" w:rsidRDefault="00E9254F" w:rsidP="00E9254F">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E9254F">
        <w:rPr>
          <w:szCs w:val="26"/>
        </w:rPr>
        <w:lastRenderedPageBreak/>
        <w:t>22 Departamentos.</w:t>
      </w:r>
      <w:r w:rsidR="00A97C01">
        <w:rPr>
          <w:szCs w:val="26"/>
        </w:rPr>
        <w:t xml:space="preserve"> </w:t>
      </w:r>
      <w:r w:rsidR="00A97C01" w:rsidRPr="008167B5">
        <w:t>Por acuerdo del Consejo de Gobierno de 27 de novie</w:t>
      </w:r>
      <w:r w:rsidR="00A97C01" w:rsidRPr="008167B5">
        <w:t>m</w:t>
      </w:r>
      <w:r w:rsidR="00A97C01" w:rsidRPr="008167B5">
        <w:t>bre de 2017 se aprobó la</w:t>
      </w:r>
      <w:r w:rsidR="00A97C01">
        <w:t xml:space="preserve"> </w:t>
      </w:r>
      <w:r w:rsidR="00A97C01" w:rsidRPr="008167B5">
        <w:t xml:space="preserve">extinción de los </w:t>
      </w:r>
      <w:r w:rsidR="00A97C01">
        <w:t>22 d</w:t>
      </w:r>
      <w:r w:rsidR="00A97C01" w:rsidRPr="008167B5">
        <w:t xml:space="preserve">epartamentos </w:t>
      </w:r>
      <w:r w:rsidR="00A97C01">
        <w:t>u</w:t>
      </w:r>
      <w:r w:rsidR="00A97C01" w:rsidRPr="008167B5">
        <w:t>niversitarios exi</w:t>
      </w:r>
      <w:r w:rsidR="00A97C01" w:rsidRPr="008167B5">
        <w:t>s</w:t>
      </w:r>
      <w:r w:rsidR="00A97C01" w:rsidRPr="008167B5">
        <w:t>tentes, se aprobaron</w:t>
      </w:r>
      <w:r w:rsidR="00A97C01">
        <w:t xml:space="preserve"> </w:t>
      </w:r>
      <w:r w:rsidR="00A97C01" w:rsidRPr="008167B5">
        <w:t>los</w:t>
      </w:r>
      <w:r w:rsidR="00A97C01">
        <w:t xml:space="preserve"> 11</w:t>
      </w:r>
      <w:r w:rsidR="00A97C01" w:rsidRPr="008167B5">
        <w:t xml:space="preserve"> nuevos </w:t>
      </w:r>
      <w:r w:rsidR="00A97C01">
        <w:t>d</w:t>
      </w:r>
      <w:r w:rsidR="00A97C01" w:rsidRPr="008167B5">
        <w:t>epartamentos</w:t>
      </w:r>
      <w:r w:rsidR="00C73FA8">
        <w:rPr>
          <w:rStyle w:val="Refdenotaalpie"/>
        </w:rPr>
        <w:footnoteReference w:id="2"/>
      </w:r>
      <w:r w:rsidR="00A97C01" w:rsidRPr="008167B5">
        <w:t xml:space="preserve"> y se dictaron las disposiciones necesarias para hacer</w:t>
      </w:r>
      <w:r w:rsidR="00A97C01">
        <w:t xml:space="preserve"> </w:t>
      </w:r>
      <w:r w:rsidR="00A97C01" w:rsidRPr="008167B5">
        <w:t>efectivo dicho acuerdo a partir del 2 de mayo de 2018</w:t>
      </w:r>
      <w:r w:rsidR="00A97C01">
        <w:t>.</w:t>
      </w:r>
    </w:p>
    <w:p w:rsidR="00E9254F" w:rsidRPr="00E9254F" w:rsidRDefault="008167B5" w:rsidP="00E9254F">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Una</w:t>
      </w:r>
      <w:r w:rsidR="00E9254F" w:rsidRPr="00E9254F">
        <w:rPr>
          <w:szCs w:val="26"/>
        </w:rPr>
        <w:t xml:space="preserve"> Escuela de Doctorado</w:t>
      </w:r>
      <w:r>
        <w:rPr>
          <w:szCs w:val="26"/>
        </w:rPr>
        <w:t xml:space="preserve"> (EDONA)</w:t>
      </w:r>
      <w:r w:rsidR="00E9254F" w:rsidRPr="00E9254F">
        <w:rPr>
          <w:szCs w:val="26"/>
        </w:rPr>
        <w:t>.</w:t>
      </w:r>
    </w:p>
    <w:p w:rsidR="00E9254F" w:rsidRPr="00C73FA8" w:rsidRDefault="008167B5" w:rsidP="008167B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lang w:val="en-US"/>
        </w:rPr>
      </w:pPr>
      <w:r w:rsidRPr="00C73FA8">
        <w:rPr>
          <w:szCs w:val="26"/>
          <w:lang w:val="en-US"/>
        </w:rPr>
        <w:t xml:space="preserve">Cinco </w:t>
      </w:r>
      <w:r w:rsidR="00E9254F" w:rsidRPr="00C73FA8">
        <w:rPr>
          <w:szCs w:val="26"/>
          <w:lang w:val="en-US"/>
        </w:rPr>
        <w:t xml:space="preserve">Institutos de Investigación: </w:t>
      </w:r>
      <w:r w:rsidR="00C73FA8">
        <w:rPr>
          <w:szCs w:val="26"/>
          <w:lang w:val="en-US"/>
        </w:rPr>
        <w:t xml:space="preserve">El </w:t>
      </w:r>
      <w:r w:rsidR="00E9254F" w:rsidRPr="00C73FA8">
        <w:rPr>
          <w:szCs w:val="26"/>
          <w:lang w:val="en-US"/>
        </w:rPr>
        <w:t>Instituto de Agrobiotecnología</w:t>
      </w:r>
      <w:r w:rsidR="00C73FA8">
        <w:rPr>
          <w:rStyle w:val="Refdenotaalpie"/>
          <w:szCs w:val="26"/>
        </w:rPr>
        <w:footnoteReference w:id="3"/>
      </w:r>
      <w:r w:rsidR="00C73FA8" w:rsidRPr="00C73FA8">
        <w:rPr>
          <w:szCs w:val="26"/>
          <w:lang w:val="en-US"/>
        </w:rPr>
        <w:t>,</w:t>
      </w:r>
      <w:r w:rsidR="00E9254F" w:rsidRPr="00C73FA8">
        <w:rPr>
          <w:szCs w:val="26"/>
          <w:lang w:val="en-US"/>
        </w:rPr>
        <w:t xml:space="preserve"> el I</w:t>
      </w:r>
      <w:r w:rsidR="00E9254F" w:rsidRPr="00C73FA8">
        <w:rPr>
          <w:szCs w:val="26"/>
          <w:lang w:val="en-US"/>
        </w:rPr>
        <w:t>n</w:t>
      </w:r>
      <w:r w:rsidR="00E9254F" w:rsidRPr="00C73FA8">
        <w:rPr>
          <w:szCs w:val="26"/>
          <w:lang w:val="en-US"/>
        </w:rPr>
        <w:t>stitute of SmartCities (ISC), el Institute for Advanced Materials (INAMAT), el Institute for Advanced Research in Business in Economics (INARBE) y</w:t>
      </w:r>
      <w:r w:rsidR="00296CA9">
        <w:rPr>
          <w:szCs w:val="26"/>
          <w:lang w:val="en-US"/>
        </w:rPr>
        <w:t xml:space="preserve"> el</w:t>
      </w:r>
      <w:r w:rsidR="00E9254F" w:rsidRPr="00C73FA8">
        <w:rPr>
          <w:szCs w:val="26"/>
          <w:lang w:val="en-US"/>
        </w:rPr>
        <w:t xml:space="preserve"> Inst</w:t>
      </w:r>
      <w:r w:rsidR="00E9254F" w:rsidRPr="00C73FA8">
        <w:rPr>
          <w:szCs w:val="26"/>
          <w:lang w:val="en-US"/>
        </w:rPr>
        <w:t>i</w:t>
      </w:r>
      <w:r w:rsidR="00E9254F" w:rsidRPr="00C73FA8">
        <w:rPr>
          <w:szCs w:val="26"/>
          <w:lang w:val="en-US"/>
        </w:rPr>
        <w:t>tute on Innovation &amp; Sustainable Development in Food Chain (ISFOOD).</w:t>
      </w:r>
    </w:p>
    <w:p w:rsidR="00E9254F" w:rsidRPr="00E9254F" w:rsidRDefault="008167B5" w:rsidP="00E9254F">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Un</w:t>
      </w:r>
      <w:r w:rsidR="00E9254F" w:rsidRPr="00E9254F">
        <w:rPr>
          <w:szCs w:val="26"/>
        </w:rPr>
        <w:t xml:space="preserve"> Centro I+D Electrónica y Comunicación, Jerónimo de Ayanz.</w:t>
      </w:r>
    </w:p>
    <w:p w:rsidR="00E9254F" w:rsidRPr="008167B5" w:rsidRDefault="00E9254F" w:rsidP="008167B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E9254F">
        <w:rPr>
          <w:szCs w:val="26"/>
        </w:rPr>
        <w:t>1</w:t>
      </w:r>
      <w:r w:rsidR="008021BD">
        <w:rPr>
          <w:szCs w:val="26"/>
        </w:rPr>
        <w:t>0</w:t>
      </w:r>
      <w:r w:rsidR="007B056C">
        <w:rPr>
          <w:szCs w:val="26"/>
        </w:rPr>
        <w:t xml:space="preserve"> Cátedras: </w:t>
      </w:r>
      <w:r w:rsidRPr="00E9254F">
        <w:rPr>
          <w:szCs w:val="26"/>
        </w:rPr>
        <w:t>Cátedra para la I</w:t>
      </w:r>
      <w:r w:rsidR="007B056C">
        <w:rPr>
          <w:szCs w:val="26"/>
        </w:rPr>
        <w:t>gualdad y la Integración Social</w:t>
      </w:r>
      <w:r w:rsidRPr="00E9254F">
        <w:rPr>
          <w:szCs w:val="26"/>
        </w:rPr>
        <w:t xml:space="preserve"> (CIPARAIIS), </w:t>
      </w:r>
      <w:r w:rsidRPr="008167B5">
        <w:rPr>
          <w:szCs w:val="26"/>
        </w:rPr>
        <w:t xml:space="preserve">Cátedra de Energías Renovables, Cátedra Unesco de Ciudadanía, Convivencia </w:t>
      </w:r>
      <w:r w:rsidR="00693CDE">
        <w:rPr>
          <w:szCs w:val="26"/>
        </w:rPr>
        <w:t>y</w:t>
      </w:r>
      <w:r w:rsidRPr="008167B5">
        <w:rPr>
          <w:szCs w:val="26"/>
        </w:rPr>
        <w:t xml:space="preserve"> Pluralismo, Cátedra de Liderazgo, Estrategia y Empresa, Cátedra del Patrimonio Inmaterial de Navarra, </w:t>
      </w:r>
      <w:r w:rsidR="007B056C">
        <w:rPr>
          <w:szCs w:val="26"/>
        </w:rPr>
        <w:t xml:space="preserve">Cátedra de grupo AN, </w:t>
      </w:r>
      <w:r w:rsidRPr="008167B5">
        <w:rPr>
          <w:szCs w:val="26"/>
        </w:rPr>
        <w:t xml:space="preserve">Cátedra Mutua Navarra, Cátedra </w:t>
      </w:r>
      <w:proofErr w:type="spellStart"/>
      <w:r w:rsidRPr="008167B5">
        <w:rPr>
          <w:szCs w:val="26"/>
        </w:rPr>
        <w:t>ADItech</w:t>
      </w:r>
      <w:proofErr w:type="spellEnd"/>
      <w:r w:rsidR="007B056C">
        <w:rPr>
          <w:szCs w:val="26"/>
        </w:rPr>
        <w:t xml:space="preserve">, </w:t>
      </w:r>
      <w:r w:rsidRPr="008167B5">
        <w:rPr>
          <w:szCs w:val="26"/>
        </w:rPr>
        <w:t>Cátedra Parlamento Navarra de Opinión Pública e Innovación Social y Cátedra Industria 4.0 Colegio de graduados e Ingenieros Técnicos Industriales de Navarra</w:t>
      </w:r>
      <w:r w:rsidR="00C73FA8" w:rsidRPr="00C85ED0">
        <w:rPr>
          <w:szCs w:val="26"/>
        </w:rPr>
        <w:t>.</w:t>
      </w:r>
    </w:p>
    <w:p w:rsidR="00E9254F" w:rsidRPr="00E9254F" w:rsidRDefault="008167B5" w:rsidP="005A63A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rPr>
          <w:szCs w:val="26"/>
        </w:rPr>
        <w:t xml:space="preserve">Un </w:t>
      </w:r>
      <w:r w:rsidR="00E9254F" w:rsidRPr="00E9254F">
        <w:rPr>
          <w:szCs w:val="26"/>
        </w:rPr>
        <w:t xml:space="preserve"> Centro Superior de Innovación Educativa.</w:t>
      </w:r>
    </w:p>
    <w:p w:rsidR="006B4205" w:rsidRDefault="006B4205" w:rsidP="005A63AB">
      <w:pPr>
        <w:pStyle w:val="atitulo3"/>
      </w:pPr>
      <w:r w:rsidRPr="004D4A6D">
        <w:t xml:space="preserve">Estructura </w:t>
      </w:r>
      <w:r>
        <w:t>administrativa</w:t>
      </w:r>
    </w:p>
    <w:p w:rsidR="00C35FE9" w:rsidRDefault="00C35FE9" w:rsidP="005A63AB">
      <w:pPr>
        <w:pStyle w:val="texto"/>
        <w:spacing w:before="240" w:after="240"/>
      </w:pPr>
      <w:r>
        <w:t>Para la gesti</w:t>
      </w:r>
      <w:r w:rsidR="00D528F9">
        <w:t xml:space="preserve">ón de su actividad, la </w:t>
      </w:r>
      <w:r w:rsidR="00A32A9C">
        <w:t>Universidad</w:t>
      </w:r>
      <w:r w:rsidR="00D528F9">
        <w:t xml:space="preserve"> se estructura en servicios</w:t>
      </w:r>
      <w:r w:rsidR="000446DB">
        <w:t xml:space="preserve"> y </w:t>
      </w:r>
      <w:r w:rsidR="00D528F9">
        <w:t xml:space="preserve">unidades que dependen </w:t>
      </w:r>
      <w:r w:rsidR="00817CF0">
        <w:t>d</w:t>
      </w:r>
      <w:r w:rsidR="00D528F9">
        <w:t xml:space="preserve">el Rector, </w:t>
      </w:r>
      <w:r w:rsidR="00817CF0">
        <w:t xml:space="preserve">de </w:t>
      </w:r>
      <w:r w:rsidR="00D528F9">
        <w:t xml:space="preserve">Vicerrectores/Secretaría General y </w:t>
      </w:r>
      <w:r w:rsidR="00817CF0">
        <w:t xml:space="preserve">del </w:t>
      </w:r>
      <w:r w:rsidR="00D528F9">
        <w:t>G</w:t>
      </w:r>
      <w:r w:rsidR="00D528F9">
        <w:t>e</w:t>
      </w:r>
      <w:r w:rsidR="00D528F9">
        <w:t>rente/Vicegerente de Asuntos Económicos.</w:t>
      </w:r>
    </w:p>
    <w:p w:rsidR="00D528F9" w:rsidRPr="005A63AB" w:rsidRDefault="00D528F9" w:rsidP="005A63AB">
      <w:pPr>
        <w:pStyle w:val="atitulo3"/>
      </w:pPr>
      <w:r w:rsidRPr="005A63AB">
        <w:t>Entidades vinculadas</w:t>
      </w:r>
    </w:p>
    <w:p w:rsidR="00D528F9" w:rsidRPr="00FF34CB" w:rsidRDefault="00D528F9" w:rsidP="00B45A13">
      <w:pPr>
        <w:pStyle w:val="texto"/>
        <w:tabs>
          <w:tab w:val="clear" w:pos="2835"/>
          <w:tab w:val="clear" w:pos="3969"/>
          <w:tab w:val="clear" w:pos="5103"/>
          <w:tab w:val="clear" w:pos="6237"/>
          <w:tab w:val="clear" w:pos="7371"/>
        </w:tabs>
        <w:spacing w:before="240"/>
        <w:rPr>
          <w:rFonts w:ascii="Times New (W1)" w:hAnsi="Times New (W1)"/>
          <w:szCs w:val="26"/>
        </w:rPr>
      </w:pPr>
      <w:r w:rsidRPr="00FF34CB">
        <w:rPr>
          <w:rFonts w:ascii="Times New (W1)" w:hAnsi="Times New (W1)"/>
          <w:szCs w:val="26"/>
        </w:rPr>
        <w:t xml:space="preserve">La Fundación Universidad-Sociedad fue creada por Acuerdo de la Junta de Gobierno de 20 de diciembre de 1996, </w:t>
      </w:r>
      <w:r w:rsidR="00C302B7" w:rsidRPr="00FF34CB">
        <w:rPr>
          <w:rFonts w:ascii="Times New (W1)" w:hAnsi="Times New (W1)"/>
          <w:szCs w:val="26"/>
        </w:rPr>
        <w:t xml:space="preserve">con una aportación de 24.040 euros, </w:t>
      </w:r>
      <w:r w:rsidRPr="00FF34CB">
        <w:rPr>
          <w:rFonts w:ascii="Times New (W1)" w:hAnsi="Times New (W1)"/>
          <w:szCs w:val="26"/>
        </w:rPr>
        <w:t xml:space="preserve">con el objeto fundacional de fomentar el diálogo y canalizar la cooperación entre la </w:t>
      </w:r>
      <w:r w:rsidR="00A32A9C" w:rsidRPr="00FF34CB">
        <w:rPr>
          <w:rFonts w:ascii="Times New (W1)" w:hAnsi="Times New (W1)"/>
          <w:szCs w:val="26"/>
        </w:rPr>
        <w:t>Universidad</w:t>
      </w:r>
      <w:r w:rsidRPr="00FF34CB">
        <w:rPr>
          <w:rFonts w:ascii="Times New (W1)" w:hAnsi="Times New (W1)"/>
          <w:szCs w:val="26"/>
        </w:rPr>
        <w:t xml:space="preserve"> y la sociedad navarra.</w:t>
      </w:r>
    </w:p>
    <w:p w:rsidR="00186F19" w:rsidRPr="00FF34CB" w:rsidRDefault="00186F19" w:rsidP="00FF34CB">
      <w:pPr>
        <w:pStyle w:val="texto"/>
        <w:tabs>
          <w:tab w:val="clear" w:pos="2835"/>
          <w:tab w:val="clear" w:pos="3969"/>
          <w:tab w:val="clear" w:pos="5103"/>
          <w:tab w:val="clear" w:pos="6237"/>
          <w:tab w:val="clear" w:pos="7371"/>
        </w:tabs>
        <w:rPr>
          <w:rFonts w:ascii="Times New (W1)" w:hAnsi="Times New (W1)"/>
          <w:szCs w:val="26"/>
        </w:rPr>
      </w:pPr>
      <w:r w:rsidRPr="00FF34CB">
        <w:rPr>
          <w:rFonts w:ascii="Times New (W1)" w:hAnsi="Times New (W1)"/>
          <w:szCs w:val="26"/>
        </w:rPr>
        <w:t xml:space="preserve">Los órganos de gobierno, dirección y administración de la </w:t>
      </w:r>
      <w:r w:rsidR="00723883">
        <w:rPr>
          <w:rFonts w:ascii="Times New (W1)" w:hAnsi="Times New (W1)"/>
          <w:szCs w:val="26"/>
        </w:rPr>
        <w:t>Fundación</w:t>
      </w:r>
      <w:r w:rsidRPr="00FF34CB">
        <w:rPr>
          <w:rFonts w:ascii="Times New (W1)" w:hAnsi="Times New (W1)"/>
          <w:szCs w:val="26"/>
        </w:rPr>
        <w:t xml:space="preserve"> son </w:t>
      </w:r>
      <w:r w:rsidR="0078311B" w:rsidRPr="00FF34CB">
        <w:rPr>
          <w:rFonts w:ascii="Times New (W1)" w:hAnsi="Times New (W1)"/>
          <w:szCs w:val="26"/>
        </w:rPr>
        <w:t xml:space="preserve">la Junta del Patronato, la Junta Rectora y </w:t>
      </w:r>
      <w:r w:rsidR="00CD01AF" w:rsidRPr="00FF34CB">
        <w:rPr>
          <w:rFonts w:ascii="Times New (W1)" w:hAnsi="Times New (W1)"/>
          <w:szCs w:val="26"/>
        </w:rPr>
        <w:t>la</w:t>
      </w:r>
      <w:r w:rsidR="0078311B" w:rsidRPr="00FF34CB">
        <w:rPr>
          <w:rFonts w:ascii="Times New (W1)" w:hAnsi="Times New (W1)"/>
          <w:szCs w:val="26"/>
        </w:rPr>
        <w:t xml:space="preserve"> Director</w:t>
      </w:r>
      <w:r w:rsidR="00CD01AF" w:rsidRPr="00FF34CB">
        <w:rPr>
          <w:rFonts w:ascii="Times New (W1)" w:hAnsi="Times New (W1)"/>
          <w:szCs w:val="26"/>
        </w:rPr>
        <w:t>a</w:t>
      </w:r>
      <w:r w:rsidR="0078311B" w:rsidRPr="00FF34CB">
        <w:rPr>
          <w:rFonts w:ascii="Times New (W1)" w:hAnsi="Times New (W1)"/>
          <w:szCs w:val="26"/>
        </w:rPr>
        <w:t xml:space="preserve"> Gerente.</w:t>
      </w:r>
    </w:p>
    <w:p w:rsidR="005A63AB" w:rsidRDefault="005A63AB" w:rsidP="00FF34CB">
      <w:pPr>
        <w:pStyle w:val="texto"/>
        <w:tabs>
          <w:tab w:val="clear" w:pos="2835"/>
          <w:tab w:val="clear" w:pos="3969"/>
          <w:tab w:val="clear" w:pos="5103"/>
          <w:tab w:val="clear" w:pos="6237"/>
          <w:tab w:val="clear" w:pos="7371"/>
        </w:tabs>
        <w:rPr>
          <w:rFonts w:ascii="Times New (W1)" w:hAnsi="Times New (W1)"/>
          <w:szCs w:val="26"/>
        </w:rPr>
      </w:pPr>
    </w:p>
    <w:p w:rsidR="00CD01AF" w:rsidRPr="00FF34CB" w:rsidRDefault="00723883" w:rsidP="00FF34CB">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szCs w:val="26"/>
        </w:rPr>
        <w:lastRenderedPageBreak/>
        <w:t>La F</w:t>
      </w:r>
      <w:r w:rsidR="00C302B7" w:rsidRPr="00FF34CB">
        <w:rPr>
          <w:rFonts w:ascii="Times New (W1)" w:hAnsi="Times New (W1)"/>
          <w:szCs w:val="26"/>
        </w:rPr>
        <w:t xml:space="preserve">undación es la única entidad en la que la </w:t>
      </w:r>
      <w:r w:rsidR="00A32A9C" w:rsidRPr="00FF34CB">
        <w:rPr>
          <w:rFonts w:ascii="Times New (W1)" w:hAnsi="Times New (W1)"/>
          <w:szCs w:val="26"/>
        </w:rPr>
        <w:t>Universidad</w:t>
      </w:r>
      <w:r w:rsidR="00C302B7" w:rsidRPr="00FF34CB">
        <w:rPr>
          <w:rFonts w:ascii="Times New (W1)" w:hAnsi="Times New (W1)"/>
          <w:szCs w:val="26"/>
        </w:rPr>
        <w:t xml:space="preserve"> tiene participación mayoritaria.</w:t>
      </w:r>
    </w:p>
    <w:p w:rsidR="00CD01AF" w:rsidRPr="00C179BB" w:rsidRDefault="00CD01AF" w:rsidP="00C179BB">
      <w:pPr>
        <w:pStyle w:val="texto"/>
        <w:tabs>
          <w:tab w:val="clear" w:pos="2835"/>
          <w:tab w:val="clear" w:pos="3969"/>
          <w:tab w:val="clear" w:pos="5103"/>
          <w:tab w:val="clear" w:pos="6237"/>
          <w:tab w:val="clear" w:pos="7371"/>
        </w:tabs>
        <w:spacing w:after="240"/>
        <w:rPr>
          <w:szCs w:val="26"/>
        </w:rPr>
      </w:pPr>
      <w:r w:rsidRPr="00C179BB">
        <w:rPr>
          <w:szCs w:val="26"/>
        </w:rPr>
        <w:t>Además, la universidad participa en las siguientes entidades:</w:t>
      </w:r>
    </w:p>
    <w:tbl>
      <w:tblPr>
        <w:tblW w:w="8868"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936"/>
        <w:gridCol w:w="3220"/>
        <w:gridCol w:w="1164"/>
        <w:gridCol w:w="1548"/>
      </w:tblGrid>
      <w:tr w:rsidR="00B550AE" w:rsidRPr="00317F02" w:rsidTr="00317F02">
        <w:trPr>
          <w:trHeight w:val="277"/>
          <w:jc w:val="center"/>
        </w:trPr>
        <w:tc>
          <w:tcPr>
            <w:tcW w:w="2936" w:type="dxa"/>
            <w:tcBorders>
              <w:top w:val="single" w:sz="4" w:space="0" w:color="auto"/>
              <w:bottom w:val="single" w:sz="4" w:space="0" w:color="auto"/>
            </w:tcBorders>
            <w:shd w:val="clear" w:color="auto" w:fill="A0C3E3" w:themeFill="accent1" w:themeFillTint="99"/>
            <w:noWrap/>
            <w:vAlign w:val="center"/>
          </w:tcPr>
          <w:p w:rsidR="00B550AE" w:rsidRPr="00317F02" w:rsidRDefault="00B550AE" w:rsidP="00723883">
            <w:pPr>
              <w:spacing w:after="0"/>
              <w:ind w:left="-22" w:firstLine="22"/>
              <w:jc w:val="left"/>
              <w:rPr>
                <w:rFonts w:ascii="Arial" w:hAnsi="Arial" w:cs="Arial"/>
                <w:sz w:val="18"/>
                <w:szCs w:val="18"/>
                <w:lang w:val="es-ES" w:eastAsia="es-ES"/>
              </w:rPr>
            </w:pPr>
            <w:r w:rsidRPr="00317F02">
              <w:rPr>
                <w:rFonts w:ascii="Arial" w:hAnsi="Arial" w:cs="Arial"/>
                <w:sz w:val="18"/>
                <w:szCs w:val="18"/>
                <w:lang w:val="es-ES" w:eastAsia="es-ES"/>
              </w:rPr>
              <w:t>Entidad</w:t>
            </w:r>
          </w:p>
        </w:tc>
        <w:tc>
          <w:tcPr>
            <w:tcW w:w="3220" w:type="dxa"/>
            <w:tcBorders>
              <w:top w:val="single" w:sz="4" w:space="0" w:color="auto"/>
              <w:bottom w:val="single" w:sz="4" w:space="0" w:color="auto"/>
            </w:tcBorders>
            <w:shd w:val="clear" w:color="auto" w:fill="A0C3E3" w:themeFill="accent1" w:themeFillTint="99"/>
            <w:vAlign w:val="center"/>
          </w:tcPr>
          <w:p w:rsidR="00B550AE" w:rsidRPr="00317F02" w:rsidRDefault="00B550AE" w:rsidP="00DB72F9">
            <w:pPr>
              <w:spacing w:after="0"/>
              <w:ind w:left="-22" w:right="275" w:firstLine="22"/>
              <w:jc w:val="center"/>
              <w:rPr>
                <w:rFonts w:ascii="Arial" w:hAnsi="Arial" w:cs="Arial"/>
                <w:sz w:val="18"/>
                <w:szCs w:val="18"/>
                <w:lang w:val="es-ES" w:eastAsia="es-ES"/>
              </w:rPr>
            </w:pPr>
            <w:r w:rsidRPr="00317F02">
              <w:rPr>
                <w:rFonts w:ascii="Arial" w:hAnsi="Arial" w:cs="Arial"/>
                <w:sz w:val="18"/>
                <w:szCs w:val="18"/>
                <w:lang w:val="es-ES" w:eastAsia="es-ES"/>
              </w:rPr>
              <w:t>Objeto social</w:t>
            </w:r>
          </w:p>
        </w:tc>
        <w:tc>
          <w:tcPr>
            <w:tcW w:w="1164" w:type="dxa"/>
            <w:tcBorders>
              <w:top w:val="single" w:sz="4" w:space="0" w:color="auto"/>
              <w:bottom w:val="single" w:sz="4" w:space="0" w:color="auto"/>
            </w:tcBorders>
            <w:shd w:val="clear" w:color="auto" w:fill="A0C3E3" w:themeFill="accent1" w:themeFillTint="99"/>
            <w:vAlign w:val="center"/>
          </w:tcPr>
          <w:p w:rsidR="00323ECF" w:rsidRPr="00317F02" w:rsidRDefault="00B550AE" w:rsidP="00723883">
            <w:pPr>
              <w:spacing w:after="0"/>
              <w:ind w:left="-22" w:right="-21" w:firstLine="22"/>
              <w:jc w:val="right"/>
              <w:rPr>
                <w:rFonts w:ascii="Arial" w:hAnsi="Arial" w:cs="Arial"/>
                <w:sz w:val="18"/>
                <w:szCs w:val="18"/>
                <w:lang w:val="es-ES" w:eastAsia="es-ES"/>
              </w:rPr>
            </w:pPr>
            <w:r w:rsidRPr="00317F02">
              <w:rPr>
                <w:rFonts w:ascii="Arial" w:hAnsi="Arial" w:cs="Arial"/>
                <w:sz w:val="18"/>
                <w:szCs w:val="18"/>
                <w:lang w:val="es-ES" w:eastAsia="es-ES"/>
              </w:rPr>
              <w:t xml:space="preserve">Año </w:t>
            </w:r>
          </w:p>
          <w:p w:rsidR="00B550AE" w:rsidRPr="00317F02" w:rsidRDefault="00B550AE" w:rsidP="00723883">
            <w:pPr>
              <w:spacing w:after="0"/>
              <w:ind w:left="-22" w:right="-21" w:firstLine="22"/>
              <w:jc w:val="right"/>
              <w:rPr>
                <w:rFonts w:ascii="Arial" w:hAnsi="Arial" w:cs="Arial"/>
                <w:sz w:val="18"/>
                <w:szCs w:val="18"/>
                <w:lang w:val="es-ES" w:eastAsia="es-ES"/>
              </w:rPr>
            </w:pPr>
            <w:r w:rsidRPr="00317F02">
              <w:rPr>
                <w:rFonts w:ascii="Arial" w:hAnsi="Arial" w:cs="Arial"/>
                <w:sz w:val="18"/>
                <w:szCs w:val="18"/>
                <w:lang w:val="es-ES" w:eastAsia="es-ES"/>
              </w:rPr>
              <w:t>inversión</w:t>
            </w:r>
          </w:p>
        </w:tc>
        <w:tc>
          <w:tcPr>
            <w:tcW w:w="1548" w:type="dxa"/>
            <w:tcBorders>
              <w:top w:val="single" w:sz="4" w:space="0" w:color="auto"/>
              <w:bottom w:val="single" w:sz="4" w:space="0" w:color="auto"/>
            </w:tcBorders>
            <w:shd w:val="clear" w:color="auto" w:fill="A0C3E3" w:themeFill="accent1" w:themeFillTint="99"/>
            <w:noWrap/>
            <w:vAlign w:val="center"/>
          </w:tcPr>
          <w:p w:rsidR="00DA04D0" w:rsidRPr="00317F02" w:rsidRDefault="00B550AE" w:rsidP="00A6669A">
            <w:pPr>
              <w:spacing w:after="0"/>
              <w:ind w:left="-22" w:right="31" w:firstLine="22"/>
              <w:jc w:val="right"/>
              <w:rPr>
                <w:rFonts w:ascii="Arial" w:hAnsi="Arial" w:cs="Arial"/>
                <w:sz w:val="18"/>
                <w:szCs w:val="18"/>
                <w:lang w:val="es-ES" w:eastAsia="es-ES"/>
              </w:rPr>
            </w:pPr>
            <w:r w:rsidRPr="00317F02">
              <w:rPr>
                <w:rFonts w:ascii="Arial" w:hAnsi="Arial" w:cs="Arial"/>
                <w:sz w:val="18"/>
                <w:szCs w:val="18"/>
                <w:lang w:val="es-ES" w:eastAsia="es-ES"/>
              </w:rPr>
              <w:t xml:space="preserve">Importe </w:t>
            </w:r>
          </w:p>
          <w:p w:rsidR="00B550AE" w:rsidRPr="00317F02" w:rsidRDefault="00B550AE" w:rsidP="00A6669A">
            <w:pPr>
              <w:spacing w:after="0"/>
              <w:ind w:left="-22" w:right="31" w:firstLine="22"/>
              <w:jc w:val="right"/>
              <w:rPr>
                <w:rFonts w:ascii="Arial" w:hAnsi="Arial" w:cs="Arial"/>
                <w:sz w:val="18"/>
                <w:szCs w:val="18"/>
                <w:lang w:val="es-ES" w:eastAsia="es-ES"/>
              </w:rPr>
            </w:pPr>
            <w:r w:rsidRPr="00317F02">
              <w:rPr>
                <w:rFonts w:ascii="Arial" w:hAnsi="Arial" w:cs="Arial"/>
                <w:sz w:val="18"/>
                <w:szCs w:val="18"/>
                <w:lang w:val="es-ES" w:eastAsia="es-ES"/>
              </w:rPr>
              <w:t>participación 21.12.2017</w:t>
            </w:r>
          </w:p>
        </w:tc>
      </w:tr>
      <w:tr w:rsidR="00B550AE" w:rsidRPr="00DA04D0" w:rsidTr="00317F02">
        <w:trPr>
          <w:trHeight w:val="277"/>
          <w:jc w:val="center"/>
        </w:trPr>
        <w:tc>
          <w:tcPr>
            <w:tcW w:w="2936" w:type="dxa"/>
            <w:tcBorders>
              <w:top w:val="single" w:sz="4" w:space="0" w:color="auto"/>
              <w:bottom w:val="single" w:sz="4" w:space="0" w:color="auto"/>
            </w:tcBorders>
            <w:shd w:val="clear" w:color="auto" w:fill="auto"/>
            <w:noWrap/>
            <w:vAlign w:val="center"/>
          </w:tcPr>
          <w:p w:rsidR="00B550AE" w:rsidRPr="00DA04D0" w:rsidRDefault="00B550AE" w:rsidP="00723883">
            <w:pPr>
              <w:spacing w:after="0"/>
              <w:ind w:left="-22" w:firstLine="22"/>
              <w:jc w:val="left"/>
              <w:rPr>
                <w:rFonts w:ascii="Arial Narrow" w:hAnsi="Arial Narrow" w:cs="Arial"/>
                <w:sz w:val="18"/>
                <w:szCs w:val="18"/>
                <w:lang w:val="es-ES" w:eastAsia="es-ES"/>
              </w:rPr>
            </w:pPr>
            <w:r w:rsidRPr="00DA04D0">
              <w:rPr>
                <w:rFonts w:ascii="Arial Narrow" w:hAnsi="Arial Narrow" w:cs="Arial"/>
                <w:sz w:val="18"/>
                <w:szCs w:val="18"/>
                <w:lang w:val="es-ES" w:eastAsia="es-ES"/>
              </w:rPr>
              <w:t>Fundación Universidad-Sociedad</w:t>
            </w:r>
          </w:p>
        </w:tc>
        <w:tc>
          <w:tcPr>
            <w:tcW w:w="3220" w:type="dxa"/>
            <w:tcBorders>
              <w:top w:val="single" w:sz="4" w:space="0" w:color="auto"/>
              <w:bottom w:val="single" w:sz="4" w:space="0" w:color="auto"/>
            </w:tcBorders>
            <w:vAlign w:val="center"/>
          </w:tcPr>
          <w:p w:rsidR="00B550AE" w:rsidRPr="00DA04D0" w:rsidRDefault="0083072D" w:rsidP="0083072D">
            <w:pPr>
              <w:spacing w:after="0"/>
              <w:ind w:left="-22" w:right="275" w:firstLine="22"/>
              <w:jc w:val="left"/>
              <w:rPr>
                <w:rFonts w:ascii="Arial Narrow" w:hAnsi="Arial Narrow" w:cs="Arial"/>
                <w:sz w:val="18"/>
                <w:szCs w:val="18"/>
                <w:lang w:val="es-ES" w:eastAsia="es-ES"/>
              </w:rPr>
            </w:pPr>
            <w:r w:rsidRPr="00DA04D0">
              <w:rPr>
                <w:rFonts w:ascii="Arial Narrow" w:hAnsi="Arial Narrow" w:cs="Arial"/>
                <w:sz w:val="18"/>
                <w:szCs w:val="18"/>
                <w:lang w:val="es-ES" w:eastAsia="es-ES"/>
              </w:rPr>
              <w:t>Cooperación Universidad-Sociedad</w:t>
            </w:r>
          </w:p>
        </w:tc>
        <w:tc>
          <w:tcPr>
            <w:tcW w:w="1164" w:type="dxa"/>
            <w:tcBorders>
              <w:top w:val="single" w:sz="4" w:space="0" w:color="auto"/>
              <w:bottom w:val="single" w:sz="4" w:space="0" w:color="auto"/>
            </w:tcBorders>
            <w:vAlign w:val="center"/>
          </w:tcPr>
          <w:p w:rsidR="00B550AE" w:rsidRPr="00DA04D0" w:rsidRDefault="00EE5362" w:rsidP="00723883">
            <w:pPr>
              <w:spacing w:after="0"/>
              <w:ind w:left="-22" w:right="-21" w:firstLine="22"/>
              <w:jc w:val="right"/>
              <w:rPr>
                <w:rFonts w:ascii="Arial Narrow" w:hAnsi="Arial Narrow" w:cs="Arial"/>
                <w:sz w:val="18"/>
                <w:szCs w:val="18"/>
                <w:lang w:val="es-ES" w:eastAsia="es-ES"/>
              </w:rPr>
            </w:pPr>
            <w:r w:rsidRPr="00DA04D0">
              <w:rPr>
                <w:rFonts w:ascii="Arial Narrow" w:hAnsi="Arial Narrow" w:cs="Arial"/>
                <w:sz w:val="18"/>
                <w:szCs w:val="18"/>
                <w:lang w:val="es-ES" w:eastAsia="es-ES"/>
              </w:rPr>
              <w:t>1997</w:t>
            </w:r>
          </w:p>
        </w:tc>
        <w:tc>
          <w:tcPr>
            <w:tcW w:w="1548" w:type="dxa"/>
            <w:tcBorders>
              <w:top w:val="single" w:sz="4" w:space="0" w:color="auto"/>
              <w:bottom w:val="single" w:sz="4" w:space="0" w:color="auto"/>
            </w:tcBorders>
            <w:shd w:val="clear" w:color="auto" w:fill="auto"/>
            <w:noWrap/>
            <w:vAlign w:val="center"/>
          </w:tcPr>
          <w:p w:rsidR="00B550AE" w:rsidRPr="00DA04D0" w:rsidRDefault="00EE5362" w:rsidP="00A6669A">
            <w:pPr>
              <w:spacing w:after="0"/>
              <w:ind w:left="-22" w:right="31" w:firstLine="22"/>
              <w:jc w:val="right"/>
              <w:rPr>
                <w:rFonts w:ascii="Arial Narrow" w:hAnsi="Arial Narrow" w:cs="Arial"/>
                <w:sz w:val="18"/>
                <w:szCs w:val="18"/>
                <w:lang w:val="es-ES" w:eastAsia="es-ES"/>
              </w:rPr>
            </w:pPr>
            <w:r w:rsidRPr="00DA04D0">
              <w:rPr>
                <w:rFonts w:ascii="Arial Narrow" w:hAnsi="Arial Narrow" w:cs="Arial"/>
                <w:sz w:val="18"/>
                <w:szCs w:val="18"/>
                <w:lang w:val="es-ES" w:eastAsia="es-ES"/>
              </w:rPr>
              <w:t>24.040</w:t>
            </w:r>
          </w:p>
        </w:tc>
      </w:tr>
      <w:tr w:rsidR="00C179BB" w:rsidRPr="00DA04D0" w:rsidTr="00317F02">
        <w:trPr>
          <w:trHeight w:val="277"/>
          <w:jc w:val="center"/>
        </w:trPr>
        <w:tc>
          <w:tcPr>
            <w:tcW w:w="2936" w:type="dxa"/>
            <w:tcBorders>
              <w:top w:val="single" w:sz="4" w:space="0" w:color="auto"/>
              <w:bottom w:val="single" w:sz="2" w:space="0" w:color="auto"/>
            </w:tcBorders>
            <w:shd w:val="clear" w:color="auto" w:fill="auto"/>
            <w:noWrap/>
            <w:vAlign w:val="center"/>
          </w:tcPr>
          <w:p w:rsidR="00C179BB" w:rsidRPr="00DA04D0" w:rsidRDefault="0083072D" w:rsidP="00723883">
            <w:pPr>
              <w:spacing w:after="0"/>
              <w:ind w:left="-22" w:firstLine="22"/>
              <w:jc w:val="left"/>
              <w:rPr>
                <w:rFonts w:ascii="Arial Narrow" w:hAnsi="Arial Narrow" w:cs="Arial"/>
                <w:sz w:val="18"/>
                <w:szCs w:val="18"/>
                <w:lang w:val="en-US" w:eastAsia="es-ES"/>
              </w:rPr>
            </w:pPr>
            <w:r w:rsidRPr="00DA04D0">
              <w:rPr>
                <w:rFonts w:ascii="Arial Narrow" w:hAnsi="Arial Narrow" w:cs="Arial"/>
                <w:sz w:val="18"/>
                <w:szCs w:val="18"/>
                <w:lang w:val="en-US" w:eastAsia="es-ES"/>
              </w:rPr>
              <w:t>Start Up Capital Navarra, S.A.</w:t>
            </w:r>
          </w:p>
        </w:tc>
        <w:tc>
          <w:tcPr>
            <w:tcW w:w="3220" w:type="dxa"/>
            <w:tcBorders>
              <w:top w:val="single" w:sz="4" w:space="0" w:color="auto"/>
              <w:bottom w:val="single" w:sz="2" w:space="0" w:color="auto"/>
            </w:tcBorders>
            <w:vAlign w:val="center"/>
          </w:tcPr>
          <w:p w:rsidR="00C179BB" w:rsidRPr="00DA04D0" w:rsidRDefault="0083072D" w:rsidP="0083072D">
            <w:pPr>
              <w:spacing w:after="0"/>
              <w:ind w:left="-22" w:right="275" w:firstLine="22"/>
              <w:jc w:val="left"/>
              <w:rPr>
                <w:rFonts w:ascii="Arial Narrow" w:hAnsi="Arial Narrow" w:cs="Arial"/>
                <w:sz w:val="18"/>
                <w:szCs w:val="18"/>
                <w:lang w:val="en-US" w:eastAsia="es-ES"/>
              </w:rPr>
            </w:pPr>
            <w:r w:rsidRPr="00DA04D0">
              <w:rPr>
                <w:rFonts w:ascii="Arial Narrow" w:hAnsi="Arial Narrow" w:cs="Arial"/>
                <w:sz w:val="18"/>
                <w:szCs w:val="18"/>
                <w:lang w:val="en-US" w:eastAsia="es-ES"/>
              </w:rPr>
              <w:t>Fomento de empresas</w:t>
            </w:r>
          </w:p>
        </w:tc>
        <w:tc>
          <w:tcPr>
            <w:tcW w:w="1164" w:type="dxa"/>
            <w:tcBorders>
              <w:top w:val="single" w:sz="4" w:space="0" w:color="auto"/>
              <w:bottom w:val="single" w:sz="2" w:space="0" w:color="auto"/>
            </w:tcBorders>
            <w:vAlign w:val="center"/>
          </w:tcPr>
          <w:p w:rsidR="00C179BB" w:rsidRPr="00DA04D0" w:rsidRDefault="00EE5362" w:rsidP="00723883">
            <w:pPr>
              <w:spacing w:after="0"/>
              <w:ind w:left="-22" w:right="-21" w:firstLine="22"/>
              <w:jc w:val="right"/>
              <w:rPr>
                <w:rFonts w:ascii="Arial Narrow" w:hAnsi="Arial Narrow" w:cs="Arial"/>
                <w:sz w:val="18"/>
                <w:szCs w:val="18"/>
                <w:lang w:val="es-ES" w:eastAsia="es-ES"/>
              </w:rPr>
            </w:pPr>
            <w:r w:rsidRPr="00DA04D0">
              <w:rPr>
                <w:rFonts w:ascii="Arial Narrow" w:hAnsi="Arial Narrow" w:cs="Arial"/>
                <w:sz w:val="18"/>
                <w:szCs w:val="18"/>
                <w:lang w:val="es-ES" w:eastAsia="es-ES"/>
              </w:rPr>
              <w:t>2000 y 2017</w:t>
            </w:r>
          </w:p>
        </w:tc>
        <w:tc>
          <w:tcPr>
            <w:tcW w:w="1548" w:type="dxa"/>
            <w:tcBorders>
              <w:top w:val="single" w:sz="4" w:space="0" w:color="auto"/>
              <w:bottom w:val="single" w:sz="2" w:space="0" w:color="auto"/>
            </w:tcBorders>
            <w:shd w:val="clear" w:color="auto" w:fill="auto"/>
            <w:noWrap/>
            <w:vAlign w:val="center"/>
          </w:tcPr>
          <w:p w:rsidR="00C179BB" w:rsidRPr="00DA04D0" w:rsidRDefault="00EE5362" w:rsidP="005B001B">
            <w:pPr>
              <w:spacing w:after="0"/>
              <w:ind w:left="-22" w:right="31" w:firstLine="22"/>
              <w:jc w:val="right"/>
              <w:rPr>
                <w:rFonts w:ascii="Arial Narrow" w:hAnsi="Arial Narrow" w:cs="Arial"/>
                <w:sz w:val="18"/>
                <w:szCs w:val="18"/>
                <w:lang w:val="es-ES" w:eastAsia="es-ES"/>
              </w:rPr>
            </w:pPr>
            <w:r w:rsidRPr="00DA04D0">
              <w:rPr>
                <w:rFonts w:ascii="Arial Narrow" w:hAnsi="Arial Narrow" w:cs="Arial"/>
                <w:sz w:val="18"/>
                <w:szCs w:val="18"/>
                <w:lang w:val="es-ES" w:eastAsia="es-ES"/>
              </w:rPr>
              <w:t>34.59</w:t>
            </w:r>
            <w:r w:rsidR="005B001B">
              <w:rPr>
                <w:rFonts w:ascii="Arial Narrow" w:hAnsi="Arial Narrow" w:cs="Arial"/>
                <w:sz w:val="18"/>
                <w:szCs w:val="18"/>
                <w:lang w:val="es-ES" w:eastAsia="es-ES"/>
              </w:rPr>
              <w:t>5</w:t>
            </w:r>
          </w:p>
        </w:tc>
      </w:tr>
      <w:tr w:rsidR="00C179BB" w:rsidRPr="00DA04D0" w:rsidTr="00317F02">
        <w:trPr>
          <w:trHeight w:val="277"/>
          <w:jc w:val="center"/>
        </w:trPr>
        <w:tc>
          <w:tcPr>
            <w:tcW w:w="2936" w:type="dxa"/>
            <w:tcBorders>
              <w:top w:val="single" w:sz="2" w:space="0" w:color="auto"/>
              <w:bottom w:val="single" w:sz="2" w:space="0" w:color="auto"/>
            </w:tcBorders>
            <w:shd w:val="clear" w:color="auto" w:fill="auto"/>
            <w:noWrap/>
            <w:vAlign w:val="center"/>
          </w:tcPr>
          <w:p w:rsidR="00C179BB" w:rsidRPr="00DA04D0" w:rsidRDefault="0083072D" w:rsidP="00723883">
            <w:pPr>
              <w:spacing w:after="0"/>
              <w:ind w:left="-22" w:firstLine="22"/>
              <w:jc w:val="left"/>
              <w:rPr>
                <w:rFonts w:ascii="Arial Narrow" w:hAnsi="Arial Narrow" w:cs="Arial"/>
                <w:sz w:val="18"/>
                <w:szCs w:val="18"/>
                <w:lang w:val="es-ES" w:eastAsia="es-ES"/>
              </w:rPr>
            </w:pPr>
            <w:r w:rsidRPr="00DA04D0">
              <w:rPr>
                <w:rFonts w:ascii="Arial Narrow" w:hAnsi="Arial Narrow" w:cs="Arial"/>
                <w:sz w:val="18"/>
                <w:szCs w:val="18"/>
                <w:lang w:val="es-ES" w:eastAsia="es-ES"/>
              </w:rPr>
              <w:t>Portal Universia, S.A.</w:t>
            </w:r>
          </w:p>
        </w:tc>
        <w:tc>
          <w:tcPr>
            <w:tcW w:w="3220" w:type="dxa"/>
            <w:tcBorders>
              <w:top w:val="single" w:sz="2" w:space="0" w:color="auto"/>
              <w:bottom w:val="single" w:sz="2" w:space="0" w:color="auto"/>
            </w:tcBorders>
            <w:vAlign w:val="center"/>
          </w:tcPr>
          <w:p w:rsidR="00C179BB" w:rsidRPr="00DA04D0" w:rsidRDefault="0083072D" w:rsidP="0083072D">
            <w:pPr>
              <w:spacing w:after="0"/>
              <w:ind w:left="-22" w:right="275" w:firstLine="22"/>
              <w:jc w:val="left"/>
              <w:rPr>
                <w:rFonts w:ascii="Arial Narrow" w:hAnsi="Arial Narrow" w:cs="Arial"/>
                <w:sz w:val="18"/>
                <w:szCs w:val="18"/>
                <w:lang w:val="es-ES" w:eastAsia="es-ES"/>
              </w:rPr>
            </w:pPr>
            <w:r w:rsidRPr="00DA04D0">
              <w:rPr>
                <w:rFonts w:ascii="Arial Narrow" w:hAnsi="Arial Narrow" w:cs="Arial"/>
                <w:sz w:val="18"/>
                <w:szCs w:val="18"/>
                <w:lang w:val="es-ES" w:eastAsia="es-ES"/>
              </w:rPr>
              <w:t>Nuevas tecnologías</w:t>
            </w:r>
          </w:p>
        </w:tc>
        <w:tc>
          <w:tcPr>
            <w:tcW w:w="1164" w:type="dxa"/>
            <w:tcBorders>
              <w:top w:val="single" w:sz="2" w:space="0" w:color="auto"/>
              <w:bottom w:val="single" w:sz="2" w:space="0" w:color="auto"/>
            </w:tcBorders>
            <w:vAlign w:val="center"/>
          </w:tcPr>
          <w:p w:rsidR="00C179BB" w:rsidRPr="00DA04D0" w:rsidRDefault="00EE5362" w:rsidP="00723883">
            <w:pPr>
              <w:spacing w:after="0"/>
              <w:ind w:left="-22" w:right="-21" w:firstLine="22"/>
              <w:jc w:val="right"/>
              <w:rPr>
                <w:rFonts w:ascii="Arial Narrow" w:hAnsi="Arial Narrow" w:cs="Arial"/>
                <w:sz w:val="18"/>
                <w:szCs w:val="18"/>
                <w:lang w:val="es-ES" w:eastAsia="es-ES"/>
              </w:rPr>
            </w:pPr>
            <w:r w:rsidRPr="00DA04D0">
              <w:rPr>
                <w:rFonts w:ascii="Arial Narrow" w:hAnsi="Arial Narrow" w:cs="Arial"/>
                <w:sz w:val="18"/>
                <w:szCs w:val="18"/>
                <w:lang w:val="es-ES" w:eastAsia="es-ES"/>
              </w:rPr>
              <w:t>2001</w:t>
            </w:r>
          </w:p>
        </w:tc>
        <w:tc>
          <w:tcPr>
            <w:tcW w:w="1548" w:type="dxa"/>
            <w:tcBorders>
              <w:top w:val="single" w:sz="2" w:space="0" w:color="auto"/>
              <w:bottom w:val="single" w:sz="2" w:space="0" w:color="auto"/>
            </w:tcBorders>
            <w:shd w:val="clear" w:color="auto" w:fill="auto"/>
            <w:noWrap/>
            <w:vAlign w:val="center"/>
          </w:tcPr>
          <w:p w:rsidR="00C179BB" w:rsidRPr="00DA04D0" w:rsidRDefault="00EE5362" w:rsidP="00A6669A">
            <w:pPr>
              <w:spacing w:after="0"/>
              <w:ind w:left="-22" w:right="31" w:firstLine="22"/>
              <w:jc w:val="right"/>
              <w:rPr>
                <w:rFonts w:ascii="Arial Narrow" w:hAnsi="Arial Narrow" w:cs="Arial"/>
                <w:sz w:val="18"/>
                <w:szCs w:val="18"/>
                <w:lang w:val="es-ES" w:eastAsia="es-ES"/>
              </w:rPr>
            </w:pPr>
            <w:r w:rsidRPr="00DA04D0">
              <w:rPr>
                <w:rFonts w:ascii="Arial Narrow" w:hAnsi="Arial Narrow" w:cs="Arial"/>
                <w:sz w:val="18"/>
                <w:szCs w:val="18"/>
                <w:lang w:val="es-ES" w:eastAsia="es-ES"/>
              </w:rPr>
              <w:t>13.465</w:t>
            </w:r>
          </w:p>
        </w:tc>
      </w:tr>
      <w:tr w:rsidR="00EE5362" w:rsidRPr="00DA04D0" w:rsidTr="00317F02">
        <w:trPr>
          <w:trHeight w:val="277"/>
          <w:jc w:val="center"/>
        </w:trPr>
        <w:tc>
          <w:tcPr>
            <w:tcW w:w="2936" w:type="dxa"/>
            <w:tcBorders>
              <w:top w:val="single" w:sz="2" w:space="0" w:color="auto"/>
              <w:bottom w:val="single" w:sz="2" w:space="0" w:color="auto"/>
            </w:tcBorders>
            <w:shd w:val="clear" w:color="auto" w:fill="auto"/>
            <w:noWrap/>
            <w:vAlign w:val="center"/>
          </w:tcPr>
          <w:p w:rsidR="00EE5362" w:rsidRPr="00DA04D0" w:rsidRDefault="0083072D" w:rsidP="00723883">
            <w:pPr>
              <w:spacing w:after="0"/>
              <w:ind w:left="-22" w:firstLine="22"/>
              <w:jc w:val="left"/>
              <w:rPr>
                <w:rFonts w:ascii="Arial Narrow" w:hAnsi="Arial Narrow" w:cs="Arial"/>
                <w:sz w:val="18"/>
                <w:szCs w:val="18"/>
                <w:lang w:val="es-ES" w:eastAsia="es-ES"/>
              </w:rPr>
            </w:pPr>
            <w:r w:rsidRPr="00DA04D0">
              <w:rPr>
                <w:rFonts w:ascii="Arial Narrow" w:hAnsi="Arial Narrow" w:cs="Arial"/>
                <w:sz w:val="18"/>
                <w:szCs w:val="18"/>
                <w:lang w:val="es-ES" w:eastAsia="es-ES"/>
              </w:rPr>
              <w:t>Sigma Gestión Universitaria, A.I.E.</w:t>
            </w:r>
          </w:p>
        </w:tc>
        <w:tc>
          <w:tcPr>
            <w:tcW w:w="3220" w:type="dxa"/>
            <w:tcBorders>
              <w:top w:val="single" w:sz="2" w:space="0" w:color="auto"/>
              <w:bottom w:val="single" w:sz="2" w:space="0" w:color="auto"/>
            </w:tcBorders>
            <w:vAlign w:val="center"/>
          </w:tcPr>
          <w:p w:rsidR="00EE5362" w:rsidRPr="00DA04D0" w:rsidRDefault="0083072D" w:rsidP="0083072D">
            <w:pPr>
              <w:spacing w:after="0"/>
              <w:ind w:left="-22" w:right="275" w:firstLine="22"/>
              <w:jc w:val="left"/>
              <w:rPr>
                <w:rFonts w:ascii="Arial Narrow" w:hAnsi="Arial Narrow" w:cs="Arial"/>
                <w:sz w:val="18"/>
                <w:szCs w:val="18"/>
                <w:lang w:val="es-ES" w:eastAsia="es-ES"/>
              </w:rPr>
            </w:pPr>
            <w:r w:rsidRPr="00DA04D0">
              <w:rPr>
                <w:rFonts w:ascii="Arial Narrow" w:hAnsi="Arial Narrow" w:cs="Arial"/>
                <w:sz w:val="18"/>
                <w:szCs w:val="18"/>
                <w:lang w:val="es-ES" w:eastAsia="es-ES"/>
              </w:rPr>
              <w:t>Herramientas informáticas para  la gestión administrativa</w:t>
            </w:r>
          </w:p>
        </w:tc>
        <w:tc>
          <w:tcPr>
            <w:tcW w:w="1164" w:type="dxa"/>
            <w:tcBorders>
              <w:top w:val="single" w:sz="2" w:space="0" w:color="auto"/>
              <w:bottom w:val="single" w:sz="2" w:space="0" w:color="auto"/>
            </w:tcBorders>
            <w:vAlign w:val="center"/>
          </w:tcPr>
          <w:p w:rsidR="00EE5362" w:rsidRPr="00DA04D0" w:rsidRDefault="00EE5362" w:rsidP="00723883">
            <w:pPr>
              <w:spacing w:after="0"/>
              <w:ind w:left="-22" w:right="-21" w:firstLine="22"/>
              <w:jc w:val="right"/>
              <w:rPr>
                <w:rFonts w:ascii="Arial Narrow" w:hAnsi="Arial Narrow" w:cs="Arial"/>
                <w:sz w:val="18"/>
                <w:szCs w:val="18"/>
                <w:lang w:val="es-ES" w:eastAsia="es-ES"/>
              </w:rPr>
            </w:pPr>
            <w:r w:rsidRPr="00DA04D0">
              <w:rPr>
                <w:rFonts w:ascii="Arial Narrow" w:hAnsi="Arial Narrow" w:cs="Arial"/>
                <w:sz w:val="18"/>
                <w:szCs w:val="18"/>
                <w:lang w:val="es-ES" w:eastAsia="es-ES"/>
              </w:rPr>
              <w:t>1996 y 2002</w:t>
            </w:r>
          </w:p>
        </w:tc>
        <w:tc>
          <w:tcPr>
            <w:tcW w:w="1548" w:type="dxa"/>
            <w:tcBorders>
              <w:top w:val="single" w:sz="2" w:space="0" w:color="auto"/>
              <w:bottom w:val="single" w:sz="2" w:space="0" w:color="auto"/>
            </w:tcBorders>
            <w:shd w:val="clear" w:color="auto" w:fill="auto"/>
            <w:noWrap/>
            <w:vAlign w:val="center"/>
          </w:tcPr>
          <w:p w:rsidR="00EE5362" w:rsidRPr="00DA04D0" w:rsidRDefault="00EE5362" w:rsidP="00A6669A">
            <w:pPr>
              <w:spacing w:after="0"/>
              <w:ind w:left="-22" w:right="31" w:firstLine="22"/>
              <w:jc w:val="right"/>
              <w:rPr>
                <w:rFonts w:ascii="Arial Narrow" w:hAnsi="Arial Narrow" w:cs="Arial"/>
                <w:sz w:val="18"/>
                <w:szCs w:val="18"/>
                <w:lang w:val="es-ES" w:eastAsia="es-ES"/>
              </w:rPr>
            </w:pPr>
            <w:r w:rsidRPr="00DA04D0">
              <w:rPr>
                <w:rFonts w:ascii="Arial Narrow" w:hAnsi="Arial Narrow" w:cs="Arial"/>
                <w:sz w:val="18"/>
                <w:szCs w:val="18"/>
                <w:lang w:val="es-ES" w:eastAsia="es-ES"/>
              </w:rPr>
              <w:t>200.137</w:t>
            </w:r>
          </w:p>
        </w:tc>
      </w:tr>
      <w:tr w:rsidR="00C179BB" w:rsidRPr="00DA04D0" w:rsidTr="00317F02">
        <w:trPr>
          <w:trHeight w:val="277"/>
          <w:jc w:val="center"/>
        </w:trPr>
        <w:tc>
          <w:tcPr>
            <w:tcW w:w="2936" w:type="dxa"/>
            <w:tcBorders>
              <w:top w:val="single" w:sz="2" w:space="0" w:color="auto"/>
              <w:bottom w:val="single" w:sz="2" w:space="0" w:color="auto"/>
            </w:tcBorders>
            <w:shd w:val="clear" w:color="auto" w:fill="auto"/>
            <w:noWrap/>
            <w:vAlign w:val="center"/>
          </w:tcPr>
          <w:p w:rsidR="00C179BB" w:rsidRPr="00DA04D0" w:rsidRDefault="0083072D" w:rsidP="00723883">
            <w:pPr>
              <w:spacing w:after="0"/>
              <w:ind w:left="-22" w:firstLine="22"/>
              <w:jc w:val="left"/>
              <w:rPr>
                <w:rFonts w:ascii="Arial Narrow" w:hAnsi="Arial Narrow" w:cs="Arial"/>
                <w:sz w:val="18"/>
                <w:szCs w:val="18"/>
                <w:lang w:val="es-ES" w:eastAsia="es-ES"/>
              </w:rPr>
            </w:pPr>
            <w:r w:rsidRPr="00DA04D0">
              <w:rPr>
                <w:rFonts w:ascii="Arial Narrow" w:hAnsi="Arial Narrow" w:cs="Arial"/>
                <w:sz w:val="18"/>
                <w:szCs w:val="18"/>
                <w:lang w:val="es-ES" w:eastAsia="es-ES"/>
              </w:rPr>
              <w:t>Fundación Amado Alonso</w:t>
            </w:r>
          </w:p>
        </w:tc>
        <w:tc>
          <w:tcPr>
            <w:tcW w:w="3220" w:type="dxa"/>
            <w:tcBorders>
              <w:top w:val="single" w:sz="2" w:space="0" w:color="auto"/>
              <w:bottom w:val="single" w:sz="2" w:space="0" w:color="auto"/>
            </w:tcBorders>
            <w:vAlign w:val="center"/>
          </w:tcPr>
          <w:p w:rsidR="00C179BB" w:rsidRPr="00DA04D0" w:rsidRDefault="0083072D" w:rsidP="0083072D">
            <w:pPr>
              <w:spacing w:after="0"/>
              <w:ind w:left="-22" w:right="275" w:firstLine="22"/>
              <w:jc w:val="left"/>
              <w:rPr>
                <w:rFonts w:ascii="Arial Narrow" w:hAnsi="Arial Narrow" w:cs="Arial"/>
                <w:sz w:val="18"/>
                <w:szCs w:val="18"/>
                <w:lang w:val="es-ES" w:eastAsia="es-ES"/>
              </w:rPr>
            </w:pPr>
            <w:r w:rsidRPr="00DA04D0">
              <w:rPr>
                <w:rFonts w:ascii="Arial Narrow" w:hAnsi="Arial Narrow" w:cs="Arial"/>
                <w:sz w:val="18"/>
                <w:szCs w:val="18"/>
                <w:lang w:val="es-ES" w:eastAsia="es-ES"/>
              </w:rPr>
              <w:t>Divulgar la vida y obra del fundador</w:t>
            </w:r>
          </w:p>
        </w:tc>
        <w:tc>
          <w:tcPr>
            <w:tcW w:w="1164" w:type="dxa"/>
            <w:tcBorders>
              <w:top w:val="single" w:sz="2" w:space="0" w:color="auto"/>
              <w:bottom w:val="single" w:sz="2" w:space="0" w:color="auto"/>
            </w:tcBorders>
            <w:vAlign w:val="center"/>
          </w:tcPr>
          <w:p w:rsidR="00C179BB" w:rsidRPr="00DA04D0" w:rsidRDefault="00A6669A" w:rsidP="00723883">
            <w:pPr>
              <w:spacing w:after="0"/>
              <w:ind w:left="-22" w:right="-21" w:firstLine="22"/>
              <w:jc w:val="right"/>
              <w:rPr>
                <w:rFonts w:ascii="Arial Narrow" w:hAnsi="Arial Narrow" w:cs="Arial"/>
                <w:sz w:val="18"/>
                <w:szCs w:val="18"/>
                <w:lang w:val="es-ES" w:eastAsia="es-ES"/>
              </w:rPr>
            </w:pPr>
            <w:r w:rsidRPr="00DA04D0">
              <w:rPr>
                <w:rFonts w:ascii="Arial Narrow" w:hAnsi="Arial Narrow" w:cs="Arial"/>
                <w:sz w:val="18"/>
                <w:szCs w:val="18"/>
                <w:lang w:val="es-ES" w:eastAsia="es-ES"/>
              </w:rPr>
              <w:t>2001</w:t>
            </w:r>
          </w:p>
        </w:tc>
        <w:tc>
          <w:tcPr>
            <w:tcW w:w="1548" w:type="dxa"/>
            <w:tcBorders>
              <w:top w:val="single" w:sz="2" w:space="0" w:color="auto"/>
              <w:bottom w:val="single" w:sz="2" w:space="0" w:color="auto"/>
            </w:tcBorders>
            <w:shd w:val="clear" w:color="auto" w:fill="auto"/>
            <w:noWrap/>
            <w:vAlign w:val="center"/>
          </w:tcPr>
          <w:p w:rsidR="00C179BB" w:rsidRPr="00DA04D0" w:rsidRDefault="00A6669A" w:rsidP="00A6669A">
            <w:pPr>
              <w:spacing w:after="0"/>
              <w:ind w:left="-22" w:right="31" w:firstLine="22"/>
              <w:jc w:val="right"/>
              <w:rPr>
                <w:rFonts w:ascii="Arial Narrow" w:hAnsi="Arial Narrow" w:cs="Arial"/>
                <w:sz w:val="18"/>
                <w:szCs w:val="18"/>
                <w:lang w:val="es-ES" w:eastAsia="es-ES"/>
              </w:rPr>
            </w:pPr>
            <w:r w:rsidRPr="00DA04D0">
              <w:rPr>
                <w:rFonts w:ascii="Arial Narrow" w:hAnsi="Arial Narrow" w:cs="Arial"/>
                <w:sz w:val="18"/>
                <w:szCs w:val="18"/>
                <w:lang w:val="es-ES" w:eastAsia="es-ES"/>
              </w:rPr>
              <w:t>1.202</w:t>
            </w:r>
          </w:p>
        </w:tc>
      </w:tr>
      <w:tr w:rsidR="00A6669A" w:rsidRPr="00DA04D0" w:rsidTr="00317F02">
        <w:trPr>
          <w:trHeight w:val="277"/>
          <w:jc w:val="center"/>
        </w:trPr>
        <w:tc>
          <w:tcPr>
            <w:tcW w:w="2936" w:type="dxa"/>
            <w:tcBorders>
              <w:top w:val="single" w:sz="2" w:space="0" w:color="auto"/>
              <w:bottom w:val="single" w:sz="2" w:space="0" w:color="auto"/>
            </w:tcBorders>
            <w:shd w:val="clear" w:color="auto" w:fill="auto"/>
            <w:noWrap/>
            <w:vAlign w:val="center"/>
          </w:tcPr>
          <w:p w:rsidR="00A6669A" w:rsidRPr="00DA04D0" w:rsidRDefault="00A6669A" w:rsidP="00723883">
            <w:pPr>
              <w:spacing w:after="0"/>
              <w:ind w:left="-22" w:firstLine="22"/>
              <w:jc w:val="left"/>
              <w:rPr>
                <w:rFonts w:ascii="Arial Narrow" w:hAnsi="Arial Narrow" w:cs="Arial"/>
                <w:sz w:val="18"/>
                <w:szCs w:val="18"/>
                <w:lang w:val="es-ES" w:eastAsia="es-ES"/>
              </w:rPr>
            </w:pPr>
            <w:r w:rsidRPr="00DA04D0">
              <w:rPr>
                <w:rFonts w:ascii="Arial Narrow" w:hAnsi="Arial Narrow" w:cs="Arial"/>
                <w:sz w:val="18"/>
                <w:szCs w:val="18"/>
                <w:lang w:val="es-ES" w:eastAsia="es-ES"/>
              </w:rPr>
              <w:t>Consorcio Campus Iberus</w:t>
            </w:r>
          </w:p>
        </w:tc>
        <w:tc>
          <w:tcPr>
            <w:tcW w:w="3220" w:type="dxa"/>
            <w:tcBorders>
              <w:top w:val="single" w:sz="2" w:space="0" w:color="auto"/>
              <w:bottom w:val="single" w:sz="2" w:space="0" w:color="auto"/>
            </w:tcBorders>
            <w:vAlign w:val="center"/>
          </w:tcPr>
          <w:p w:rsidR="00A6669A" w:rsidRPr="00DA04D0" w:rsidRDefault="00A6669A" w:rsidP="0083072D">
            <w:pPr>
              <w:spacing w:after="0"/>
              <w:ind w:left="-22" w:right="275" w:firstLine="22"/>
              <w:jc w:val="left"/>
              <w:rPr>
                <w:rFonts w:ascii="Arial Narrow" w:hAnsi="Arial Narrow" w:cs="Arial"/>
                <w:sz w:val="18"/>
                <w:szCs w:val="18"/>
                <w:lang w:val="es-ES" w:eastAsia="es-ES"/>
              </w:rPr>
            </w:pPr>
            <w:r w:rsidRPr="00DA04D0">
              <w:rPr>
                <w:rFonts w:ascii="Arial Narrow" w:hAnsi="Arial Narrow" w:cs="Arial"/>
                <w:sz w:val="18"/>
                <w:szCs w:val="18"/>
                <w:lang w:val="es-ES" w:eastAsia="es-ES"/>
              </w:rPr>
              <w:t>Campus de Excelencia Internacional del Valle del Ebro.</w:t>
            </w:r>
          </w:p>
        </w:tc>
        <w:tc>
          <w:tcPr>
            <w:tcW w:w="1164" w:type="dxa"/>
            <w:tcBorders>
              <w:top w:val="single" w:sz="2" w:space="0" w:color="auto"/>
              <w:bottom w:val="single" w:sz="2" w:space="0" w:color="auto"/>
            </w:tcBorders>
            <w:vAlign w:val="center"/>
          </w:tcPr>
          <w:p w:rsidR="00A6669A" w:rsidRPr="00DA04D0" w:rsidRDefault="00A6669A" w:rsidP="001F38E0">
            <w:pPr>
              <w:spacing w:after="0"/>
              <w:ind w:left="-22" w:right="-21" w:firstLine="22"/>
              <w:jc w:val="right"/>
              <w:rPr>
                <w:rFonts w:ascii="Arial Narrow" w:hAnsi="Arial Narrow" w:cs="Arial"/>
                <w:sz w:val="18"/>
                <w:szCs w:val="18"/>
                <w:lang w:val="es-ES" w:eastAsia="es-ES"/>
              </w:rPr>
            </w:pPr>
            <w:r w:rsidRPr="00DA04D0">
              <w:rPr>
                <w:rFonts w:ascii="Arial Narrow" w:hAnsi="Arial Narrow" w:cs="Arial"/>
                <w:sz w:val="18"/>
                <w:szCs w:val="18"/>
                <w:lang w:val="es-ES" w:eastAsia="es-ES"/>
              </w:rPr>
              <w:t>2012</w:t>
            </w:r>
          </w:p>
        </w:tc>
        <w:tc>
          <w:tcPr>
            <w:tcW w:w="1548" w:type="dxa"/>
            <w:tcBorders>
              <w:top w:val="single" w:sz="2" w:space="0" w:color="auto"/>
              <w:bottom w:val="single" w:sz="2" w:space="0" w:color="auto"/>
            </w:tcBorders>
            <w:shd w:val="clear" w:color="auto" w:fill="auto"/>
            <w:noWrap/>
            <w:vAlign w:val="center"/>
          </w:tcPr>
          <w:p w:rsidR="00A6669A" w:rsidRPr="00DA04D0" w:rsidRDefault="00A6669A" w:rsidP="00A6669A">
            <w:pPr>
              <w:spacing w:after="0"/>
              <w:ind w:left="-22" w:right="31" w:firstLine="22"/>
              <w:jc w:val="right"/>
              <w:rPr>
                <w:rFonts w:ascii="Arial Narrow" w:hAnsi="Arial Narrow" w:cs="Arial"/>
                <w:sz w:val="18"/>
                <w:szCs w:val="18"/>
                <w:lang w:val="es-ES" w:eastAsia="es-ES"/>
              </w:rPr>
            </w:pPr>
            <w:r w:rsidRPr="00DA04D0">
              <w:rPr>
                <w:rFonts w:ascii="Arial Narrow" w:hAnsi="Arial Narrow" w:cs="Arial"/>
                <w:sz w:val="18"/>
                <w:szCs w:val="18"/>
                <w:lang w:val="es-ES" w:eastAsia="es-ES"/>
              </w:rPr>
              <w:t>3.000</w:t>
            </w:r>
          </w:p>
        </w:tc>
      </w:tr>
      <w:tr w:rsidR="00A6669A" w:rsidRPr="00DA04D0" w:rsidTr="00317F02">
        <w:trPr>
          <w:trHeight w:val="277"/>
          <w:jc w:val="center"/>
        </w:trPr>
        <w:tc>
          <w:tcPr>
            <w:tcW w:w="2936" w:type="dxa"/>
            <w:tcBorders>
              <w:top w:val="single" w:sz="2" w:space="0" w:color="auto"/>
              <w:bottom w:val="single" w:sz="2" w:space="0" w:color="auto"/>
            </w:tcBorders>
            <w:shd w:val="clear" w:color="auto" w:fill="auto"/>
            <w:noWrap/>
            <w:vAlign w:val="center"/>
          </w:tcPr>
          <w:p w:rsidR="00A6669A" w:rsidRPr="003D5C01" w:rsidRDefault="00A6669A" w:rsidP="00723883">
            <w:pPr>
              <w:spacing w:after="0"/>
              <w:ind w:left="-22" w:firstLine="22"/>
              <w:jc w:val="left"/>
              <w:rPr>
                <w:rFonts w:ascii="Arial Narrow" w:hAnsi="Arial Narrow" w:cs="Arial"/>
                <w:sz w:val="18"/>
                <w:szCs w:val="18"/>
                <w:vertAlign w:val="superscript"/>
                <w:lang w:val="es-ES" w:eastAsia="es-ES"/>
              </w:rPr>
            </w:pPr>
            <w:r w:rsidRPr="00DA04D0">
              <w:rPr>
                <w:rFonts w:ascii="Arial Narrow" w:hAnsi="Arial Narrow" w:cs="Arial"/>
                <w:sz w:val="18"/>
                <w:szCs w:val="18"/>
                <w:lang w:val="es-ES" w:eastAsia="es-ES"/>
              </w:rPr>
              <w:t>Nadetech Innovations S.L.</w:t>
            </w:r>
            <w:r w:rsidR="003D5C01">
              <w:rPr>
                <w:rFonts w:ascii="Arial Narrow" w:hAnsi="Arial Narrow" w:cs="Arial"/>
                <w:sz w:val="18"/>
                <w:szCs w:val="18"/>
                <w:vertAlign w:val="superscript"/>
                <w:lang w:val="es-ES" w:eastAsia="es-ES"/>
              </w:rPr>
              <w:t>(1)</w:t>
            </w:r>
          </w:p>
        </w:tc>
        <w:tc>
          <w:tcPr>
            <w:tcW w:w="3220" w:type="dxa"/>
            <w:tcBorders>
              <w:top w:val="single" w:sz="2" w:space="0" w:color="auto"/>
              <w:bottom w:val="single" w:sz="2" w:space="0" w:color="auto"/>
            </w:tcBorders>
            <w:vAlign w:val="center"/>
          </w:tcPr>
          <w:p w:rsidR="00A6669A" w:rsidRPr="00DA04D0" w:rsidRDefault="00A6669A" w:rsidP="0083072D">
            <w:pPr>
              <w:spacing w:after="0"/>
              <w:ind w:left="-22" w:right="275" w:firstLine="22"/>
              <w:jc w:val="left"/>
              <w:rPr>
                <w:rFonts w:ascii="Arial Narrow" w:hAnsi="Arial Narrow" w:cs="Arial"/>
                <w:sz w:val="18"/>
                <w:szCs w:val="18"/>
                <w:lang w:val="es-ES" w:eastAsia="es-ES"/>
              </w:rPr>
            </w:pPr>
            <w:r w:rsidRPr="00DA04D0">
              <w:rPr>
                <w:rFonts w:ascii="Arial Narrow" w:hAnsi="Arial Narrow" w:cs="Arial"/>
                <w:sz w:val="18"/>
                <w:szCs w:val="18"/>
                <w:lang w:val="es-ES" w:eastAsia="es-ES"/>
              </w:rPr>
              <w:t>Desarrollo de equipamiento de laboratorio</w:t>
            </w:r>
          </w:p>
        </w:tc>
        <w:tc>
          <w:tcPr>
            <w:tcW w:w="1164" w:type="dxa"/>
            <w:tcBorders>
              <w:top w:val="single" w:sz="2" w:space="0" w:color="auto"/>
              <w:bottom w:val="single" w:sz="2" w:space="0" w:color="auto"/>
            </w:tcBorders>
            <w:vAlign w:val="center"/>
          </w:tcPr>
          <w:p w:rsidR="00A6669A" w:rsidRPr="00DA04D0" w:rsidRDefault="00A6669A" w:rsidP="001F38E0">
            <w:pPr>
              <w:spacing w:after="0"/>
              <w:ind w:left="-22" w:firstLine="22"/>
              <w:jc w:val="right"/>
              <w:rPr>
                <w:rFonts w:ascii="Arial Narrow" w:hAnsi="Arial Narrow" w:cs="Arial"/>
                <w:sz w:val="18"/>
                <w:szCs w:val="18"/>
                <w:lang w:val="es-ES" w:eastAsia="es-ES"/>
              </w:rPr>
            </w:pPr>
            <w:r w:rsidRPr="00DA04D0">
              <w:rPr>
                <w:rFonts w:ascii="Arial Narrow" w:hAnsi="Arial Narrow" w:cs="Arial"/>
                <w:sz w:val="18"/>
                <w:szCs w:val="18"/>
                <w:lang w:val="es-ES" w:eastAsia="es-ES"/>
              </w:rPr>
              <w:t>2015</w:t>
            </w:r>
          </w:p>
        </w:tc>
        <w:tc>
          <w:tcPr>
            <w:tcW w:w="1548" w:type="dxa"/>
            <w:tcBorders>
              <w:top w:val="single" w:sz="2" w:space="0" w:color="auto"/>
              <w:bottom w:val="single" w:sz="2" w:space="0" w:color="auto"/>
            </w:tcBorders>
            <w:shd w:val="clear" w:color="auto" w:fill="auto"/>
            <w:noWrap/>
            <w:vAlign w:val="center"/>
          </w:tcPr>
          <w:p w:rsidR="00A6669A" w:rsidRPr="00DA04D0" w:rsidRDefault="00A6669A" w:rsidP="00A6669A">
            <w:pPr>
              <w:spacing w:after="0"/>
              <w:ind w:left="-22" w:right="31" w:firstLine="22"/>
              <w:jc w:val="right"/>
              <w:rPr>
                <w:rFonts w:ascii="Arial Narrow" w:hAnsi="Arial Narrow" w:cs="Arial"/>
                <w:sz w:val="18"/>
                <w:szCs w:val="18"/>
                <w:lang w:val="es-ES" w:eastAsia="es-ES"/>
              </w:rPr>
            </w:pPr>
            <w:r w:rsidRPr="00DA04D0">
              <w:rPr>
                <w:rFonts w:ascii="Arial Narrow" w:hAnsi="Arial Narrow" w:cs="Arial"/>
                <w:sz w:val="18"/>
                <w:szCs w:val="18"/>
                <w:lang w:val="es-ES" w:eastAsia="es-ES"/>
              </w:rPr>
              <w:t>8.000</w:t>
            </w:r>
          </w:p>
        </w:tc>
      </w:tr>
      <w:tr w:rsidR="00A6669A" w:rsidRPr="00DA04D0" w:rsidTr="00317F02">
        <w:trPr>
          <w:trHeight w:val="277"/>
          <w:jc w:val="center"/>
        </w:trPr>
        <w:tc>
          <w:tcPr>
            <w:tcW w:w="2936" w:type="dxa"/>
            <w:tcBorders>
              <w:top w:val="single" w:sz="2" w:space="0" w:color="auto"/>
              <w:bottom w:val="single" w:sz="2" w:space="0" w:color="auto"/>
            </w:tcBorders>
            <w:shd w:val="clear" w:color="auto" w:fill="auto"/>
            <w:noWrap/>
            <w:vAlign w:val="center"/>
          </w:tcPr>
          <w:p w:rsidR="00A6669A" w:rsidRPr="00D34E6E" w:rsidRDefault="00A6669A" w:rsidP="0083072D">
            <w:pPr>
              <w:spacing w:after="0"/>
              <w:ind w:left="-22" w:firstLine="22"/>
              <w:jc w:val="left"/>
              <w:rPr>
                <w:rFonts w:ascii="Arial Narrow" w:hAnsi="Arial Narrow" w:cs="Arial"/>
                <w:sz w:val="18"/>
                <w:szCs w:val="18"/>
                <w:vertAlign w:val="superscript"/>
                <w:lang w:val="en-US" w:eastAsia="es-ES"/>
              </w:rPr>
            </w:pPr>
            <w:r w:rsidRPr="00DA04D0">
              <w:rPr>
                <w:rFonts w:ascii="Arial Narrow" w:hAnsi="Arial Narrow" w:cs="Arial"/>
                <w:sz w:val="18"/>
                <w:szCs w:val="18"/>
                <w:lang w:val="en-US" w:eastAsia="es-ES"/>
              </w:rPr>
              <w:t>Naudit Higt Perfomance Computing and Networking, S.L.</w:t>
            </w:r>
            <w:r w:rsidR="00D34E6E">
              <w:rPr>
                <w:rFonts w:ascii="Arial Narrow" w:hAnsi="Arial Narrow" w:cs="Arial"/>
                <w:sz w:val="18"/>
                <w:szCs w:val="18"/>
                <w:vertAlign w:val="superscript"/>
                <w:lang w:val="en-US" w:eastAsia="es-ES"/>
              </w:rPr>
              <w:t>(1)</w:t>
            </w:r>
          </w:p>
        </w:tc>
        <w:tc>
          <w:tcPr>
            <w:tcW w:w="3220" w:type="dxa"/>
            <w:tcBorders>
              <w:top w:val="single" w:sz="2" w:space="0" w:color="auto"/>
              <w:bottom w:val="single" w:sz="2" w:space="0" w:color="auto"/>
            </w:tcBorders>
            <w:vAlign w:val="center"/>
          </w:tcPr>
          <w:p w:rsidR="00A6669A" w:rsidRPr="00DA04D0" w:rsidRDefault="00A6669A" w:rsidP="0083072D">
            <w:pPr>
              <w:spacing w:after="0"/>
              <w:ind w:left="-22" w:right="275" w:firstLine="22"/>
              <w:jc w:val="left"/>
              <w:rPr>
                <w:rFonts w:ascii="Arial Narrow" w:hAnsi="Arial Narrow" w:cs="Arial"/>
                <w:sz w:val="18"/>
                <w:szCs w:val="18"/>
                <w:lang w:val="es-ES" w:eastAsia="es-ES"/>
              </w:rPr>
            </w:pPr>
            <w:r w:rsidRPr="00DA04D0">
              <w:rPr>
                <w:rFonts w:ascii="Arial Narrow" w:hAnsi="Arial Narrow" w:cs="Arial"/>
                <w:sz w:val="18"/>
                <w:szCs w:val="18"/>
                <w:lang w:val="es-ES" w:eastAsia="es-ES"/>
              </w:rPr>
              <w:t>Comercialización de soluciones en nuevas tecnologías</w:t>
            </w:r>
          </w:p>
        </w:tc>
        <w:tc>
          <w:tcPr>
            <w:tcW w:w="1164" w:type="dxa"/>
            <w:tcBorders>
              <w:top w:val="single" w:sz="2" w:space="0" w:color="auto"/>
              <w:bottom w:val="single" w:sz="2" w:space="0" w:color="auto"/>
            </w:tcBorders>
            <w:vAlign w:val="center"/>
          </w:tcPr>
          <w:p w:rsidR="00A6669A" w:rsidRPr="00DA04D0" w:rsidRDefault="00A6669A" w:rsidP="001F38E0">
            <w:pPr>
              <w:spacing w:after="0"/>
              <w:ind w:left="-22" w:firstLine="22"/>
              <w:jc w:val="right"/>
              <w:rPr>
                <w:rFonts w:ascii="Arial Narrow" w:hAnsi="Arial Narrow" w:cs="Arial"/>
                <w:sz w:val="18"/>
                <w:szCs w:val="18"/>
                <w:lang w:val="es-ES" w:eastAsia="es-ES"/>
              </w:rPr>
            </w:pPr>
            <w:r w:rsidRPr="00DA04D0">
              <w:rPr>
                <w:rFonts w:ascii="Arial Narrow" w:hAnsi="Arial Narrow" w:cs="Arial"/>
                <w:sz w:val="18"/>
                <w:szCs w:val="18"/>
                <w:lang w:val="es-ES" w:eastAsia="es-ES"/>
              </w:rPr>
              <w:t>2015</w:t>
            </w:r>
          </w:p>
        </w:tc>
        <w:tc>
          <w:tcPr>
            <w:tcW w:w="1548" w:type="dxa"/>
            <w:tcBorders>
              <w:top w:val="single" w:sz="2" w:space="0" w:color="auto"/>
              <w:bottom w:val="single" w:sz="2" w:space="0" w:color="auto"/>
            </w:tcBorders>
            <w:shd w:val="clear" w:color="auto" w:fill="auto"/>
            <w:noWrap/>
            <w:vAlign w:val="center"/>
          </w:tcPr>
          <w:p w:rsidR="00A6669A" w:rsidRPr="00DA04D0" w:rsidRDefault="00A6669A" w:rsidP="00A6669A">
            <w:pPr>
              <w:spacing w:after="0"/>
              <w:ind w:left="-22" w:right="31" w:firstLine="22"/>
              <w:jc w:val="right"/>
              <w:rPr>
                <w:rFonts w:ascii="Arial Narrow" w:hAnsi="Arial Narrow" w:cs="Arial"/>
                <w:sz w:val="18"/>
                <w:szCs w:val="18"/>
                <w:lang w:val="es-ES" w:eastAsia="es-ES"/>
              </w:rPr>
            </w:pPr>
            <w:r w:rsidRPr="00DA04D0">
              <w:rPr>
                <w:rFonts w:ascii="Arial Narrow" w:hAnsi="Arial Narrow" w:cs="Arial"/>
                <w:sz w:val="18"/>
                <w:szCs w:val="18"/>
                <w:lang w:val="es-ES" w:eastAsia="es-ES"/>
              </w:rPr>
              <w:t>1.782</w:t>
            </w:r>
          </w:p>
        </w:tc>
      </w:tr>
      <w:tr w:rsidR="00A6669A" w:rsidRPr="00DA04D0" w:rsidTr="00317F02">
        <w:trPr>
          <w:trHeight w:val="277"/>
          <w:jc w:val="center"/>
        </w:trPr>
        <w:tc>
          <w:tcPr>
            <w:tcW w:w="2936" w:type="dxa"/>
            <w:tcBorders>
              <w:top w:val="single" w:sz="2" w:space="0" w:color="auto"/>
              <w:bottom w:val="single" w:sz="2" w:space="0" w:color="auto"/>
            </w:tcBorders>
            <w:shd w:val="clear" w:color="auto" w:fill="auto"/>
            <w:noWrap/>
            <w:vAlign w:val="center"/>
          </w:tcPr>
          <w:p w:rsidR="00A6669A" w:rsidRPr="00B82AEB" w:rsidRDefault="00A6669A" w:rsidP="003D5C01">
            <w:pPr>
              <w:spacing w:after="0"/>
              <w:ind w:left="-22" w:firstLine="22"/>
              <w:jc w:val="left"/>
              <w:rPr>
                <w:rFonts w:ascii="Arial Narrow" w:hAnsi="Arial Narrow" w:cs="Arial"/>
                <w:sz w:val="18"/>
                <w:szCs w:val="18"/>
                <w:vertAlign w:val="superscript"/>
                <w:lang w:val="es-ES" w:eastAsia="es-ES"/>
              </w:rPr>
            </w:pPr>
            <w:r w:rsidRPr="00DA04D0">
              <w:rPr>
                <w:rFonts w:ascii="Arial Narrow" w:hAnsi="Arial Narrow" w:cs="Arial"/>
                <w:sz w:val="18"/>
                <w:szCs w:val="18"/>
                <w:lang w:val="es-ES" w:eastAsia="es-ES"/>
              </w:rPr>
              <w:t>Movalsys, S.L</w:t>
            </w:r>
            <w:r w:rsidR="00B82AEB">
              <w:rPr>
                <w:rFonts w:ascii="Arial Narrow" w:hAnsi="Arial Narrow" w:cs="Arial"/>
                <w:sz w:val="18"/>
                <w:szCs w:val="18"/>
                <w:vertAlign w:val="superscript"/>
                <w:lang w:val="es-ES" w:eastAsia="es-ES"/>
              </w:rPr>
              <w:t>(1)</w:t>
            </w:r>
          </w:p>
        </w:tc>
        <w:tc>
          <w:tcPr>
            <w:tcW w:w="3220" w:type="dxa"/>
            <w:tcBorders>
              <w:top w:val="single" w:sz="2" w:space="0" w:color="auto"/>
              <w:bottom w:val="single" w:sz="2" w:space="0" w:color="auto"/>
            </w:tcBorders>
            <w:vAlign w:val="center"/>
          </w:tcPr>
          <w:p w:rsidR="00A6669A" w:rsidRPr="00DA04D0" w:rsidRDefault="00A6669A" w:rsidP="0083072D">
            <w:pPr>
              <w:spacing w:after="0"/>
              <w:ind w:left="-22" w:right="275" w:firstLine="22"/>
              <w:jc w:val="left"/>
              <w:rPr>
                <w:rFonts w:ascii="Arial Narrow" w:hAnsi="Arial Narrow" w:cs="Arial"/>
                <w:sz w:val="18"/>
                <w:szCs w:val="18"/>
                <w:lang w:val="es-ES" w:eastAsia="es-ES"/>
              </w:rPr>
            </w:pPr>
            <w:r w:rsidRPr="00DA04D0">
              <w:rPr>
                <w:rFonts w:ascii="Arial Narrow" w:hAnsi="Arial Narrow" w:cs="Arial"/>
                <w:sz w:val="18"/>
                <w:szCs w:val="18"/>
                <w:lang w:val="es-ES" w:eastAsia="es-ES"/>
              </w:rPr>
              <w:t>Programación de ordenadores y software</w:t>
            </w:r>
          </w:p>
        </w:tc>
        <w:tc>
          <w:tcPr>
            <w:tcW w:w="1164" w:type="dxa"/>
            <w:tcBorders>
              <w:top w:val="single" w:sz="2" w:space="0" w:color="auto"/>
              <w:bottom w:val="single" w:sz="2" w:space="0" w:color="auto"/>
            </w:tcBorders>
            <w:vAlign w:val="center"/>
          </w:tcPr>
          <w:p w:rsidR="00A6669A" w:rsidRPr="00DA04D0" w:rsidRDefault="00A6669A" w:rsidP="001F38E0">
            <w:pPr>
              <w:spacing w:after="0"/>
              <w:ind w:left="-22" w:firstLine="22"/>
              <w:jc w:val="right"/>
              <w:rPr>
                <w:rFonts w:ascii="Arial Narrow" w:hAnsi="Arial Narrow" w:cs="Arial"/>
                <w:sz w:val="18"/>
                <w:szCs w:val="18"/>
                <w:lang w:val="es-ES" w:eastAsia="es-ES"/>
              </w:rPr>
            </w:pPr>
            <w:r w:rsidRPr="00DA04D0">
              <w:rPr>
                <w:rFonts w:ascii="Arial Narrow" w:hAnsi="Arial Narrow" w:cs="Arial"/>
                <w:sz w:val="18"/>
                <w:szCs w:val="18"/>
                <w:lang w:val="es-ES" w:eastAsia="es-ES"/>
              </w:rPr>
              <w:t>2016</w:t>
            </w:r>
          </w:p>
        </w:tc>
        <w:tc>
          <w:tcPr>
            <w:tcW w:w="1548" w:type="dxa"/>
            <w:tcBorders>
              <w:top w:val="single" w:sz="2" w:space="0" w:color="auto"/>
              <w:bottom w:val="single" w:sz="2" w:space="0" w:color="auto"/>
            </w:tcBorders>
            <w:shd w:val="clear" w:color="auto" w:fill="auto"/>
            <w:noWrap/>
            <w:vAlign w:val="center"/>
          </w:tcPr>
          <w:p w:rsidR="00A6669A" w:rsidRPr="00DA04D0" w:rsidRDefault="00A6669A" w:rsidP="00A6669A">
            <w:pPr>
              <w:spacing w:after="0"/>
              <w:ind w:left="-22" w:right="31" w:firstLine="22"/>
              <w:jc w:val="right"/>
              <w:rPr>
                <w:rFonts w:ascii="Arial Narrow" w:hAnsi="Arial Narrow" w:cs="Arial"/>
                <w:sz w:val="18"/>
                <w:szCs w:val="18"/>
                <w:lang w:val="es-ES" w:eastAsia="es-ES"/>
              </w:rPr>
            </w:pPr>
            <w:r w:rsidRPr="00DA04D0">
              <w:rPr>
                <w:rFonts w:ascii="Arial Narrow" w:hAnsi="Arial Narrow" w:cs="Arial"/>
                <w:sz w:val="18"/>
                <w:szCs w:val="18"/>
                <w:lang w:val="es-ES" w:eastAsia="es-ES"/>
              </w:rPr>
              <w:t>1.150</w:t>
            </w:r>
          </w:p>
        </w:tc>
      </w:tr>
      <w:tr w:rsidR="00A6669A" w:rsidRPr="00DA04D0" w:rsidTr="00317F02">
        <w:trPr>
          <w:trHeight w:val="277"/>
          <w:jc w:val="center"/>
        </w:trPr>
        <w:tc>
          <w:tcPr>
            <w:tcW w:w="2936" w:type="dxa"/>
            <w:tcBorders>
              <w:top w:val="single" w:sz="2" w:space="0" w:color="auto"/>
              <w:bottom w:val="single" w:sz="2" w:space="0" w:color="auto"/>
            </w:tcBorders>
            <w:shd w:val="clear" w:color="auto" w:fill="auto"/>
            <w:noWrap/>
            <w:vAlign w:val="center"/>
          </w:tcPr>
          <w:p w:rsidR="00A6669A" w:rsidRPr="00DA04D0" w:rsidRDefault="00A6669A" w:rsidP="00723883">
            <w:pPr>
              <w:spacing w:after="0"/>
              <w:ind w:left="-22" w:firstLine="22"/>
              <w:jc w:val="left"/>
              <w:rPr>
                <w:rFonts w:ascii="Arial Narrow" w:hAnsi="Arial Narrow" w:cs="Arial"/>
                <w:sz w:val="18"/>
                <w:szCs w:val="18"/>
                <w:lang w:val="es-ES" w:eastAsia="es-ES"/>
              </w:rPr>
            </w:pPr>
            <w:r w:rsidRPr="00DA04D0">
              <w:rPr>
                <w:rFonts w:ascii="Arial Narrow" w:hAnsi="Arial Narrow" w:cs="Arial"/>
                <w:sz w:val="18"/>
                <w:szCs w:val="18"/>
                <w:lang w:val="es-ES" w:eastAsia="es-ES"/>
              </w:rPr>
              <w:t>Eversens, S.L.</w:t>
            </w:r>
            <w:r w:rsidR="00D34E6E">
              <w:rPr>
                <w:rFonts w:ascii="Arial Narrow" w:hAnsi="Arial Narrow" w:cs="Arial"/>
                <w:sz w:val="18"/>
                <w:szCs w:val="18"/>
                <w:vertAlign w:val="superscript"/>
                <w:lang w:val="es-ES" w:eastAsia="es-ES"/>
              </w:rPr>
              <w:t>(1)</w:t>
            </w:r>
            <w:r w:rsidRPr="00DA04D0">
              <w:rPr>
                <w:rFonts w:ascii="Arial Narrow" w:hAnsi="Arial Narrow" w:cs="Arial"/>
                <w:sz w:val="18"/>
                <w:szCs w:val="18"/>
                <w:lang w:val="es-ES" w:eastAsia="es-ES"/>
              </w:rPr>
              <w:t xml:space="preserve"> </w:t>
            </w:r>
          </w:p>
        </w:tc>
        <w:tc>
          <w:tcPr>
            <w:tcW w:w="3220" w:type="dxa"/>
            <w:tcBorders>
              <w:top w:val="single" w:sz="2" w:space="0" w:color="auto"/>
              <w:bottom w:val="single" w:sz="2" w:space="0" w:color="auto"/>
            </w:tcBorders>
            <w:vAlign w:val="center"/>
          </w:tcPr>
          <w:p w:rsidR="00A6669A" w:rsidRPr="00DA04D0" w:rsidRDefault="00A6669A" w:rsidP="0083072D">
            <w:pPr>
              <w:spacing w:after="0"/>
              <w:ind w:left="-22" w:right="275" w:firstLine="22"/>
              <w:jc w:val="left"/>
              <w:rPr>
                <w:rFonts w:ascii="Arial Narrow" w:hAnsi="Arial Narrow" w:cs="Arial"/>
                <w:sz w:val="18"/>
                <w:szCs w:val="18"/>
                <w:lang w:val="es-ES" w:eastAsia="es-ES"/>
              </w:rPr>
            </w:pPr>
            <w:r w:rsidRPr="00DA04D0">
              <w:rPr>
                <w:rFonts w:ascii="Arial Narrow" w:hAnsi="Arial Narrow" w:cs="Arial"/>
                <w:sz w:val="18"/>
                <w:szCs w:val="18"/>
                <w:lang w:val="es-ES" w:eastAsia="es-ES"/>
              </w:rPr>
              <w:t>Diseño y desarrollo de equipo y platafo</w:t>
            </w:r>
            <w:r w:rsidRPr="00DA04D0">
              <w:rPr>
                <w:rFonts w:ascii="Arial Narrow" w:hAnsi="Arial Narrow" w:cs="Arial"/>
                <w:sz w:val="18"/>
                <w:szCs w:val="18"/>
                <w:lang w:val="es-ES" w:eastAsia="es-ES"/>
              </w:rPr>
              <w:t>r</w:t>
            </w:r>
            <w:r w:rsidRPr="00DA04D0">
              <w:rPr>
                <w:rFonts w:ascii="Arial Narrow" w:hAnsi="Arial Narrow" w:cs="Arial"/>
                <w:sz w:val="18"/>
                <w:szCs w:val="18"/>
                <w:lang w:val="es-ES" w:eastAsia="es-ES"/>
              </w:rPr>
              <w:t>mas de instrumentación y medida</w:t>
            </w:r>
          </w:p>
        </w:tc>
        <w:tc>
          <w:tcPr>
            <w:tcW w:w="1164" w:type="dxa"/>
            <w:tcBorders>
              <w:top w:val="single" w:sz="2" w:space="0" w:color="auto"/>
              <w:bottom w:val="single" w:sz="2" w:space="0" w:color="auto"/>
            </w:tcBorders>
            <w:vAlign w:val="center"/>
          </w:tcPr>
          <w:p w:rsidR="00A6669A" w:rsidRPr="00DA04D0" w:rsidRDefault="00A6669A" w:rsidP="001F38E0">
            <w:pPr>
              <w:spacing w:after="0"/>
              <w:ind w:left="-22" w:firstLine="22"/>
              <w:jc w:val="right"/>
              <w:rPr>
                <w:rFonts w:ascii="Arial Narrow" w:hAnsi="Arial Narrow" w:cs="Arial"/>
                <w:sz w:val="18"/>
                <w:szCs w:val="18"/>
                <w:lang w:val="es-ES" w:eastAsia="es-ES"/>
              </w:rPr>
            </w:pPr>
            <w:r w:rsidRPr="00DA04D0">
              <w:rPr>
                <w:rFonts w:ascii="Arial Narrow" w:hAnsi="Arial Narrow" w:cs="Arial"/>
                <w:sz w:val="18"/>
                <w:szCs w:val="18"/>
                <w:lang w:val="es-ES" w:eastAsia="es-ES"/>
              </w:rPr>
              <w:t>2017</w:t>
            </w:r>
          </w:p>
        </w:tc>
        <w:tc>
          <w:tcPr>
            <w:tcW w:w="1548" w:type="dxa"/>
            <w:tcBorders>
              <w:top w:val="single" w:sz="2" w:space="0" w:color="auto"/>
              <w:bottom w:val="single" w:sz="2" w:space="0" w:color="auto"/>
            </w:tcBorders>
            <w:shd w:val="clear" w:color="auto" w:fill="auto"/>
            <w:noWrap/>
            <w:vAlign w:val="center"/>
          </w:tcPr>
          <w:p w:rsidR="00A6669A" w:rsidRPr="00DA04D0" w:rsidRDefault="00A6669A" w:rsidP="00A6669A">
            <w:pPr>
              <w:spacing w:after="0"/>
              <w:ind w:left="-22" w:right="31" w:firstLine="22"/>
              <w:jc w:val="right"/>
              <w:rPr>
                <w:rFonts w:ascii="Arial Narrow" w:hAnsi="Arial Narrow" w:cs="Arial"/>
                <w:sz w:val="18"/>
                <w:szCs w:val="18"/>
                <w:lang w:val="es-ES" w:eastAsia="es-ES"/>
              </w:rPr>
            </w:pPr>
            <w:r w:rsidRPr="00DA04D0">
              <w:rPr>
                <w:rFonts w:ascii="Arial Narrow" w:hAnsi="Arial Narrow" w:cs="Arial"/>
                <w:sz w:val="18"/>
                <w:szCs w:val="18"/>
                <w:lang w:val="es-ES" w:eastAsia="es-ES"/>
              </w:rPr>
              <w:t>417</w:t>
            </w:r>
          </w:p>
        </w:tc>
      </w:tr>
      <w:tr w:rsidR="00A6669A" w:rsidRPr="00DA04D0" w:rsidTr="00317F02">
        <w:trPr>
          <w:trHeight w:val="277"/>
          <w:jc w:val="center"/>
        </w:trPr>
        <w:tc>
          <w:tcPr>
            <w:tcW w:w="2936" w:type="dxa"/>
            <w:tcBorders>
              <w:top w:val="single" w:sz="2" w:space="0" w:color="auto"/>
              <w:bottom w:val="single" w:sz="2" w:space="0" w:color="auto"/>
            </w:tcBorders>
            <w:shd w:val="clear" w:color="auto" w:fill="auto"/>
            <w:noWrap/>
            <w:vAlign w:val="center"/>
          </w:tcPr>
          <w:p w:rsidR="00A6669A" w:rsidRPr="00B82AEB" w:rsidRDefault="00A6669A" w:rsidP="003D5C01">
            <w:pPr>
              <w:spacing w:after="0"/>
              <w:ind w:left="-22" w:firstLine="22"/>
              <w:jc w:val="left"/>
              <w:rPr>
                <w:rFonts w:ascii="Arial Narrow" w:hAnsi="Arial Narrow" w:cs="Arial"/>
                <w:sz w:val="18"/>
                <w:szCs w:val="18"/>
                <w:lang w:val="es-ES" w:eastAsia="es-ES"/>
              </w:rPr>
            </w:pPr>
            <w:r w:rsidRPr="00DA04D0">
              <w:rPr>
                <w:rFonts w:ascii="Arial Narrow" w:hAnsi="Arial Narrow" w:cs="Arial"/>
                <w:sz w:val="18"/>
                <w:szCs w:val="18"/>
                <w:lang w:val="es-ES" w:eastAsia="es-ES"/>
              </w:rPr>
              <w:t>Bioinsetics, S.L</w:t>
            </w:r>
            <w:r w:rsidR="00B82AEB">
              <w:rPr>
                <w:rFonts w:ascii="Arial Narrow" w:hAnsi="Arial Narrow" w:cs="Arial"/>
                <w:sz w:val="18"/>
                <w:szCs w:val="18"/>
                <w:vertAlign w:val="superscript"/>
                <w:lang w:val="es-ES" w:eastAsia="es-ES"/>
              </w:rPr>
              <w:t>(1)</w:t>
            </w:r>
          </w:p>
        </w:tc>
        <w:tc>
          <w:tcPr>
            <w:tcW w:w="3220" w:type="dxa"/>
            <w:tcBorders>
              <w:top w:val="single" w:sz="2" w:space="0" w:color="auto"/>
              <w:bottom w:val="single" w:sz="2" w:space="0" w:color="auto"/>
            </w:tcBorders>
            <w:vAlign w:val="center"/>
          </w:tcPr>
          <w:p w:rsidR="00A6669A" w:rsidRPr="00DA04D0" w:rsidRDefault="00A6669A" w:rsidP="0083072D">
            <w:pPr>
              <w:spacing w:after="0"/>
              <w:ind w:left="-22" w:right="275" w:firstLine="22"/>
              <w:jc w:val="left"/>
              <w:rPr>
                <w:rFonts w:ascii="Arial Narrow" w:hAnsi="Arial Narrow" w:cs="Arial"/>
                <w:sz w:val="18"/>
                <w:szCs w:val="18"/>
                <w:lang w:val="es-ES" w:eastAsia="es-ES"/>
              </w:rPr>
            </w:pPr>
            <w:r w:rsidRPr="00DA04D0">
              <w:rPr>
                <w:rFonts w:ascii="Arial Narrow" w:hAnsi="Arial Narrow" w:cs="Arial"/>
                <w:sz w:val="18"/>
                <w:szCs w:val="18"/>
                <w:lang w:val="es-ES" w:eastAsia="es-ES"/>
              </w:rPr>
              <w:t>Caracterización molecular y biológica de microorganismos.</w:t>
            </w:r>
          </w:p>
        </w:tc>
        <w:tc>
          <w:tcPr>
            <w:tcW w:w="1164" w:type="dxa"/>
            <w:tcBorders>
              <w:top w:val="single" w:sz="2" w:space="0" w:color="auto"/>
              <w:bottom w:val="single" w:sz="2" w:space="0" w:color="auto"/>
            </w:tcBorders>
            <w:vAlign w:val="center"/>
          </w:tcPr>
          <w:p w:rsidR="00A6669A" w:rsidRPr="00DA04D0" w:rsidRDefault="00A6669A" w:rsidP="001F38E0">
            <w:pPr>
              <w:spacing w:after="0"/>
              <w:ind w:left="-22" w:firstLine="22"/>
              <w:jc w:val="right"/>
              <w:rPr>
                <w:rFonts w:ascii="Arial Narrow" w:hAnsi="Arial Narrow" w:cs="Arial"/>
                <w:sz w:val="18"/>
                <w:szCs w:val="18"/>
                <w:lang w:val="es-ES" w:eastAsia="es-ES"/>
              </w:rPr>
            </w:pPr>
            <w:r w:rsidRPr="00DA04D0">
              <w:rPr>
                <w:rFonts w:ascii="Arial Narrow" w:hAnsi="Arial Narrow" w:cs="Arial"/>
                <w:sz w:val="18"/>
                <w:szCs w:val="18"/>
                <w:lang w:val="es-ES" w:eastAsia="es-ES"/>
              </w:rPr>
              <w:t>2017</w:t>
            </w:r>
          </w:p>
        </w:tc>
        <w:tc>
          <w:tcPr>
            <w:tcW w:w="1548" w:type="dxa"/>
            <w:tcBorders>
              <w:top w:val="single" w:sz="2" w:space="0" w:color="auto"/>
              <w:bottom w:val="single" w:sz="2" w:space="0" w:color="auto"/>
            </w:tcBorders>
            <w:shd w:val="clear" w:color="auto" w:fill="auto"/>
            <w:noWrap/>
            <w:vAlign w:val="center"/>
          </w:tcPr>
          <w:p w:rsidR="00A6669A" w:rsidRPr="00DA04D0" w:rsidRDefault="00A6669A" w:rsidP="00A6669A">
            <w:pPr>
              <w:spacing w:after="0"/>
              <w:ind w:left="-22" w:right="31" w:firstLine="22"/>
              <w:jc w:val="right"/>
              <w:rPr>
                <w:rFonts w:ascii="Arial Narrow" w:hAnsi="Arial Narrow" w:cs="Arial"/>
                <w:sz w:val="18"/>
                <w:szCs w:val="18"/>
                <w:lang w:val="es-ES" w:eastAsia="es-ES"/>
              </w:rPr>
            </w:pPr>
            <w:r w:rsidRPr="00DA04D0">
              <w:rPr>
                <w:rFonts w:ascii="Arial Narrow" w:hAnsi="Arial Narrow" w:cs="Arial"/>
                <w:sz w:val="18"/>
                <w:szCs w:val="18"/>
                <w:lang w:val="es-ES" w:eastAsia="es-ES"/>
              </w:rPr>
              <w:t>1.000</w:t>
            </w:r>
          </w:p>
        </w:tc>
      </w:tr>
      <w:tr w:rsidR="00A6669A" w:rsidRPr="00DA04D0" w:rsidTr="00317F02">
        <w:trPr>
          <w:trHeight w:val="277"/>
          <w:jc w:val="center"/>
        </w:trPr>
        <w:tc>
          <w:tcPr>
            <w:tcW w:w="2936" w:type="dxa"/>
            <w:tcBorders>
              <w:top w:val="single" w:sz="2" w:space="0" w:color="auto"/>
              <w:bottom w:val="single" w:sz="2" w:space="0" w:color="auto"/>
            </w:tcBorders>
            <w:shd w:val="clear" w:color="auto" w:fill="A0C3E3" w:themeFill="accent1" w:themeFillTint="99"/>
            <w:noWrap/>
            <w:vAlign w:val="center"/>
          </w:tcPr>
          <w:p w:rsidR="00A6669A" w:rsidRPr="00DA04D0" w:rsidRDefault="00490FB5" w:rsidP="00723883">
            <w:pPr>
              <w:spacing w:after="0"/>
              <w:ind w:left="-22" w:firstLine="22"/>
              <w:jc w:val="left"/>
              <w:rPr>
                <w:rFonts w:ascii="Arial Narrow" w:hAnsi="Arial Narrow" w:cs="Arial"/>
                <w:sz w:val="18"/>
                <w:szCs w:val="18"/>
                <w:lang w:val="es-ES" w:eastAsia="es-ES"/>
              </w:rPr>
            </w:pPr>
            <w:r w:rsidRPr="00DA04D0">
              <w:rPr>
                <w:rFonts w:ascii="Arial Narrow" w:hAnsi="Arial Narrow" w:cs="Arial"/>
                <w:sz w:val="18"/>
                <w:szCs w:val="18"/>
                <w:lang w:val="es-ES" w:eastAsia="es-ES"/>
              </w:rPr>
              <w:t>Total participación</w:t>
            </w:r>
          </w:p>
        </w:tc>
        <w:tc>
          <w:tcPr>
            <w:tcW w:w="3220" w:type="dxa"/>
            <w:tcBorders>
              <w:top w:val="single" w:sz="2" w:space="0" w:color="auto"/>
              <w:bottom w:val="single" w:sz="2" w:space="0" w:color="auto"/>
            </w:tcBorders>
            <w:shd w:val="clear" w:color="auto" w:fill="A0C3E3" w:themeFill="accent1" w:themeFillTint="99"/>
            <w:vAlign w:val="center"/>
          </w:tcPr>
          <w:p w:rsidR="00A6669A" w:rsidRPr="00DA04D0" w:rsidRDefault="00A6669A" w:rsidP="0083072D">
            <w:pPr>
              <w:spacing w:after="0"/>
              <w:ind w:left="-22" w:right="275" w:firstLine="22"/>
              <w:jc w:val="left"/>
              <w:rPr>
                <w:rFonts w:ascii="Arial Narrow" w:hAnsi="Arial Narrow" w:cs="Arial"/>
                <w:sz w:val="18"/>
                <w:szCs w:val="18"/>
                <w:lang w:val="es-ES" w:eastAsia="es-ES"/>
              </w:rPr>
            </w:pPr>
          </w:p>
        </w:tc>
        <w:tc>
          <w:tcPr>
            <w:tcW w:w="1164" w:type="dxa"/>
            <w:tcBorders>
              <w:top w:val="single" w:sz="2" w:space="0" w:color="auto"/>
              <w:bottom w:val="single" w:sz="2" w:space="0" w:color="auto"/>
            </w:tcBorders>
            <w:shd w:val="clear" w:color="auto" w:fill="A0C3E3" w:themeFill="accent1" w:themeFillTint="99"/>
            <w:vAlign w:val="center"/>
          </w:tcPr>
          <w:p w:rsidR="00A6669A" w:rsidRPr="00DA04D0" w:rsidRDefault="00A6669A" w:rsidP="001F38E0">
            <w:pPr>
              <w:spacing w:after="0"/>
              <w:ind w:left="-22" w:firstLine="22"/>
              <w:jc w:val="right"/>
              <w:rPr>
                <w:rFonts w:ascii="Arial Narrow" w:hAnsi="Arial Narrow" w:cs="Arial"/>
                <w:sz w:val="18"/>
                <w:szCs w:val="18"/>
                <w:lang w:val="es-ES" w:eastAsia="es-ES"/>
              </w:rPr>
            </w:pPr>
          </w:p>
        </w:tc>
        <w:tc>
          <w:tcPr>
            <w:tcW w:w="1548" w:type="dxa"/>
            <w:tcBorders>
              <w:top w:val="single" w:sz="2" w:space="0" w:color="auto"/>
              <w:bottom w:val="single" w:sz="2" w:space="0" w:color="auto"/>
            </w:tcBorders>
            <w:shd w:val="clear" w:color="auto" w:fill="A0C3E3" w:themeFill="accent1" w:themeFillTint="99"/>
            <w:noWrap/>
            <w:vAlign w:val="center"/>
          </w:tcPr>
          <w:p w:rsidR="00A6669A" w:rsidRPr="00DA04D0" w:rsidRDefault="00A6669A" w:rsidP="00A6669A">
            <w:pPr>
              <w:spacing w:after="0"/>
              <w:ind w:left="-22" w:right="31" w:firstLine="22"/>
              <w:jc w:val="right"/>
              <w:rPr>
                <w:rFonts w:ascii="Arial Narrow" w:hAnsi="Arial Narrow" w:cs="Arial"/>
                <w:sz w:val="18"/>
                <w:szCs w:val="18"/>
                <w:lang w:val="es-ES" w:eastAsia="es-ES"/>
              </w:rPr>
            </w:pPr>
            <w:r w:rsidRPr="00DA04D0">
              <w:rPr>
                <w:rFonts w:ascii="Arial Narrow" w:hAnsi="Arial Narrow" w:cs="Arial"/>
                <w:sz w:val="18"/>
                <w:szCs w:val="18"/>
                <w:lang w:val="es-ES" w:eastAsia="es-ES"/>
              </w:rPr>
              <w:t>288.788</w:t>
            </w:r>
          </w:p>
        </w:tc>
      </w:tr>
    </w:tbl>
    <w:p w:rsidR="00D34E6E" w:rsidRPr="00D34E6E" w:rsidRDefault="00BB31A0" w:rsidP="006955A6">
      <w:pPr>
        <w:pStyle w:val="texto"/>
        <w:spacing w:before="60"/>
        <w:ind w:firstLine="0"/>
        <w:rPr>
          <w:rFonts w:ascii="Arial Narrow" w:hAnsi="Arial Narrow"/>
          <w:sz w:val="20"/>
          <w:szCs w:val="20"/>
        </w:rPr>
      </w:pPr>
      <w:r w:rsidRPr="00317F02">
        <w:rPr>
          <w:rFonts w:ascii="Arial Narrow" w:hAnsi="Arial Narrow"/>
          <w:sz w:val="18"/>
          <w:szCs w:val="18"/>
          <w:vertAlign w:val="superscript"/>
        </w:rPr>
        <w:t>(1)</w:t>
      </w:r>
      <w:r>
        <w:rPr>
          <w:rFonts w:ascii="Arial Narrow" w:hAnsi="Arial Narrow"/>
          <w:sz w:val="20"/>
          <w:szCs w:val="20"/>
        </w:rPr>
        <w:t xml:space="preserve"> </w:t>
      </w:r>
      <w:r w:rsidR="00D34E6E" w:rsidRPr="00D34E6E">
        <w:rPr>
          <w:rFonts w:ascii="Arial Narrow" w:hAnsi="Arial Narrow"/>
          <w:sz w:val="20"/>
          <w:szCs w:val="20"/>
        </w:rPr>
        <w:t>Empresas de base tecnológica o s</w:t>
      </w:r>
      <w:r w:rsidR="00D34E6E">
        <w:rPr>
          <w:rFonts w:ascii="Arial Narrow" w:hAnsi="Arial Narrow"/>
          <w:sz w:val="20"/>
          <w:szCs w:val="20"/>
        </w:rPr>
        <w:t>pin</w:t>
      </w:r>
      <w:r w:rsidR="00D34E6E" w:rsidRPr="00D34E6E">
        <w:rPr>
          <w:rFonts w:ascii="Arial Narrow" w:hAnsi="Arial Narrow"/>
          <w:sz w:val="20"/>
          <w:szCs w:val="20"/>
        </w:rPr>
        <w:t>-off de la Universidad</w:t>
      </w:r>
      <w:r w:rsidR="00C01AF4">
        <w:rPr>
          <w:rStyle w:val="Refdenotaalpie"/>
          <w:rFonts w:ascii="Arial Narrow" w:hAnsi="Arial Narrow"/>
          <w:sz w:val="20"/>
          <w:szCs w:val="20"/>
        </w:rPr>
        <w:footnoteReference w:id="4"/>
      </w:r>
    </w:p>
    <w:p w:rsidR="007F62BD" w:rsidRPr="00AE53CE" w:rsidRDefault="007F62BD" w:rsidP="005A63AB">
      <w:pPr>
        <w:pStyle w:val="texto"/>
        <w:spacing w:before="240" w:after="240"/>
      </w:pPr>
      <w:r w:rsidRPr="00DA04D0">
        <w:rPr>
          <w:rFonts w:ascii="Arial Narrow" w:hAnsi="Arial Narrow"/>
        </w:rPr>
        <w:t>A</w:t>
      </w:r>
      <w:r w:rsidRPr="007F62BD">
        <w:t xml:space="preserve">simismo, tiene su domicilio social en la Universidad la </w:t>
      </w:r>
      <w:r w:rsidR="00AE53CE">
        <w:t>F</w:t>
      </w:r>
      <w:r w:rsidRPr="007F62BD">
        <w:t xml:space="preserve">undación Jaime Brunet, </w:t>
      </w:r>
      <w:r w:rsidR="00AE53CE">
        <w:t>cuyos fines son el</w:t>
      </w:r>
      <w:r w:rsidRPr="007F62BD">
        <w:t xml:space="preserve"> fomento </w:t>
      </w:r>
      <w:r w:rsidR="00AE53CE">
        <w:t>del respeto a la dignidad humana, a las</w:t>
      </w:r>
      <w:r w:rsidRPr="007F62BD">
        <w:t xml:space="preserve"> libe</w:t>
      </w:r>
      <w:r w:rsidRPr="007F62BD">
        <w:t>r</w:t>
      </w:r>
      <w:r w:rsidRPr="007F62BD">
        <w:t>tades fundamentales</w:t>
      </w:r>
      <w:r w:rsidR="00AE53CE" w:rsidRPr="00AE53CE">
        <w:t xml:space="preserve"> y a los derechos humanos.</w:t>
      </w:r>
    </w:p>
    <w:p w:rsidR="00CD01AF" w:rsidRPr="00CD01AF" w:rsidRDefault="00CD01AF" w:rsidP="005A63AB">
      <w:pPr>
        <w:pStyle w:val="atitulo3"/>
      </w:pPr>
      <w:r w:rsidRPr="00CD01AF">
        <w:t>Régimen económico-financiero, presupues</w:t>
      </w:r>
      <w:r>
        <w:t>ta</w:t>
      </w:r>
      <w:r w:rsidRPr="00CD01AF">
        <w:t>rio y contable</w:t>
      </w:r>
    </w:p>
    <w:p w:rsidR="00CD01AF" w:rsidRDefault="00A21826" w:rsidP="002F5615">
      <w:pPr>
        <w:pStyle w:val="texto"/>
        <w:spacing w:before="240"/>
      </w:pPr>
      <w:r>
        <w:t>La Universidad suscribió con el Gobierno de Navarra un convenio de fina</w:t>
      </w:r>
      <w:r>
        <w:t>n</w:t>
      </w:r>
      <w:r>
        <w:t>ciación para el año 2017 en el que se establec</w:t>
      </w:r>
      <w:r w:rsidR="003B38B8">
        <w:t>ió el compromiso del Gobierno de Navarra de garantizar el normal funcionamiento de la actividad docente e inve</w:t>
      </w:r>
      <w:r w:rsidR="003B38B8">
        <w:t>s</w:t>
      </w:r>
      <w:r w:rsidR="003B38B8">
        <w:t>tigadora de la Universidad y promover su autonomía financiera</w:t>
      </w:r>
      <w:r w:rsidR="009258B8">
        <w:t>. L</w:t>
      </w:r>
      <w:r w:rsidR="003B38B8">
        <w:t xml:space="preserve">a Universidad </w:t>
      </w:r>
      <w:r w:rsidR="009258B8">
        <w:t xml:space="preserve">asumió el compromiso </w:t>
      </w:r>
      <w:r w:rsidR="003B38B8">
        <w:t>de gestionar eficazmente la encomienda del servicio p</w:t>
      </w:r>
      <w:r w:rsidR="003B38B8">
        <w:t>ú</w:t>
      </w:r>
      <w:r w:rsidR="003B38B8">
        <w:t>blico de la educación superior de Navarra</w:t>
      </w:r>
      <w:r w:rsidR="006307A3">
        <w:t xml:space="preserve"> y, adicionalmente</w:t>
      </w:r>
      <w:r w:rsidR="00E147EF">
        <w:t>, de</w:t>
      </w:r>
      <w:r w:rsidR="006307A3">
        <w:t xml:space="preserve"> continuar la i</w:t>
      </w:r>
      <w:r w:rsidR="006307A3">
        <w:t>m</w:t>
      </w:r>
      <w:r w:rsidR="006307A3">
        <w:t>plantación a lo largo del año 2017 de la contabilidad de costes, que se plasmará en la aplicación del modelo a los datos del año 2014 y siguientes.</w:t>
      </w:r>
    </w:p>
    <w:p w:rsidR="003B38B8" w:rsidRDefault="003B38B8" w:rsidP="00734FE8">
      <w:pPr>
        <w:pStyle w:val="texto"/>
      </w:pPr>
      <w:r>
        <w:t>La financiación desde los Presupuestos Generales de Navarra para 2017 a</w:t>
      </w:r>
      <w:r>
        <w:t>s</w:t>
      </w:r>
      <w:r>
        <w:t>ciende a 55,17 millones de euros. Esta financiación se completa con la autoriz</w:t>
      </w:r>
      <w:r>
        <w:t>a</w:t>
      </w:r>
      <w:r>
        <w:lastRenderedPageBreak/>
        <w:t>ción a la Universidad para hacer uso del remanente de tesorería para gastos g</w:t>
      </w:r>
      <w:r>
        <w:t>e</w:t>
      </w:r>
      <w:r>
        <w:t>ne</w:t>
      </w:r>
      <w:r w:rsidR="000446DB">
        <w:t>rales de 1,66 millones de euros del ejercicio 2016.</w:t>
      </w:r>
    </w:p>
    <w:p w:rsidR="001F53D9" w:rsidRDefault="00734FE8" w:rsidP="00734FE8">
      <w:pPr>
        <w:pStyle w:val="texto"/>
      </w:pPr>
      <w:r w:rsidRPr="000B73E1">
        <w:t>La Ley Foral 13/2007</w:t>
      </w:r>
      <w:r w:rsidR="00E147EF" w:rsidRPr="000B73E1">
        <w:t>, de 4 de abril,</w:t>
      </w:r>
      <w:r w:rsidRPr="000B73E1">
        <w:t xml:space="preserve"> de la Hacienda Pública de Navarra est</w:t>
      </w:r>
      <w:r w:rsidRPr="000B73E1">
        <w:t>a</w:t>
      </w:r>
      <w:r w:rsidRPr="000B73E1">
        <w:t>blece en su artículo 123 que corresponde al Departamento de Economía y H</w:t>
      </w:r>
      <w:r w:rsidRPr="000B73E1">
        <w:t>a</w:t>
      </w:r>
      <w:r w:rsidRPr="000B73E1">
        <w:t xml:space="preserve">cienda aprobar el Plan General de Contabilidad Pública </w:t>
      </w:r>
      <w:r w:rsidR="00AB5D79" w:rsidRPr="000B73E1">
        <w:t xml:space="preserve">(PGCP) </w:t>
      </w:r>
      <w:r w:rsidRPr="000B73E1">
        <w:t>de la Comun</w:t>
      </w:r>
      <w:r w:rsidRPr="000B73E1">
        <w:t>i</w:t>
      </w:r>
      <w:r w:rsidRPr="000B73E1">
        <w:t>dad Foral; en defecto</w:t>
      </w:r>
      <w:r w:rsidR="001F53D9" w:rsidRPr="000B73E1">
        <w:t xml:space="preserve"> de su aprobación expresa</w:t>
      </w:r>
      <w:r w:rsidRPr="000B73E1">
        <w:t>, será de aplicación el P</w:t>
      </w:r>
      <w:r w:rsidR="00AB5D79" w:rsidRPr="000B73E1">
        <w:t>GCP</w:t>
      </w:r>
      <w:r w:rsidRPr="000B73E1">
        <w:t xml:space="preserve"> aprobado para el sector estatal. </w:t>
      </w:r>
    </w:p>
    <w:p w:rsidR="00A5451B" w:rsidRDefault="001F53D9" w:rsidP="003D5C01">
      <w:pPr>
        <w:pStyle w:val="texto"/>
        <w:spacing w:before="120" w:after="120"/>
      </w:pPr>
      <w:r w:rsidRPr="00A5451B">
        <w:t>Durante 2017</w:t>
      </w:r>
      <w:r w:rsidR="00AB5D79" w:rsidRPr="00A5451B">
        <w:t>,</w:t>
      </w:r>
      <w:r w:rsidRPr="00A5451B">
        <w:t xml:space="preserve"> n</w:t>
      </w:r>
      <w:r w:rsidR="00DD2CF9" w:rsidRPr="00A5451B">
        <w:t>o</w:t>
      </w:r>
      <w:r w:rsidRPr="00A5451B">
        <w:t xml:space="preserve"> se ha aprobado el P</w:t>
      </w:r>
      <w:r w:rsidR="00AB5D79" w:rsidRPr="00A5451B">
        <w:t xml:space="preserve">GCP para </w:t>
      </w:r>
      <w:r w:rsidRPr="00A5451B">
        <w:t>la Comunidad Foral</w:t>
      </w:r>
      <w:r w:rsidR="00A5451B" w:rsidRPr="00A5451B">
        <w:t>.</w:t>
      </w:r>
      <w:r w:rsidR="00734FE8" w:rsidRPr="00A5451B">
        <w:t xml:space="preserve"> </w:t>
      </w:r>
    </w:p>
    <w:p w:rsidR="00B92354" w:rsidRPr="00A5451B" w:rsidRDefault="00A5451B" w:rsidP="003D5C01">
      <w:pPr>
        <w:pStyle w:val="texto"/>
        <w:spacing w:before="120" w:after="120"/>
      </w:pPr>
      <w:r w:rsidRPr="00A5451B">
        <w:t xml:space="preserve">La Universidad </w:t>
      </w:r>
      <w:r w:rsidR="00AB5D79" w:rsidRPr="00A5451B">
        <w:t>ha aplicado</w:t>
      </w:r>
      <w:r w:rsidR="00C72AB5" w:rsidRPr="00A5451B">
        <w:t xml:space="preserve"> </w:t>
      </w:r>
      <w:r w:rsidR="00AB5D79" w:rsidRPr="00A5451B">
        <w:t xml:space="preserve">en el ejercicio 2017 </w:t>
      </w:r>
      <w:r w:rsidR="00C72AB5" w:rsidRPr="00A5451B">
        <w:t xml:space="preserve">determinadas </w:t>
      </w:r>
      <w:r w:rsidR="00AB5D79" w:rsidRPr="00A5451B">
        <w:t>no</w:t>
      </w:r>
      <w:r w:rsidR="003325BE" w:rsidRPr="00A5451B">
        <w:t>rmas y pri</w:t>
      </w:r>
      <w:r w:rsidR="003325BE" w:rsidRPr="00A5451B">
        <w:t>n</w:t>
      </w:r>
      <w:r w:rsidR="003325BE" w:rsidRPr="00A5451B">
        <w:t xml:space="preserve">cipios contables del PGCP </w:t>
      </w:r>
      <w:r w:rsidRPr="00A5451B">
        <w:t xml:space="preserve">2010; sin embargo, </w:t>
      </w:r>
      <w:r w:rsidR="00B92354" w:rsidRPr="00A5451B">
        <w:t>las cuentas anuales de la Unive</w:t>
      </w:r>
      <w:r w:rsidR="00B92354" w:rsidRPr="00A5451B">
        <w:t>r</w:t>
      </w:r>
      <w:r w:rsidR="00B92354" w:rsidRPr="00A5451B">
        <w:t>sidad se presentan conforme al PGCP 1994.</w:t>
      </w:r>
    </w:p>
    <w:p w:rsidR="00430A95" w:rsidRPr="00881D5A" w:rsidRDefault="00430A95" w:rsidP="005A63AB">
      <w:pPr>
        <w:pStyle w:val="texto"/>
        <w:spacing w:before="120" w:after="240"/>
      </w:pPr>
      <w:r w:rsidRPr="00881D5A">
        <w:t xml:space="preserve">Por otra parte, </w:t>
      </w:r>
      <w:r w:rsidR="00721479" w:rsidRPr="00881D5A">
        <w:t xml:space="preserve">se </w:t>
      </w:r>
      <w:r w:rsidR="00337288" w:rsidRPr="00881D5A">
        <w:t>ha terminado la fase de personalización del</w:t>
      </w:r>
      <w:r w:rsidRPr="00881D5A">
        <w:t xml:space="preserve"> proceso de i</w:t>
      </w:r>
      <w:r w:rsidRPr="00881D5A">
        <w:t>m</w:t>
      </w:r>
      <w:r w:rsidRPr="00881D5A">
        <w:t>plantación de la contabilidad analítica</w:t>
      </w:r>
      <w:r w:rsidR="00337288" w:rsidRPr="00881D5A">
        <w:t>.</w:t>
      </w:r>
      <w:r w:rsidRPr="00881D5A">
        <w:t xml:space="preserve"> El plan personalizado para la Univers</w:t>
      </w:r>
      <w:r w:rsidRPr="00881D5A">
        <w:t>i</w:t>
      </w:r>
      <w:r w:rsidRPr="00881D5A">
        <w:t xml:space="preserve">dad, primera parte del proceso, fue aprobado por la </w:t>
      </w:r>
      <w:r w:rsidR="00E147EF">
        <w:t>Intervención General de la Administración del Estado (</w:t>
      </w:r>
      <w:r w:rsidRPr="00881D5A">
        <w:t>IGAE</w:t>
      </w:r>
      <w:r w:rsidR="00E147EF">
        <w:t>)</w:t>
      </w:r>
      <w:r w:rsidRPr="00881D5A">
        <w:t xml:space="preserve"> </w:t>
      </w:r>
      <w:r w:rsidR="00337288" w:rsidRPr="00881D5A">
        <w:t>en abril de 2016.</w:t>
      </w:r>
      <w:r w:rsidRPr="00881D5A">
        <w:t xml:space="preserve"> En este momento, el mod</w:t>
      </w:r>
      <w:r w:rsidRPr="00881D5A">
        <w:t>e</w:t>
      </w:r>
      <w:r w:rsidRPr="00881D5A">
        <w:t xml:space="preserve">lo de contabilidad analítica para las universidades se está adaptando a las nuevas necesidades que han ido surgiendo en </w:t>
      </w:r>
      <w:r w:rsidR="00323ECF" w:rsidRPr="00881D5A">
        <w:t>el</w:t>
      </w:r>
      <w:r w:rsidRPr="00881D5A">
        <w:t xml:space="preserve"> periodo de implantación y su fase de mecanización, segunda </w:t>
      </w:r>
      <w:r w:rsidR="00E147EF">
        <w:t>parte</w:t>
      </w:r>
      <w:r w:rsidR="00337288" w:rsidRPr="00881D5A">
        <w:t xml:space="preserve"> </w:t>
      </w:r>
      <w:r w:rsidRPr="00881D5A">
        <w:t>del proceso, está previ</w:t>
      </w:r>
      <w:r w:rsidR="00337288" w:rsidRPr="00881D5A">
        <w:t>sto</w:t>
      </w:r>
      <w:r w:rsidRPr="00881D5A">
        <w:t xml:space="preserve"> que concluya en los años 2020-2021.</w:t>
      </w:r>
    </w:p>
    <w:p w:rsidR="00CD01AF" w:rsidRPr="005A63AB" w:rsidRDefault="00CD01AF" w:rsidP="005A63AB">
      <w:pPr>
        <w:pStyle w:val="atitulo3"/>
      </w:pPr>
      <w:r w:rsidRPr="005A63AB">
        <w:t>Plan estratégico 2016-2019</w:t>
      </w:r>
    </w:p>
    <w:p w:rsidR="00A969B0" w:rsidRPr="001B4AEA" w:rsidRDefault="00A969B0" w:rsidP="005A63AB">
      <w:pPr>
        <w:pStyle w:val="texto"/>
        <w:spacing w:before="240" w:after="240"/>
        <w:rPr>
          <w:spacing w:val="4"/>
        </w:rPr>
      </w:pPr>
      <w:r w:rsidRPr="001B4AEA">
        <w:rPr>
          <w:spacing w:val="4"/>
        </w:rPr>
        <w:t xml:space="preserve">El Consejo Social de la Universidad aprobó el 23 de mayo de 2016 el IV Plan Estratégico de la Universidad 2016-2019. </w:t>
      </w:r>
      <w:r w:rsidR="00E87707" w:rsidRPr="001B4AEA">
        <w:rPr>
          <w:spacing w:val="4"/>
        </w:rPr>
        <w:t xml:space="preserve">Las líneas de trabajo se agrupan </w:t>
      </w:r>
      <w:r w:rsidR="008622A2" w:rsidRPr="001B4AEA">
        <w:rPr>
          <w:spacing w:val="4"/>
        </w:rPr>
        <w:t xml:space="preserve">en torno a seis ejes estratégicos: </w:t>
      </w:r>
      <w:r w:rsidR="0056278C" w:rsidRPr="001B4AEA">
        <w:rPr>
          <w:spacing w:val="4"/>
        </w:rPr>
        <w:t>P</w:t>
      </w:r>
      <w:r w:rsidR="008622A2" w:rsidRPr="001B4AEA">
        <w:rPr>
          <w:spacing w:val="4"/>
        </w:rPr>
        <w:t xml:space="preserve">ersonas, </w:t>
      </w:r>
      <w:r w:rsidR="0056278C" w:rsidRPr="001B4AEA">
        <w:rPr>
          <w:spacing w:val="4"/>
        </w:rPr>
        <w:t>O</w:t>
      </w:r>
      <w:r w:rsidR="008622A2" w:rsidRPr="001B4AEA">
        <w:rPr>
          <w:spacing w:val="4"/>
        </w:rPr>
        <w:t xml:space="preserve">rganización y </w:t>
      </w:r>
      <w:r w:rsidR="0056278C" w:rsidRPr="001B4AEA">
        <w:rPr>
          <w:spacing w:val="4"/>
        </w:rPr>
        <w:t>R</w:t>
      </w:r>
      <w:r w:rsidR="008622A2" w:rsidRPr="001B4AEA">
        <w:rPr>
          <w:spacing w:val="4"/>
        </w:rPr>
        <w:t xml:space="preserve">ecursos, </w:t>
      </w:r>
      <w:r w:rsidR="0056278C" w:rsidRPr="001B4AEA">
        <w:rPr>
          <w:spacing w:val="4"/>
        </w:rPr>
        <w:t>F</w:t>
      </w:r>
      <w:r w:rsidR="008622A2" w:rsidRPr="001B4AEA">
        <w:rPr>
          <w:spacing w:val="4"/>
        </w:rPr>
        <w:t xml:space="preserve">ormación, </w:t>
      </w:r>
      <w:r w:rsidR="0056278C" w:rsidRPr="001B4AEA">
        <w:rPr>
          <w:spacing w:val="4"/>
        </w:rPr>
        <w:t>I</w:t>
      </w:r>
      <w:r w:rsidR="008622A2" w:rsidRPr="001B4AEA">
        <w:rPr>
          <w:spacing w:val="4"/>
        </w:rPr>
        <w:t>n</w:t>
      </w:r>
      <w:r w:rsidR="008622A2" w:rsidRPr="001B4AEA">
        <w:rPr>
          <w:spacing w:val="4"/>
        </w:rPr>
        <w:t xml:space="preserve">vestigación, </w:t>
      </w:r>
      <w:r w:rsidR="0056278C" w:rsidRPr="001B4AEA">
        <w:rPr>
          <w:spacing w:val="4"/>
        </w:rPr>
        <w:t>E</w:t>
      </w:r>
      <w:r w:rsidR="008622A2" w:rsidRPr="001B4AEA">
        <w:rPr>
          <w:spacing w:val="4"/>
        </w:rPr>
        <w:t xml:space="preserve">ntorno e </w:t>
      </w:r>
      <w:r w:rsidR="0056278C" w:rsidRPr="001B4AEA">
        <w:rPr>
          <w:spacing w:val="4"/>
        </w:rPr>
        <w:t>I</w:t>
      </w:r>
      <w:r w:rsidR="008622A2" w:rsidRPr="001B4AEA">
        <w:rPr>
          <w:spacing w:val="4"/>
        </w:rPr>
        <w:t>nternacionalización, definiendo en cada uno de ellos, sus objetivos estratégicos, objetivos operativos, acciones, indicadores y responsable.</w:t>
      </w:r>
    </w:p>
    <w:p w:rsidR="00C42A2A" w:rsidRPr="005A63AB" w:rsidRDefault="00C42A2A" w:rsidP="005A63AB">
      <w:pPr>
        <w:pStyle w:val="atitulo3"/>
      </w:pPr>
      <w:r w:rsidRPr="005A63AB">
        <w:t xml:space="preserve">Evolución de indicadores no financieros </w:t>
      </w:r>
    </w:p>
    <w:p w:rsidR="00C42A2A" w:rsidRPr="001B4AEA" w:rsidRDefault="00C42A2A" w:rsidP="005A63AB">
      <w:pPr>
        <w:pStyle w:val="texto"/>
        <w:spacing w:before="240" w:after="240"/>
        <w:rPr>
          <w:spacing w:val="4"/>
        </w:rPr>
      </w:pPr>
      <w:r w:rsidRPr="001B4AEA">
        <w:rPr>
          <w:spacing w:val="4"/>
        </w:rPr>
        <w:t>En el Anexo I de este informe mostramos la evolución 2015-2017 de un co</w:t>
      </w:r>
      <w:r w:rsidRPr="001B4AEA">
        <w:rPr>
          <w:spacing w:val="4"/>
        </w:rPr>
        <w:t>n</w:t>
      </w:r>
      <w:r w:rsidRPr="001B4AEA">
        <w:rPr>
          <w:spacing w:val="4"/>
        </w:rPr>
        <w:t>junto de indicadores de naturaleza no financiera referidos a la Universidad.</w:t>
      </w:r>
    </w:p>
    <w:p w:rsidR="00A700E0" w:rsidRPr="005A63AB" w:rsidRDefault="00A700E0" w:rsidP="005A63AB">
      <w:pPr>
        <w:pStyle w:val="atitulo3"/>
      </w:pPr>
      <w:r w:rsidRPr="005A63AB">
        <w:t>Marco Normativo</w:t>
      </w:r>
    </w:p>
    <w:p w:rsidR="00A700E0" w:rsidRPr="00730AE6" w:rsidRDefault="00A700E0" w:rsidP="00A700E0">
      <w:pPr>
        <w:pStyle w:val="texto"/>
        <w:tabs>
          <w:tab w:val="clear" w:pos="2835"/>
          <w:tab w:val="clear" w:pos="3969"/>
          <w:tab w:val="clear" w:pos="5103"/>
          <w:tab w:val="clear" w:pos="6237"/>
          <w:tab w:val="clear" w:pos="7371"/>
        </w:tabs>
        <w:spacing w:before="240"/>
        <w:rPr>
          <w:szCs w:val="26"/>
        </w:rPr>
      </w:pPr>
      <w:r w:rsidRPr="00730AE6">
        <w:rPr>
          <w:szCs w:val="26"/>
        </w:rPr>
        <w:t xml:space="preserve">El </w:t>
      </w:r>
      <w:r w:rsidRPr="00A700E0">
        <w:rPr>
          <w:szCs w:val="26"/>
        </w:rPr>
        <w:t>marco normativo</w:t>
      </w:r>
      <w:r w:rsidRPr="00730AE6">
        <w:rPr>
          <w:szCs w:val="26"/>
        </w:rPr>
        <w:t xml:space="preserve"> que resulta aplicable a la </w:t>
      </w:r>
      <w:r>
        <w:rPr>
          <w:szCs w:val="26"/>
        </w:rPr>
        <w:t>Universidad</w:t>
      </w:r>
      <w:r w:rsidRPr="00730AE6">
        <w:rPr>
          <w:szCs w:val="26"/>
        </w:rPr>
        <w:t xml:space="preserve"> en 2017 está con</w:t>
      </w:r>
      <w:r w:rsidRPr="00730AE6">
        <w:rPr>
          <w:szCs w:val="26"/>
        </w:rPr>
        <w:t>s</w:t>
      </w:r>
      <w:r w:rsidRPr="00730AE6">
        <w:rPr>
          <w:szCs w:val="26"/>
        </w:rPr>
        <w:t>tituido fundamentalmente por:</w:t>
      </w:r>
    </w:p>
    <w:p w:rsidR="00A700E0" w:rsidRPr="00730AE6" w:rsidRDefault="00A700E0" w:rsidP="00A700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730AE6">
        <w:rPr>
          <w:szCs w:val="26"/>
        </w:rPr>
        <w:t>Ley Foral 8/1987, de 21 de abril de creación de la Universidad Pública de Navarra.</w:t>
      </w:r>
    </w:p>
    <w:p w:rsidR="00A700E0" w:rsidRPr="00730AE6" w:rsidRDefault="00A700E0" w:rsidP="00A700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730AE6">
        <w:rPr>
          <w:szCs w:val="26"/>
        </w:rPr>
        <w:t>Ley Orgánica de Universidades 6/2001, de 21 de diciembre</w:t>
      </w:r>
      <w:r w:rsidR="00E147EF">
        <w:rPr>
          <w:szCs w:val="26"/>
        </w:rPr>
        <w:t>,</w:t>
      </w:r>
      <w:r w:rsidRPr="00730AE6">
        <w:rPr>
          <w:szCs w:val="26"/>
        </w:rPr>
        <w:t xml:space="preserve"> de Universid</w:t>
      </w:r>
      <w:r w:rsidRPr="00730AE6">
        <w:rPr>
          <w:szCs w:val="26"/>
        </w:rPr>
        <w:t>a</w:t>
      </w:r>
      <w:r w:rsidRPr="00730AE6">
        <w:rPr>
          <w:szCs w:val="26"/>
        </w:rPr>
        <w:t xml:space="preserve">des (LOU), modificada por la Ley Orgánica 4/2007, de 12 de abril, y por el Real </w:t>
      </w:r>
      <w:r w:rsidRPr="00730AE6">
        <w:rPr>
          <w:szCs w:val="26"/>
        </w:rPr>
        <w:lastRenderedPageBreak/>
        <w:t>Decreto-Ley 14/2012, de 20 de abril, de medidas urgentes de racionalización del gasto público en el ámbito educativo.</w:t>
      </w:r>
    </w:p>
    <w:p w:rsidR="00A700E0" w:rsidRPr="00730AE6" w:rsidRDefault="00A700E0" w:rsidP="00A700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730AE6">
        <w:rPr>
          <w:szCs w:val="26"/>
        </w:rPr>
        <w:t>Ley Foral 15/2008, de 2 de julio, del Consejo Social de la Universidad P</w:t>
      </w:r>
      <w:r w:rsidRPr="00730AE6">
        <w:rPr>
          <w:szCs w:val="26"/>
        </w:rPr>
        <w:t>ú</w:t>
      </w:r>
      <w:r w:rsidRPr="00730AE6">
        <w:rPr>
          <w:szCs w:val="26"/>
        </w:rPr>
        <w:t>blica de Navarra.</w:t>
      </w:r>
    </w:p>
    <w:p w:rsidR="00A700E0" w:rsidRPr="00730AE6" w:rsidRDefault="00A700E0" w:rsidP="00A700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730AE6">
        <w:rPr>
          <w:szCs w:val="26"/>
        </w:rPr>
        <w:t>Estatutos de la Universidad, aprobados por Decreto Foral 110/2003, de 12 de mayo, modificados por Acuerdo del Gobierno de Navarra de 21 de marzo de 2011.</w:t>
      </w:r>
    </w:p>
    <w:p w:rsidR="00A700E0" w:rsidRPr="00730AE6" w:rsidRDefault="00A700E0" w:rsidP="00A700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730AE6">
        <w:rPr>
          <w:szCs w:val="26"/>
        </w:rPr>
        <w:t>Ley Orgánica 2/2012, de 20 de abril, de Estabilidad Presupuestaria y Sost</w:t>
      </w:r>
      <w:r w:rsidRPr="00730AE6">
        <w:rPr>
          <w:szCs w:val="26"/>
        </w:rPr>
        <w:t>e</w:t>
      </w:r>
      <w:r w:rsidRPr="00730AE6">
        <w:rPr>
          <w:szCs w:val="26"/>
        </w:rPr>
        <w:t>nibilidad Financiera (LOEPSF).</w:t>
      </w:r>
    </w:p>
    <w:p w:rsidR="00A700E0" w:rsidRPr="00730AE6" w:rsidRDefault="00A700E0" w:rsidP="00A700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730AE6">
        <w:rPr>
          <w:szCs w:val="26"/>
        </w:rPr>
        <w:t xml:space="preserve">Presupuesto de la </w:t>
      </w:r>
      <w:r>
        <w:rPr>
          <w:szCs w:val="26"/>
        </w:rPr>
        <w:t>Universidad</w:t>
      </w:r>
      <w:r w:rsidRPr="00730AE6">
        <w:rPr>
          <w:szCs w:val="26"/>
        </w:rPr>
        <w:t xml:space="preserve"> para el ejercicio de 2017, bases de ejecución y normas reguladoras del cierre y liquidación del mismo.</w:t>
      </w:r>
    </w:p>
    <w:p w:rsidR="00A700E0" w:rsidRPr="00730AE6" w:rsidRDefault="00A700E0" w:rsidP="00A700E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730AE6">
        <w:rPr>
          <w:szCs w:val="26"/>
        </w:rPr>
        <w:t>La normativa estatal en materia de personal docente e investigador.</w:t>
      </w:r>
    </w:p>
    <w:p w:rsidR="00D449F3" w:rsidRPr="00AC0850" w:rsidRDefault="00A700E0" w:rsidP="00C302B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8B0C30">
        <w:rPr>
          <w:szCs w:val="26"/>
        </w:rPr>
        <w:t>La normativa foral en materia del personal de administración y servicios, de hacienda pública, de contratación administrativa y de concesión de subvenci</w:t>
      </w:r>
      <w:r w:rsidRPr="008B0C30">
        <w:rPr>
          <w:szCs w:val="26"/>
        </w:rPr>
        <w:t>o</w:t>
      </w:r>
      <w:r w:rsidRPr="008B0C30">
        <w:rPr>
          <w:szCs w:val="26"/>
        </w:rPr>
        <w:t>nes.</w:t>
      </w:r>
    </w:p>
    <w:p w:rsidR="00D449F3" w:rsidRDefault="00D449F3" w:rsidP="00D449F3">
      <w:pPr>
        <w:pStyle w:val="texto"/>
        <w:tabs>
          <w:tab w:val="clear" w:pos="2835"/>
          <w:tab w:val="clear" w:pos="3969"/>
          <w:tab w:val="clear" w:pos="5103"/>
          <w:tab w:val="clear" w:pos="6237"/>
          <w:tab w:val="clear" w:pos="7371"/>
        </w:tabs>
        <w:spacing w:before="240"/>
        <w:rPr>
          <w:szCs w:val="26"/>
        </w:rPr>
      </w:pPr>
      <w:r w:rsidRPr="00D449F3">
        <w:rPr>
          <w:szCs w:val="26"/>
        </w:rPr>
        <w:t xml:space="preserve">La normativa aplicable a la Fundación </w:t>
      </w:r>
      <w:r>
        <w:rPr>
          <w:szCs w:val="26"/>
        </w:rPr>
        <w:t>en el año 2017</w:t>
      </w:r>
      <w:r w:rsidRPr="00D449F3">
        <w:rPr>
          <w:szCs w:val="26"/>
        </w:rPr>
        <w:t xml:space="preserve">, </w:t>
      </w:r>
      <w:r>
        <w:rPr>
          <w:szCs w:val="26"/>
        </w:rPr>
        <w:t>fundamentalmente, es</w:t>
      </w:r>
      <w:r w:rsidRPr="00D449F3">
        <w:rPr>
          <w:szCs w:val="26"/>
        </w:rPr>
        <w:t xml:space="preserve"> la siguiente: </w:t>
      </w:r>
    </w:p>
    <w:p w:rsidR="00AC0850" w:rsidRPr="0019681E" w:rsidRDefault="00D449F3" w:rsidP="00AC085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19681E">
        <w:t>Estatutos de la Fundación Universidad-Sociedad</w:t>
      </w:r>
      <w:r w:rsidR="00AC0850" w:rsidRPr="0019681E">
        <w:t>.</w:t>
      </w:r>
      <w:r w:rsidRPr="0019681E">
        <w:t xml:space="preserve"> </w:t>
      </w:r>
    </w:p>
    <w:p w:rsidR="00D449F3" w:rsidRPr="00AC0850" w:rsidRDefault="00D449F3" w:rsidP="00AC085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AC0850">
        <w:t>Ley Foral 10/1996, de 2 de julio, de Fundaciones.</w:t>
      </w:r>
    </w:p>
    <w:p w:rsidR="00AC0850" w:rsidRPr="00AC0850" w:rsidRDefault="00AC0850" w:rsidP="00AC085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AC0850">
        <w:t>Real Decreto 1491/2011, de 24 de octubre, por el que se aprueban las no</w:t>
      </w:r>
      <w:r w:rsidRPr="00AC0850">
        <w:t>r</w:t>
      </w:r>
      <w:r w:rsidRPr="00AC0850">
        <w:t>mas de adaptación del Plan General de Contabilidad a las entidades sin fines l</w:t>
      </w:r>
      <w:r w:rsidRPr="00AC0850">
        <w:t>u</w:t>
      </w:r>
      <w:r w:rsidRPr="00AC0850">
        <w:t>crativos y el modelo de plan de actuación de las entidades sin fines lucrativos.</w:t>
      </w:r>
    </w:p>
    <w:p w:rsidR="00AC0850" w:rsidRPr="00AC0850" w:rsidRDefault="00AC0850" w:rsidP="00D449F3">
      <w:pPr>
        <w:pStyle w:val="texto"/>
        <w:tabs>
          <w:tab w:val="clear" w:pos="2835"/>
          <w:tab w:val="clear" w:pos="3969"/>
          <w:tab w:val="clear" w:pos="5103"/>
          <w:tab w:val="clear" w:pos="6237"/>
          <w:tab w:val="clear" w:pos="7371"/>
        </w:tabs>
        <w:spacing w:before="240"/>
        <w:rPr>
          <w:szCs w:val="26"/>
        </w:rPr>
      </w:pPr>
    </w:p>
    <w:p w:rsidR="007A54CF" w:rsidRDefault="00AC0850" w:rsidP="00D449F3">
      <w:pPr>
        <w:pStyle w:val="texto"/>
        <w:tabs>
          <w:tab w:val="clear" w:pos="2835"/>
          <w:tab w:val="clear" w:pos="3969"/>
          <w:tab w:val="clear" w:pos="5103"/>
          <w:tab w:val="clear" w:pos="6237"/>
          <w:tab w:val="clear" w:pos="7371"/>
        </w:tabs>
        <w:spacing w:before="240"/>
      </w:pPr>
      <w:r>
        <w:t xml:space="preserve"> </w:t>
      </w:r>
      <w:r w:rsidR="007A54CF">
        <w:br w:type="page"/>
      </w:r>
    </w:p>
    <w:p w:rsidR="00613F68" w:rsidRDefault="00613F68" w:rsidP="00331AF7">
      <w:pPr>
        <w:pStyle w:val="atitulo1"/>
      </w:pPr>
      <w:bookmarkStart w:id="12" w:name="_Toc3967012"/>
      <w:r>
        <w:lastRenderedPageBreak/>
        <w:t>III. Objetivo y alcance</w:t>
      </w:r>
      <w:bookmarkEnd w:id="12"/>
    </w:p>
    <w:p w:rsidR="000446DB" w:rsidRDefault="000446DB" w:rsidP="00613F68">
      <w:pPr>
        <w:pStyle w:val="texto"/>
        <w:rPr>
          <w:szCs w:val="26"/>
        </w:rPr>
      </w:pPr>
      <w:r>
        <w:rPr>
          <w:szCs w:val="26"/>
        </w:rPr>
        <w:t>Los objetivos de nuestro trabajo son los siguientes:</w:t>
      </w:r>
    </w:p>
    <w:p w:rsidR="00613F68" w:rsidRPr="00730AE6" w:rsidRDefault="00613F68" w:rsidP="00613F68">
      <w:pPr>
        <w:pStyle w:val="texto"/>
        <w:rPr>
          <w:szCs w:val="26"/>
        </w:rPr>
      </w:pPr>
      <w:r w:rsidRPr="00730AE6">
        <w:rPr>
          <w:szCs w:val="26"/>
        </w:rPr>
        <w:t xml:space="preserve">El objetivo de la fiscalización financiera es expresar nuestra opinión acerca de si las cuentas anuales de la </w:t>
      </w:r>
      <w:r>
        <w:rPr>
          <w:szCs w:val="26"/>
        </w:rPr>
        <w:t>Universidad</w:t>
      </w:r>
      <w:r w:rsidRPr="00730AE6">
        <w:rPr>
          <w:szCs w:val="26"/>
        </w:rPr>
        <w:t xml:space="preserve"> del ejercicio 2017 reflejan, en todos los aspectos significativos, la imagen fiel del patrimonio, de la liquidación del pr</w:t>
      </w:r>
      <w:r w:rsidRPr="00730AE6">
        <w:rPr>
          <w:szCs w:val="26"/>
        </w:rPr>
        <w:t>e</w:t>
      </w:r>
      <w:r w:rsidRPr="00730AE6">
        <w:rPr>
          <w:szCs w:val="26"/>
        </w:rPr>
        <w:t>supuesto y de la situación financiera a 31 de diciembre de 2017, así como del r</w:t>
      </w:r>
      <w:r w:rsidRPr="00730AE6">
        <w:rPr>
          <w:szCs w:val="26"/>
        </w:rPr>
        <w:t>e</w:t>
      </w:r>
      <w:r w:rsidRPr="00730AE6">
        <w:rPr>
          <w:szCs w:val="26"/>
        </w:rPr>
        <w:t xml:space="preserve">sultado económico patrimonial correspondiente al ejercicio anual terminado en dicha fecha, de conformidad con el marco normativo de información financiera pública que resulta de aplicación y, en particular, con los principios y criterios contables contenidos en el mismo. </w:t>
      </w:r>
    </w:p>
    <w:p w:rsidR="00613F68" w:rsidRPr="00730AE6" w:rsidRDefault="00613F68" w:rsidP="00613F68">
      <w:pPr>
        <w:pStyle w:val="texto"/>
        <w:rPr>
          <w:szCs w:val="26"/>
        </w:rPr>
      </w:pPr>
      <w:r w:rsidRPr="00730AE6">
        <w:rPr>
          <w:szCs w:val="26"/>
        </w:rPr>
        <w:t>Conjuntamente con la auditoría financiera de las cuentas anuales, hemos pl</w:t>
      </w:r>
      <w:r w:rsidRPr="00730AE6">
        <w:rPr>
          <w:szCs w:val="26"/>
        </w:rPr>
        <w:t>a</w:t>
      </w:r>
      <w:r w:rsidRPr="00730AE6">
        <w:rPr>
          <w:szCs w:val="26"/>
        </w:rPr>
        <w:t>nificado y ejecutado una fiscalización de cumplimiento de la legalidad para em</w:t>
      </w:r>
      <w:r w:rsidRPr="00730AE6">
        <w:rPr>
          <w:szCs w:val="26"/>
        </w:rPr>
        <w:t>i</w:t>
      </w:r>
      <w:r w:rsidRPr="00730AE6">
        <w:rPr>
          <w:szCs w:val="26"/>
        </w:rPr>
        <w:t xml:space="preserve">tir una opinión sobre si las actividades, operaciones presupuestarias y financieras realizadas por la </w:t>
      </w:r>
      <w:r>
        <w:rPr>
          <w:szCs w:val="26"/>
        </w:rPr>
        <w:t>Universidad</w:t>
      </w:r>
      <w:r w:rsidRPr="00730AE6">
        <w:rPr>
          <w:szCs w:val="26"/>
        </w:rPr>
        <w:t xml:space="preserve"> durante el ejercicio y la información reflejada en las cuentas anuales del ejercicio 2017 resultan conformes en todos los aspectos significativos con las normas aplicables a la gestión de los fondos públicos. </w:t>
      </w:r>
    </w:p>
    <w:p w:rsidR="00552185" w:rsidRPr="00730AE6" w:rsidRDefault="00552185" w:rsidP="00552185">
      <w:pPr>
        <w:pStyle w:val="texto"/>
        <w:rPr>
          <w:szCs w:val="26"/>
        </w:rPr>
      </w:pPr>
      <w:r>
        <w:rPr>
          <w:szCs w:val="26"/>
        </w:rPr>
        <w:t xml:space="preserve">El alcance de nuestro trabajo </w:t>
      </w:r>
      <w:r w:rsidR="00993301">
        <w:rPr>
          <w:szCs w:val="26"/>
        </w:rPr>
        <w:t xml:space="preserve">son las cuentas anuales de la Universidad que </w:t>
      </w:r>
      <w:r>
        <w:rPr>
          <w:szCs w:val="26"/>
        </w:rPr>
        <w:t>comprende</w:t>
      </w:r>
      <w:r w:rsidR="00993301">
        <w:rPr>
          <w:szCs w:val="26"/>
        </w:rPr>
        <w:t>n</w:t>
      </w:r>
      <w:r w:rsidRPr="00730AE6">
        <w:rPr>
          <w:szCs w:val="26"/>
        </w:rPr>
        <w:t xml:space="preserve"> todas las operaciones presupuestarias, patrimoniales y de tesorería llevadas a cabo durante el ejercicio, y constan, fundamentalmente, de los s</w:t>
      </w:r>
      <w:r w:rsidRPr="00730AE6">
        <w:rPr>
          <w:szCs w:val="26"/>
        </w:rPr>
        <w:t>i</w:t>
      </w:r>
      <w:r w:rsidRPr="00730AE6">
        <w:rPr>
          <w:szCs w:val="26"/>
        </w:rPr>
        <w:t>guientes documentos:</w:t>
      </w:r>
    </w:p>
    <w:p w:rsidR="00552185" w:rsidRPr="00730AE6" w:rsidRDefault="00552185" w:rsidP="002A426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szCs w:val="26"/>
        </w:rPr>
      </w:pPr>
      <w:r w:rsidRPr="00730AE6">
        <w:rPr>
          <w:szCs w:val="26"/>
        </w:rPr>
        <w:t>El estado de liquidación del presupuesto.</w:t>
      </w:r>
    </w:p>
    <w:p w:rsidR="00552185" w:rsidRPr="00730AE6" w:rsidRDefault="00552185" w:rsidP="002A426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szCs w:val="26"/>
        </w:rPr>
      </w:pPr>
      <w:r w:rsidRPr="00730AE6">
        <w:rPr>
          <w:szCs w:val="26"/>
        </w:rPr>
        <w:t>El balance</w:t>
      </w:r>
      <w:r w:rsidR="005B001B">
        <w:rPr>
          <w:szCs w:val="26"/>
        </w:rPr>
        <w:t>.</w:t>
      </w:r>
    </w:p>
    <w:p w:rsidR="00552185" w:rsidRPr="00730AE6" w:rsidRDefault="00552185" w:rsidP="002A426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szCs w:val="26"/>
        </w:rPr>
      </w:pPr>
      <w:r w:rsidRPr="00730AE6">
        <w:rPr>
          <w:szCs w:val="26"/>
        </w:rPr>
        <w:t>La cuenta de resultado económico-patrimonial.</w:t>
      </w:r>
    </w:p>
    <w:p w:rsidR="00552185" w:rsidRPr="00730AE6" w:rsidRDefault="00552185" w:rsidP="002A426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szCs w:val="26"/>
        </w:rPr>
      </w:pPr>
      <w:r w:rsidRPr="00730AE6">
        <w:rPr>
          <w:szCs w:val="26"/>
        </w:rPr>
        <w:t xml:space="preserve">La memoria. </w:t>
      </w:r>
    </w:p>
    <w:p w:rsidR="00552185" w:rsidRPr="00730AE6" w:rsidRDefault="00552185" w:rsidP="002A426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szCs w:val="26"/>
        </w:rPr>
      </w:pPr>
      <w:r w:rsidRPr="00730AE6">
        <w:rPr>
          <w:szCs w:val="26"/>
        </w:rPr>
        <w:t xml:space="preserve">Las cuentas anuales de la </w:t>
      </w:r>
      <w:r>
        <w:rPr>
          <w:szCs w:val="26"/>
        </w:rPr>
        <w:t>F</w:t>
      </w:r>
      <w:r w:rsidRPr="00730AE6">
        <w:rPr>
          <w:szCs w:val="26"/>
        </w:rPr>
        <w:t>undación: balance y cuenta de resulta</w:t>
      </w:r>
      <w:r>
        <w:rPr>
          <w:szCs w:val="26"/>
        </w:rPr>
        <w:t xml:space="preserve">dos. </w:t>
      </w:r>
    </w:p>
    <w:p w:rsidR="00552185" w:rsidRPr="00730AE6" w:rsidRDefault="00552185" w:rsidP="002A426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szCs w:val="26"/>
        </w:rPr>
      </w:pPr>
      <w:r w:rsidRPr="00730AE6">
        <w:rPr>
          <w:szCs w:val="26"/>
        </w:rPr>
        <w:t xml:space="preserve">Las cuentas anuales consolidadas: balance </w:t>
      </w:r>
      <w:r w:rsidR="002F5615">
        <w:rPr>
          <w:szCs w:val="26"/>
        </w:rPr>
        <w:t xml:space="preserve">consolidado </w:t>
      </w:r>
      <w:r w:rsidRPr="00730AE6">
        <w:rPr>
          <w:szCs w:val="26"/>
        </w:rPr>
        <w:t>y cuenta del result</w:t>
      </w:r>
      <w:r w:rsidRPr="00730AE6">
        <w:rPr>
          <w:szCs w:val="26"/>
        </w:rPr>
        <w:t>a</w:t>
      </w:r>
      <w:r w:rsidRPr="00730AE6">
        <w:rPr>
          <w:szCs w:val="26"/>
        </w:rPr>
        <w:t>do económi</w:t>
      </w:r>
      <w:r w:rsidR="002F5615">
        <w:rPr>
          <w:szCs w:val="26"/>
        </w:rPr>
        <w:t>co-patrimonial consolidada.</w:t>
      </w:r>
    </w:p>
    <w:p w:rsidR="00552185" w:rsidRDefault="00552185" w:rsidP="00613F68">
      <w:pPr>
        <w:pStyle w:val="texto"/>
        <w:tabs>
          <w:tab w:val="clear" w:pos="2835"/>
          <w:tab w:val="clear" w:pos="3969"/>
          <w:tab w:val="clear" w:pos="5103"/>
          <w:tab w:val="clear" w:pos="6237"/>
          <w:tab w:val="clear" w:pos="7371"/>
        </w:tabs>
        <w:rPr>
          <w:szCs w:val="26"/>
        </w:rPr>
      </w:pPr>
    </w:p>
    <w:p w:rsidR="00613F68" w:rsidRDefault="00613F68">
      <w:pPr>
        <w:spacing w:after="0"/>
        <w:ind w:firstLine="0"/>
        <w:jc w:val="left"/>
        <w:rPr>
          <w:spacing w:val="6"/>
          <w:sz w:val="26"/>
          <w:szCs w:val="26"/>
        </w:rPr>
      </w:pPr>
      <w:r>
        <w:rPr>
          <w:szCs w:val="26"/>
        </w:rPr>
        <w:br w:type="page"/>
      </w:r>
    </w:p>
    <w:p w:rsidR="0038122A" w:rsidRPr="00730AE6" w:rsidRDefault="00613F68" w:rsidP="00331AF7">
      <w:pPr>
        <w:pStyle w:val="atitulo1"/>
      </w:pPr>
      <w:bookmarkStart w:id="13" w:name="_Toc3967013"/>
      <w:r>
        <w:lastRenderedPageBreak/>
        <w:t>IV</w:t>
      </w:r>
      <w:r w:rsidR="0038122A" w:rsidRPr="00730AE6">
        <w:t>. Opinión</w:t>
      </w:r>
      <w:bookmarkEnd w:id="13"/>
      <w:r w:rsidR="00B86CD0" w:rsidRPr="00730AE6">
        <w:t xml:space="preserve"> </w:t>
      </w:r>
      <w:bookmarkEnd w:id="6"/>
    </w:p>
    <w:p w:rsidR="000702E9" w:rsidRPr="00730AE6" w:rsidRDefault="000702E9" w:rsidP="000702E9">
      <w:pPr>
        <w:pStyle w:val="texto"/>
      </w:pPr>
      <w:r w:rsidRPr="00730AE6">
        <w:t>Hemos fiscalizado las cuentas anuales de la Universidad Pública de Navarra correspondientes al ejercicio de 201</w:t>
      </w:r>
      <w:r w:rsidR="00AA0208" w:rsidRPr="00730AE6">
        <w:t>7</w:t>
      </w:r>
      <w:r w:rsidRPr="00730AE6">
        <w:t xml:space="preserve">, cuyos estados contables se recogen de forma resumida en el epígrafe </w:t>
      </w:r>
      <w:r w:rsidR="00E147EF">
        <w:t>V</w:t>
      </w:r>
      <w:r w:rsidRPr="00730AE6">
        <w:t xml:space="preserve"> de este informe</w:t>
      </w:r>
      <w:r w:rsidR="00467B02" w:rsidRPr="00730AE6">
        <w:t xml:space="preserve"> y de forma completa en la m</w:t>
      </w:r>
      <w:r w:rsidR="00467B02" w:rsidRPr="00730AE6">
        <w:t>e</w:t>
      </w:r>
      <w:r w:rsidR="00467B02" w:rsidRPr="00730AE6">
        <w:t xml:space="preserve">moria de la Universidad que se adjunta en </w:t>
      </w:r>
      <w:r w:rsidR="00DD6D5A" w:rsidRPr="00730AE6">
        <w:t>el mismo</w:t>
      </w:r>
      <w:r w:rsidRPr="00730AE6">
        <w:t>.</w:t>
      </w:r>
    </w:p>
    <w:p w:rsidR="0038122A" w:rsidRPr="00730AE6" w:rsidRDefault="0038122A" w:rsidP="0038122A">
      <w:pPr>
        <w:pStyle w:val="atitulo3"/>
      </w:pPr>
      <w:r w:rsidRPr="00730AE6">
        <w:t>Responsabilidad de</w:t>
      </w:r>
      <w:r w:rsidR="000702E9" w:rsidRPr="00730AE6">
        <w:t xml:space="preserve"> </w:t>
      </w:r>
      <w:r w:rsidRPr="00730AE6">
        <w:t>l</w:t>
      </w:r>
      <w:r w:rsidR="000702E9" w:rsidRPr="00730AE6">
        <w:t>a Universidad Pública de Navarra</w:t>
      </w:r>
      <w:r w:rsidRPr="00730AE6">
        <w:t xml:space="preserve"> </w:t>
      </w:r>
    </w:p>
    <w:p w:rsidR="000702E9" w:rsidRDefault="004739B1" w:rsidP="000702E9">
      <w:pPr>
        <w:pStyle w:val="texto"/>
      </w:pPr>
      <w:r w:rsidRPr="00730AE6">
        <w:t>L</w:t>
      </w:r>
      <w:r w:rsidR="00485CD2" w:rsidRPr="00730AE6">
        <w:t>a</w:t>
      </w:r>
      <w:r w:rsidRPr="00730AE6">
        <w:t xml:space="preserve"> Gerencia, bajo la dirección del </w:t>
      </w:r>
      <w:r w:rsidR="00C10032">
        <w:t>R</w:t>
      </w:r>
      <w:r w:rsidRPr="00730AE6">
        <w:t>ector,</w:t>
      </w:r>
      <w:r w:rsidR="000702E9" w:rsidRPr="00730AE6">
        <w:t xml:space="preserve"> </w:t>
      </w:r>
      <w:r w:rsidRPr="00730AE6">
        <w:t xml:space="preserve">es </w:t>
      </w:r>
      <w:r w:rsidR="000702E9" w:rsidRPr="00730AE6">
        <w:t>responsable de formular las cuentas anuales,</w:t>
      </w:r>
      <w:r w:rsidRPr="00730AE6">
        <w:t xml:space="preserve"> que a propuesta del Consejo de Gobierno serán aprobadas por el Consejo Social,</w:t>
      </w:r>
      <w:r w:rsidR="000702E9" w:rsidRPr="00730AE6">
        <w:t xml:space="preserve"> de forma que expresen la imagen fiel </w:t>
      </w:r>
      <w:r w:rsidR="00022611" w:rsidRPr="00730AE6">
        <w:t>del patrimonio, de la situ</w:t>
      </w:r>
      <w:r w:rsidR="00022611" w:rsidRPr="00730AE6">
        <w:t>a</w:t>
      </w:r>
      <w:r w:rsidR="00022611" w:rsidRPr="00730AE6">
        <w:t>ción financiera, de los resultados y de la ejecución del presupuesto de</w:t>
      </w:r>
      <w:r w:rsidR="000702E9" w:rsidRPr="00730AE6">
        <w:t xml:space="preserve"> la Unive</w:t>
      </w:r>
      <w:r w:rsidR="000702E9" w:rsidRPr="00730AE6">
        <w:t>r</w:t>
      </w:r>
      <w:r w:rsidR="000702E9" w:rsidRPr="00730AE6">
        <w:t>sidad de conformidad con el marco normativo de</w:t>
      </w:r>
      <w:r w:rsidR="00CF6110" w:rsidRPr="00730AE6">
        <w:t xml:space="preserve"> información financiera </w:t>
      </w:r>
      <w:r w:rsidR="000702E9" w:rsidRPr="00730AE6">
        <w:t>aplic</w:t>
      </w:r>
      <w:r w:rsidR="000702E9" w:rsidRPr="00730AE6">
        <w:t>a</w:t>
      </w:r>
      <w:r w:rsidR="000702E9" w:rsidRPr="00730AE6">
        <w:t>ble</w:t>
      </w:r>
      <w:r w:rsidR="00022611" w:rsidRPr="00730AE6">
        <w:t>, y del control interno que considere</w:t>
      </w:r>
      <w:r w:rsidR="00A2212D" w:rsidRPr="00730AE6">
        <w:t>n</w:t>
      </w:r>
      <w:r w:rsidR="00022611" w:rsidRPr="00730AE6">
        <w:t xml:space="preserve"> necesario para permitir la preparación y presentación de las cuentas anuale</w:t>
      </w:r>
      <w:r w:rsidR="000702E9" w:rsidRPr="00730AE6">
        <w:t>s libres de incorrecciones materiales</w:t>
      </w:r>
      <w:r w:rsidR="00022611" w:rsidRPr="00730AE6">
        <w:t>,</w:t>
      </w:r>
      <w:r w:rsidR="000702E9" w:rsidRPr="00730AE6">
        <w:t xml:space="preserve"> debidas a fraude o error. </w:t>
      </w:r>
    </w:p>
    <w:p w:rsidR="00993301" w:rsidRDefault="00993301" w:rsidP="00993301">
      <w:pPr>
        <w:pStyle w:val="texto"/>
        <w:tabs>
          <w:tab w:val="clear" w:pos="2835"/>
          <w:tab w:val="clear" w:pos="3969"/>
          <w:tab w:val="clear" w:pos="5103"/>
          <w:tab w:val="clear" w:pos="6237"/>
          <w:tab w:val="clear" w:pos="7371"/>
        </w:tabs>
        <w:rPr>
          <w:szCs w:val="26"/>
        </w:rPr>
      </w:pPr>
      <w:r>
        <w:rPr>
          <w:szCs w:val="26"/>
        </w:rPr>
        <w:t>L</w:t>
      </w:r>
      <w:r w:rsidRPr="00730AE6">
        <w:rPr>
          <w:szCs w:val="26"/>
        </w:rPr>
        <w:t xml:space="preserve">as cuentas anuales </w:t>
      </w:r>
      <w:r>
        <w:rPr>
          <w:szCs w:val="26"/>
        </w:rPr>
        <w:t xml:space="preserve">de la Universidad </w:t>
      </w:r>
      <w:r w:rsidRPr="00730AE6">
        <w:rPr>
          <w:szCs w:val="26"/>
        </w:rPr>
        <w:t xml:space="preserve">de 2017 fueron aprobadas por el </w:t>
      </w:r>
      <w:r>
        <w:rPr>
          <w:szCs w:val="26"/>
        </w:rPr>
        <w:t>Cons</w:t>
      </w:r>
      <w:r>
        <w:rPr>
          <w:szCs w:val="26"/>
        </w:rPr>
        <w:t>e</w:t>
      </w:r>
      <w:r>
        <w:rPr>
          <w:szCs w:val="26"/>
        </w:rPr>
        <w:t>jo Social</w:t>
      </w:r>
      <w:r w:rsidRPr="00730AE6">
        <w:rPr>
          <w:szCs w:val="26"/>
        </w:rPr>
        <w:t xml:space="preserve"> el 25 de junio de 2018.</w:t>
      </w:r>
    </w:p>
    <w:p w:rsidR="000702E9" w:rsidRPr="00730AE6" w:rsidRDefault="00022611" w:rsidP="000702E9">
      <w:pPr>
        <w:pStyle w:val="texto"/>
      </w:pPr>
      <w:r w:rsidRPr="00730AE6">
        <w:t xml:space="preserve">Además de la responsabilidad de formular y presentar las cuentas anuales, </w:t>
      </w:r>
      <w:r w:rsidR="000446DB">
        <w:t xml:space="preserve">la Gerencia </w:t>
      </w:r>
      <w:r w:rsidRPr="00730AE6">
        <w:t>debe garantizar que las actividades, operaciones presupuestarias y f</w:t>
      </w:r>
      <w:r w:rsidRPr="00730AE6">
        <w:t>i</w:t>
      </w:r>
      <w:r w:rsidRPr="00730AE6">
        <w:t xml:space="preserve">nancieras y la información reflejadas en las cuentas anuales resultan conformes con las normas aplicables y </w:t>
      </w:r>
      <w:r w:rsidR="00096E69" w:rsidRPr="00730AE6">
        <w:t xml:space="preserve">de </w:t>
      </w:r>
      <w:r w:rsidRPr="00730AE6">
        <w:t>establecer los sistemas de control interno que consideren necesario para esa finalidad.</w:t>
      </w:r>
    </w:p>
    <w:p w:rsidR="000702E9" w:rsidRPr="00730AE6" w:rsidRDefault="000702E9" w:rsidP="000702E9">
      <w:pPr>
        <w:pStyle w:val="atitulo3"/>
      </w:pPr>
      <w:r w:rsidRPr="00730AE6">
        <w:t>Responsabilidad de la Cámara de Comptos de Navarra</w:t>
      </w:r>
    </w:p>
    <w:p w:rsidR="00A2212D" w:rsidRPr="00730AE6" w:rsidRDefault="000702E9" w:rsidP="000702E9">
      <w:pPr>
        <w:pStyle w:val="texto"/>
      </w:pPr>
      <w:r w:rsidRPr="00730AE6">
        <w:t xml:space="preserve">Nuestra responsabilidad es expresar una opinión sobre las cuentas </w:t>
      </w:r>
      <w:r w:rsidR="00A2212D" w:rsidRPr="00730AE6">
        <w:t>anuales</w:t>
      </w:r>
      <w:r w:rsidRPr="00730AE6">
        <w:t xml:space="preserve"> a</w:t>
      </w:r>
      <w:r w:rsidRPr="00730AE6">
        <w:t>d</w:t>
      </w:r>
      <w:r w:rsidRPr="00730AE6">
        <w:t xml:space="preserve">juntas y </w:t>
      </w:r>
      <w:r w:rsidR="00A2212D" w:rsidRPr="00730AE6">
        <w:t xml:space="preserve">sobre </w:t>
      </w:r>
      <w:r w:rsidRPr="00730AE6">
        <w:t>la legalidad de las operaciones efectuadas basada en nuestra fisc</w:t>
      </w:r>
      <w:r w:rsidRPr="00730AE6">
        <w:t>a</w:t>
      </w:r>
      <w:r w:rsidRPr="00730AE6">
        <w:t xml:space="preserve">lización. </w:t>
      </w:r>
    </w:p>
    <w:p w:rsidR="000702E9" w:rsidRPr="00730AE6" w:rsidRDefault="000702E9" w:rsidP="000702E9">
      <w:pPr>
        <w:pStyle w:val="texto"/>
      </w:pPr>
      <w:r w:rsidRPr="00730AE6">
        <w:t>Para ello, hemos llevado a cabo la misma de conformidad con los p</w:t>
      </w:r>
      <w:r w:rsidR="00A2212D" w:rsidRPr="00730AE6">
        <w:t>rincipios fundamentales</w:t>
      </w:r>
      <w:r w:rsidRPr="00730AE6">
        <w:t xml:space="preserve"> de fiscalización</w:t>
      </w:r>
      <w:r w:rsidR="001C2E1E">
        <w:t xml:space="preserve"> adoptados por </w:t>
      </w:r>
      <w:r w:rsidRPr="00730AE6">
        <w:t>las Instituciones Públicas de Co</w:t>
      </w:r>
      <w:r w:rsidRPr="00730AE6">
        <w:t>n</w:t>
      </w:r>
      <w:r w:rsidRPr="00730AE6">
        <w:t>trol Externo</w:t>
      </w:r>
      <w:r w:rsidR="005F5B33">
        <w:t xml:space="preserve">, </w:t>
      </w:r>
      <w:r w:rsidR="005F5B33" w:rsidRPr="005F5B33">
        <w:rPr>
          <w:szCs w:val="26"/>
        </w:rPr>
        <w:t>y establecidos en las ISSAI-ES, aplicándose fundamentalmente la ISSAI-ES 200 referida a las fiscalizaciones financieras y la ISSAI-ES 400, ref</w:t>
      </w:r>
      <w:r w:rsidR="005F5B33" w:rsidRPr="005F5B33">
        <w:rPr>
          <w:szCs w:val="26"/>
        </w:rPr>
        <w:t>e</w:t>
      </w:r>
      <w:r w:rsidR="005F5B33" w:rsidRPr="005F5B33">
        <w:rPr>
          <w:szCs w:val="26"/>
        </w:rPr>
        <w:t>rida a las fiscalizaciones de cumplimiento. Se inclu</w:t>
      </w:r>
      <w:r w:rsidR="000446DB">
        <w:rPr>
          <w:szCs w:val="26"/>
        </w:rPr>
        <w:t>yen</w:t>
      </w:r>
      <w:r w:rsidR="005F5B33" w:rsidRPr="005F5B33">
        <w:rPr>
          <w:szCs w:val="26"/>
        </w:rPr>
        <w:t xml:space="preserve"> todos aquellos proced</w:t>
      </w:r>
      <w:r w:rsidR="005F5B33" w:rsidRPr="005F5B33">
        <w:rPr>
          <w:szCs w:val="26"/>
        </w:rPr>
        <w:t>i</w:t>
      </w:r>
      <w:r w:rsidR="005F5B33" w:rsidRPr="005F5B33">
        <w:rPr>
          <w:szCs w:val="26"/>
        </w:rPr>
        <w:t>mientos técnicos considerados necesarios, de acuerdo con las circunstancias y con el objetivo del trabajo</w:t>
      </w:r>
      <w:r w:rsidR="000446DB">
        <w:rPr>
          <w:szCs w:val="26"/>
        </w:rPr>
        <w:t>.</w:t>
      </w:r>
      <w:r w:rsidRPr="005F5B33">
        <w:t xml:space="preserve"> </w:t>
      </w:r>
      <w:r w:rsidRPr="00730AE6">
        <w:t>Dichos principios exigen que cumplamos los requ</w:t>
      </w:r>
      <w:r w:rsidRPr="00730AE6">
        <w:t>e</w:t>
      </w:r>
      <w:r w:rsidRPr="00730AE6">
        <w:t xml:space="preserve">rimientos de ética, así como que planifiquemos y ejecutemos la fiscalización con el fin de obtener una seguridad razonable de que las cuentas </w:t>
      </w:r>
      <w:r w:rsidR="00A2212D" w:rsidRPr="00730AE6">
        <w:t>anuales</w:t>
      </w:r>
      <w:r w:rsidRPr="00730AE6">
        <w:t xml:space="preserve"> están libres de incorrecciones materiales y que las actividades, operaciones financieras y la información reflejadas en los estados financieros resultan, en todos los aspectos significativos, conformes con la normativa vigente. </w:t>
      </w:r>
    </w:p>
    <w:p w:rsidR="000446DB" w:rsidRDefault="00A2212D" w:rsidP="00A2212D">
      <w:pPr>
        <w:pStyle w:val="texto"/>
      </w:pPr>
      <w:r w:rsidRPr="00730AE6">
        <w:lastRenderedPageBreak/>
        <w:t>Una fiscalización requiere la aplicación de procedimientos para obtener ev</w:t>
      </w:r>
      <w:r w:rsidRPr="00730AE6">
        <w:t>i</w:t>
      </w:r>
      <w:r w:rsidRPr="00730AE6">
        <w:t>dencia de auditoría sobre los importes y la información revelada en las cuentas anuales y sobre el cumplimiento de los aspectos relevantes establecidos en la normativa durante el ejercicio fiscalizado. Los procedimientos seleccionados d</w:t>
      </w:r>
      <w:r w:rsidRPr="00730AE6">
        <w:t>e</w:t>
      </w:r>
      <w:r w:rsidRPr="00730AE6">
        <w:t>penden del juicio del auditor, incluida la valoración de los riesgos tanto de inc</w:t>
      </w:r>
      <w:r w:rsidRPr="00730AE6">
        <w:t>o</w:t>
      </w:r>
      <w:r w:rsidRPr="00730AE6">
        <w:t>rrección material en las cuentas anuales, debida a fraude o error, como de i</w:t>
      </w:r>
      <w:r w:rsidRPr="00730AE6">
        <w:t>n</w:t>
      </w:r>
      <w:r w:rsidRPr="00730AE6">
        <w:t xml:space="preserve">cumplimientos significativos de la legalidad. </w:t>
      </w:r>
    </w:p>
    <w:p w:rsidR="00A2212D" w:rsidRPr="00730AE6" w:rsidRDefault="00A2212D" w:rsidP="00A2212D">
      <w:pPr>
        <w:pStyle w:val="texto"/>
      </w:pPr>
      <w:r w:rsidRPr="00730AE6">
        <w:t>Al efectuar dichas valoraciones del riesgo, el auditor tiene en cuenta el control interno relevante para la formulación por parte de la entidad de las cuentas anu</w:t>
      </w:r>
      <w:r w:rsidRPr="00730AE6">
        <w:t>a</w:t>
      </w:r>
      <w:r w:rsidRPr="00730AE6">
        <w:t>les y para garantizar el cumplimiento de la legalidad, con el fin de diseñar los procedimientos de auditoría que sean adecuados en función de las circunsta</w:t>
      </w:r>
      <w:r w:rsidRPr="00730AE6">
        <w:t>n</w:t>
      </w:r>
      <w:r w:rsidRPr="00730AE6">
        <w:t>cias, y no con la finalidad de expresar una opinión sobre la eficacia del control interno de la entidad. Una auditoría también incluye la evaluación de la adecu</w:t>
      </w:r>
      <w:r w:rsidRPr="00730AE6">
        <w:t>a</w:t>
      </w:r>
      <w:r w:rsidRPr="00730AE6">
        <w:t>ción de las políticas contables aplicadas y de la razonabilidad de las estimaci</w:t>
      </w:r>
      <w:r w:rsidRPr="00730AE6">
        <w:t>o</w:t>
      </w:r>
      <w:r w:rsidRPr="00730AE6">
        <w:t>nes contables realizadas por la dirección, así como la evaluación de la present</w:t>
      </w:r>
      <w:r w:rsidRPr="00730AE6">
        <w:t>a</w:t>
      </w:r>
      <w:r w:rsidRPr="00730AE6">
        <w:t>ción de las cuentas anuales tomadas en su conjunto.</w:t>
      </w:r>
    </w:p>
    <w:p w:rsidR="00A2212D" w:rsidRPr="00730AE6" w:rsidRDefault="00A2212D" w:rsidP="00A2212D">
      <w:pPr>
        <w:pStyle w:val="texto"/>
      </w:pPr>
      <w:r w:rsidRPr="00730AE6">
        <w:t xml:space="preserve">Consideramos que la evidencia de auditoría que hemos obtenido proporciona una base suficiente y adecuada para </w:t>
      </w:r>
      <w:r w:rsidR="002D48DB" w:rsidRPr="00730AE6">
        <w:t xml:space="preserve">fundamentar </w:t>
      </w:r>
      <w:r w:rsidRPr="00730AE6">
        <w:t>nuestra opinión</w:t>
      </w:r>
      <w:r w:rsidR="008E7D7B" w:rsidRPr="00730AE6">
        <w:t xml:space="preserve"> </w:t>
      </w:r>
      <w:r w:rsidRPr="00730AE6">
        <w:t>de auditoría financiera</w:t>
      </w:r>
      <w:r w:rsidR="002D48DB" w:rsidRPr="00730AE6">
        <w:t xml:space="preserve"> </w:t>
      </w:r>
      <w:r w:rsidRPr="00730AE6">
        <w:t xml:space="preserve">y de </w:t>
      </w:r>
      <w:r w:rsidR="00B86CD0" w:rsidRPr="00730AE6">
        <w:t xml:space="preserve">fiscalización del </w:t>
      </w:r>
      <w:r w:rsidRPr="00730AE6">
        <w:t>cumplimiento de legalidad.</w:t>
      </w:r>
    </w:p>
    <w:p w:rsidR="00A2212D" w:rsidRPr="00730AE6" w:rsidRDefault="00613F68" w:rsidP="00A2212D">
      <w:pPr>
        <w:pStyle w:val="atitulo2"/>
        <w:spacing w:before="240"/>
      </w:pPr>
      <w:bookmarkStart w:id="14" w:name="_Toc3967014"/>
      <w:bookmarkStart w:id="15" w:name="_Toc305415950"/>
      <w:bookmarkStart w:id="16" w:name="_Toc305480468"/>
      <w:bookmarkStart w:id="17" w:name="_Toc402180175"/>
      <w:bookmarkStart w:id="18" w:name="_Toc188167196"/>
      <w:bookmarkStart w:id="19" w:name="_Toc303592533"/>
      <w:bookmarkStart w:id="20" w:name="_Toc309383716"/>
      <w:bookmarkStart w:id="21" w:name="_Toc339016605"/>
      <w:r>
        <w:t>IV</w:t>
      </w:r>
      <w:r w:rsidR="00A2212D" w:rsidRPr="00730AE6">
        <w:t xml:space="preserve">.1. Opinión </w:t>
      </w:r>
      <w:r w:rsidR="002747C7" w:rsidRPr="00730AE6">
        <w:t xml:space="preserve">de auditoría </w:t>
      </w:r>
      <w:r w:rsidR="00A2212D" w:rsidRPr="00730AE6">
        <w:t>financiera sobre las cuentas anuales de 201</w:t>
      </w:r>
      <w:r w:rsidR="00AA0208" w:rsidRPr="00730AE6">
        <w:t>7</w:t>
      </w:r>
      <w:bookmarkEnd w:id="14"/>
    </w:p>
    <w:p w:rsidR="00513B14" w:rsidRPr="008412E5" w:rsidRDefault="003861C7" w:rsidP="005A63AB">
      <w:pPr>
        <w:pStyle w:val="atitulo3"/>
      </w:pPr>
      <w:r w:rsidRPr="008412E5">
        <w:t xml:space="preserve">Opinión </w:t>
      </w:r>
      <w:r w:rsidR="008E7D7B" w:rsidRPr="008412E5">
        <w:t xml:space="preserve">de auditoría </w:t>
      </w:r>
      <w:r w:rsidRPr="008412E5">
        <w:t>financiera</w:t>
      </w:r>
    </w:p>
    <w:p w:rsidR="00A2212D" w:rsidRPr="00DD1A4A" w:rsidRDefault="00A2212D" w:rsidP="00A46FE8">
      <w:pPr>
        <w:pStyle w:val="texto"/>
        <w:spacing w:after="0"/>
      </w:pPr>
      <w:r w:rsidRPr="00DD1A4A">
        <w:t>En nuestra opinión</w:t>
      </w:r>
      <w:r w:rsidR="008E7D7B" w:rsidRPr="00DD1A4A">
        <w:rPr>
          <w:i/>
        </w:rPr>
        <w:t xml:space="preserve">, </w:t>
      </w:r>
      <w:r w:rsidRPr="00DD1A4A">
        <w:t>las cuentas anuales adjuntas expresan, en todos los aspe</w:t>
      </w:r>
      <w:r w:rsidRPr="00DD1A4A">
        <w:t>c</w:t>
      </w:r>
      <w:r w:rsidRPr="00DD1A4A">
        <w:t>tos significativos, la imagen fiel del patrimonio</w:t>
      </w:r>
      <w:r w:rsidR="00960FF2" w:rsidRPr="00DD1A4A">
        <w:t>, de la liquidación de sus pres</w:t>
      </w:r>
      <w:r w:rsidR="00960FF2" w:rsidRPr="00DD1A4A">
        <w:t>u</w:t>
      </w:r>
      <w:r w:rsidR="00960FF2" w:rsidRPr="00DD1A4A">
        <w:t xml:space="preserve">puestos de gastos e ingresos </w:t>
      </w:r>
      <w:r w:rsidRPr="00DD1A4A">
        <w:t xml:space="preserve">y de la situación financiera de la </w:t>
      </w:r>
      <w:r w:rsidR="006151BD" w:rsidRPr="00DD1A4A">
        <w:t>Universidad a</w:t>
      </w:r>
      <w:r w:rsidRPr="00DD1A4A">
        <w:t xml:space="preserve"> 31 de diciembre de 201</w:t>
      </w:r>
      <w:r w:rsidR="00AA0208" w:rsidRPr="00DD1A4A">
        <w:t>7</w:t>
      </w:r>
      <w:r w:rsidR="009258B8">
        <w:t xml:space="preserve">. También expresan </w:t>
      </w:r>
      <w:r w:rsidRPr="00DD1A4A">
        <w:t>sus resultados económicos y pres</w:t>
      </w:r>
      <w:r w:rsidRPr="00DD1A4A">
        <w:t>u</w:t>
      </w:r>
      <w:r w:rsidRPr="00DD1A4A">
        <w:t>puestarios correspondientes al ejercicio anual terminado en dicha fecha, de co</w:t>
      </w:r>
      <w:r w:rsidRPr="00DD1A4A">
        <w:t>n</w:t>
      </w:r>
      <w:r w:rsidRPr="00DD1A4A">
        <w:t xml:space="preserve">formidad con el marco normativo de información financiera </w:t>
      </w:r>
      <w:r w:rsidR="006151BD" w:rsidRPr="00DD1A4A">
        <w:t xml:space="preserve">pública </w:t>
      </w:r>
      <w:r w:rsidRPr="00DD1A4A">
        <w:t>que resulta de aplicación y, en particular, con los principios y criterios contables y pres</w:t>
      </w:r>
      <w:r w:rsidRPr="00DD1A4A">
        <w:t>u</w:t>
      </w:r>
      <w:r w:rsidRPr="00DD1A4A">
        <w:t>puestarios contenidos en el mismo.</w:t>
      </w:r>
    </w:p>
    <w:p w:rsidR="00842F6C" w:rsidRPr="00730AE6" w:rsidRDefault="00613F68" w:rsidP="00021BF6">
      <w:pPr>
        <w:pStyle w:val="atitulo2"/>
        <w:spacing w:before="240"/>
      </w:pPr>
      <w:bookmarkStart w:id="22" w:name="_Toc3967015"/>
      <w:r>
        <w:t>IV</w:t>
      </w:r>
      <w:r w:rsidR="00A2212D" w:rsidRPr="00730AE6">
        <w:t xml:space="preserve">.2. Opinión </w:t>
      </w:r>
      <w:r w:rsidR="002747C7" w:rsidRPr="00730AE6">
        <w:t>de</w:t>
      </w:r>
      <w:r w:rsidR="00A2212D" w:rsidRPr="00730AE6">
        <w:t xml:space="preserve"> </w:t>
      </w:r>
      <w:r w:rsidR="00B86CD0" w:rsidRPr="00730AE6">
        <w:t xml:space="preserve">fiscalización del </w:t>
      </w:r>
      <w:r w:rsidR="00A2212D" w:rsidRPr="00730AE6">
        <w:t>cumplimiento de legalidad</w:t>
      </w:r>
      <w:bookmarkEnd w:id="15"/>
      <w:bookmarkEnd w:id="16"/>
      <w:bookmarkEnd w:id="17"/>
      <w:bookmarkEnd w:id="18"/>
      <w:bookmarkEnd w:id="19"/>
      <w:bookmarkEnd w:id="20"/>
      <w:bookmarkEnd w:id="21"/>
      <w:bookmarkEnd w:id="22"/>
    </w:p>
    <w:p w:rsidR="00842F6C" w:rsidRPr="008412E5" w:rsidRDefault="00842F6C" w:rsidP="005A63AB">
      <w:pPr>
        <w:pStyle w:val="atitulo3"/>
      </w:pPr>
      <w:r w:rsidRPr="008412E5">
        <w:t>Opinión de cumplimiento de legalidad</w:t>
      </w:r>
    </w:p>
    <w:p w:rsidR="00842F6C" w:rsidRPr="00730AE6" w:rsidRDefault="00842F6C" w:rsidP="00842F6C">
      <w:pPr>
        <w:pStyle w:val="texto"/>
      </w:pPr>
      <w:r w:rsidRPr="00730AE6">
        <w:t>En nuestra opinión, las actividades, operaciones presupuestarias y financieras y la información reflejada en las cuentas anuales de la Universidad del ejercicio 201</w:t>
      </w:r>
      <w:r w:rsidR="007B60CC" w:rsidRPr="00730AE6">
        <w:t>7</w:t>
      </w:r>
      <w:r w:rsidRPr="00730AE6">
        <w:t xml:space="preserve"> resultan conformes, en todos los aspectos significativos, con la normativa aplicable a la gestión de los fondos públicos. </w:t>
      </w:r>
    </w:p>
    <w:p w:rsidR="005F5B33" w:rsidRDefault="005F5B33" w:rsidP="00842F6C">
      <w:pPr>
        <w:pStyle w:val="texto"/>
        <w:rPr>
          <w:i/>
          <w:sz w:val="28"/>
          <w:szCs w:val="28"/>
        </w:rPr>
      </w:pPr>
    </w:p>
    <w:p w:rsidR="00842F6C" w:rsidRPr="00CB58EC" w:rsidRDefault="00842F6C" w:rsidP="005A63AB">
      <w:pPr>
        <w:pStyle w:val="atitulo3"/>
      </w:pPr>
      <w:r w:rsidRPr="00CB58EC">
        <w:lastRenderedPageBreak/>
        <w:t xml:space="preserve">Párrafo de </w:t>
      </w:r>
      <w:r w:rsidR="00FA5305" w:rsidRPr="00CB58EC">
        <w:t>otras cuestiones</w:t>
      </w:r>
      <w:r w:rsidR="00021BF6" w:rsidRPr="00CB58EC">
        <w:t xml:space="preserve"> significativas</w:t>
      </w:r>
    </w:p>
    <w:p w:rsidR="001B1C8E" w:rsidRPr="001B1C8E" w:rsidRDefault="001B1C8E" w:rsidP="001B1C8E">
      <w:pPr>
        <w:pStyle w:val="texto"/>
        <w:tabs>
          <w:tab w:val="num" w:pos="300"/>
          <w:tab w:val="num" w:pos="720"/>
        </w:tabs>
      </w:pPr>
      <w:r w:rsidRPr="001B1C8E">
        <w:t>La Universidad, a efectos de la Ley Orgánica de Estabilidad y Sostenibilidad Financiera, forma parte del sector “administraciones públicas” de la Administr</w:t>
      </w:r>
      <w:r w:rsidRPr="001B1C8E">
        <w:t>a</w:t>
      </w:r>
      <w:r w:rsidRPr="001B1C8E">
        <w:t>ción de la Comunidad Foral y es, en ese sector, donde se verifica globalmente el cumplimiento de los principios de la citada Ley Orgánica.</w:t>
      </w:r>
    </w:p>
    <w:p w:rsidR="00021BF6" w:rsidRPr="001B1C8E" w:rsidRDefault="00021BF6" w:rsidP="00FA5305">
      <w:pPr>
        <w:pStyle w:val="texto"/>
        <w:tabs>
          <w:tab w:val="num" w:pos="300"/>
          <w:tab w:val="num" w:pos="720"/>
        </w:tabs>
      </w:pPr>
      <w:r w:rsidRPr="001B1C8E">
        <w:t>De acuerdo con el informe de esta Cámara sobre las cuentas generales de N</w:t>
      </w:r>
      <w:r w:rsidRPr="001B1C8E">
        <w:t>a</w:t>
      </w:r>
      <w:r w:rsidRPr="001B1C8E">
        <w:t>varra de 201</w:t>
      </w:r>
      <w:r w:rsidR="00AA0208" w:rsidRPr="001B1C8E">
        <w:t>7</w:t>
      </w:r>
      <w:r w:rsidR="008626AC" w:rsidRPr="001B1C8E">
        <w:rPr>
          <w:rStyle w:val="Refdenotaalpie"/>
        </w:rPr>
        <w:footnoteReference w:id="5"/>
      </w:r>
      <w:r w:rsidRPr="001B1C8E">
        <w:t xml:space="preserve">, el sector </w:t>
      </w:r>
      <w:r w:rsidR="006F0E73" w:rsidRPr="001B1C8E">
        <w:t>A</w:t>
      </w:r>
      <w:r w:rsidRPr="001B1C8E">
        <w:t xml:space="preserve">dministración </w:t>
      </w:r>
      <w:r w:rsidR="006F0E73" w:rsidRPr="001B1C8E">
        <w:t>P</w:t>
      </w:r>
      <w:r w:rsidRPr="001B1C8E">
        <w:t>ública de la Comunidad Foral ha cu</w:t>
      </w:r>
      <w:r w:rsidRPr="001B1C8E">
        <w:t>m</w:t>
      </w:r>
      <w:r w:rsidRPr="001B1C8E">
        <w:t>plido con los principios de estabilidad presupuestaria y soste</w:t>
      </w:r>
      <w:r w:rsidR="00BA3987" w:rsidRPr="001B1C8E">
        <w:t>nibilidad financiera a excepción del relacionado con la regla del gasto.</w:t>
      </w:r>
    </w:p>
    <w:p w:rsidR="00F02541" w:rsidRPr="005A63AB" w:rsidRDefault="00F02541" w:rsidP="002C1824">
      <w:pPr>
        <w:spacing w:after="0"/>
        <w:ind w:firstLine="0"/>
        <w:rPr>
          <w:spacing w:val="6"/>
          <w:sz w:val="26"/>
          <w:szCs w:val="24"/>
        </w:rPr>
      </w:pPr>
      <w:r w:rsidRPr="002C1824">
        <w:rPr>
          <w:color w:val="FF0000"/>
          <w:spacing w:val="6"/>
          <w:sz w:val="26"/>
          <w:szCs w:val="24"/>
        </w:rPr>
        <w:br w:type="page"/>
      </w:r>
    </w:p>
    <w:p w:rsidR="00066FA6" w:rsidRPr="00730AE6" w:rsidRDefault="006830EB" w:rsidP="00066FA6">
      <w:pPr>
        <w:pStyle w:val="atitulo1"/>
      </w:pPr>
      <w:bookmarkStart w:id="23" w:name="_Toc3967016"/>
      <w:r>
        <w:lastRenderedPageBreak/>
        <w:t>V</w:t>
      </w:r>
      <w:r w:rsidR="00703010" w:rsidRPr="00730AE6">
        <w:t>.</w:t>
      </w:r>
      <w:r w:rsidR="00066FA6" w:rsidRPr="00730AE6">
        <w:t xml:space="preserve"> Resumen de las cuentas anuales de la Universidad Pública de Navarra, ejercicio 201</w:t>
      </w:r>
      <w:r w:rsidR="004642AE" w:rsidRPr="00730AE6">
        <w:t>7</w:t>
      </w:r>
      <w:bookmarkEnd w:id="23"/>
    </w:p>
    <w:p w:rsidR="006420DA" w:rsidRPr="00730AE6" w:rsidRDefault="006830EB" w:rsidP="006420DA">
      <w:pPr>
        <w:pStyle w:val="atitulo2"/>
        <w:spacing w:before="240"/>
        <w:rPr>
          <w:rFonts w:cs="Arial"/>
          <w:lang w:eastAsia="es-ES"/>
        </w:rPr>
      </w:pPr>
      <w:bookmarkStart w:id="24" w:name="_Toc3967017"/>
      <w:r>
        <w:t>V</w:t>
      </w:r>
      <w:r w:rsidR="006420DA" w:rsidRPr="00730AE6">
        <w:t>.1. Liquidación del presupuesto de 201</w:t>
      </w:r>
      <w:r w:rsidR="00AA0208" w:rsidRPr="00730AE6">
        <w:t>7</w:t>
      </w:r>
      <w:bookmarkEnd w:id="24"/>
    </w:p>
    <w:p w:rsidR="006420DA" w:rsidRPr="00730AE6" w:rsidRDefault="006420DA" w:rsidP="006420DA">
      <w:pPr>
        <w:spacing w:after="120"/>
        <w:ind w:firstLine="0"/>
        <w:jc w:val="center"/>
        <w:rPr>
          <w:rFonts w:ascii="Arial" w:hAnsi="Arial" w:cs="Arial"/>
          <w:lang w:val="es-ES" w:eastAsia="es-ES"/>
        </w:rPr>
      </w:pPr>
    </w:p>
    <w:p w:rsidR="006420DA" w:rsidRPr="00730AE6" w:rsidRDefault="006420DA" w:rsidP="006420DA">
      <w:pPr>
        <w:spacing w:after="240"/>
        <w:ind w:firstLine="0"/>
        <w:jc w:val="center"/>
        <w:rPr>
          <w:rFonts w:ascii="Arial" w:hAnsi="Arial" w:cs="Arial"/>
          <w:sz w:val="24"/>
          <w:szCs w:val="24"/>
          <w:lang w:val="es-ES" w:eastAsia="es-ES"/>
        </w:rPr>
      </w:pPr>
      <w:r w:rsidRPr="00730AE6">
        <w:rPr>
          <w:rFonts w:ascii="Arial" w:hAnsi="Arial" w:cs="Arial"/>
          <w:sz w:val="24"/>
          <w:szCs w:val="24"/>
          <w:lang w:val="es-ES" w:eastAsia="es-ES"/>
        </w:rPr>
        <w:t>Liquidación del presupuesto de gastos, por capítulo económico</w:t>
      </w:r>
    </w:p>
    <w:tbl>
      <w:tblPr>
        <w:tblW w:w="5118" w:type="pct"/>
        <w:jc w:val="center"/>
        <w:tblInd w:w="-467" w:type="dxa"/>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2336"/>
        <w:gridCol w:w="1088"/>
        <w:gridCol w:w="1266"/>
        <w:gridCol w:w="1120"/>
        <w:gridCol w:w="1337"/>
        <w:gridCol w:w="940"/>
        <w:gridCol w:w="1198"/>
      </w:tblGrid>
      <w:tr w:rsidR="008F4889" w:rsidRPr="00730AE6" w:rsidTr="00116E52">
        <w:trPr>
          <w:trHeight w:val="284"/>
          <w:jc w:val="center"/>
        </w:trPr>
        <w:tc>
          <w:tcPr>
            <w:tcW w:w="1258" w:type="pct"/>
            <w:shd w:val="clear" w:color="auto" w:fill="A8CBEE" w:themeFill="accent2" w:themeFillTint="66"/>
            <w:vAlign w:val="center"/>
          </w:tcPr>
          <w:p w:rsidR="008F4889" w:rsidRPr="00730AE6" w:rsidRDefault="008F4889" w:rsidP="00BC4F7A">
            <w:pPr>
              <w:spacing w:after="0"/>
              <w:ind w:left="50" w:firstLine="0"/>
              <w:jc w:val="left"/>
              <w:rPr>
                <w:rFonts w:ascii="Arial" w:hAnsi="Arial" w:cs="Arial"/>
                <w:bCs/>
                <w:color w:val="000000"/>
                <w:sz w:val="17"/>
                <w:szCs w:val="17"/>
                <w:lang w:val="es-ES" w:eastAsia="es-ES"/>
              </w:rPr>
            </w:pPr>
            <w:r w:rsidRPr="00730AE6">
              <w:rPr>
                <w:rFonts w:ascii="Arial" w:hAnsi="Arial" w:cs="Arial"/>
                <w:bCs/>
                <w:color w:val="000000"/>
                <w:sz w:val="17"/>
                <w:szCs w:val="17"/>
                <w:lang w:val="es-ES" w:eastAsia="es-ES"/>
              </w:rPr>
              <w:t>Descripción</w:t>
            </w:r>
          </w:p>
        </w:tc>
        <w:tc>
          <w:tcPr>
            <w:tcW w:w="586" w:type="pct"/>
            <w:shd w:val="clear" w:color="auto" w:fill="A8CBEE" w:themeFill="accent2" w:themeFillTint="66"/>
            <w:vAlign w:val="center"/>
          </w:tcPr>
          <w:p w:rsidR="008F4889" w:rsidRPr="00730AE6" w:rsidRDefault="00AE33D1" w:rsidP="00BC4F7A">
            <w:pPr>
              <w:spacing w:after="0"/>
              <w:ind w:firstLine="0"/>
              <w:jc w:val="right"/>
              <w:rPr>
                <w:rFonts w:ascii="Arial" w:hAnsi="Arial" w:cs="Arial"/>
                <w:bCs/>
                <w:color w:val="000000"/>
                <w:sz w:val="17"/>
                <w:szCs w:val="17"/>
                <w:lang w:val="es-ES" w:eastAsia="es-ES"/>
              </w:rPr>
            </w:pPr>
            <w:r>
              <w:rPr>
                <w:rFonts w:ascii="Arial" w:hAnsi="Arial" w:cs="Arial"/>
                <w:bCs/>
                <w:color w:val="000000"/>
                <w:sz w:val="17"/>
                <w:szCs w:val="17"/>
                <w:lang w:val="es-ES" w:eastAsia="es-ES"/>
              </w:rPr>
              <w:t>Crédito</w:t>
            </w:r>
            <w:r w:rsidR="008F4889" w:rsidRPr="00730AE6">
              <w:rPr>
                <w:rFonts w:ascii="Arial" w:hAnsi="Arial" w:cs="Arial"/>
                <w:bCs/>
                <w:color w:val="000000"/>
                <w:sz w:val="17"/>
                <w:szCs w:val="17"/>
                <w:lang w:val="es-ES" w:eastAsia="es-ES"/>
              </w:rPr>
              <w:t xml:space="preserve"> inicial</w:t>
            </w:r>
          </w:p>
        </w:tc>
        <w:tc>
          <w:tcPr>
            <w:tcW w:w="682" w:type="pct"/>
            <w:shd w:val="clear" w:color="auto" w:fill="A8CBEE" w:themeFill="accent2" w:themeFillTint="66"/>
            <w:vAlign w:val="center"/>
          </w:tcPr>
          <w:p w:rsidR="008F4889" w:rsidRPr="00730AE6" w:rsidRDefault="008F4889" w:rsidP="00473E08">
            <w:pPr>
              <w:spacing w:after="0"/>
              <w:ind w:right="-86" w:firstLine="0"/>
              <w:jc w:val="right"/>
              <w:rPr>
                <w:rFonts w:ascii="Arial" w:hAnsi="Arial" w:cs="Arial"/>
                <w:bCs/>
                <w:color w:val="000000"/>
                <w:sz w:val="17"/>
                <w:szCs w:val="17"/>
                <w:lang w:val="es-ES" w:eastAsia="es-ES"/>
              </w:rPr>
            </w:pPr>
            <w:r w:rsidRPr="00730AE6">
              <w:rPr>
                <w:rFonts w:ascii="Arial" w:hAnsi="Arial" w:cs="Arial"/>
                <w:bCs/>
                <w:color w:val="000000"/>
                <w:sz w:val="17"/>
                <w:szCs w:val="17"/>
                <w:lang w:val="es-ES" w:eastAsia="es-ES"/>
              </w:rPr>
              <w:t>Modificaciones</w:t>
            </w:r>
          </w:p>
        </w:tc>
        <w:tc>
          <w:tcPr>
            <w:tcW w:w="603" w:type="pct"/>
            <w:shd w:val="clear" w:color="auto" w:fill="A8CBEE" w:themeFill="accent2" w:themeFillTint="66"/>
            <w:vAlign w:val="center"/>
          </w:tcPr>
          <w:p w:rsidR="008F4889" w:rsidRPr="00730AE6" w:rsidRDefault="00AE33D1" w:rsidP="00AE33D1">
            <w:pPr>
              <w:spacing w:after="0"/>
              <w:ind w:firstLine="0"/>
              <w:jc w:val="right"/>
              <w:rPr>
                <w:rFonts w:ascii="Arial" w:hAnsi="Arial" w:cs="Arial"/>
                <w:bCs/>
                <w:color w:val="000000"/>
                <w:sz w:val="17"/>
                <w:szCs w:val="17"/>
                <w:lang w:val="es-ES" w:eastAsia="es-ES"/>
              </w:rPr>
            </w:pPr>
            <w:r>
              <w:rPr>
                <w:rFonts w:ascii="Arial" w:hAnsi="Arial" w:cs="Arial"/>
                <w:bCs/>
                <w:color w:val="000000"/>
                <w:sz w:val="17"/>
                <w:szCs w:val="17"/>
                <w:lang w:val="es-ES" w:eastAsia="es-ES"/>
              </w:rPr>
              <w:t>Crédito</w:t>
            </w:r>
            <w:r w:rsidR="008F4889" w:rsidRPr="00730AE6">
              <w:rPr>
                <w:rFonts w:ascii="Arial" w:hAnsi="Arial" w:cs="Arial"/>
                <w:bCs/>
                <w:color w:val="000000"/>
                <w:sz w:val="17"/>
                <w:szCs w:val="17"/>
                <w:lang w:val="es-ES" w:eastAsia="es-ES"/>
              </w:rPr>
              <w:t xml:space="preserve"> def</w:t>
            </w:r>
            <w:r w:rsidR="008F4889" w:rsidRPr="00730AE6">
              <w:rPr>
                <w:rFonts w:ascii="Arial" w:hAnsi="Arial" w:cs="Arial"/>
                <w:bCs/>
                <w:color w:val="000000"/>
                <w:sz w:val="17"/>
                <w:szCs w:val="17"/>
                <w:lang w:val="es-ES" w:eastAsia="es-ES"/>
              </w:rPr>
              <w:t>i</w:t>
            </w:r>
            <w:r w:rsidR="008F4889" w:rsidRPr="00730AE6">
              <w:rPr>
                <w:rFonts w:ascii="Arial" w:hAnsi="Arial" w:cs="Arial"/>
                <w:bCs/>
                <w:color w:val="000000"/>
                <w:sz w:val="17"/>
                <w:szCs w:val="17"/>
                <w:lang w:val="es-ES" w:eastAsia="es-ES"/>
              </w:rPr>
              <w:t>nitiv</w:t>
            </w:r>
            <w:r>
              <w:rPr>
                <w:rFonts w:ascii="Arial" w:hAnsi="Arial" w:cs="Arial"/>
                <w:bCs/>
                <w:color w:val="000000"/>
                <w:sz w:val="17"/>
                <w:szCs w:val="17"/>
                <w:lang w:val="es-ES" w:eastAsia="es-ES"/>
              </w:rPr>
              <w:t>o</w:t>
            </w:r>
          </w:p>
        </w:tc>
        <w:tc>
          <w:tcPr>
            <w:tcW w:w="720" w:type="pct"/>
            <w:shd w:val="clear" w:color="auto" w:fill="A8CBEE" w:themeFill="accent2" w:themeFillTint="66"/>
            <w:vAlign w:val="center"/>
          </w:tcPr>
          <w:p w:rsidR="008F4889" w:rsidRPr="00730AE6" w:rsidRDefault="008F4889" w:rsidP="00E130CE">
            <w:pPr>
              <w:spacing w:after="0"/>
              <w:ind w:firstLine="0"/>
              <w:jc w:val="right"/>
              <w:rPr>
                <w:rFonts w:ascii="Arial" w:hAnsi="Arial" w:cs="Arial"/>
                <w:bCs/>
                <w:color w:val="000000"/>
                <w:sz w:val="17"/>
                <w:szCs w:val="17"/>
                <w:lang w:val="es-ES" w:eastAsia="es-ES"/>
              </w:rPr>
            </w:pPr>
            <w:r w:rsidRPr="00730AE6">
              <w:rPr>
                <w:rFonts w:ascii="Arial" w:hAnsi="Arial" w:cs="Arial"/>
                <w:bCs/>
                <w:color w:val="000000"/>
                <w:sz w:val="17"/>
                <w:szCs w:val="17"/>
                <w:lang w:val="es-ES" w:eastAsia="es-ES"/>
              </w:rPr>
              <w:t>Obligac.  Rec. netas</w:t>
            </w:r>
          </w:p>
        </w:tc>
        <w:tc>
          <w:tcPr>
            <w:tcW w:w="506" w:type="pct"/>
            <w:shd w:val="clear" w:color="auto" w:fill="A8CBEE" w:themeFill="accent2" w:themeFillTint="66"/>
            <w:vAlign w:val="center"/>
          </w:tcPr>
          <w:p w:rsidR="008F4889" w:rsidRPr="00730AE6" w:rsidRDefault="008F4889" w:rsidP="00F72571">
            <w:pPr>
              <w:spacing w:after="0"/>
              <w:ind w:firstLine="0"/>
              <w:jc w:val="right"/>
              <w:rPr>
                <w:rFonts w:ascii="Arial" w:hAnsi="Arial" w:cs="Arial"/>
                <w:bCs/>
                <w:color w:val="000000"/>
                <w:sz w:val="17"/>
                <w:szCs w:val="17"/>
                <w:lang w:val="es-ES" w:eastAsia="es-ES"/>
              </w:rPr>
            </w:pPr>
            <w:r w:rsidRPr="00730AE6">
              <w:rPr>
                <w:rFonts w:ascii="Arial" w:hAnsi="Arial" w:cs="Arial"/>
                <w:bCs/>
                <w:color w:val="000000"/>
                <w:sz w:val="17"/>
                <w:szCs w:val="17"/>
                <w:lang w:val="es-ES" w:eastAsia="es-ES"/>
              </w:rPr>
              <w:t xml:space="preserve">% </w:t>
            </w:r>
            <w:r w:rsidR="00F72571">
              <w:rPr>
                <w:rFonts w:ascii="Arial" w:hAnsi="Arial" w:cs="Arial"/>
                <w:bCs/>
                <w:color w:val="000000"/>
                <w:sz w:val="17"/>
                <w:szCs w:val="17"/>
                <w:lang w:val="es-ES" w:eastAsia="es-ES"/>
              </w:rPr>
              <w:t>Ejec</w:t>
            </w:r>
            <w:r w:rsidR="00F72571">
              <w:rPr>
                <w:rFonts w:ascii="Arial" w:hAnsi="Arial" w:cs="Arial"/>
                <w:bCs/>
                <w:color w:val="000000"/>
                <w:sz w:val="17"/>
                <w:szCs w:val="17"/>
                <w:lang w:val="es-ES" w:eastAsia="es-ES"/>
              </w:rPr>
              <w:t>u</w:t>
            </w:r>
            <w:r w:rsidR="00F72571">
              <w:rPr>
                <w:rFonts w:ascii="Arial" w:hAnsi="Arial" w:cs="Arial"/>
                <w:bCs/>
                <w:color w:val="000000"/>
                <w:sz w:val="17"/>
                <w:szCs w:val="17"/>
                <w:lang w:val="es-ES" w:eastAsia="es-ES"/>
              </w:rPr>
              <w:t>ción</w:t>
            </w:r>
          </w:p>
        </w:tc>
        <w:tc>
          <w:tcPr>
            <w:tcW w:w="646" w:type="pct"/>
            <w:shd w:val="clear" w:color="auto" w:fill="A8CBEE" w:themeFill="accent2" w:themeFillTint="66"/>
            <w:vAlign w:val="center"/>
          </w:tcPr>
          <w:p w:rsidR="008F4889" w:rsidRPr="00730AE6" w:rsidRDefault="008F4889" w:rsidP="008F4889">
            <w:pPr>
              <w:spacing w:after="0"/>
              <w:ind w:firstLine="0"/>
              <w:jc w:val="right"/>
              <w:rPr>
                <w:rFonts w:ascii="Arial" w:hAnsi="Arial" w:cs="Arial"/>
                <w:bCs/>
                <w:color w:val="000000"/>
                <w:sz w:val="17"/>
                <w:szCs w:val="17"/>
                <w:lang w:val="es-ES" w:eastAsia="es-ES"/>
              </w:rPr>
            </w:pPr>
            <w:r>
              <w:rPr>
                <w:rFonts w:ascii="Arial" w:hAnsi="Arial" w:cs="Arial"/>
                <w:bCs/>
                <w:color w:val="000000"/>
                <w:sz w:val="17"/>
                <w:szCs w:val="17"/>
                <w:lang w:val="es-ES" w:eastAsia="es-ES"/>
              </w:rPr>
              <w:t>Pagado</w:t>
            </w:r>
          </w:p>
        </w:tc>
      </w:tr>
      <w:tr w:rsidR="008F4889" w:rsidRPr="00730AE6" w:rsidTr="00116E52">
        <w:trPr>
          <w:trHeight w:val="284"/>
          <w:jc w:val="center"/>
        </w:trPr>
        <w:tc>
          <w:tcPr>
            <w:tcW w:w="1258" w:type="pct"/>
            <w:tcBorders>
              <w:bottom w:val="single" w:sz="2" w:space="0" w:color="auto"/>
            </w:tcBorders>
            <w:noWrap/>
            <w:vAlign w:val="center"/>
          </w:tcPr>
          <w:p w:rsidR="008F4889" w:rsidRPr="00730AE6" w:rsidRDefault="008F4889" w:rsidP="00A46FE8">
            <w:pPr>
              <w:spacing w:after="0"/>
              <w:ind w:left="50" w:firstLine="0"/>
              <w:jc w:val="left"/>
              <w:rPr>
                <w:rFonts w:ascii="Arial Narrow" w:hAnsi="Arial Narrow"/>
                <w:sz w:val="18"/>
                <w:szCs w:val="18"/>
                <w:lang w:val="es-ES" w:eastAsia="es-ES"/>
              </w:rPr>
            </w:pPr>
            <w:r w:rsidRPr="00730AE6">
              <w:rPr>
                <w:rFonts w:ascii="Arial Narrow" w:hAnsi="Arial Narrow"/>
                <w:sz w:val="18"/>
                <w:szCs w:val="18"/>
                <w:lang w:val="es-ES" w:eastAsia="es-ES"/>
              </w:rPr>
              <w:t>1. Gastos de personal</w:t>
            </w:r>
          </w:p>
        </w:tc>
        <w:tc>
          <w:tcPr>
            <w:tcW w:w="586" w:type="pct"/>
            <w:tcBorders>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54.063.554</w:t>
            </w:r>
          </w:p>
        </w:tc>
        <w:tc>
          <w:tcPr>
            <w:tcW w:w="682" w:type="pct"/>
            <w:tcBorders>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5.229.811</w:t>
            </w:r>
          </w:p>
        </w:tc>
        <w:tc>
          <w:tcPr>
            <w:tcW w:w="603" w:type="pct"/>
            <w:tcBorders>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59.293.365</w:t>
            </w:r>
          </w:p>
        </w:tc>
        <w:tc>
          <w:tcPr>
            <w:tcW w:w="720" w:type="pct"/>
            <w:tcBorders>
              <w:bottom w:val="single" w:sz="2" w:space="0" w:color="auto"/>
            </w:tcBorders>
            <w:noWrap/>
            <w:vAlign w:val="center"/>
          </w:tcPr>
          <w:p w:rsidR="008F4889" w:rsidRPr="00730AE6" w:rsidRDefault="008F4889" w:rsidP="00E130CE">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57.543.752</w:t>
            </w:r>
          </w:p>
        </w:tc>
        <w:tc>
          <w:tcPr>
            <w:tcW w:w="506" w:type="pct"/>
            <w:tcBorders>
              <w:bottom w:val="single" w:sz="2" w:space="0" w:color="auto"/>
            </w:tcBorders>
            <w:noWrap/>
            <w:vAlign w:val="center"/>
          </w:tcPr>
          <w:p w:rsidR="008F4889" w:rsidRPr="00730AE6" w:rsidRDefault="008F4889" w:rsidP="00DA29E0">
            <w:pPr>
              <w:spacing w:after="0"/>
              <w:ind w:left="65" w:hanging="65"/>
              <w:jc w:val="right"/>
              <w:rPr>
                <w:rFonts w:ascii="Arial Narrow" w:hAnsi="Arial Narrow"/>
                <w:sz w:val="18"/>
                <w:szCs w:val="18"/>
                <w:lang w:val="es-ES" w:eastAsia="es-ES"/>
              </w:rPr>
            </w:pPr>
            <w:r w:rsidRPr="00730AE6">
              <w:rPr>
                <w:rFonts w:ascii="Arial Narrow" w:hAnsi="Arial Narrow"/>
                <w:sz w:val="18"/>
                <w:szCs w:val="18"/>
                <w:lang w:val="es-ES" w:eastAsia="es-ES"/>
              </w:rPr>
              <w:t>73</w:t>
            </w:r>
          </w:p>
        </w:tc>
        <w:tc>
          <w:tcPr>
            <w:tcW w:w="646" w:type="pct"/>
            <w:tcBorders>
              <w:bottom w:val="single" w:sz="2" w:space="0" w:color="auto"/>
            </w:tcBorders>
            <w:vAlign w:val="center"/>
          </w:tcPr>
          <w:p w:rsidR="008F4889" w:rsidRPr="00730AE6" w:rsidRDefault="008F4889" w:rsidP="008F4889">
            <w:pPr>
              <w:spacing w:after="0"/>
              <w:ind w:left="65" w:hanging="65"/>
              <w:jc w:val="right"/>
              <w:rPr>
                <w:rFonts w:ascii="Arial Narrow" w:hAnsi="Arial Narrow"/>
                <w:sz w:val="18"/>
                <w:szCs w:val="18"/>
                <w:lang w:val="es-ES" w:eastAsia="es-ES"/>
              </w:rPr>
            </w:pPr>
            <w:r>
              <w:rPr>
                <w:rFonts w:ascii="Arial Narrow" w:hAnsi="Arial Narrow"/>
                <w:sz w:val="18"/>
                <w:szCs w:val="18"/>
                <w:lang w:val="es-ES" w:eastAsia="es-ES"/>
              </w:rPr>
              <w:t>57.536.474</w:t>
            </w:r>
          </w:p>
        </w:tc>
      </w:tr>
      <w:tr w:rsidR="008F4889" w:rsidRPr="00730AE6" w:rsidTr="00116E52">
        <w:trPr>
          <w:trHeight w:val="284"/>
          <w:jc w:val="center"/>
        </w:trPr>
        <w:tc>
          <w:tcPr>
            <w:tcW w:w="1258" w:type="pct"/>
            <w:tcBorders>
              <w:top w:val="single" w:sz="2" w:space="0" w:color="auto"/>
              <w:bottom w:val="single" w:sz="2" w:space="0" w:color="auto"/>
            </w:tcBorders>
            <w:noWrap/>
            <w:vAlign w:val="center"/>
          </w:tcPr>
          <w:p w:rsidR="008F4889" w:rsidRPr="00730AE6" w:rsidRDefault="008F4889" w:rsidP="00A46FE8">
            <w:pPr>
              <w:spacing w:after="0"/>
              <w:ind w:left="50" w:firstLine="0"/>
              <w:jc w:val="left"/>
              <w:rPr>
                <w:rFonts w:ascii="Arial Narrow" w:hAnsi="Arial Narrow"/>
                <w:sz w:val="18"/>
                <w:szCs w:val="18"/>
                <w:lang w:val="es-ES" w:eastAsia="es-ES"/>
              </w:rPr>
            </w:pPr>
            <w:r w:rsidRPr="00730AE6">
              <w:rPr>
                <w:rFonts w:ascii="Arial Narrow" w:hAnsi="Arial Narrow"/>
                <w:sz w:val="18"/>
                <w:szCs w:val="18"/>
                <w:lang w:val="es-ES" w:eastAsia="es-ES"/>
              </w:rPr>
              <w:t>2. Bienes corrientes y servicios</w:t>
            </w:r>
          </w:p>
        </w:tc>
        <w:tc>
          <w:tcPr>
            <w:tcW w:w="586"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11.606.663</w:t>
            </w:r>
          </w:p>
        </w:tc>
        <w:tc>
          <w:tcPr>
            <w:tcW w:w="682"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8.348.024</w:t>
            </w:r>
          </w:p>
        </w:tc>
        <w:tc>
          <w:tcPr>
            <w:tcW w:w="603"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19.954.687</w:t>
            </w:r>
          </w:p>
        </w:tc>
        <w:tc>
          <w:tcPr>
            <w:tcW w:w="720" w:type="pct"/>
            <w:tcBorders>
              <w:top w:val="single" w:sz="2" w:space="0" w:color="auto"/>
              <w:bottom w:val="single" w:sz="2" w:space="0" w:color="auto"/>
            </w:tcBorders>
            <w:noWrap/>
            <w:vAlign w:val="center"/>
          </w:tcPr>
          <w:p w:rsidR="008F4889" w:rsidRPr="00730AE6" w:rsidRDefault="008F4889" w:rsidP="00DA29E0">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13.753.855</w:t>
            </w:r>
          </w:p>
        </w:tc>
        <w:tc>
          <w:tcPr>
            <w:tcW w:w="506"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18</w:t>
            </w:r>
          </w:p>
        </w:tc>
        <w:tc>
          <w:tcPr>
            <w:tcW w:w="646" w:type="pct"/>
            <w:tcBorders>
              <w:top w:val="single" w:sz="2" w:space="0" w:color="auto"/>
              <w:bottom w:val="single" w:sz="2" w:space="0" w:color="auto"/>
            </w:tcBorders>
            <w:vAlign w:val="center"/>
          </w:tcPr>
          <w:p w:rsidR="008F4889" w:rsidRPr="00730AE6" w:rsidRDefault="008F4889" w:rsidP="008F4889">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11.821.170</w:t>
            </w:r>
          </w:p>
        </w:tc>
      </w:tr>
      <w:tr w:rsidR="008F4889" w:rsidRPr="00730AE6" w:rsidTr="00116E52">
        <w:trPr>
          <w:trHeight w:val="284"/>
          <w:jc w:val="center"/>
        </w:trPr>
        <w:tc>
          <w:tcPr>
            <w:tcW w:w="1258" w:type="pct"/>
            <w:tcBorders>
              <w:top w:val="single" w:sz="2" w:space="0" w:color="auto"/>
              <w:bottom w:val="single" w:sz="2" w:space="0" w:color="auto"/>
            </w:tcBorders>
            <w:noWrap/>
            <w:vAlign w:val="center"/>
          </w:tcPr>
          <w:p w:rsidR="008F4889" w:rsidRPr="00730AE6" w:rsidRDefault="008F4889" w:rsidP="00A46FE8">
            <w:pPr>
              <w:spacing w:after="0"/>
              <w:ind w:left="50" w:firstLine="0"/>
              <w:jc w:val="left"/>
              <w:rPr>
                <w:rFonts w:ascii="Arial Narrow" w:hAnsi="Arial Narrow"/>
                <w:sz w:val="18"/>
                <w:szCs w:val="18"/>
                <w:lang w:val="es-ES" w:eastAsia="es-ES"/>
              </w:rPr>
            </w:pPr>
            <w:r w:rsidRPr="00730AE6">
              <w:rPr>
                <w:rFonts w:ascii="Arial Narrow" w:hAnsi="Arial Narrow"/>
                <w:sz w:val="18"/>
                <w:szCs w:val="18"/>
                <w:lang w:val="es-ES" w:eastAsia="es-ES"/>
              </w:rPr>
              <w:t>3. Gastos financieros</w:t>
            </w:r>
          </w:p>
        </w:tc>
        <w:tc>
          <w:tcPr>
            <w:tcW w:w="586"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38.000</w:t>
            </w:r>
          </w:p>
        </w:tc>
        <w:tc>
          <w:tcPr>
            <w:tcW w:w="682"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0</w:t>
            </w:r>
          </w:p>
        </w:tc>
        <w:tc>
          <w:tcPr>
            <w:tcW w:w="603"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38.000</w:t>
            </w:r>
          </w:p>
        </w:tc>
        <w:tc>
          <w:tcPr>
            <w:tcW w:w="720" w:type="pct"/>
            <w:tcBorders>
              <w:top w:val="single" w:sz="2" w:space="0" w:color="auto"/>
              <w:bottom w:val="single" w:sz="2" w:space="0" w:color="auto"/>
            </w:tcBorders>
            <w:noWrap/>
            <w:vAlign w:val="center"/>
          </w:tcPr>
          <w:p w:rsidR="008F4889" w:rsidRPr="00730AE6" w:rsidRDefault="008F4889" w:rsidP="00DA29E0">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30.732</w:t>
            </w:r>
          </w:p>
        </w:tc>
        <w:tc>
          <w:tcPr>
            <w:tcW w:w="506"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0</w:t>
            </w:r>
          </w:p>
        </w:tc>
        <w:tc>
          <w:tcPr>
            <w:tcW w:w="646" w:type="pct"/>
            <w:tcBorders>
              <w:top w:val="single" w:sz="2" w:space="0" w:color="auto"/>
              <w:bottom w:val="single" w:sz="2" w:space="0" w:color="auto"/>
            </w:tcBorders>
            <w:vAlign w:val="center"/>
          </w:tcPr>
          <w:p w:rsidR="008F4889" w:rsidRPr="00730AE6" w:rsidRDefault="008F4889" w:rsidP="008F4889">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30.732</w:t>
            </w:r>
          </w:p>
        </w:tc>
      </w:tr>
      <w:tr w:rsidR="008F4889" w:rsidRPr="00730AE6" w:rsidTr="00116E52">
        <w:trPr>
          <w:trHeight w:val="284"/>
          <w:jc w:val="center"/>
        </w:trPr>
        <w:tc>
          <w:tcPr>
            <w:tcW w:w="1258" w:type="pct"/>
            <w:tcBorders>
              <w:top w:val="single" w:sz="2" w:space="0" w:color="auto"/>
              <w:bottom w:val="single" w:sz="2" w:space="0" w:color="auto"/>
            </w:tcBorders>
            <w:noWrap/>
            <w:vAlign w:val="center"/>
          </w:tcPr>
          <w:p w:rsidR="008F4889" w:rsidRPr="00730AE6" w:rsidRDefault="008F4889" w:rsidP="00A46FE8">
            <w:pPr>
              <w:spacing w:after="0"/>
              <w:ind w:left="50" w:firstLine="0"/>
              <w:jc w:val="left"/>
              <w:rPr>
                <w:rFonts w:ascii="Arial Narrow" w:hAnsi="Arial Narrow"/>
                <w:sz w:val="18"/>
                <w:szCs w:val="18"/>
                <w:lang w:val="es-ES" w:eastAsia="es-ES"/>
              </w:rPr>
            </w:pPr>
            <w:r w:rsidRPr="00730AE6">
              <w:rPr>
                <w:rFonts w:ascii="Arial Narrow" w:hAnsi="Arial Narrow"/>
                <w:sz w:val="18"/>
                <w:szCs w:val="18"/>
                <w:lang w:val="es-ES" w:eastAsia="es-ES"/>
              </w:rPr>
              <w:t>4. Transferencias corrientes</w:t>
            </w:r>
          </w:p>
        </w:tc>
        <w:tc>
          <w:tcPr>
            <w:tcW w:w="586"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810.750</w:t>
            </w:r>
          </w:p>
        </w:tc>
        <w:tc>
          <w:tcPr>
            <w:tcW w:w="682"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1.996.368</w:t>
            </w:r>
          </w:p>
        </w:tc>
        <w:tc>
          <w:tcPr>
            <w:tcW w:w="603"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2.807.118</w:t>
            </w:r>
          </w:p>
        </w:tc>
        <w:tc>
          <w:tcPr>
            <w:tcW w:w="720" w:type="pct"/>
            <w:tcBorders>
              <w:top w:val="single" w:sz="2" w:space="0" w:color="auto"/>
              <w:bottom w:val="single" w:sz="2" w:space="0" w:color="auto"/>
            </w:tcBorders>
            <w:noWrap/>
            <w:vAlign w:val="center"/>
          </w:tcPr>
          <w:p w:rsidR="008F4889" w:rsidRPr="00730AE6" w:rsidRDefault="008F4889" w:rsidP="00E130CE">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2.047.130</w:t>
            </w:r>
          </w:p>
        </w:tc>
        <w:tc>
          <w:tcPr>
            <w:tcW w:w="506"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3</w:t>
            </w:r>
          </w:p>
        </w:tc>
        <w:tc>
          <w:tcPr>
            <w:tcW w:w="646" w:type="pct"/>
            <w:tcBorders>
              <w:top w:val="single" w:sz="2" w:space="0" w:color="auto"/>
              <w:bottom w:val="single" w:sz="2" w:space="0" w:color="auto"/>
            </w:tcBorders>
            <w:vAlign w:val="center"/>
          </w:tcPr>
          <w:p w:rsidR="008F4889" w:rsidRPr="00730AE6" w:rsidRDefault="008F4889" w:rsidP="008F4889">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1.748.551</w:t>
            </w:r>
          </w:p>
        </w:tc>
      </w:tr>
      <w:tr w:rsidR="008F4889" w:rsidRPr="00730AE6" w:rsidTr="00116E52">
        <w:trPr>
          <w:trHeight w:val="284"/>
          <w:jc w:val="center"/>
        </w:trPr>
        <w:tc>
          <w:tcPr>
            <w:tcW w:w="1258" w:type="pct"/>
            <w:tcBorders>
              <w:top w:val="single" w:sz="2" w:space="0" w:color="auto"/>
              <w:bottom w:val="single" w:sz="2" w:space="0" w:color="auto"/>
            </w:tcBorders>
            <w:noWrap/>
            <w:vAlign w:val="center"/>
          </w:tcPr>
          <w:p w:rsidR="008F4889" w:rsidRPr="00730AE6" w:rsidRDefault="008F4889" w:rsidP="00A46FE8">
            <w:pPr>
              <w:spacing w:after="0"/>
              <w:ind w:left="50" w:firstLine="0"/>
              <w:jc w:val="left"/>
              <w:rPr>
                <w:rFonts w:ascii="Arial Narrow" w:hAnsi="Arial Narrow"/>
                <w:sz w:val="18"/>
                <w:szCs w:val="18"/>
                <w:lang w:val="es-ES" w:eastAsia="es-ES"/>
              </w:rPr>
            </w:pPr>
            <w:r w:rsidRPr="00730AE6">
              <w:rPr>
                <w:rFonts w:ascii="Arial Narrow" w:hAnsi="Arial Narrow"/>
                <w:sz w:val="18"/>
                <w:szCs w:val="18"/>
                <w:lang w:val="es-ES" w:eastAsia="es-ES"/>
              </w:rPr>
              <w:t>6. Inversiones reales</w:t>
            </w:r>
          </w:p>
        </w:tc>
        <w:tc>
          <w:tcPr>
            <w:tcW w:w="586"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3.791.231</w:t>
            </w:r>
          </w:p>
        </w:tc>
        <w:tc>
          <w:tcPr>
            <w:tcW w:w="682"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1.364.564</w:t>
            </w:r>
          </w:p>
        </w:tc>
        <w:tc>
          <w:tcPr>
            <w:tcW w:w="603"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5.155.795</w:t>
            </w:r>
          </w:p>
        </w:tc>
        <w:tc>
          <w:tcPr>
            <w:tcW w:w="720" w:type="pct"/>
            <w:tcBorders>
              <w:top w:val="single" w:sz="2" w:space="0" w:color="auto"/>
              <w:bottom w:val="single" w:sz="2" w:space="0" w:color="auto"/>
            </w:tcBorders>
            <w:noWrap/>
            <w:vAlign w:val="center"/>
          </w:tcPr>
          <w:p w:rsidR="008F4889" w:rsidRPr="00730AE6" w:rsidRDefault="008F4889" w:rsidP="00DA29E0">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4.807.069</w:t>
            </w:r>
          </w:p>
        </w:tc>
        <w:tc>
          <w:tcPr>
            <w:tcW w:w="506"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6</w:t>
            </w:r>
          </w:p>
        </w:tc>
        <w:tc>
          <w:tcPr>
            <w:tcW w:w="646" w:type="pct"/>
            <w:tcBorders>
              <w:top w:val="single" w:sz="2" w:space="0" w:color="auto"/>
              <w:bottom w:val="single" w:sz="2" w:space="0" w:color="auto"/>
            </w:tcBorders>
            <w:vAlign w:val="center"/>
          </w:tcPr>
          <w:p w:rsidR="008F4889" w:rsidRPr="00730AE6" w:rsidRDefault="008F4889" w:rsidP="008F4889">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3.773.934</w:t>
            </w:r>
          </w:p>
        </w:tc>
      </w:tr>
      <w:tr w:rsidR="008F4889" w:rsidRPr="00730AE6" w:rsidTr="00116E52">
        <w:trPr>
          <w:trHeight w:val="284"/>
          <w:jc w:val="center"/>
        </w:trPr>
        <w:tc>
          <w:tcPr>
            <w:tcW w:w="1258" w:type="pct"/>
            <w:tcBorders>
              <w:top w:val="single" w:sz="2" w:space="0" w:color="auto"/>
              <w:bottom w:val="single" w:sz="2" w:space="0" w:color="auto"/>
            </w:tcBorders>
            <w:noWrap/>
            <w:vAlign w:val="center"/>
          </w:tcPr>
          <w:p w:rsidR="008F4889" w:rsidRPr="00730AE6" w:rsidRDefault="008F4889" w:rsidP="00A46FE8">
            <w:pPr>
              <w:spacing w:after="0"/>
              <w:ind w:left="50" w:hanging="10"/>
              <w:jc w:val="left"/>
              <w:rPr>
                <w:rFonts w:ascii="Arial Narrow" w:hAnsi="Arial Narrow"/>
                <w:sz w:val="18"/>
                <w:szCs w:val="18"/>
                <w:lang w:val="es-ES" w:eastAsia="es-ES"/>
              </w:rPr>
            </w:pPr>
            <w:r w:rsidRPr="00730AE6">
              <w:rPr>
                <w:rFonts w:ascii="Arial Narrow" w:hAnsi="Arial Narrow"/>
                <w:sz w:val="18"/>
                <w:szCs w:val="18"/>
                <w:lang w:val="es-ES" w:eastAsia="es-ES"/>
              </w:rPr>
              <w:t>8. Activos financieros</w:t>
            </w:r>
          </w:p>
        </w:tc>
        <w:tc>
          <w:tcPr>
            <w:tcW w:w="586"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5.000</w:t>
            </w:r>
          </w:p>
        </w:tc>
        <w:tc>
          <w:tcPr>
            <w:tcW w:w="682"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1.012</w:t>
            </w:r>
          </w:p>
        </w:tc>
        <w:tc>
          <w:tcPr>
            <w:tcW w:w="603"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6.012</w:t>
            </w:r>
          </w:p>
        </w:tc>
        <w:tc>
          <w:tcPr>
            <w:tcW w:w="720" w:type="pct"/>
            <w:tcBorders>
              <w:top w:val="single" w:sz="2" w:space="0" w:color="auto"/>
              <w:bottom w:val="single" w:sz="2" w:space="0" w:color="auto"/>
            </w:tcBorders>
            <w:noWrap/>
            <w:vAlign w:val="center"/>
          </w:tcPr>
          <w:p w:rsidR="008F4889" w:rsidRPr="00730AE6" w:rsidRDefault="008F4889" w:rsidP="00E130CE">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6.011</w:t>
            </w:r>
          </w:p>
        </w:tc>
        <w:tc>
          <w:tcPr>
            <w:tcW w:w="506" w:type="pct"/>
            <w:tcBorders>
              <w:top w:val="single" w:sz="2" w:space="0" w:color="auto"/>
              <w:bottom w:val="single" w:sz="2" w:space="0" w:color="auto"/>
            </w:tcBorders>
            <w:noWrap/>
            <w:vAlign w:val="center"/>
          </w:tcPr>
          <w:p w:rsidR="008F4889" w:rsidRPr="00730AE6" w:rsidRDefault="008F4889" w:rsidP="00A46FE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0</w:t>
            </w:r>
          </w:p>
        </w:tc>
        <w:tc>
          <w:tcPr>
            <w:tcW w:w="646" w:type="pct"/>
            <w:tcBorders>
              <w:top w:val="single" w:sz="2" w:space="0" w:color="auto"/>
              <w:bottom w:val="single" w:sz="2" w:space="0" w:color="auto"/>
            </w:tcBorders>
            <w:vAlign w:val="center"/>
          </w:tcPr>
          <w:p w:rsidR="008F4889" w:rsidRPr="00730AE6" w:rsidRDefault="008F4889" w:rsidP="008F4889">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5.011</w:t>
            </w:r>
          </w:p>
        </w:tc>
      </w:tr>
      <w:tr w:rsidR="008F4889" w:rsidRPr="00730AE6" w:rsidTr="00116E52">
        <w:trPr>
          <w:trHeight w:val="284"/>
          <w:jc w:val="center"/>
        </w:trPr>
        <w:tc>
          <w:tcPr>
            <w:tcW w:w="1258" w:type="pct"/>
            <w:tcBorders>
              <w:top w:val="single" w:sz="2" w:space="0" w:color="auto"/>
              <w:bottom w:val="single" w:sz="4" w:space="0" w:color="auto"/>
            </w:tcBorders>
            <w:noWrap/>
            <w:vAlign w:val="center"/>
          </w:tcPr>
          <w:p w:rsidR="008F4889" w:rsidRPr="00730AE6" w:rsidRDefault="008F4889" w:rsidP="00A46FE8">
            <w:pPr>
              <w:spacing w:after="0"/>
              <w:ind w:left="50" w:firstLine="0"/>
              <w:jc w:val="left"/>
              <w:rPr>
                <w:rFonts w:ascii="Arial Narrow" w:hAnsi="Arial Narrow"/>
                <w:sz w:val="18"/>
                <w:szCs w:val="18"/>
                <w:lang w:val="es-ES" w:eastAsia="es-ES"/>
              </w:rPr>
            </w:pPr>
            <w:r w:rsidRPr="00730AE6">
              <w:rPr>
                <w:rFonts w:ascii="Arial Narrow" w:hAnsi="Arial Narrow"/>
                <w:sz w:val="18"/>
                <w:szCs w:val="18"/>
                <w:lang w:val="es-ES" w:eastAsia="es-ES"/>
              </w:rPr>
              <w:t>9. Pasivos financieros</w:t>
            </w:r>
          </w:p>
        </w:tc>
        <w:tc>
          <w:tcPr>
            <w:tcW w:w="586" w:type="pct"/>
            <w:tcBorders>
              <w:top w:val="single" w:sz="2" w:space="0" w:color="auto"/>
              <w:bottom w:val="single" w:sz="4" w:space="0" w:color="auto"/>
            </w:tcBorders>
            <w:noWrap/>
            <w:vAlign w:val="center"/>
          </w:tcPr>
          <w:p w:rsidR="008F4889" w:rsidRPr="00730AE6" w:rsidRDefault="008F4889" w:rsidP="00A46FE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131.835</w:t>
            </w:r>
          </w:p>
        </w:tc>
        <w:tc>
          <w:tcPr>
            <w:tcW w:w="682" w:type="pct"/>
            <w:tcBorders>
              <w:top w:val="single" w:sz="2" w:space="0" w:color="auto"/>
              <w:bottom w:val="single" w:sz="4" w:space="0" w:color="auto"/>
            </w:tcBorders>
            <w:noWrap/>
            <w:vAlign w:val="center"/>
          </w:tcPr>
          <w:p w:rsidR="008F4889" w:rsidRPr="00730AE6" w:rsidRDefault="008F4889" w:rsidP="00A46FE8">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0</w:t>
            </w:r>
          </w:p>
        </w:tc>
        <w:tc>
          <w:tcPr>
            <w:tcW w:w="603" w:type="pct"/>
            <w:tcBorders>
              <w:top w:val="single" w:sz="2" w:space="0" w:color="auto"/>
              <w:bottom w:val="single" w:sz="4" w:space="0" w:color="auto"/>
            </w:tcBorders>
            <w:noWrap/>
            <w:vAlign w:val="center"/>
          </w:tcPr>
          <w:p w:rsidR="008F4889" w:rsidRPr="00730AE6" w:rsidRDefault="008F4889" w:rsidP="00DA29E0">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131.835</w:t>
            </w:r>
          </w:p>
        </w:tc>
        <w:tc>
          <w:tcPr>
            <w:tcW w:w="720" w:type="pct"/>
            <w:tcBorders>
              <w:top w:val="single" w:sz="2" w:space="0" w:color="auto"/>
              <w:bottom w:val="single" w:sz="4" w:space="0" w:color="auto"/>
            </w:tcBorders>
            <w:noWrap/>
            <w:vAlign w:val="center"/>
          </w:tcPr>
          <w:p w:rsidR="008F4889" w:rsidRPr="00730AE6" w:rsidRDefault="008F4889" w:rsidP="00E130CE">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11.985</w:t>
            </w:r>
          </w:p>
        </w:tc>
        <w:tc>
          <w:tcPr>
            <w:tcW w:w="506" w:type="pct"/>
            <w:tcBorders>
              <w:top w:val="single" w:sz="2" w:space="0" w:color="auto"/>
              <w:bottom w:val="single" w:sz="4" w:space="0" w:color="auto"/>
            </w:tcBorders>
            <w:noWrap/>
            <w:vAlign w:val="center"/>
          </w:tcPr>
          <w:p w:rsidR="008F4889" w:rsidRPr="00730AE6" w:rsidRDefault="008F4889" w:rsidP="00A46FE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0</w:t>
            </w:r>
          </w:p>
        </w:tc>
        <w:tc>
          <w:tcPr>
            <w:tcW w:w="646" w:type="pct"/>
            <w:tcBorders>
              <w:top w:val="single" w:sz="2" w:space="0" w:color="auto"/>
              <w:bottom w:val="single" w:sz="4" w:space="0" w:color="auto"/>
            </w:tcBorders>
            <w:vAlign w:val="center"/>
          </w:tcPr>
          <w:p w:rsidR="008F4889" w:rsidRPr="00730AE6" w:rsidRDefault="008F4889" w:rsidP="008F4889">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11.986</w:t>
            </w:r>
          </w:p>
        </w:tc>
      </w:tr>
      <w:tr w:rsidR="008F4889" w:rsidRPr="00730AE6" w:rsidTr="00116E52">
        <w:trPr>
          <w:trHeight w:val="284"/>
          <w:jc w:val="center"/>
        </w:trPr>
        <w:tc>
          <w:tcPr>
            <w:tcW w:w="1258" w:type="pct"/>
            <w:shd w:val="clear" w:color="auto" w:fill="A8CBEE" w:themeFill="accent2" w:themeFillTint="66"/>
            <w:noWrap/>
            <w:vAlign w:val="center"/>
          </w:tcPr>
          <w:p w:rsidR="008F4889" w:rsidRPr="00730AE6" w:rsidRDefault="008F4889" w:rsidP="00915718">
            <w:pPr>
              <w:spacing w:after="0"/>
              <w:ind w:firstLine="0"/>
              <w:jc w:val="left"/>
              <w:rPr>
                <w:rFonts w:ascii="Arial" w:hAnsi="Arial" w:cs="Arial"/>
                <w:bCs/>
                <w:sz w:val="18"/>
                <w:szCs w:val="18"/>
                <w:lang w:val="es-ES" w:eastAsia="es-ES"/>
              </w:rPr>
            </w:pPr>
            <w:r w:rsidRPr="00730AE6">
              <w:rPr>
                <w:rFonts w:ascii="Arial" w:hAnsi="Arial" w:cs="Arial"/>
                <w:bCs/>
                <w:sz w:val="18"/>
                <w:szCs w:val="18"/>
                <w:lang w:val="es-ES" w:eastAsia="es-ES"/>
              </w:rPr>
              <w:t>Total</w:t>
            </w:r>
          </w:p>
        </w:tc>
        <w:tc>
          <w:tcPr>
            <w:tcW w:w="586" w:type="pct"/>
            <w:shd w:val="clear" w:color="auto" w:fill="A8CBEE" w:themeFill="accent2" w:themeFillTint="66"/>
            <w:noWrap/>
            <w:vAlign w:val="center"/>
          </w:tcPr>
          <w:p w:rsidR="008F4889" w:rsidRPr="00730AE6" w:rsidRDefault="008F4889" w:rsidP="00A46FE8">
            <w:pPr>
              <w:spacing w:after="0"/>
              <w:ind w:firstLine="0"/>
              <w:jc w:val="right"/>
              <w:rPr>
                <w:rFonts w:ascii="Arial" w:hAnsi="Arial" w:cs="Arial"/>
                <w:bCs/>
                <w:sz w:val="18"/>
                <w:szCs w:val="18"/>
                <w:lang w:val="es-ES" w:eastAsia="es-ES"/>
              </w:rPr>
            </w:pPr>
            <w:r w:rsidRPr="00730AE6">
              <w:rPr>
                <w:rFonts w:ascii="Arial" w:hAnsi="Arial" w:cs="Arial"/>
                <w:bCs/>
                <w:sz w:val="18"/>
                <w:szCs w:val="18"/>
                <w:lang w:val="es-ES" w:eastAsia="es-ES"/>
              </w:rPr>
              <w:t>70.447.033</w:t>
            </w:r>
          </w:p>
        </w:tc>
        <w:tc>
          <w:tcPr>
            <w:tcW w:w="682" w:type="pct"/>
            <w:shd w:val="clear" w:color="auto" w:fill="A8CBEE" w:themeFill="accent2" w:themeFillTint="66"/>
            <w:noWrap/>
            <w:vAlign w:val="center"/>
          </w:tcPr>
          <w:p w:rsidR="008F4889" w:rsidRPr="00730AE6" w:rsidRDefault="008F4889" w:rsidP="00A46FE8">
            <w:pPr>
              <w:spacing w:after="0"/>
              <w:ind w:firstLine="0"/>
              <w:jc w:val="right"/>
              <w:rPr>
                <w:rFonts w:ascii="Arial" w:hAnsi="Arial" w:cs="Arial"/>
                <w:bCs/>
                <w:sz w:val="18"/>
                <w:szCs w:val="18"/>
                <w:lang w:val="es-ES" w:eastAsia="es-ES"/>
              </w:rPr>
            </w:pPr>
            <w:r w:rsidRPr="00730AE6">
              <w:rPr>
                <w:rFonts w:ascii="Arial" w:hAnsi="Arial" w:cs="Arial"/>
                <w:bCs/>
                <w:sz w:val="18"/>
                <w:szCs w:val="18"/>
                <w:lang w:val="es-ES" w:eastAsia="es-ES"/>
              </w:rPr>
              <w:t>16.939.779</w:t>
            </w:r>
          </w:p>
        </w:tc>
        <w:tc>
          <w:tcPr>
            <w:tcW w:w="603" w:type="pct"/>
            <w:shd w:val="clear" w:color="auto" w:fill="A8CBEE" w:themeFill="accent2" w:themeFillTint="66"/>
            <w:noWrap/>
            <w:vAlign w:val="center"/>
          </w:tcPr>
          <w:p w:rsidR="008F4889" w:rsidRPr="00730AE6" w:rsidRDefault="008F4889" w:rsidP="00A46FE8">
            <w:pPr>
              <w:spacing w:after="0"/>
              <w:ind w:firstLine="0"/>
              <w:jc w:val="right"/>
              <w:rPr>
                <w:rFonts w:ascii="Arial" w:hAnsi="Arial" w:cs="Arial"/>
                <w:bCs/>
                <w:sz w:val="18"/>
                <w:szCs w:val="18"/>
                <w:lang w:val="es-ES" w:eastAsia="es-ES"/>
              </w:rPr>
            </w:pPr>
            <w:r w:rsidRPr="00730AE6">
              <w:rPr>
                <w:rFonts w:ascii="Arial" w:hAnsi="Arial" w:cs="Arial"/>
                <w:bCs/>
                <w:sz w:val="18"/>
                <w:szCs w:val="18"/>
                <w:lang w:val="es-ES" w:eastAsia="es-ES"/>
              </w:rPr>
              <w:t>87.386.812</w:t>
            </w:r>
          </w:p>
        </w:tc>
        <w:tc>
          <w:tcPr>
            <w:tcW w:w="720" w:type="pct"/>
            <w:shd w:val="clear" w:color="auto" w:fill="A8CBEE" w:themeFill="accent2" w:themeFillTint="66"/>
            <w:noWrap/>
            <w:vAlign w:val="center"/>
          </w:tcPr>
          <w:p w:rsidR="008F4889" w:rsidRPr="00730AE6" w:rsidRDefault="008F4889" w:rsidP="00E130CE">
            <w:pPr>
              <w:spacing w:after="0"/>
              <w:ind w:firstLine="0"/>
              <w:jc w:val="right"/>
              <w:rPr>
                <w:rFonts w:ascii="Arial" w:hAnsi="Arial" w:cs="Arial"/>
                <w:bCs/>
                <w:sz w:val="18"/>
                <w:szCs w:val="18"/>
                <w:lang w:val="es-ES" w:eastAsia="es-ES"/>
              </w:rPr>
            </w:pPr>
            <w:r w:rsidRPr="00730AE6">
              <w:rPr>
                <w:rFonts w:ascii="Arial" w:hAnsi="Arial" w:cs="Arial"/>
                <w:bCs/>
                <w:sz w:val="18"/>
                <w:szCs w:val="18"/>
                <w:lang w:val="es-ES" w:eastAsia="es-ES"/>
              </w:rPr>
              <w:t>78.200.534</w:t>
            </w:r>
          </w:p>
        </w:tc>
        <w:tc>
          <w:tcPr>
            <w:tcW w:w="506" w:type="pct"/>
            <w:shd w:val="clear" w:color="auto" w:fill="A8CBEE" w:themeFill="accent2" w:themeFillTint="66"/>
            <w:noWrap/>
            <w:vAlign w:val="center"/>
          </w:tcPr>
          <w:p w:rsidR="008F4889" w:rsidRPr="00730AE6" w:rsidRDefault="008F4889" w:rsidP="00A46FE8">
            <w:pPr>
              <w:spacing w:after="0"/>
              <w:ind w:firstLine="0"/>
              <w:jc w:val="right"/>
              <w:rPr>
                <w:rFonts w:ascii="Arial" w:hAnsi="Arial" w:cs="Arial"/>
                <w:bCs/>
                <w:sz w:val="18"/>
                <w:szCs w:val="18"/>
                <w:lang w:val="es-ES" w:eastAsia="es-ES"/>
              </w:rPr>
            </w:pPr>
            <w:r w:rsidRPr="00730AE6">
              <w:rPr>
                <w:rFonts w:ascii="Arial" w:hAnsi="Arial" w:cs="Arial"/>
                <w:bCs/>
                <w:sz w:val="18"/>
                <w:szCs w:val="18"/>
                <w:lang w:val="es-ES" w:eastAsia="es-ES"/>
              </w:rPr>
              <w:t>100</w:t>
            </w:r>
          </w:p>
        </w:tc>
        <w:tc>
          <w:tcPr>
            <w:tcW w:w="646" w:type="pct"/>
            <w:shd w:val="clear" w:color="auto" w:fill="A8CBEE" w:themeFill="accent2" w:themeFillTint="66"/>
            <w:vAlign w:val="center"/>
          </w:tcPr>
          <w:p w:rsidR="008F4889" w:rsidRPr="00730AE6" w:rsidRDefault="008F4889" w:rsidP="008F4889">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74.927.857</w:t>
            </w:r>
          </w:p>
        </w:tc>
      </w:tr>
    </w:tbl>
    <w:p w:rsidR="006420DA" w:rsidRPr="00730AE6" w:rsidRDefault="006420DA" w:rsidP="006420DA">
      <w:pPr>
        <w:spacing w:after="0"/>
        <w:ind w:firstLine="0"/>
        <w:rPr>
          <w:sz w:val="26"/>
          <w:szCs w:val="26"/>
          <w:lang w:val="es-ES" w:eastAsia="es-ES"/>
        </w:rPr>
      </w:pPr>
    </w:p>
    <w:p w:rsidR="006420DA" w:rsidRPr="00730AE6" w:rsidRDefault="006420DA" w:rsidP="006420DA">
      <w:pPr>
        <w:spacing w:after="0"/>
        <w:ind w:firstLine="0"/>
        <w:rPr>
          <w:sz w:val="26"/>
          <w:szCs w:val="26"/>
          <w:lang w:val="es-ES" w:eastAsia="es-ES"/>
        </w:rPr>
      </w:pPr>
    </w:p>
    <w:p w:rsidR="006420DA" w:rsidRPr="00730AE6" w:rsidRDefault="006420DA" w:rsidP="006420DA">
      <w:pPr>
        <w:spacing w:after="240"/>
        <w:ind w:firstLine="0"/>
        <w:jc w:val="center"/>
        <w:rPr>
          <w:rFonts w:ascii="Arial" w:hAnsi="Arial" w:cs="Arial"/>
          <w:sz w:val="24"/>
          <w:szCs w:val="24"/>
          <w:lang w:val="es-ES" w:eastAsia="es-ES"/>
        </w:rPr>
      </w:pPr>
      <w:r w:rsidRPr="00730AE6">
        <w:rPr>
          <w:rFonts w:ascii="Arial" w:hAnsi="Arial" w:cs="Arial"/>
          <w:sz w:val="24"/>
          <w:szCs w:val="24"/>
          <w:lang w:val="es-ES" w:eastAsia="es-ES"/>
        </w:rPr>
        <w:t>Liquidación del presupuesto de ingresos, por capítulo económico</w:t>
      </w:r>
    </w:p>
    <w:tbl>
      <w:tblPr>
        <w:tblW w:w="5101" w:type="pct"/>
        <w:jc w:val="center"/>
        <w:tblInd w:w="734"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2112"/>
        <w:gridCol w:w="1312"/>
        <w:gridCol w:w="1273"/>
        <w:gridCol w:w="1135"/>
        <w:gridCol w:w="1275"/>
        <w:gridCol w:w="1053"/>
        <w:gridCol w:w="1094"/>
      </w:tblGrid>
      <w:tr w:rsidR="00116E52" w:rsidRPr="00730AE6" w:rsidTr="005A63AB">
        <w:trPr>
          <w:trHeight w:val="284"/>
          <w:jc w:val="center"/>
        </w:trPr>
        <w:tc>
          <w:tcPr>
            <w:tcW w:w="1141" w:type="pct"/>
            <w:shd w:val="clear" w:color="auto" w:fill="A0C3E3" w:themeFill="accent1" w:themeFillTint="99"/>
            <w:vAlign w:val="center"/>
          </w:tcPr>
          <w:p w:rsidR="008F4889" w:rsidRPr="00730AE6" w:rsidRDefault="008F4889" w:rsidP="00473E08">
            <w:pPr>
              <w:spacing w:after="0"/>
              <w:ind w:firstLine="0"/>
              <w:jc w:val="left"/>
              <w:rPr>
                <w:rFonts w:ascii="Arial" w:hAnsi="Arial" w:cs="Arial"/>
                <w:bCs/>
                <w:sz w:val="17"/>
                <w:szCs w:val="17"/>
                <w:lang w:val="es-ES" w:eastAsia="es-ES"/>
              </w:rPr>
            </w:pPr>
            <w:r w:rsidRPr="00730AE6">
              <w:rPr>
                <w:rFonts w:ascii="Arial" w:hAnsi="Arial" w:cs="Arial"/>
                <w:bCs/>
                <w:sz w:val="17"/>
                <w:szCs w:val="17"/>
                <w:lang w:val="es-ES" w:eastAsia="es-ES"/>
              </w:rPr>
              <w:t>Descripción</w:t>
            </w:r>
          </w:p>
        </w:tc>
        <w:tc>
          <w:tcPr>
            <w:tcW w:w="709" w:type="pct"/>
            <w:shd w:val="clear" w:color="auto" w:fill="A0C3E3" w:themeFill="accent1" w:themeFillTint="99"/>
            <w:vAlign w:val="center"/>
          </w:tcPr>
          <w:p w:rsidR="008F4889" w:rsidRPr="00730AE6" w:rsidRDefault="008F4889" w:rsidP="00473E08">
            <w:pPr>
              <w:spacing w:after="0"/>
              <w:ind w:firstLine="0"/>
              <w:jc w:val="right"/>
              <w:rPr>
                <w:rFonts w:ascii="Arial" w:hAnsi="Arial" w:cs="Arial"/>
                <w:bCs/>
                <w:sz w:val="17"/>
                <w:szCs w:val="17"/>
                <w:lang w:val="es-ES" w:eastAsia="es-ES"/>
              </w:rPr>
            </w:pPr>
            <w:r w:rsidRPr="00730AE6">
              <w:rPr>
                <w:rFonts w:ascii="Arial" w:hAnsi="Arial" w:cs="Arial"/>
                <w:bCs/>
                <w:sz w:val="17"/>
                <w:szCs w:val="17"/>
                <w:lang w:val="es-ES" w:eastAsia="es-ES"/>
              </w:rPr>
              <w:t>Previsión</w:t>
            </w:r>
          </w:p>
          <w:p w:rsidR="008F4889" w:rsidRPr="00730AE6" w:rsidRDefault="008F4889" w:rsidP="00473E08">
            <w:pPr>
              <w:spacing w:after="0"/>
              <w:ind w:firstLine="0"/>
              <w:jc w:val="right"/>
              <w:rPr>
                <w:rFonts w:ascii="Arial" w:hAnsi="Arial" w:cs="Arial"/>
                <w:bCs/>
                <w:sz w:val="17"/>
                <w:szCs w:val="17"/>
                <w:lang w:val="es-ES" w:eastAsia="es-ES"/>
              </w:rPr>
            </w:pPr>
            <w:r w:rsidRPr="00730AE6">
              <w:rPr>
                <w:rFonts w:ascii="Arial" w:hAnsi="Arial" w:cs="Arial"/>
                <w:bCs/>
                <w:sz w:val="17"/>
                <w:szCs w:val="17"/>
                <w:lang w:val="es-ES" w:eastAsia="es-ES"/>
              </w:rPr>
              <w:t>inicial</w:t>
            </w:r>
          </w:p>
        </w:tc>
        <w:tc>
          <w:tcPr>
            <w:tcW w:w="688" w:type="pct"/>
            <w:shd w:val="clear" w:color="auto" w:fill="A0C3E3" w:themeFill="accent1" w:themeFillTint="99"/>
            <w:vAlign w:val="center"/>
          </w:tcPr>
          <w:p w:rsidR="008F4889" w:rsidRPr="00730AE6" w:rsidRDefault="008F4889" w:rsidP="00473E08">
            <w:pPr>
              <w:spacing w:after="0"/>
              <w:ind w:firstLine="0"/>
              <w:jc w:val="right"/>
              <w:rPr>
                <w:rFonts w:ascii="Arial" w:hAnsi="Arial" w:cs="Arial"/>
                <w:bCs/>
                <w:sz w:val="17"/>
                <w:szCs w:val="17"/>
                <w:lang w:val="es-ES" w:eastAsia="es-ES"/>
              </w:rPr>
            </w:pPr>
            <w:r w:rsidRPr="00730AE6">
              <w:rPr>
                <w:rFonts w:ascii="Arial" w:hAnsi="Arial" w:cs="Arial"/>
                <w:bCs/>
                <w:sz w:val="17"/>
                <w:szCs w:val="17"/>
                <w:lang w:val="es-ES" w:eastAsia="es-ES"/>
              </w:rPr>
              <w:t>Modificaciones</w:t>
            </w:r>
          </w:p>
        </w:tc>
        <w:tc>
          <w:tcPr>
            <w:tcW w:w="613" w:type="pct"/>
            <w:shd w:val="clear" w:color="auto" w:fill="A0C3E3" w:themeFill="accent1" w:themeFillTint="99"/>
            <w:vAlign w:val="center"/>
          </w:tcPr>
          <w:p w:rsidR="008F4889" w:rsidRPr="00730AE6" w:rsidRDefault="008F4889" w:rsidP="00473E08">
            <w:pPr>
              <w:spacing w:after="0"/>
              <w:ind w:firstLine="0"/>
              <w:jc w:val="right"/>
              <w:rPr>
                <w:rFonts w:ascii="Arial" w:hAnsi="Arial" w:cs="Arial"/>
                <w:bCs/>
                <w:sz w:val="17"/>
                <w:szCs w:val="17"/>
                <w:lang w:val="es-ES" w:eastAsia="es-ES"/>
              </w:rPr>
            </w:pPr>
            <w:r w:rsidRPr="00730AE6">
              <w:rPr>
                <w:rFonts w:ascii="Arial" w:hAnsi="Arial" w:cs="Arial"/>
                <w:bCs/>
                <w:sz w:val="17"/>
                <w:szCs w:val="17"/>
                <w:lang w:val="es-ES" w:eastAsia="es-ES"/>
              </w:rPr>
              <w:t xml:space="preserve">Previsión </w:t>
            </w:r>
          </w:p>
          <w:p w:rsidR="008F4889" w:rsidRPr="00730AE6" w:rsidRDefault="008F4889" w:rsidP="00473E08">
            <w:pPr>
              <w:spacing w:after="0"/>
              <w:ind w:firstLine="0"/>
              <w:jc w:val="right"/>
              <w:rPr>
                <w:rFonts w:ascii="Arial" w:hAnsi="Arial" w:cs="Arial"/>
                <w:bCs/>
                <w:sz w:val="17"/>
                <w:szCs w:val="17"/>
                <w:lang w:val="es-ES" w:eastAsia="es-ES"/>
              </w:rPr>
            </w:pPr>
            <w:r w:rsidRPr="00730AE6">
              <w:rPr>
                <w:rFonts w:ascii="Arial" w:hAnsi="Arial" w:cs="Arial"/>
                <w:bCs/>
                <w:sz w:val="17"/>
                <w:szCs w:val="17"/>
                <w:lang w:val="es-ES" w:eastAsia="es-ES"/>
              </w:rPr>
              <w:t>definitiva</w:t>
            </w:r>
          </w:p>
        </w:tc>
        <w:tc>
          <w:tcPr>
            <w:tcW w:w="689" w:type="pct"/>
            <w:shd w:val="clear" w:color="auto" w:fill="A0C3E3" w:themeFill="accent1" w:themeFillTint="99"/>
            <w:vAlign w:val="center"/>
          </w:tcPr>
          <w:p w:rsidR="008F4889" w:rsidRPr="00730AE6" w:rsidRDefault="008F4889" w:rsidP="00473E08">
            <w:pPr>
              <w:spacing w:after="0"/>
              <w:ind w:firstLine="0"/>
              <w:jc w:val="right"/>
              <w:rPr>
                <w:rFonts w:ascii="Arial" w:hAnsi="Arial" w:cs="Arial"/>
                <w:bCs/>
                <w:sz w:val="17"/>
                <w:szCs w:val="17"/>
                <w:lang w:val="es-ES" w:eastAsia="es-ES"/>
              </w:rPr>
            </w:pPr>
            <w:r w:rsidRPr="00730AE6">
              <w:rPr>
                <w:rFonts w:ascii="Arial" w:hAnsi="Arial" w:cs="Arial"/>
                <w:bCs/>
                <w:sz w:val="17"/>
                <w:szCs w:val="17"/>
                <w:lang w:val="es-ES" w:eastAsia="es-ES"/>
              </w:rPr>
              <w:t>Derechos rec. netos</w:t>
            </w:r>
          </w:p>
        </w:tc>
        <w:tc>
          <w:tcPr>
            <w:tcW w:w="569" w:type="pct"/>
            <w:shd w:val="clear" w:color="auto" w:fill="A0C3E3" w:themeFill="accent1" w:themeFillTint="99"/>
            <w:vAlign w:val="center"/>
          </w:tcPr>
          <w:p w:rsidR="008F4889" w:rsidRPr="00730AE6" w:rsidRDefault="008F4889" w:rsidP="00F72571">
            <w:pPr>
              <w:spacing w:after="0"/>
              <w:ind w:firstLine="0"/>
              <w:jc w:val="right"/>
              <w:rPr>
                <w:rFonts w:ascii="Arial" w:hAnsi="Arial" w:cs="Arial"/>
                <w:bCs/>
                <w:sz w:val="17"/>
                <w:szCs w:val="17"/>
                <w:lang w:val="es-ES" w:eastAsia="es-ES"/>
              </w:rPr>
            </w:pPr>
            <w:r w:rsidRPr="00730AE6">
              <w:rPr>
                <w:rFonts w:ascii="Arial" w:hAnsi="Arial" w:cs="Arial"/>
                <w:bCs/>
                <w:sz w:val="17"/>
                <w:szCs w:val="17"/>
                <w:lang w:val="es-ES" w:eastAsia="es-ES"/>
              </w:rPr>
              <w:t xml:space="preserve">% </w:t>
            </w:r>
            <w:r w:rsidR="00F72571">
              <w:rPr>
                <w:rFonts w:ascii="Arial" w:hAnsi="Arial" w:cs="Arial"/>
                <w:bCs/>
                <w:sz w:val="17"/>
                <w:szCs w:val="17"/>
                <w:lang w:val="es-ES" w:eastAsia="es-ES"/>
              </w:rPr>
              <w:t>Ejec</w:t>
            </w:r>
            <w:r w:rsidR="00F72571">
              <w:rPr>
                <w:rFonts w:ascii="Arial" w:hAnsi="Arial" w:cs="Arial"/>
                <w:bCs/>
                <w:sz w:val="17"/>
                <w:szCs w:val="17"/>
                <w:lang w:val="es-ES" w:eastAsia="es-ES"/>
              </w:rPr>
              <w:t>u</w:t>
            </w:r>
            <w:r w:rsidR="00F72571">
              <w:rPr>
                <w:rFonts w:ascii="Arial" w:hAnsi="Arial" w:cs="Arial"/>
                <w:bCs/>
                <w:sz w:val="17"/>
                <w:szCs w:val="17"/>
                <w:lang w:val="es-ES" w:eastAsia="es-ES"/>
              </w:rPr>
              <w:t>ción</w:t>
            </w:r>
          </w:p>
        </w:tc>
        <w:tc>
          <w:tcPr>
            <w:tcW w:w="591" w:type="pct"/>
            <w:shd w:val="clear" w:color="auto" w:fill="A0C3E3" w:themeFill="accent1" w:themeFillTint="99"/>
            <w:vAlign w:val="center"/>
          </w:tcPr>
          <w:p w:rsidR="008F4889" w:rsidRPr="00730AE6" w:rsidRDefault="008F4889" w:rsidP="008F4889">
            <w:pPr>
              <w:spacing w:after="0"/>
              <w:ind w:firstLine="0"/>
              <w:jc w:val="right"/>
              <w:rPr>
                <w:rFonts w:ascii="Arial" w:hAnsi="Arial" w:cs="Arial"/>
                <w:bCs/>
                <w:sz w:val="17"/>
                <w:szCs w:val="17"/>
                <w:lang w:val="es-ES" w:eastAsia="es-ES"/>
              </w:rPr>
            </w:pPr>
            <w:r>
              <w:rPr>
                <w:rFonts w:ascii="Arial" w:hAnsi="Arial" w:cs="Arial"/>
                <w:bCs/>
                <w:sz w:val="17"/>
                <w:szCs w:val="17"/>
                <w:lang w:val="es-ES" w:eastAsia="es-ES"/>
              </w:rPr>
              <w:t>Cobrado</w:t>
            </w:r>
          </w:p>
        </w:tc>
      </w:tr>
      <w:tr w:rsidR="00116E52" w:rsidRPr="00730AE6" w:rsidTr="005A63AB">
        <w:trPr>
          <w:trHeight w:val="284"/>
          <w:jc w:val="center"/>
        </w:trPr>
        <w:tc>
          <w:tcPr>
            <w:tcW w:w="1141" w:type="pct"/>
            <w:tcBorders>
              <w:bottom w:val="single" w:sz="2" w:space="0" w:color="auto"/>
            </w:tcBorders>
            <w:noWrap/>
            <w:vAlign w:val="center"/>
          </w:tcPr>
          <w:p w:rsidR="008F4889" w:rsidRPr="00730AE6" w:rsidRDefault="008F4889" w:rsidP="00473E08">
            <w:pPr>
              <w:spacing w:after="0"/>
              <w:ind w:firstLine="0"/>
              <w:jc w:val="left"/>
              <w:rPr>
                <w:rFonts w:ascii="Arial Narrow" w:hAnsi="Arial Narrow"/>
                <w:sz w:val="18"/>
                <w:szCs w:val="18"/>
                <w:lang w:val="es-ES" w:eastAsia="es-ES"/>
              </w:rPr>
            </w:pPr>
            <w:r w:rsidRPr="00730AE6">
              <w:rPr>
                <w:rFonts w:ascii="Arial Narrow" w:hAnsi="Arial Narrow"/>
                <w:sz w:val="18"/>
                <w:szCs w:val="18"/>
                <w:lang w:val="es-ES" w:eastAsia="es-ES"/>
              </w:rPr>
              <w:t>3. Tasas y otros Ingresos</w:t>
            </w:r>
          </w:p>
        </w:tc>
        <w:tc>
          <w:tcPr>
            <w:tcW w:w="709" w:type="pct"/>
            <w:tcBorders>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12.939.029</w:t>
            </w:r>
          </w:p>
        </w:tc>
        <w:tc>
          <w:tcPr>
            <w:tcW w:w="688" w:type="pct"/>
            <w:tcBorders>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2.429.577</w:t>
            </w:r>
          </w:p>
        </w:tc>
        <w:tc>
          <w:tcPr>
            <w:tcW w:w="613" w:type="pct"/>
            <w:tcBorders>
              <w:bottom w:val="single" w:sz="2" w:space="0" w:color="auto"/>
            </w:tcBorders>
            <w:noWrap/>
            <w:vAlign w:val="center"/>
          </w:tcPr>
          <w:p w:rsidR="008F4889" w:rsidRPr="00730AE6" w:rsidRDefault="008F4889" w:rsidP="00194C67">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15.368.606</w:t>
            </w:r>
          </w:p>
        </w:tc>
        <w:tc>
          <w:tcPr>
            <w:tcW w:w="689" w:type="pct"/>
            <w:tcBorders>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14.709.310</w:t>
            </w:r>
          </w:p>
        </w:tc>
        <w:tc>
          <w:tcPr>
            <w:tcW w:w="569" w:type="pct"/>
            <w:tcBorders>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19</w:t>
            </w:r>
          </w:p>
        </w:tc>
        <w:tc>
          <w:tcPr>
            <w:tcW w:w="591" w:type="pct"/>
            <w:tcBorders>
              <w:bottom w:val="single" w:sz="2" w:space="0" w:color="auto"/>
            </w:tcBorders>
            <w:vAlign w:val="center"/>
          </w:tcPr>
          <w:p w:rsidR="008F4889" w:rsidRPr="00730AE6" w:rsidRDefault="00116E52" w:rsidP="008F4889">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14.049.106</w:t>
            </w:r>
          </w:p>
        </w:tc>
      </w:tr>
      <w:tr w:rsidR="00116E52" w:rsidRPr="00730AE6" w:rsidTr="005A63AB">
        <w:trPr>
          <w:trHeight w:val="284"/>
          <w:jc w:val="center"/>
        </w:trPr>
        <w:tc>
          <w:tcPr>
            <w:tcW w:w="1141" w:type="pct"/>
            <w:tcBorders>
              <w:top w:val="single" w:sz="2" w:space="0" w:color="auto"/>
              <w:bottom w:val="single" w:sz="2" w:space="0" w:color="auto"/>
            </w:tcBorders>
            <w:noWrap/>
            <w:vAlign w:val="center"/>
          </w:tcPr>
          <w:p w:rsidR="008F4889" w:rsidRPr="00730AE6" w:rsidRDefault="008F4889" w:rsidP="00473E08">
            <w:pPr>
              <w:spacing w:after="0"/>
              <w:ind w:firstLine="0"/>
              <w:jc w:val="left"/>
              <w:rPr>
                <w:rFonts w:ascii="Arial Narrow" w:hAnsi="Arial Narrow"/>
                <w:sz w:val="18"/>
                <w:szCs w:val="18"/>
                <w:lang w:val="es-ES" w:eastAsia="es-ES"/>
              </w:rPr>
            </w:pPr>
            <w:r w:rsidRPr="00730AE6">
              <w:rPr>
                <w:rFonts w:ascii="Arial Narrow" w:hAnsi="Arial Narrow"/>
                <w:sz w:val="18"/>
                <w:szCs w:val="18"/>
                <w:lang w:val="es-ES" w:eastAsia="es-ES"/>
              </w:rPr>
              <w:t>4. Transferencias corrientes</w:t>
            </w:r>
          </w:p>
        </w:tc>
        <w:tc>
          <w:tcPr>
            <w:tcW w:w="709" w:type="pct"/>
            <w:tcBorders>
              <w:top w:val="single" w:sz="2" w:space="0" w:color="auto"/>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54.862.341</w:t>
            </w:r>
          </w:p>
        </w:tc>
        <w:tc>
          <w:tcPr>
            <w:tcW w:w="688" w:type="pct"/>
            <w:tcBorders>
              <w:top w:val="single" w:sz="2" w:space="0" w:color="auto"/>
              <w:bottom w:val="single" w:sz="2" w:space="0" w:color="auto"/>
            </w:tcBorders>
            <w:noWrap/>
            <w:vAlign w:val="center"/>
          </w:tcPr>
          <w:p w:rsidR="008F4889" w:rsidRPr="00730AE6" w:rsidRDefault="008F4889" w:rsidP="00194C67">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7.028.205</w:t>
            </w:r>
          </w:p>
        </w:tc>
        <w:tc>
          <w:tcPr>
            <w:tcW w:w="613" w:type="pct"/>
            <w:tcBorders>
              <w:top w:val="single" w:sz="2" w:space="0" w:color="auto"/>
              <w:bottom w:val="single" w:sz="2" w:space="0" w:color="auto"/>
            </w:tcBorders>
            <w:noWrap/>
            <w:vAlign w:val="center"/>
          </w:tcPr>
          <w:p w:rsidR="008F4889" w:rsidRPr="00730AE6" w:rsidRDefault="008F4889" w:rsidP="00194C67">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61.890.546</w:t>
            </w:r>
          </w:p>
        </w:tc>
        <w:tc>
          <w:tcPr>
            <w:tcW w:w="689" w:type="pct"/>
            <w:tcBorders>
              <w:top w:val="single" w:sz="2" w:space="0" w:color="auto"/>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60.470.626</w:t>
            </w:r>
          </w:p>
        </w:tc>
        <w:tc>
          <w:tcPr>
            <w:tcW w:w="569" w:type="pct"/>
            <w:tcBorders>
              <w:top w:val="single" w:sz="2" w:space="0" w:color="auto"/>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79</w:t>
            </w:r>
          </w:p>
        </w:tc>
        <w:tc>
          <w:tcPr>
            <w:tcW w:w="591" w:type="pct"/>
            <w:tcBorders>
              <w:top w:val="single" w:sz="2" w:space="0" w:color="auto"/>
              <w:bottom w:val="single" w:sz="2" w:space="0" w:color="auto"/>
            </w:tcBorders>
            <w:vAlign w:val="center"/>
          </w:tcPr>
          <w:p w:rsidR="008F4889" w:rsidRPr="00730AE6" w:rsidRDefault="00116E52" w:rsidP="008F4889">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56.629.134</w:t>
            </w:r>
          </w:p>
        </w:tc>
      </w:tr>
      <w:tr w:rsidR="00116E52" w:rsidRPr="00730AE6" w:rsidTr="005A63AB">
        <w:trPr>
          <w:trHeight w:val="284"/>
          <w:jc w:val="center"/>
        </w:trPr>
        <w:tc>
          <w:tcPr>
            <w:tcW w:w="1141" w:type="pct"/>
            <w:tcBorders>
              <w:top w:val="single" w:sz="2" w:space="0" w:color="auto"/>
              <w:bottom w:val="single" w:sz="2" w:space="0" w:color="auto"/>
            </w:tcBorders>
            <w:noWrap/>
            <w:vAlign w:val="center"/>
          </w:tcPr>
          <w:p w:rsidR="008F4889" w:rsidRPr="00730AE6" w:rsidRDefault="008F4889" w:rsidP="00473E08">
            <w:pPr>
              <w:spacing w:after="0"/>
              <w:ind w:firstLine="0"/>
              <w:jc w:val="left"/>
              <w:rPr>
                <w:rFonts w:ascii="Arial Narrow" w:hAnsi="Arial Narrow"/>
                <w:sz w:val="18"/>
                <w:szCs w:val="18"/>
                <w:lang w:val="es-ES" w:eastAsia="es-ES"/>
              </w:rPr>
            </w:pPr>
            <w:r w:rsidRPr="00730AE6">
              <w:rPr>
                <w:rFonts w:ascii="Arial Narrow" w:hAnsi="Arial Narrow"/>
                <w:sz w:val="18"/>
                <w:szCs w:val="18"/>
                <w:lang w:val="es-ES" w:eastAsia="es-ES"/>
              </w:rPr>
              <w:t>5. Ingresos patrimoniales</w:t>
            </w:r>
          </w:p>
        </w:tc>
        <w:tc>
          <w:tcPr>
            <w:tcW w:w="709" w:type="pct"/>
            <w:tcBorders>
              <w:top w:val="single" w:sz="2" w:space="0" w:color="auto"/>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163.600</w:t>
            </w:r>
          </w:p>
        </w:tc>
        <w:tc>
          <w:tcPr>
            <w:tcW w:w="688" w:type="pct"/>
            <w:tcBorders>
              <w:top w:val="single" w:sz="2" w:space="0" w:color="auto"/>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0</w:t>
            </w:r>
          </w:p>
        </w:tc>
        <w:tc>
          <w:tcPr>
            <w:tcW w:w="613" w:type="pct"/>
            <w:tcBorders>
              <w:top w:val="single" w:sz="2" w:space="0" w:color="auto"/>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163.600</w:t>
            </w:r>
          </w:p>
        </w:tc>
        <w:tc>
          <w:tcPr>
            <w:tcW w:w="689" w:type="pct"/>
            <w:tcBorders>
              <w:top w:val="single" w:sz="2" w:space="0" w:color="auto"/>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131.179</w:t>
            </w:r>
          </w:p>
        </w:tc>
        <w:tc>
          <w:tcPr>
            <w:tcW w:w="569" w:type="pct"/>
            <w:tcBorders>
              <w:top w:val="single" w:sz="2" w:space="0" w:color="auto"/>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0</w:t>
            </w:r>
          </w:p>
        </w:tc>
        <w:tc>
          <w:tcPr>
            <w:tcW w:w="591" w:type="pct"/>
            <w:tcBorders>
              <w:top w:val="single" w:sz="2" w:space="0" w:color="auto"/>
              <w:bottom w:val="single" w:sz="2" w:space="0" w:color="auto"/>
            </w:tcBorders>
            <w:vAlign w:val="center"/>
          </w:tcPr>
          <w:p w:rsidR="008F4889" w:rsidRPr="00730AE6" w:rsidRDefault="00116E52" w:rsidP="00765FF0">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71.</w:t>
            </w:r>
            <w:r w:rsidR="00765FF0">
              <w:rPr>
                <w:rFonts w:ascii="Arial Narrow" w:hAnsi="Arial Narrow"/>
                <w:sz w:val="18"/>
                <w:szCs w:val="18"/>
                <w:lang w:val="es-ES" w:eastAsia="es-ES"/>
              </w:rPr>
              <w:t>900</w:t>
            </w:r>
          </w:p>
        </w:tc>
      </w:tr>
      <w:tr w:rsidR="00765FF0" w:rsidRPr="00730AE6" w:rsidTr="005A63AB">
        <w:trPr>
          <w:trHeight w:val="284"/>
          <w:jc w:val="center"/>
        </w:trPr>
        <w:tc>
          <w:tcPr>
            <w:tcW w:w="1141" w:type="pct"/>
            <w:tcBorders>
              <w:top w:val="single" w:sz="2" w:space="0" w:color="auto"/>
              <w:bottom w:val="single" w:sz="2" w:space="0" w:color="auto"/>
            </w:tcBorders>
            <w:noWrap/>
            <w:vAlign w:val="center"/>
          </w:tcPr>
          <w:p w:rsidR="00765FF0" w:rsidRPr="00730AE6" w:rsidRDefault="00765FF0" w:rsidP="00473E08">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6. Enajenación de inversiones</w:t>
            </w:r>
          </w:p>
        </w:tc>
        <w:tc>
          <w:tcPr>
            <w:tcW w:w="709" w:type="pct"/>
            <w:tcBorders>
              <w:top w:val="single" w:sz="2" w:space="0" w:color="auto"/>
              <w:bottom w:val="single" w:sz="2" w:space="0" w:color="auto"/>
            </w:tcBorders>
            <w:noWrap/>
            <w:vAlign w:val="center"/>
          </w:tcPr>
          <w:p w:rsidR="00765FF0" w:rsidRPr="00730AE6" w:rsidRDefault="00765FF0" w:rsidP="00473E08">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0</w:t>
            </w:r>
          </w:p>
        </w:tc>
        <w:tc>
          <w:tcPr>
            <w:tcW w:w="688" w:type="pct"/>
            <w:tcBorders>
              <w:top w:val="single" w:sz="2" w:space="0" w:color="auto"/>
              <w:bottom w:val="single" w:sz="2" w:space="0" w:color="auto"/>
            </w:tcBorders>
            <w:noWrap/>
            <w:vAlign w:val="center"/>
          </w:tcPr>
          <w:p w:rsidR="00765FF0" w:rsidRPr="00730AE6" w:rsidRDefault="00765FF0" w:rsidP="00473E08">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0</w:t>
            </w:r>
          </w:p>
        </w:tc>
        <w:tc>
          <w:tcPr>
            <w:tcW w:w="613" w:type="pct"/>
            <w:tcBorders>
              <w:top w:val="single" w:sz="2" w:space="0" w:color="auto"/>
              <w:bottom w:val="single" w:sz="2" w:space="0" w:color="auto"/>
            </w:tcBorders>
            <w:noWrap/>
            <w:vAlign w:val="center"/>
          </w:tcPr>
          <w:p w:rsidR="00765FF0" w:rsidRPr="00730AE6" w:rsidRDefault="00765FF0" w:rsidP="00473E08">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0</w:t>
            </w:r>
          </w:p>
        </w:tc>
        <w:tc>
          <w:tcPr>
            <w:tcW w:w="689" w:type="pct"/>
            <w:tcBorders>
              <w:top w:val="single" w:sz="2" w:space="0" w:color="auto"/>
              <w:bottom w:val="single" w:sz="2" w:space="0" w:color="auto"/>
            </w:tcBorders>
            <w:noWrap/>
            <w:vAlign w:val="center"/>
          </w:tcPr>
          <w:p w:rsidR="00765FF0" w:rsidRPr="00730AE6" w:rsidRDefault="00765FF0" w:rsidP="00473E08">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2.751</w:t>
            </w:r>
          </w:p>
        </w:tc>
        <w:tc>
          <w:tcPr>
            <w:tcW w:w="569" w:type="pct"/>
            <w:tcBorders>
              <w:top w:val="single" w:sz="2" w:space="0" w:color="auto"/>
              <w:bottom w:val="single" w:sz="2" w:space="0" w:color="auto"/>
            </w:tcBorders>
            <w:noWrap/>
            <w:vAlign w:val="center"/>
          </w:tcPr>
          <w:p w:rsidR="00765FF0" w:rsidRPr="00730AE6" w:rsidRDefault="00765FF0" w:rsidP="00473E08">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0</w:t>
            </w:r>
          </w:p>
        </w:tc>
        <w:tc>
          <w:tcPr>
            <w:tcW w:w="591" w:type="pct"/>
            <w:tcBorders>
              <w:top w:val="single" w:sz="2" w:space="0" w:color="auto"/>
              <w:bottom w:val="single" w:sz="2" w:space="0" w:color="auto"/>
            </w:tcBorders>
            <w:vAlign w:val="center"/>
          </w:tcPr>
          <w:p w:rsidR="00765FF0" w:rsidRDefault="00765FF0" w:rsidP="008F4889">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2.751</w:t>
            </w:r>
          </w:p>
        </w:tc>
      </w:tr>
      <w:tr w:rsidR="00116E52" w:rsidRPr="00730AE6" w:rsidTr="005A63AB">
        <w:trPr>
          <w:trHeight w:val="284"/>
          <w:jc w:val="center"/>
        </w:trPr>
        <w:tc>
          <w:tcPr>
            <w:tcW w:w="1141" w:type="pct"/>
            <w:tcBorders>
              <w:top w:val="single" w:sz="2" w:space="0" w:color="auto"/>
              <w:bottom w:val="single" w:sz="2" w:space="0" w:color="auto"/>
            </w:tcBorders>
            <w:noWrap/>
            <w:vAlign w:val="center"/>
          </w:tcPr>
          <w:p w:rsidR="008F4889" w:rsidRPr="00730AE6" w:rsidRDefault="008F4889" w:rsidP="00473E08">
            <w:pPr>
              <w:spacing w:after="0"/>
              <w:ind w:firstLine="0"/>
              <w:jc w:val="left"/>
              <w:rPr>
                <w:rFonts w:ascii="Arial Narrow" w:hAnsi="Arial Narrow"/>
                <w:sz w:val="18"/>
                <w:szCs w:val="18"/>
                <w:lang w:val="es-ES" w:eastAsia="es-ES"/>
              </w:rPr>
            </w:pPr>
            <w:r w:rsidRPr="00730AE6">
              <w:rPr>
                <w:rFonts w:ascii="Arial Narrow" w:hAnsi="Arial Narrow"/>
                <w:sz w:val="18"/>
                <w:szCs w:val="18"/>
                <w:lang w:val="es-ES" w:eastAsia="es-ES"/>
              </w:rPr>
              <w:t>7. Transferencias de capital</w:t>
            </w:r>
          </w:p>
        </w:tc>
        <w:tc>
          <w:tcPr>
            <w:tcW w:w="709" w:type="pct"/>
            <w:tcBorders>
              <w:top w:val="single" w:sz="2" w:space="0" w:color="auto"/>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819.850</w:t>
            </w:r>
          </w:p>
        </w:tc>
        <w:tc>
          <w:tcPr>
            <w:tcW w:w="688" w:type="pct"/>
            <w:tcBorders>
              <w:top w:val="single" w:sz="2" w:space="0" w:color="auto"/>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3.475</w:t>
            </w:r>
          </w:p>
        </w:tc>
        <w:tc>
          <w:tcPr>
            <w:tcW w:w="613" w:type="pct"/>
            <w:tcBorders>
              <w:top w:val="single" w:sz="2" w:space="0" w:color="auto"/>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823.325</w:t>
            </w:r>
          </w:p>
        </w:tc>
        <w:tc>
          <w:tcPr>
            <w:tcW w:w="689" w:type="pct"/>
            <w:tcBorders>
              <w:top w:val="single" w:sz="2" w:space="0" w:color="auto"/>
              <w:bottom w:val="single" w:sz="2" w:space="0" w:color="auto"/>
            </w:tcBorders>
            <w:noWrap/>
            <w:vAlign w:val="center"/>
          </w:tcPr>
          <w:p w:rsidR="008F4889" w:rsidRPr="00730AE6" w:rsidRDefault="006A55F5" w:rsidP="00473E08">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703.352</w:t>
            </w:r>
          </w:p>
        </w:tc>
        <w:tc>
          <w:tcPr>
            <w:tcW w:w="569" w:type="pct"/>
            <w:tcBorders>
              <w:top w:val="single" w:sz="2" w:space="0" w:color="auto"/>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0</w:t>
            </w:r>
          </w:p>
        </w:tc>
        <w:tc>
          <w:tcPr>
            <w:tcW w:w="591" w:type="pct"/>
            <w:tcBorders>
              <w:top w:val="single" w:sz="2" w:space="0" w:color="auto"/>
              <w:bottom w:val="single" w:sz="2" w:space="0" w:color="auto"/>
            </w:tcBorders>
            <w:vAlign w:val="center"/>
          </w:tcPr>
          <w:p w:rsidR="008F4889" w:rsidRPr="00730AE6" w:rsidRDefault="006A55F5" w:rsidP="008F4889">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287.610</w:t>
            </w:r>
          </w:p>
        </w:tc>
      </w:tr>
      <w:tr w:rsidR="00116E52" w:rsidRPr="00730AE6" w:rsidTr="005A63AB">
        <w:trPr>
          <w:trHeight w:val="284"/>
          <w:jc w:val="center"/>
        </w:trPr>
        <w:tc>
          <w:tcPr>
            <w:tcW w:w="1141" w:type="pct"/>
            <w:tcBorders>
              <w:top w:val="single" w:sz="2" w:space="0" w:color="auto"/>
              <w:bottom w:val="single" w:sz="2" w:space="0" w:color="auto"/>
            </w:tcBorders>
            <w:noWrap/>
            <w:vAlign w:val="center"/>
          </w:tcPr>
          <w:p w:rsidR="008F4889" w:rsidRPr="00730AE6" w:rsidRDefault="008F4889" w:rsidP="00473E08">
            <w:pPr>
              <w:spacing w:after="0"/>
              <w:ind w:firstLine="0"/>
              <w:jc w:val="left"/>
              <w:rPr>
                <w:rFonts w:ascii="Arial Narrow" w:hAnsi="Arial Narrow"/>
                <w:sz w:val="18"/>
                <w:szCs w:val="18"/>
                <w:lang w:val="es-ES" w:eastAsia="es-ES"/>
              </w:rPr>
            </w:pPr>
            <w:r w:rsidRPr="00730AE6">
              <w:rPr>
                <w:rFonts w:ascii="Arial Narrow" w:hAnsi="Arial Narrow"/>
                <w:sz w:val="18"/>
                <w:szCs w:val="18"/>
                <w:lang w:val="es-ES" w:eastAsia="es-ES"/>
              </w:rPr>
              <w:t>8.  Activos financieros</w:t>
            </w:r>
          </w:p>
        </w:tc>
        <w:tc>
          <w:tcPr>
            <w:tcW w:w="709" w:type="pct"/>
            <w:tcBorders>
              <w:top w:val="single" w:sz="2" w:space="0" w:color="auto"/>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1.662.213</w:t>
            </w:r>
          </w:p>
        </w:tc>
        <w:tc>
          <w:tcPr>
            <w:tcW w:w="688" w:type="pct"/>
            <w:tcBorders>
              <w:top w:val="single" w:sz="2" w:space="0" w:color="auto"/>
              <w:bottom w:val="single" w:sz="2" w:space="0" w:color="auto"/>
            </w:tcBorders>
            <w:noWrap/>
            <w:vAlign w:val="center"/>
          </w:tcPr>
          <w:p w:rsidR="008F4889" w:rsidRPr="00730AE6" w:rsidRDefault="008F4889" w:rsidP="00473E0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6.502.915</w:t>
            </w:r>
          </w:p>
        </w:tc>
        <w:tc>
          <w:tcPr>
            <w:tcW w:w="613" w:type="pct"/>
            <w:tcBorders>
              <w:top w:val="single" w:sz="2" w:space="0" w:color="auto"/>
              <w:bottom w:val="single" w:sz="2" w:space="0" w:color="auto"/>
            </w:tcBorders>
            <w:noWrap/>
            <w:vAlign w:val="center"/>
          </w:tcPr>
          <w:p w:rsidR="008F4889" w:rsidRPr="00730AE6" w:rsidRDefault="008F4889" w:rsidP="00194C67">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8.165.128</w:t>
            </w:r>
          </w:p>
        </w:tc>
        <w:tc>
          <w:tcPr>
            <w:tcW w:w="689" w:type="pct"/>
            <w:tcBorders>
              <w:top w:val="single" w:sz="2" w:space="0" w:color="auto"/>
              <w:bottom w:val="single" w:sz="2" w:space="0" w:color="auto"/>
            </w:tcBorders>
            <w:noWrap/>
            <w:vAlign w:val="center"/>
          </w:tcPr>
          <w:p w:rsidR="008F4889" w:rsidRPr="00730AE6" w:rsidRDefault="0006142E" w:rsidP="00473E08">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0</w:t>
            </w:r>
          </w:p>
        </w:tc>
        <w:tc>
          <w:tcPr>
            <w:tcW w:w="569" w:type="pct"/>
            <w:tcBorders>
              <w:top w:val="single" w:sz="2" w:space="0" w:color="auto"/>
              <w:bottom w:val="single" w:sz="2" w:space="0" w:color="auto"/>
            </w:tcBorders>
            <w:noWrap/>
            <w:vAlign w:val="center"/>
          </w:tcPr>
          <w:p w:rsidR="008F4889" w:rsidRPr="00730AE6" w:rsidRDefault="006F4ED0" w:rsidP="00473E08">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0</w:t>
            </w:r>
          </w:p>
        </w:tc>
        <w:tc>
          <w:tcPr>
            <w:tcW w:w="591" w:type="pct"/>
            <w:tcBorders>
              <w:top w:val="single" w:sz="2" w:space="0" w:color="auto"/>
              <w:bottom w:val="single" w:sz="2" w:space="0" w:color="auto"/>
            </w:tcBorders>
            <w:vAlign w:val="center"/>
          </w:tcPr>
          <w:p w:rsidR="008F4889" w:rsidRPr="00730AE6" w:rsidRDefault="0006142E" w:rsidP="008F4889">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0</w:t>
            </w:r>
          </w:p>
        </w:tc>
      </w:tr>
      <w:tr w:rsidR="00116E52" w:rsidRPr="00730AE6" w:rsidTr="005A63AB">
        <w:trPr>
          <w:trHeight w:val="284"/>
          <w:jc w:val="center"/>
        </w:trPr>
        <w:tc>
          <w:tcPr>
            <w:tcW w:w="1141" w:type="pct"/>
            <w:tcBorders>
              <w:top w:val="single" w:sz="2" w:space="0" w:color="auto"/>
              <w:bottom w:val="single" w:sz="4" w:space="0" w:color="auto"/>
            </w:tcBorders>
            <w:noWrap/>
            <w:vAlign w:val="center"/>
          </w:tcPr>
          <w:p w:rsidR="008F4889" w:rsidRPr="00730AE6" w:rsidRDefault="008F4889" w:rsidP="00473E08">
            <w:pPr>
              <w:spacing w:after="0"/>
              <w:ind w:firstLine="0"/>
              <w:jc w:val="left"/>
              <w:rPr>
                <w:rFonts w:ascii="Arial Narrow" w:hAnsi="Arial Narrow"/>
                <w:sz w:val="18"/>
                <w:szCs w:val="18"/>
                <w:lang w:val="es-ES" w:eastAsia="es-ES"/>
              </w:rPr>
            </w:pPr>
            <w:r w:rsidRPr="00730AE6">
              <w:rPr>
                <w:rFonts w:ascii="Arial Narrow" w:hAnsi="Arial Narrow"/>
                <w:sz w:val="18"/>
                <w:szCs w:val="18"/>
                <w:lang w:val="es-ES" w:eastAsia="es-ES"/>
              </w:rPr>
              <w:t>9. Pasivos financieros</w:t>
            </w:r>
          </w:p>
        </w:tc>
        <w:tc>
          <w:tcPr>
            <w:tcW w:w="709" w:type="pct"/>
            <w:tcBorders>
              <w:top w:val="single" w:sz="2" w:space="0" w:color="auto"/>
              <w:bottom w:val="single" w:sz="4" w:space="0" w:color="auto"/>
            </w:tcBorders>
            <w:noWrap/>
            <w:vAlign w:val="center"/>
          </w:tcPr>
          <w:p w:rsidR="008F4889" w:rsidRPr="00730AE6" w:rsidRDefault="008F4889" w:rsidP="00473E08">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0</w:t>
            </w:r>
          </w:p>
        </w:tc>
        <w:tc>
          <w:tcPr>
            <w:tcW w:w="688" w:type="pct"/>
            <w:tcBorders>
              <w:top w:val="single" w:sz="2" w:space="0" w:color="auto"/>
              <w:bottom w:val="single" w:sz="4" w:space="0" w:color="auto"/>
            </w:tcBorders>
            <w:noWrap/>
            <w:vAlign w:val="center"/>
          </w:tcPr>
          <w:p w:rsidR="008F4889" w:rsidRPr="00730AE6" w:rsidRDefault="008F4889" w:rsidP="00473E0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975.607</w:t>
            </w:r>
          </w:p>
        </w:tc>
        <w:tc>
          <w:tcPr>
            <w:tcW w:w="613" w:type="pct"/>
            <w:tcBorders>
              <w:top w:val="single" w:sz="2" w:space="0" w:color="auto"/>
              <w:bottom w:val="single" w:sz="4" w:space="0" w:color="auto"/>
            </w:tcBorders>
            <w:noWrap/>
            <w:vAlign w:val="center"/>
          </w:tcPr>
          <w:p w:rsidR="008F4889" w:rsidRPr="00730AE6" w:rsidRDefault="008F4889" w:rsidP="00473E0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975.607</w:t>
            </w:r>
          </w:p>
        </w:tc>
        <w:tc>
          <w:tcPr>
            <w:tcW w:w="689" w:type="pct"/>
            <w:tcBorders>
              <w:top w:val="single" w:sz="2" w:space="0" w:color="auto"/>
              <w:bottom w:val="single" w:sz="4" w:space="0" w:color="auto"/>
            </w:tcBorders>
            <w:noWrap/>
            <w:vAlign w:val="center"/>
          </w:tcPr>
          <w:p w:rsidR="008F4889" w:rsidRPr="00730AE6" w:rsidRDefault="008F4889" w:rsidP="00473E0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971.243</w:t>
            </w:r>
          </w:p>
        </w:tc>
        <w:tc>
          <w:tcPr>
            <w:tcW w:w="569" w:type="pct"/>
            <w:tcBorders>
              <w:top w:val="single" w:sz="2" w:space="0" w:color="auto"/>
              <w:bottom w:val="single" w:sz="4" w:space="0" w:color="auto"/>
            </w:tcBorders>
            <w:noWrap/>
            <w:vAlign w:val="center"/>
          </w:tcPr>
          <w:p w:rsidR="008F4889" w:rsidRPr="00730AE6" w:rsidRDefault="008F4889" w:rsidP="00473E08">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1</w:t>
            </w:r>
          </w:p>
        </w:tc>
        <w:tc>
          <w:tcPr>
            <w:tcW w:w="591" w:type="pct"/>
            <w:tcBorders>
              <w:top w:val="single" w:sz="2" w:space="0" w:color="auto"/>
              <w:bottom w:val="single" w:sz="4" w:space="0" w:color="auto"/>
            </w:tcBorders>
            <w:vAlign w:val="center"/>
          </w:tcPr>
          <w:p w:rsidR="008F4889" w:rsidRPr="00730AE6" w:rsidRDefault="00116E52" w:rsidP="008F4889">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971.243</w:t>
            </w:r>
          </w:p>
        </w:tc>
      </w:tr>
      <w:tr w:rsidR="00116E52" w:rsidRPr="00730AE6" w:rsidTr="005A63AB">
        <w:trPr>
          <w:trHeight w:val="284"/>
          <w:jc w:val="center"/>
        </w:trPr>
        <w:tc>
          <w:tcPr>
            <w:tcW w:w="1141" w:type="pct"/>
            <w:shd w:val="clear" w:color="auto" w:fill="A0C3E3" w:themeFill="accent1" w:themeFillTint="99"/>
            <w:noWrap/>
            <w:vAlign w:val="center"/>
          </w:tcPr>
          <w:p w:rsidR="008F4889" w:rsidRPr="00730AE6" w:rsidRDefault="008F4889" w:rsidP="00473E08">
            <w:pPr>
              <w:spacing w:after="0"/>
              <w:ind w:firstLine="0"/>
              <w:jc w:val="left"/>
              <w:rPr>
                <w:rFonts w:ascii="Arial" w:hAnsi="Arial" w:cs="Arial"/>
                <w:bCs/>
                <w:sz w:val="18"/>
                <w:szCs w:val="18"/>
                <w:lang w:val="es-ES" w:eastAsia="es-ES"/>
              </w:rPr>
            </w:pPr>
            <w:r w:rsidRPr="00730AE6">
              <w:rPr>
                <w:rFonts w:ascii="Arial" w:hAnsi="Arial" w:cs="Arial"/>
                <w:bCs/>
                <w:sz w:val="18"/>
                <w:szCs w:val="18"/>
                <w:lang w:val="es-ES" w:eastAsia="es-ES"/>
              </w:rPr>
              <w:t>Total</w:t>
            </w:r>
          </w:p>
        </w:tc>
        <w:tc>
          <w:tcPr>
            <w:tcW w:w="709" w:type="pct"/>
            <w:shd w:val="clear" w:color="auto" w:fill="A0C3E3" w:themeFill="accent1" w:themeFillTint="99"/>
            <w:noWrap/>
            <w:vAlign w:val="center"/>
          </w:tcPr>
          <w:p w:rsidR="008F4889" w:rsidRPr="00730AE6" w:rsidRDefault="008F4889" w:rsidP="00473E08">
            <w:pPr>
              <w:spacing w:after="0"/>
              <w:ind w:firstLine="0"/>
              <w:jc w:val="right"/>
              <w:rPr>
                <w:rFonts w:ascii="Arial" w:hAnsi="Arial" w:cs="Arial"/>
                <w:bCs/>
                <w:sz w:val="18"/>
                <w:szCs w:val="18"/>
                <w:lang w:val="es-ES" w:eastAsia="es-ES"/>
              </w:rPr>
            </w:pPr>
            <w:r w:rsidRPr="00730AE6">
              <w:rPr>
                <w:rFonts w:ascii="Arial" w:hAnsi="Arial" w:cs="Arial"/>
                <w:bCs/>
                <w:sz w:val="18"/>
                <w:szCs w:val="18"/>
                <w:lang w:val="es-ES" w:eastAsia="es-ES"/>
              </w:rPr>
              <w:t>70.447.033</w:t>
            </w:r>
          </w:p>
        </w:tc>
        <w:tc>
          <w:tcPr>
            <w:tcW w:w="688" w:type="pct"/>
            <w:shd w:val="clear" w:color="auto" w:fill="A0C3E3" w:themeFill="accent1" w:themeFillTint="99"/>
            <w:noWrap/>
            <w:vAlign w:val="center"/>
          </w:tcPr>
          <w:p w:rsidR="008F4889" w:rsidRPr="00730AE6" w:rsidRDefault="008F4889" w:rsidP="00473E08">
            <w:pPr>
              <w:spacing w:after="0"/>
              <w:ind w:firstLine="0"/>
              <w:jc w:val="right"/>
              <w:rPr>
                <w:rFonts w:ascii="Arial" w:hAnsi="Arial" w:cs="Arial"/>
                <w:bCs/>
                <w:sz w:val="18"/>
                <w:szCs w:val="18"/>
                <w:lang w:val="es-ES" w:eastAsia="es-ES"/>
              </w:rPr>
            </w:pPr>
            <w:r w:rsidRPr="00730AE6">
              <w:rPr>
                <w:rFonts w:ascii="Arial" w:hAnsi="Arial" w:cs="Arial"/>
                <w:bCs/>
                <w:sz w:val="18"/>
                <w:szCs w:val="18"/>
                <w:lang w:val="es-ES" w:eastAsia="es-ES"/>
              </w:rPr>
              <w:t>16.939.779</w:t>
            </w:r>
          </w:p>
        </w:tc>
        <w:tc>
          <w:tcPr>
            <w:tcW w:w="613" w:type="pct"/>
            <w:shd w:val="clear" w:color="auto" w:fill="A0C3E3" w:themeFill="accent1" w:themeFillTint="99"/>
            <w:noWrap/>
            <w:vAlign w:val="center"/>
          </w:tcPr>
          <w:p w:rsidR="008F4889" w:rsidRPr="00730AE6" w:rsidRDefault="008F4889" w:rsidP="00473E08">
            <w:pPr>
              <w:spacing w:after="0"/>
              <w:ind w:firstLine="0"/>
              <w:jc w:val="right"/>
              <w:rPr>
                <w:rFonts w:ascii="Arial" w:hAnsi="Arial" w:cs="Arial"/>
                <w:bCs/>
                <w:sz w:val="18"/>
                <w:szCs w:val="18"/>
                <w:lang w:val="es-ES" w:eastAsia="es-ES"/>
              </w:rPr>
            </w:pPr>
            <w:r w:rsidRPr="00730AE6">
              <w:rPr>
                <w:rFonts w:ascii="Arial" w:hAnsi="Arial" w:cs="Arial"/>
                <w:bCs/>
                <w:sz w:val="18"/>
                <w:szCs w:val="18"/>
                <w:lang w:val="es-ES" w:eastAsia="es-ES"/>
              </w:rPr>
              <w:t>87.386.812</w:t>
            </w:r>
          </w:p>
        </w:tc>
        <w:tc>
          <w:tcPr>
            <w:tcW w:w="689" w:type="pct"/>
            <w:shd w:val="clear" w:color="auto" w:fill="A0C3E3" w:themeFill="accent1" w:themeFillTint="99"/>
            <w:noWrap/>
            <w:vAlign w:val="center"/>
          </w:tcPr>
          <w:p w:rsidR="008F4889" w:rsidRPr="00730AE6" w:rsidRDefault="008F4889" w:rsidP="00473E08">
            <w:pPr>
              <w:spacing w:after="0"/>
              <w:ind w:firstLine="0"/>
              <w:jc w:val="right"/>
              <w:rPr>
                <w:rFonts w:ascii="Arial" w:hAnsi="Arial" w:cs="Arial"/>
                <w:bCs/>
                <w:sz w:val="18"/>
                <w:szCs w:val="18"/>
                <w:lang w:val="es-ES" w:eastAsia="es-ES"/>
              </w:rPr>
            </w:pPr>
            <w:r w:rsidRPr="00730AE6">
              <w:rPr>
                <w:rFonts w:ascii="Arial" w:hAnsi="Arial" w:cs="Arial"/>
                <w:bCs/>
                <w:sz w:val="18"/>
                <w:szCs w:val="18"/>
                <w:lang w:val="es-ES" w:eastAsia="es-ES"/>
              </w:rPr>
              <w:t>76.988.461</w:t>
            </w:r>
          </w:p>
        </w:tc>
        <w:tc>
          <w:tcPr>
            <w:tcW w:w="569" w:type="pct"/>
            <w:shd w:val="clear" w:color="auto" w:fill="A0C3E3" w:themeFill="accent1" w:themeFillTint="99"/>
            <w:noWrap/>
            <w:vAlign w:val="center"/>
          </w:tcPr>
          <w:p w:rsidR="008F4889" w:rsidRPr="00730AE6" w:rsidRDefault="008F4889" w:rsidP="00473E08">
            <w:pPr>
              <w:spacing w:after="0"/>
              <w:ind w:firstLine="0"/>
              <w:jc w:val="right"/>
              <w:rPr>
                <w:rFonts w:ascii="Arial" w:hAnsi="Arial" w:cs="Arial"/>
                <w:bCs/>
                <w:sz w:val="18"/>
                <w:szCs w:val="18"/>
                <w:lang w:val="es-ES" w:eastAsia="es-ES"/>
              </w:rPr>
            </w:pPr>
            <w:r w:rsidRPr="00730AE6">
              <w:rPr>
                <w:rFonts w:ascii="Arial" w:hAnsi="Arial" w:cs="Arial"/>
                <w:bCs/>
                <w:sz w:val="18"/>
                <w:szCs w:val="18"/>
                <w:lang w:val="es-ES" w:eastAsia="es-ES"/>
              </w:rPr>
              <w:t>100</w:t>
            </w:r>
          </w:p>
        </w:tc>
        <w:tc>
          <w:tcPr>
            <w:tcW w:w="591" w:type="pct"/>
            <w:shd w:val="clear" w:color="auto" w:fill="A0C3E3" w:themeFill="accent1" w:themeFillTint="99"/>
            <w:vAlign w:val="center"/>
          </w:tcPr>
          <w:p w:rsidR="008F4889" w:rsidRPr="00730AE6" w:rsidRDefault="00116E52" w:rsidP="008F4889">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75.011.744</w:t>
            </w:r>
          </w:p>
        </w:tc>
      </w:tr>
    </w:tbl>
    <w:p w:rsidR="006420DA" w:rsidRPr="00730AE6" w:rsidRDefault="006420DA" w:rsidP="006420DA">
      <w:pPr>
        <w:spacing w:after="0"/>
        <w:ind w:firstLine="0"/>
        <w:rPr>
          <w:sz w:val="26"/>
          <w:szCs w:val="26"/>
          <w:lang w:val="es-ES" w:eastAsia="es-ES"/>
        </w:rPr>
      </w:pPr>
    </w:p>
    <w:p w:rsidR="006420DA" w:rsidRPr="00730AE6" w:rsidRDefault="006420DA" w:rsidP="006420DA">
      <w:pPr>
        <w:spacing w:after="0"/>
        <w:ind w:firstLine="0"/>
        <w:rPr>
          <w:sz w:val="26"/>
          <w:szCs w:val="26"/>
          <w:lang w:val="es-ES" w:eastAsia="es-ES"/>
        </w:rPr>
      </w:pPr>
    </w:p>
    <w:p w:rsidR="006420DA" w:rsidRPr="00730AE6" w:rsidRDefault="006420DA" w:rsidP="006420DA">
      <w:pPr>
        <w:spacing w:after="0"/>
        <w:ind w:firstLine="0"/>
        <w:rPr>
          <w:sz w:val="26"/>
          <w:szCs w:val="26"/>
          <w:lang w:val="es-ES" w:eastAsia="es-ES"/>
        </w:rPr>
      </w:pPr>
    </w:p>
    <w:p w:rsidR="006420DA" w:rsidRPr="00730AE6" w:rsidRDefault="006420DA" w:rsidP="006420DA">
      <w:pPr>
        <w:spacing w:after="0"/>
        <w:ind w:firstLine="0"/>
        <w:rPr>
          <w:sz w:val="26"/>
          <w:szCs w:val="26"/>
          <w:lang w:val="es-ES" w:eastAsia="es-ES"/>
        </w:rPr>
      </w:pPr>
      <w:r w:rsidRPr="00730AE6">
        <w:rPr>
          <w:sz w:val="26"/>
          <w:szCs w:val="26"/>
          <w:lang w:val="es-ES" w:eastAsia="es-ES"/>
        </w:rPr>
        <w:br w:type="page"/>
      </w:r>
    </w:p>
    <w:p w:rsidR="006420DA" w:rsidRPr="001B1C8E" w:rsidRDefault="006830EB" w:rsidP="006420DA">
      <w:pPr>
        <w:pStyle w:val="atitulo2"/>
        <w:spacing w:before="240"/>
        <w:rPr>
          <w:rFonts w:cs="Arial"/>
          <w:color w:val="auto"/>
          <w:lang w:eastAsia="es-ES"/>
        </w:rPr>
      </w:pPr>
      <w:bookmarkStart w:id="25" w:name="_Toc3967018"/>
      <w:r w:rsidRPr="001B1C8E">
        <w:rPr>
          <w:color w:val="auto"/>
        </w:rPr>
        <w:lastRenderedPageBreak/>
        <w:t>V</w:t>
      </w:r>
      <w:r w:rsidR="006420DA" w:rsidRPr="001B1C8E">
        <w:rPr>
          <w:color w:val="auto"/>
        </w:rPr>
        <w:t>.2. Resultado presupuestario del ejercicio 201</w:t>
      </w:r>
      <w:r w:rsidR="00AA0208" w:rsidRPr="001B1C8E">
        <w:rPr>
          <w:color w:val="auto"/>
        </w:rPr>
        <w:t>7</w:t>
      </w:r>
      <w:bookmarkEnd w:id="25"/>
    </w:p>
    <w:tbl>
      <w:tblPr>
        <w:tblW w:w="9120" w:type="dxa"/>
        <w:tblInd w:w="-72" w:type="dxa"/>
        <w:tblCellMar>
          <w:left w:w="70" w:type="dxa"/>
          <w:right w:w="70" w:type="dxa"/>
        </w:tblCellMar>
        <w:tblLook w:val="0000" w:firstRow="0" w:lastRow="0" w:firstColumn="0" w:lastColumn="0" w:noHBand="0" w:noVBand="0"/>
      </w:tblPr>
      <w:tblGrid>
        <w:gridCol w:w="4258"/>
        <w:gridCol w:w="2263"/>
        <w:gridCol w:w="1399"/>
        <w:gridCol w:w="1200"/>
      </w:tblGrid>
      <w:tr w:rsidR="006420DA" w:rsidRPr="00605BA1" w:rsidTr="00317F02">
        <w:trPr>
          <w:trHeight w:val="284"/>
        </w:trPr>
        <w:tc>
          <w:tcPr>
            <w:tcW w:w="4258" w:type="dxa"/>
            <w:tcBorders>
              <w:top w:val="single" w:sz="4" w:space="0" w:color="auto"/>
              <w:bottom w:val="single" w:sz="4" w:space="0" w:color="auto"/>
            </w:tcBorders>
            <w:shd w:val="clear" w:color="auto" w:fill="A0C3E3" w:themeFill="accent1" w:themeFillTint="99"/>
            <w:noWrap/>
            <w:vAlign w:val="center"/>
          </w:tcPr>
          <w:p w:rsidR="006420DA" w:rsidRPr="00605BA1" w:rsidRDefault="006420DA" w:rsidP="006420DA">
            <w:pPr>
              <w:spacing w:after="0"/>
              <w:ind w:firstLine="0"/>
              <w:jc w:val="lef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Conceptos</w:t>
            </w:r>
          </w:p>
        </w:tc>
        <w:tc>
          <w:tcPr>
            <w:tcW w:w="2263" w:type="dxa"/>
            <w:tcBorders>
              <w:top w:val="single" w:sz="4" w:space="0" w:color="auto"/>
              <w:bottom w:val="single" w:sz="4" w:space="0" w:color="auto"/>
            </w:tcBorders>
            <w:shd w:val="clear" w:color="auto" w:fill="A0C3E3" w:themeFill="accent1" w:themeFillTint="99"/>
            <w:vAlign w:val="center"/>
          </w:tcPr>
          <w:p w:rsidR="006420DA" w:rsidRPr="00605BA1" w:rsidRDefault="006420DA" w:rsidP="006420DA">
            <w:pPr>
              <w:spacing w:after="0"/>
              <w:ind w:firstLine="0"/>
              <w:jc w:val="righ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Derechos</w:t>
            </w:r>
          </w:p>
          <w:p w:rsidR="006420DA" w:rsidRPr="00605BA1" w:rsidRDefault="006420DA" w:rsidP="006420DA">
            <w:pPr>
              <w:spacing w:after="0"/>
              <w:ind w:firstLine="0"/>
              <w:jc w:val="righ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Reconoc. Netos</w:t>
            </w:r>
          </w:p>
        </w:tc>
        <w:tc>
          <w:tcPr>
            <w:tcW w:w="1399" w:type="dxa"/>
            <w:tcBorders>
              <w:top w:val="single" w:sz="4" w:space="0" w:color="auto"/>
              <w:bottom w:val="single" w:sz="4" w:space="0" w:color="auto"/>
            </w:tcBorders>
            <w:shd w:val="clear" w:color="auto" w:fill="A0C3E3" w:themeFill="accent1" w:themeFillTint="99"/>
            <w:vAlign w:val="center"/>
          </w:tcPr>
          <w:p w:rsidR="006420DA" w:rsidRPr="00605BA1" w:rsidRDefault="006420DA" w:rsidP="006420DA">
            <w:pPr>
              <w:spacing w:after="0"/>
              <w:ind w:firstLine="0"/>
              <w:jc w:val="righ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 xml:space="preserve">Obligaciones </w:t>
            </w:r>
          </w:p>
          <w:p w:rsidR="006420DA" w:rsidRPr="00605BA1" w:rsidRDefault="006420DA" w:rsidP="00E130CE">
            <w:pPr>
              <w:spacing w:after="0"/>
              <w:ind w:firstLine="0"/>
              <w:jc w:val="righ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Rec</w:t>
            </w:r>
            <w:r w:rsidR="00E130CE" w:rsidRPr="00605BA1">
              <w:rPr>
                <w:rFonts w:ascii="Arial Narrow" w:hAnsi="Arial Narrow" w:cs="Arial"/>
                <w:bCs/>
                <w:color w:val="000000"/>
                <w:sz w:val="18"/>
                <w:szCs w:val="18"/>
                <w:lang w:val="es-ES" w:eastAsia="es-ES"/>
              </w:rPr>
              <w:t xml:space="preserve">. </w:t>
            </w:r>
            <w:r w:rsidRPr="00605BA1">
              <w:rPr>
                <w:rFonts w:ascii="Arial Narrow" w:hAnsi="Arial Narrow" w:cs="Arial"/>
                <w:bCs/>
                <w:color w:val="000000"/>
                <w:sz w:val="18"/>
                <w:szCs w:val="18"/>
                <w:lang w:val="es-ES" w:eastAsia="es-ES"/>
              </w:rPr>
              <w:t>Netas</w:t>
            </w:r>
          </w:p>
        </w:tc>
        <w:tc>
          <w:tcPr>
            <w:tcW w:w="1200" w:type="dxa"/>
            <w:tcBorders>
              <w:top w:val="single" w:sz="4" w:space="0" w:color="auto"/>
              <w:bottom w:val="single" w:sz="4" w:space="0" w:color="auto"/>
            </w:tcBorders>
            <w:shd w:val="clear" w:color="auto" w:fill="A0C3E3" w:themeFill="accent1" w:themeFillTint="99"/>
            <w:noWrap/>
            <w:vAlign w:val="center"/>
          </w:tcPr>
          <w:p w:rsidR="006420DA" w:rsidRPr="00605BA1" w:rsidRDefault="006420DA" w:rsidP="006420DA">
            <w:pPr>
              <w:spacing w:after="0"/>
              <w:ind w:firstLine="0"/>
              <w:jc w:val="righ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Importes</w:t>
            </w:r>
          </w:p>
        </w:tc>
      </w:tr>
      <w:tr w:rsidR="006420DA" w:rsidRPr="00605BA1" w:rsidTr="00E130CE">
        <w:trPr>
          <w:trHeight w:val="284"/>
        </w:trPr>
        <w:tc>
          <w:tcPr>
            <w:tcW w:w="4258" w:type="dxa"/>
            <w:tcBorders>
              <w:top w:val="single" w:sz="4" w:space="0" w:color="auto"/>
              <w:bottom w:val="single" w:sz="4" w:space="0" w:color="auto"/>
            </w:tcBorders>
            <w:shd w:val="clear" w:color="auto" w:fill="auto"/>
            <w:noWrap/>
            <w:vAlign w:val="center"/>
          </w:tcPr>
          <w:p w:rsidR="006420DA" w:rsidRPr="00605BA1" w:rsidRDefault="006420DA" w:rsidP="006420DA">
            <w:pPr>
              <w:spacing w:after="0"/>
              <w:ind w:firstLine="0"/>
              <w:jc w:val="lef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1. (+) Operaciones no financieras</w:t>
            </w:r>
          </w:p>
        </w:tc>
        <w:tc>
          <w:tcPr>
            <w:tcW w:w="2263" w:type="dxa"/>
            <w:tcBorders>
              <w:top w:val="single" w:sz="4" w:space="0" w:color="auto"/>
              <w:bottom w:val="single" w:sz="4" w:space="0" w:color="auto"/>
            </w:tcBorders>
            <w:shd w:val="clear" w:color="auto" w:fill="auto"/>
            <w:noWrap/>
            <w:vAlign w:val="center"/>
          </w:tcPr>
          <w:p w:rsidR="006420DA" w:rsidRPr="00605BA1" w:rsidRDefault="00B2233A" w:rsidP="006420DA">
            <w:pPr>
              <w:spacing w:after="0"/>
              <w:ind w:firstLine="0"/>
              <w:jc w:val="righ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76.017.218</w:t>
            </w:r>
          </w:p>
        </w:tc>
        <w:tc>
          <w:tcPr>
            <w:tcW w:w="1399" w:type="dxa"/>
            <w:tcBorders>
              <w:top w:val="single" w:sz="4" w:space="0" w:color="auto"/>
              <w:bottom w:val="single" w:sz="4" w:space="0" w:color="auto"/>
            </w:tcBorders>
            <w:shd w:val="clear" w:color="auto" w:fill="auto"/>
            <w:noWrap/>
            <w:vAlign w:val="center"/>
          </w:tcPr>
          <w:p w:rsidR="006420DA" w:rsidRPr="00605BA1" w:rsidRDefault="00B2233A" w:rsidP="006420DA">
            <w:pPr>
              <w:spacing w:after="0"/>
              <w:ind w:firstLine="0"/>
              <w:jc w:val="righ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78.182.538</w:t>
            </w:r>
          </w:p>
        </w:tc>
        <w:tc>
          <w:tcPr>
            <w:tcW w:w="1200" w:type="dxa"/>
            <w:tcBorders>
              <w:top w:val="single" w:sz="4" w:space="0" w:color="auto"/>
              <w:bottom w:val="single" w:sz="4" w:space="0" w:color="auto"/>
            </w:tcBorders>
            <w:shd w:val="clear" w:color="auto" w:fill="auto"/>
            <w:noWrap/>
            <w:vAlign w:val="center"/>
          </w:tcPr>
          <w:p w:rsidR="006420DA" w:rsidRPr="00605BA1" w:rsidRDefault="00B2233A" w:rsidP="006420DA">
            <w:pPr>
              <w:spacing w:after="0"/>
              <w:ind w:firstLine="0"/>
              <w:jc w:val="righ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-2.165.320</w:t>
            </w:r>
          </w:p>
        </w:tc>
      </w:tr>
      <w:tr w:rsidR="006420DA" w:rsidRPr="00605BA1"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05BA1" w:rsidRDefault="006420DA" w:rsidP="006420DA">
            <w:pPr>
              <w:spacing w:after="0"/>
              <w:ind w:firstLine="0"/>
              <w:jc w:val="lef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2. (+) Operaciones  financieras</w:t>
            </w:r>
          </w:p>
        </w:tc>
        <w:tc>
          <w:tcPr>
            <w:tcW w:w="2263" w:type="dxa"/>
            <w:tcBorders>
              <w:top w:val="single" w:sz="2" w:space="0" w:color="auto"/>
              <w:bottom w:val="single" w:sz="2" w:space="0" w:color="auto"/>
            </w:tcBorders>
            <w:shd w:val="clear" w:color="auto" w:fill="auto"/>
            <w:noWrap/>
            <w:vAlign w:val="center"/>
          </w:tcPr>
          <w:p w:rsidR="006420DA" w:rsidRPr="00605BA1" w:rsidRDefault="00D45D67" w:rsidP="006420DA">
            <w:pPr>
              <w:spacing w:after="0"/>
              <w:ind w:firstLine="0"/>
              <w:jc w:val="right"/>
              <w:rPr>
                <w:rFonts w:ascii="Arial Narrow" w:hAnsi="Arial Narrow" w:cs="Arial"/>
                <w:bCs/>
                <w:color w:val="000000"/>
                <w:sz w:val="18"/>
                <w:szCs w:val="18"/>
                <w:lang w:val="es-ES" w:eastAsia="es-ES"/>
              </w:rPr>
            </w:pPr>
            <w:r>
              <w:rPr>
                <w:rFonts w:ascii="Arial Narrow" w:hAnsi="Arial Narrow" w:cs="Arial"/>
                <w:bCs/>
                <w:color w:val="000000"/>
                <w:sz w:val="18"/>
                <w:szCs w:val="18"/>
                <w:lang w:val="es-ES" w:eastAsia="es-ES"/>
              </w:rPr>
              <w:t>0</w:t>
            </w:r>
          </w:p>
        </w:tc>
        <w:tc>
          <w:tcPr>
            <w:tcW w:w="1399" w:type="dxa"/>
            <w:tcBorders>
              <w:top w:val="single" w:sz="2" w:space="0" w:color="auto"/>
              <w:bottom w:val="single" w:sz="2" w:space="0" w:color="auto"/>
            </w:tcBorders>
            <w:shd w:val="clear" w:color="auto" w:fill="auto"/>
            <w:noWrap/>
            <w:vAlign w:val="center"/>
          </w:tcPr>
          <w:p w:rsidR="006420DA" w:rsidRPr="00605BA1" w:rsidRDefault="00B2233A" w:rsidP="006420DA">
            <w:pPr>
              <w:spacing w:after="0"/>
              <w:ind w:firstLine="0"/>
              <w:jc w:val="righ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6.011</w:t>
            </w:r>
          </w:p>
        </w:tc>
        <w:tc>
          <w:tcPr>
            <w:tcW w:w="1200" w:type="dxa"/>
            <w:tcBorders>
              <w:top w:val="single" w:sz="2" w:space="0" w:color="auto"/>
              <w:bottom w:val="single" w:sz="2" w:space="0" w:color="auto"/>
            </w:tcBorders>
            <w:shd w:val="clear" w:color="auto" w:fill="auto"/>
            <w:noWrap/>
            <w:vAlign w:val="center"/>
          </w:tcPr>
          <w:p w:rsidR="006420DA" w:rsidRPr="00605BA1" w:rsidRDefault="00B2233A" w:rsidP="006420DA">
            <w:pPr>
              <w:spacing w:after="0"/>
              <w:ind w:firstLine="0"/>
              <w:jc w:val="righ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-6.011</w:t>
            </w:r>
          </w:p>
        </w:tc>
      </w:tr>
      <w:tr w:rsidR="006420DA" w:rsidRPr="00605BA1"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05BA1" w:rsidRDefault="006420DA" w:rsidP="006420DA">
            <w:pPr>
              <w:spacing w:after="0"/>
              <w:ind w:firstLine="0"/>
              <w:jc w:val="lef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I. RESULTADO PRESUPUESTARIO DEL EJERCICIO (1+2)</w:t>
            </w:r>
          </w:p>
        </w:tc>
        <w:tc>
          <w:tcPr>
            <w:tcW w:w="2263" w:type="dxa"/>
            <w:tcBorders>
              <w:top w:val="single" w:sz="2" w:space="0" w:color="auto"/>
              <w:bottom w:val="single" w:sz="2" w:space="0" w:color="auto"/>
            </w:tcBorders>
            <w:shd w:val="clear" w:color="auto" w:fill="auto"/>
            <w:noWrap/>
            <w:vAlign w:val="center"/>
          </w:tcPr>
          <w:p w:rsidR="006420DA" w:rsidRPr="00605BA1" w:rsidRDefault="006420DA" w:rsidP="00B2233A">
            <w:pPr>
              <w:spacing w:after="0"/>
              <w:ind w:firstLine="0"/>
              <w:jc w:val="righ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7</w:t>
            </w:r>
            <w:r w:rsidR="00B2233A" w:rsidRPr="00605BA1">
              <w:rPr>
                <w:rFonts w:ascii="Arial Narrow" w:hAnsi="Arial Narrow" w:cs="Arial"/>
                <w:bCs/>
                <w:color w:val="000000"/>
                <w:sz w:val="18"/>
                <w:szCs w:val="18"/>
                <w:lang w:val="es-ES" w:eastAsia="es-ES"/>
              </w:rPr>
              <w:t>6</w:t>
            </w:r>
            <w:r w:rsidRPr="00605BA1">
              <w:rPr>
                <w:rFonts w:ascii="Arial Narrow" w:hAnsi="Arial Narrow" w:cs="Arial"/>
                <w:bCs/>
                <w:color w:val="000000"/>
                <w:sz w:val="18"/>
                <w:szCs w:val="18"/>
                <w:lang w:val="es-ES" w:eastAsia="es-ES"/>
              </w:rPr>
              <w:t>.</w:t>
            </w:r>
            <w:r w:rsidR="00B2233A" w:rsidRPr="00605BA1">
              <w:rPr>
                <w:rFonts w:ascii="Arial Narrow" w:hAnsi="Arial Narrow" w:cs="Arial"/>
                <w:bCs/>
                <w:color w:val="000000"/>
                <w:sz w:val="18"/>
                <w:szCs w:val="18"/>
                <w:lang w:val="es-ES" w:eastAsia="es-ES"/>
              </w:rPr>
              <w:t>017</w:t>
            </w:r>
            <w:r w:rsidRPr="00605BA1">
              <w:rPr>
                <w:rFonts w:ascii="Arial Narrow" w:hAnsi="Arial Narrow" w:cs="Arial"/>
                <w:bCs/>
                <w:color w:val="000000"/>
                <w:sz w:val="18"/>
                <w:szCs w:val="18"/>
                <w:lang w:val="es-ES" w:eastAsia="es-ES"/>
              </w:rPr>
              <w:t>.</w:t>
            </w:r>
            <w:r w:rsidR="00B2233A" w:rsidRPr="00605BA1">
              <w:rPr>
                <w:rFonts w:ascii="Arial Narrow" w:hAnsi="Arial Narrow" w:cs="Arial"/>
                <w:bCs/>
                <w:color w:val="000000"/>
                <w:sz w:val="18"/>
                <w:szCs w:val="18"/>
                <w:lang w:val="es-ES" w:eastAsia="es-ES"/>
              </w:rPr>
              <w:t>218</w:t>
            </w:r>
          </w:p>
        </w:tc>
        <w:tc>
          <w:tcPr>
            <w:tcW w:w="1399" w:type="dxa"/>
            <w:tcBorders>
              <w:top w:val="single" w:sz="2" w:space="0" w:color="auto"/>
              <w:bottom w:val="single" w:sz="2" w:space="0" w:color="auto"/>
            </w:tcBorders>
            <w:shd w:val="clear" w:color="auto" w:fill="auto"/>
            <w:noWrap/>
            <w:vAlign w:val="center"/>
          </w:tcPr>
          <w:p w:rsidR="006420DA" w:rsidRPr="00605BA1" w:rsidRDefault="00B2233A" w:rsidP="001A0675">
            <w:pPr>
              <w:spacing w:after="0"/>
              <w:ind w:firstLine="0"/>
              <w:jc w:val="righ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78.188.549</w:t>
            </w:r>
          </w:p>
        </w:tc>
        <w:tc>
          <w:tcPr>
            <w:tcW w:w="1200" w:type="dxa"/>
            <w:tcBorders>
              <w:top w:val="single" w:sz="2" w:space="0" w:color="auto"/>
              <w:bottom w:val="single" w:sz="2" w:space="0" w:color="auto"/>
            </w:tcBorders>
            <w:shd w:val="clear" w:color="auto" w:fill="auto"/>
            <w:noWrap/>
            <w:vAlign w:val="center"/>
          </w:tcPr>
          <w:p w:rsidR="006420DA" w:rsidRPr="00605BA1" w:rsidRDefault="00B2233A" w:rsidP="006420DA">
            <w:pPr>
              <w:spacing w:after="0"/>
              <w:ind w:firstLine="0"/>
              <w:jc w:val="righ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-2.171.331</w:t>
            </w:r>
          </w:p>
        </w:tc>
      </w:tr>
      <w:tr w:rsidR="006420DA" w:rsidRPr="00605BA1"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05BA1" w:rsidRDefault="006420DA" w:rsidP="006420DA">
            <w:pPr>
              <w:spacing w:after="0"/>
              <w:ind w:firstLine="0"/>
              <w:jc w:val="lef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II. VARIACIÓN NETA DE PASIVOS FINANCIEROS</w:t>
            </w:r>
          </w:p>
        </w:tc>
        <w:tc>
          <w:tcPr>
            <w:tcW w:w="2263" w:type="dxa"/>
            <w:tcBorders>
              <w:top w:val="single" w:sz="2" w:space="0" w:color="auto"/>
              <w:bottom w:val="single" w:sz="2" w:space="0" w:color="auto"/>
            </w:tcBorders>
            <w:shd w:val="clear" w:color="auto" w:fill="auto"/>
            <w:noWrap/>
            <w:vAlign w:val="center"/>
          </w:tcPr>
          <w:p w:rsidR="006420DA" w:rsidRPr="00605BA1" w:rsidRDefault="00B2233A" w:rsidP="006420DA">
            <w:pPr>
              <w:spacing w:after="0"/>
              <w:ind w:firstLine="0"/>
              <w:jc w:val="righ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971.243</w:t>
            </w:r>
          </w:p>
        </w:tc>
        <w:tc>
          <w:tcPr>
            <w:tcW w:w="1399" w:type="dxa"/>
            <w:tcBorders>
              <w:top w:val="single" w:sz="2" w:space="0" w:color="auto"/>
              <w:bottom w:val="single" w:sz="2" w:space="0" w:color="auto"/>
            </w:tcBorders>
            <w:shd w:val="clear" w:color="auto" w:fill="auto"/>
            <w:noWrap/>
            <w:vAlign w:val="center"/>
          </w:tcPr>
          <w:p w:rsidR="006420DA" w:rsidRPr="00605BA1" w:rsidRDefault="00B2233A" w:rsidP="006420DA">
            <w:pPr>
              <w:spacing w:after="0"/>
              <w:ind w:firstLine="0"/>
              <w:jc w:val="righ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11.985</w:t>
            </w:r>
          </w:p>
        </w:tc>
        <w:tc>
          <w:tcPr>
            <w:tcW w:w="1200" w:type="dxa"/>
            <w:tcBorders>
              <w:top w:val="single" w:sz="2" w:space="0" w:color="auto"/>
              <w:bottom w:val="single" w:sz="2" w:space="0" w:color="auto"/>
            </w:tcBorders>
            <w:shd w:val="clear" w:color="auto" w:fill="auto"/>
            <w:noWrap/>
            <w:vAlign w:val="center"/>
          </w:tcPr>
          <w:p w:rsidR="006420DA" w:rsidRPr="00605BA1" w:rsidRDefault="00B2233A" w:rsidP="006420DA">
            <w:pPr>
              <w:spacing w:after="0"/>
              <w:ind w:firstLine="0"/>
              <w:jc w:val="righ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959.258</w:t>
            </w:r>
          </w:p>
        </w:tc>
      </w:tr>
      <w:tr w:rsidR="006420DA" w:rsidRPr="00605BA1"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05BA1" w:rsidRDefault="006420DA" w:rsidP="006420DA">
            <w:pPr>
              <w:spacing w:after="0"/>
              <w:ind w:firstLine="0"/>
              <w:jc w:val="lef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III. SALDO PRESUPUESTARIO DEL EJERCICIO (I + II)</w:t>
            </w:r>
          </w:p>
        </w:tc>
        <w:tc>
          <w:tcPr>
            <w:tcW w:w="2263" w:type="dxa"/>
            <w:tcBorders>
              <w:top w:val="single" w:sz="2" w:space="0" w:color="auto"/>
              <w:bottom w:val="single" w:sz="2" w:space="0" w:color="auto"/>
            </w:tcBorders>
            <w:shd w:val="clear" w:color="auto" w:fill="auto"/>
            <w:noWrap/>
            <w:vAlign w:val="center"/>
          </w:tcPr>
          <w:p w:rsidR="006420DA" w:rsidRPr="00605BA1" w:rsidRDefault="00B2233A" w:rsidP="006420DA">
            <w:pPr>
              <w:spacing w:after="0"/>
              <w:ind w:firstLine="0"/>
              <w:jc w:val="righ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76.988.461</w:t>
            </w:r>
          </w:p>
        </w:tc>
        <w:tc>
          <w:tcPr>
            <w:tcW w:w="1399" w:type="dxa"/>
            <w:tcBorders>
              <w:top w:val="single" w:sz="2" w:space="0" w:color="auto"/>
              <w:bottom w:val="single" w:sz="2" w:space="0" w:color="auto"/>
            </w:tcBorders>
            <w:shd w:val="clear" w:color="auto" w:fill="auto"/>
            <w:noWrap/>
            <w:vAlign w:val="center"/>
          </w:tcPr>
          <w:p w:rsidR="006420DA" w:rsidRPr="00605BA1" w:rsidRDefault="00B2233A" w:rsidP="006420DA">
            <w:pPr>
              <w:spacing w:after="0"/>
              <w:ind w:firstLine="0"/>
              <w:jc w:val="righ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78.200.534</w:t>
            </w:r>
          </w:p>
        </w:tc>
        <w:tc>
          <w:tcPr>
            <w:tcW w:w="1200" w:type="dxa"/>
            <w:tcBorders>
              <w:top w:val="single" w:sz="2" w:space="0" w:color="auto"/>
              <w:bottom w:val="single" w:sz="2" w:space="0" w:color="auto"/>
            </w:tcBorders>
            <w:shd w:val="clear" w:color="auto" w:fill="auto"/>
            <w:noWrap/>
            <w:vAlign w:val="center"/>
          </w:tcPr>
          <w:p w:rsidR="006420DA" w:rsidRPr="00605BA1" w:rsidRDefault="00B2233A" w:rsidP="006420DA">
            <w:pPr>
              <w:spacing w:after="0"/>
              <w:ind w:firstLine="0"/>
              <w:jc w:val="righ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-1.212.073</w:t>
            </w:r>
          </w:p>
        </w:tc>
      </w:tr>
      <w:tr w:rsidR="006420DA" w:rsidRPr="00605BA1"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05BA1" w:rsidRDefault="006420DA" w:rsidP="006420DA">
            <w:pPr>
              <w:spacing w:after="0"/>
              <w:ind w:firstLine="0"/>
              <w:jc w:val="lef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3. (+) Créditos financiados con remanente de tesorería</w:t>
            </w:r>
          </w:p>
        </w:tc>
        <w:tc>
          <w:tcPr>
            <w:tcW w:w="2263" w:type="dxa"/>
            <w:tcBorders>
              <w:top w:val="single" w:sz="2" w:space="0" w:color="auto"/>
              <w:bottom w:val="single" w:sz="2" w:space="0" w:color="auto"/>
            </w:tcBorders>
            <w:shd w:val="clear" w:color="auto" w:fill="auto"/>
            <w:noWrap/>
            <w:vAlign w:val="center"/>
          </w:tcPr>
          <w:p w:rsidR="006420DA" w:rsidRPr="00605BA1" w:rsidRDefault="006420DA" w:rsidP="006420DA">
            <w:pPr>
              <w:spacing w:after="0"/>
              <w:ind w:firstLine="0"/>
              <w:jc w:val="right"/>
              <w:rPr>
                <w:rFonts w:ascii="Arial Narrow" w:hAnsi="Arial Narrow" w:cs="Arial"/>
                <w:sz w:val="18"/>
                <w:szCs w:val="18"/>
                <w:lang w:val="es-ES" w:eastAsia="es-ES"/>
              </w:rPr>
            </w:pPr>
          </w:p>
        </w:tc>
        <w:tc>
          <w:tcPr>
            <w:tcW w:w="1399" w:type="dxa"/>
            <w:tcBorders>
              <w:top w:val="single" w:sz="2" w:space="0" w:color="auto"/>
              <w:bottom w:val="single" w:sz="2" w:space="0" w:color="auto"/>
            </w:tcBorders>
            <w:shd w:val="clear" w:color="auto" w:fill="auto"/>
            <w:noWrap/>
            <w:vAlign w:val="center"/>
          </w:tcPr>
          <w:p w:rsidR="006420DA" w:rsidRPr="00605BA1" w:rsidRDefault="006420DA" w:rsidP="006420DA">
            <w:pPr>
              <w:spacing w:after="0"/>
              <w:ind w:firstLine="0"/>
              <w:jc w:val="left"/>
              <w:rPr>
                <w:rFonts w:ascii="Arial Narrow" w:hAnsi="Arial Narrow" w:cs="Arial"/>
                <w:sz w:val="18"/>
                <w:szCs w:val="18"/>
                <w:lang w:val="es-ES" w:eastAsia="es-ES"/>
              </w:rPr>
            </w:pPr>
          </w:p>
        </w:tc>
        <w:tc>
          <w:tcPr>
            <w:tcW w:w="1200" w:type="dxa"/>
            <w:tcBorders>
              <w:top w:val="single" w:sz="2" w:space="0" w:color="auto"/>
              <w:bottom w:val="single" w:sz="2" w:space="0" w:color="auto"/>
            </w:tcBorders>
            <w:shd w:val="clear" w:color="auto" w:fill="auto"/>
            <w:noWrap/>
            <w:vAlign w:val="center"/>
          </w:tcPr>
          <w:p w:rsidR="006420DA" w:rsidRPr="00605BA1" w:rsidRDefault="00B2233A" w:rsidP="006420DA">
            <w:pPr>
              <w:spacing w:after="0"/>
              <w:ind w:firstLine="0"/>
              <w:jc w:val="righ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1.578.047</w:t>
            </w:r>
          </w:p>
        </w:tc>
      </w:tr>
      <w:tr w:rsidR="006420DA" w:rsidRPr="00605BA1" w:rsidTr="00E130CE">
        <w:trPr>
          <w:trHeight w:val="284"/>
        </w:trPr>
        <w:tc>
          <w:tcPr>
            <w:tcW w:w="4258" w:type="dxa"/>
            <w:tcBorders>
              <w:top w:val="single" w:sz="2" w:space="0" w:color="auto"/>
              <w:bottom w:val="single" w:sz="2" w:space="0" w:color="auto"/>
            </w:tcBorders>
            <w:shd w:val="clear" w:color="auto" w:fill="auto"/>
            <w:vAlign w:val="center"/>
          </w:tcPr>
          <w:p w:rsidR="006420DA" w:rsidRPr="00605BA1" w:rsidRDefault="006420DA" w:rsidP="006420DA">
            <w:pPr>
              <w:spacing w:after="0"/>
              <w:ind w:firstLine="0"/>
              <w:jc w:val="lef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4. (-) Desviaciones de financiación positivas por recursos del ejercicio en gastos con financiación afectada</w:t>
            </w:r>
          </w:p>
        </w:tc>
        <w:tc>
          <w:tcPr>
            <w:tcW w:w="2263" w:type="dxa"/>
            <w:tcBorders>
              <w:top w:val="single" w:sz="2" w:space="0" w:color="auto"/>
              <w:bottom w:val="single" w:sz="2" w:space="0" w:color="auto"/>
            </w:tcBorders>
            <w:shd w:val="clear" w:color="auto" w:fill="auto"/>
            <w:noWrap/>
            <w:vAlign w:val="center"/>
          </w:tcPr>
          <w:p w:rsidR="006420DA" w:rsidRPr="00605BA1" w:rsidRDefault="006420DA" w:rsidP="006420DA">
            <w:pPr>
              <w:spacing w:after="0"/>
              <w:ind w:firstLine="0"/>
              <w:jc w:val="right"/>
              <w:rPr>
                <w:rFonts w:ascii="Arial Narrow" w:hAnsi="Arial Narrow" w:cs="Arial"/>
                <w:sz w:val="18"/>
                <w:szCs w:val="18"/>
                <w:lang w:val="es-ES" w:eastAsia="es-ES"/>
              </w:rPr>
            </w:pPr>
          </w:p>
        </w:tc>
        <w:tc>
          <w:tcPr>
            <w:tcW w:w="1399" w:type="dxa"/>
            <w:tcBorders>
              <w:top w:val="single" w:sz="2" w:space="0" w:color="auto"/>
              <w:bottom w:val="single" w:sz="2" w:space="0" w:color="auto"/>
            </w:tcBorders>
            <w:shd w:val="clear" w:color="auto" w:fill="auto"/>
            <w:noWrap/>
            <w:vAlign w:val="center"/>
          </w:tcPr>
          <w:p w:rsidR="006420DA" w:rsidRPr="00605BA1" w:rsidRDefault="006420DA" w:rsidP="006420DA">
            <w:pPr>
              <w:spacing w:after="0"/>
              <w:ind w:firstLine="0"/>
              <w:jc w:val="left"/>
              <w:rPr>
                <w:rFonts w:ascii="Arial Narrow" w:hAnsi="Arial Narrow" w:cs="Arial"/>
                <w:sz w:val="18"/>
                <w:szCs w:val="18"/>
                <w:lang w:val="es-ES" w:eastAsia="es-ES"/>
              </w:rPr>
            </w:pPr>
          </w:p>
        </w:tc>
        <w:tc>
          <w:tcPr>
            <w:tcW w:w="1200" w:type="dxa"/>
            <w:tcBorders>
              <w:top w:val="single" w:sz="2" w:space="0" w:color="auto"/>
              <w:bottom w:val="single" w:sz="2" w:space="0" w:color="auto"/>
            </w:tcBorders>
            <w:shd w:val="clear" w:color="auto" w:fill="auto"/>
            <w:noWrap/>
            <w:vAlign w:val="center"/>
          </w:tcPr>
          <w:p w:rsidR="006420DA" w:rsidRPr="00605BA1" w:rsidRDefault="006420DA" w:rsidP="006420DA">
            <w:pPr>
              <w:spacing w:after="0"/>
              <w:ind w:firstLine="0"/>
              <w:jc w:val="right"/>
              <w:rPr>
                <w:rFonts w:ascii="Arial Narrow" w:hAnsi="Arial Narrow" w:cs="Arial"/>
                <w:bCs/>
                <w:color w:val="000000"/>
                <w:sz w:val="18"/>
                <w:szCs w:val="18"/>
                <w:lang w:val="es-ES" w:eastAsia="es-ES"/>
              </w:rPr>
            </w:pPr>
          </w:p>
        </w:tc>
      </w:tr>
      <w:tr w:rsidR="006420DA" w:rsidRPr="00605BA1" w:rsidTr="00E130CE">
        <w:trPr>
          <w:trHeight w:val="284"/>
        </w:trPr>
        <w:tc>
          <w:tcPr>
            <w:tcW w:w="6521" w:type="dxa"/>
            <w:gridSpan w:val="2"/>
            <w:tcBorders>
              <w:top w:val="single" w:sz="2" w:space="0" w:color="auto"/>
              <w:bottom w:val="single" w:sz="4" w:space="0" w:color="auto"/>
            </w:tcBorders>
            <w:shd w:val="clear" w:color="auto" w:fill="auto"/>
            <w:vAlign w:val="center"/>
          </w:tcPr>
          <w:p w:rsidR="006420DA" w:rsidRPr="00605BA1" w:rsidRDefault="006420DA" w:rsidP="006420DA">
            <w:pPr>
              <w:spacing w:after="0"/>
              <w:ind w:firstLine="0"/>
              <w:jc w:val="left"/>
              <w:rPr>
                <w:rFonts w:ascii="Arial Narrow" w:hAnsi="Arial Narrow" w:cs="Arial"/>
                <w:sz w:val="18"/>
                <w:szCs w:val="18"/>
                <w:lang w:val="es-ES" w:eastAsia="es-ES"/>
              </w:rPr>
            </w:pPr>
            <w:r w:rsidRPr="00605BA1">
              <w:rPr>
                <w:rFonts w:ascii="Arial Narrow" w:hAnsi="Arial Narrow" w:cs="Arial"/>
                <w:bCs/>
                <w:color w:val="000000"/>
                <w:sz w:val="18"/>
                <w:szCs w:val="18"/>
                <w:lang w:val="es-ES" w:eastAsia="es-ES"/>
              </w:rPr>
              <w:t xml:space="preserve">5. (+) Desviaciones </w:t>
            </w:r>
            <w:r w:rsidR="00605BA1" w:rsidRPr="00605BA1">
              <w:rPr>
                <w:rFonts w:ascii="Arial Narrow" w:hAnsi="Arial Narrow" w:cs="Arial"/>
                <w:bCs/>
                <w:color w:val="000000"/>
                <w:sz w:val="18"/>
                <w:szCs w:val="18"/>
                <w:lang w:val="es-ES" w:eastAsia="es-ES"/>
              </w:rPr>
              <w:t xml:space="preserve">de </w:t>
            </w:r>
            <w:r w:rsidRPr="00605BA1">
              <w:rPr>
                <w:rFonts w:ascii="Arial Narrow" w:hAnsi="Arial Narrow" w:cs="Arial"/>
                <w:bCs/>
                <w:color w:val="000000"/>
                <w:sz w:val="18"/>
                <w:szCs w:val="18"/>
                <w:lang w:val="es-ES" w:eastAsia="es-ES"/>
              </w:rPr>
              <w:t>financiación negativas de gastos con finan. afectada</w:t>
            </w:r>
          </w:p>
        </w:tc>
        <w:tc>
          <w:tcPr>
            <w:tcW w:w="1399" w:type="dxa"/>
            <w:tcBorders>
              <w:top w:val="single" w:sz="2" w:space="0" w:color="auto"/>
              <w:bottom w:val="single" w:sz="4" w:space="0" w:color="auto"/>
            </w:tcBorders>
            <w:shd w:val="clear" w:color="auto" w:fill="auto"/>
            <w:noWrap/>
            <w:vAlign w:val="center"/>
          </w:tcPr>
          <w:p w:rsidR="006420DA" w:rsidRPr="00605BA1" w:rsidRDefault="006420DA" w:rsidP="006420DA">
            <w:pPr>
              <w:spacing w:after="0"/>
              <w:ind w:firstLine="0"/>
              <w:jc w:val="left"/>
              <w:rPr>
                <w:rFonts w:ascii="Arial Narrow" w:hAnsi="Arial Narrow" w:cs="Arial"/>
                <w:sz w:val="18"/>
                <w:szCs w:val="18"/>
                <w:lang w:val="es-ES" w:eastAsia="es-ES"/>
              </w:rPr>
            </w:pPr>
          </w:p>
        </w:tc>
        <w:tc>
          <w:tcPr>
            <w:tcW w:w="1200" w:type="dxa"/>
            <w:tcBorders>
              <w:top w:val="single" w:sz="2" w:space="0" w:color="auto"/>
              <w:bottom w:val="single" w:sz="4" w:space="0" w:color="auto"/>
            </w:tcBorders>
            <w:shd w:val="clear" w:color="auto" w:fill="auto"/>
            <w:noWrap/>
            <w:vAlign w:val="center"/>
          </w:tcPr>
          <w:p w:rsidR="006420DA" w:rsidRPr="00605BA1" w:rsidRDefault="00B2233A" w:rsidP="006420DA">
            <w:pPr>
              <w:spacing w:after="0"/>
              <w:ind w:firstLine="0"/>
              <w:jc w:val="righ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44.926</w:t>
            </w:r>
          </w:p>
        </w:tc>
      </w:tr>
      <w:tr w:rsidR="006420DA" w:rsidRPr="00605BA1" w:rsidTr="001B4AEA">
        <w:trPr>
          <w:trHeight w:val="284"/>
        </w:trPr>
        <w:tc>
          <w:tcPr>
            <w:tcW w:w="6521" w:type="dxa"/>
            <w:gridSpan w:val="2"/>
            <w:tcBorders>
              <w:top w:val="single" w:sz="4" w:space="0" w:color="auto"/>
              <w:bottom w:val="single" w:sz="4" w:space="0" w:color="auto"/>
            </w:tcBorders>
            <w:shd w:val="clear" w:color="auto" w:fill="A0C3E3" w:themeFill="accent1" w:themeFillTint="99"/>
            <w:vAlign w:val="center"/>
          </w:tcPr>
          <w:p w:rsidR="006420DA" w:rsidRPr="00605BA1" w:rsidRDefault="006420DA" w:rsidP="00915718">
            <w:pPr>
              <w:spacing w:after="0"/>
              <w:ind w:firstLine="0"/>
              <w:jc w:val="left"/>
              <w:rPr>
                <w:rFonts w:ascii="Arial Narrow" w:hAnsi="Arial Narrow" w:cs="Arial"/>
                <w:sz w:val="18"/>
                <w:szCs w:val="18"/>
                <w:lang w:val="es-ES" w:eastAsia="es-ES"/>
              </w:rPr>
            </w:pPr>
            <w:r w:rsidRPr="00605BA1">
              <w:rPr>
                <w:rFonts w:ascii="Arial Narrow" w:hAnsi="Arial Narrow" w:cs="Arial"/>
                <w:bCs/>
                <w:color w:val="000000"/>
                <w:sz w:val="18"/>
                <w:szCs w:val="18"/>
                <w:lang w:val="es-ES" w:eastAsia="es-ES"/>
              </w:rPr>
              <w:t xml:space="preserve">IV. </w:t>
            </w:r>
            <w:r w:rsidR="00915718" w:rsidRPr="00605BA1">
              <w:rPr>
                <w:rFonts w:ascii="Arial Narrow" w:hAnsi="Arial Narrow" w:cs="Arial"/>
                <w:bCs/>
                <w:color w:val="000000"/>
                <w:sz w:val="18"/>
                <w:szCs w:val="18"/>
                <w:lang w:val="es-ES" w:eastAsia="es-ES"/>
              </w:rPr>
              <w:t xml:space="preserve">Superávit de financiación del ejercicio </w:t>
            </w:r>
            <w:r w:rsidRPr="00605BA1">
              <w:rPr>
                <w:rFonts w:ascii="Arial Narrow" w:hAnsi="Arial Narrow" w:cs="Arial"/>
                <w:bCs/>
                <w:color w:val="000000"/>
                <w:sz w:val="18"/>
                <w:szCs w:val="18"/>
                <w:lang w:val="es-ES" w:eastAsia="es-ES"/>
              </w:rPr>
              <w:t>(III + 3 + 4 + 5)</w:t>
            </w:r>
          </w:p>
        </w:tc>
        <w:tc>
          <w:tcPr>
            <w:tcW w:w="1399" w:type="dxa"/>
            <w:tcBorders>
              <w:top w:val="single" w:sz="4" w:space="0" w:color="auto"/>
              <w:bottom w:val="single" w:sz="4" w:space="0" w:color="auto"/>
            </w:tcBorders>
            <w:shd w:val="clear" w:color="auto" w:fill="A0C3E3" w:themeFill="accent1" w:themeFillTint="99"/>
            <w:noWrap/>
            <w:vAlign w:val="center"/>
          </w:tcPr>
          <w:p w:rsidR="006420DA" w:rsidRPr="00605BA1" w:rsidRDefault="006420DA" w:rsidP="006420DA">
            <w:pPr>
              <w:spacing w:after="0"/>
              <w:ind w:firstLine="0"/>
              <w:jc w:val="left"/>
              <w:rPr>
                <w:rFonts w:ascii="Arial Narrow" w:hAnsi="Arial Narrow" w:cs="Arial"/>
                <w:sz w:val="18"/>
                <w:szCs w:val="18"/>
                <w:lang w:val="es-ES" w:eastAsia="es-ES"/>
              </w:rPr>
            </w:pPr>
          </w:p>
        </w:tc>
        <w:tc>
          <w:tcPr>
            <w:tcW w:w="1200" w:type="dxa"/>
            <w:tcBorders>
              <w:top w:val="single" w:sz="4" w:space="0" w:color="auto"/>
              <w:bottom w:val="single" w:sz="4" w:space="0" w:color="auto"/>
            </w:tcBorders>
            <w:shd w:val="clear" w:color="auto" w:fill="A0C3E3" w:themeFill="accent1" w:themeFillTint="99"/>
            <w:noWrap/>
            <w:vAlign w:val="center"/>
          </w:tcPr>
          <w:p w:rsidR="006420DA" w:rsidRPr="00605BA1" w:rsidRDefault="00B2233A" w:rsidP="006420DA">
            <w:pPr>
              <w:spacing w:after="0"/>
              <w:ind w:firstLine="0"/>
              <w:jc w:val="right"/>
              <w:rPr>
                <w:rFonts w:ascii="Arial Narrow" w:hAnsi="Arial Narrow" w:cs="Arial"/>
                <w:bCs/>
                <w:sz w:val="18"/>
                <w:szCs w:val="18"/>
                <w:lang w:val="es-ES" w:eastAsia="es-ES"/>
              </w:rPr>
            </w:pPr>
            <w:r w:rsidRPr="00605BA1">
              <w:rPr>
                <w:rFonts w:ascii="Arial Narrow" w:hAnsi="Arial Narrow" w:cs="Arial"/>
                <w:bCs/>
                <w:sz w:val="18"/>
                <w:szCs w:val="18"/>
                <w:lang w:val="es-ES" w:eastAsia="es-ES"/>
              </w:rPr>
              <w:t>410.899</w:t>
            </w:r>
          </w:p>
        </w:tc>
      </w:tr>
    </w:tbl>
    <w:p w:rsidR="001B1C8E" w:rsidRDefault="001B1C8E" w:rsidP="006420DA">
      <w:pPr>
        <w:pStyle w:val="atitulo2"/>
        <w:spacing w:before="240"/>
        <w:rPr>
          <w:color w:val="auto"/>
        </w:rPr>
      </w:pPr>
    </w:p>
    <w:p w:rsidR="006420DA" w:rsidRPr="00730AE6" w:rsidRDefault="006830EB" w:rsidP="006420DA">
      <w:pPr>
        <w:pStyle w:val="atitulo2"/>
        <w:spacing w:before="240"/>
        <w:rPr>
          <w:rFonts w:cs="Arial"/>
          <w:color w:val="auto"/>
          <w:lang w:eastAsia="es-ES"/>
        </w:rPr>
      </w:pPr>
      <w:bookmarkStart w:id="26" w:name="_Toc3967019"/>
      <w:r>
        <w:rPr>
          <w:color w:val="auto"/>
        </w:rPr>
        <w:t>V</w:t>
      </w:r>
      <w:r w:rsidR="006420DA" w:rsidRPr="00730AE6">
        <w:rPr>
          <w:color w:val="auto"/>
        </w:rPr>
        <w:t>.3. Remanente de Tesorería a 31 de diciembre de 201</w:t>
      </w:r>
      <w:r w:rsidR="00AA0208" w:rsidRPr="00730AE6">
        <w:rPr>
          <w:color w:val="auto"/>
        </w:rPr>
        <w:t>7</w:t>
      </w:r>
      <w:bookmarkEnd w:id="26"/>
    </w:p>
    <w:tbl>
      <w:tblPr>
        <w:tblW w:w="9172" w:type="dxa"/>
        <w:jc w:val="center"/>
        <w:tblLayout w:type="fixed"/>
        <w:tblCellMar>
          <w:left w:w="28" w:type="dxa"/>
          <w:right w:w="28" w:type="dxa"/>
        </w:tblCellMar>
        <w:tblLook w:val="0000" w:firstRow="0" w:lastRow="0" w:firstColumn="0" w:lastColumn="0" w:noHBand="0" w:noVBand="0"/>
      </w:tblPr>
      <w:tblGrid>
        <w:gridCol w:w="4646"/>
        <w:gridCol w:w="983"/>
        <w:gridCol w:w="1080"/>
        <w:gridCol w:w="1080"/>
        <w:gridCol w:w="1383"/>
      </w:tblGrid>
      <w:tr w:rsidR="006420DA" w:rsidRPr="00605BA1" w:rsidTr="00E130CE">
        <w:trPr>
          <w:trHeight w:val="284"/>
          <w:jc w:val="center"/>
        </w:trPr>
        <w:tc>
          <w:tcPr>
            <w:tcW w:w="4646" w:type="dxa"/>
            <w:tcBorders>
              <w:top w:val="single" w:sz="4" w:space="0" w:color="auto"/>
              <w:left w:val="nil"/>
              <w:bottom w:val="single" w:sz="4" w:space="0" w:color="auto"/>
              <w:right w:val="nil"/>
            </w:tcBorders>
            <w:shd w:val="clear" w:color="auto" w:fill="A8CBEE" w:themeFill="accent2" w:themeFillTint="66"/>
            <w:vAlign w:val="center"/>
          </w:tcPr>
          <w:p w:rsidR="006420DA" w:rsidRPr="00605BA1" w:rsidRDefault="006420DA" w:rsidP="006420DA">
            <w:pPr>
              <w:tabs>
                <w:tab w:val="left" w:pos="567"/>
                <w:tab w:val="left" w:pos="1134"/>
                <w:tab w:val="left" w:pos="1701"/>
              </w:tabs>
              <w:snapToGrid w:val="0"/>
              <w:spacing w:after="0"/>
              <w:ind w:firstLine="0"/>
              <w:jc w:val="left"/>
              <w:rPr>
                <w:rFonts w:ascii="Arial Narrow" w:hAnsi="Arial Narrow" w:cs="Arial"/>
                <w:color w:val="000000"/>
                <w:sz w:val="18"/>
                <w:szCs w:val="18"/>
                <w:lang w:val="es-ES" w:eastAsia="es-ES"/>
              </w:rPr>
            </w:pPr>
            <w:r w:rsidRPr="00605BA1">
              <w:rPr>
                <w:rFonts w:ascii="Arial Narrow" w:hAnsi="Arial Narrow" w:cs="Arial"/>
                <w:color w:val="000000"/>
                <w:sz w:val="18"/>
                <w:szCs w:val="18"/>
                <w:lang w:val="es-ES" w:eastAsia="es-ES"/>
              </w:rPr>
              <w:t>Concepto</w:t>
            </w:r>
            <w:r w:rsidR="00F84038">
              <w:rPr>
                <w:rFonts w:ascii="Arial Narrow" w:hAnsi="Arial Narrow" w:cs="Arial"/>
                <w:color w:val="000000"/>
                <w:sz w:val="18"/>
                <w:szCs w:val="18"/>
                <w:lang w:val="es-ES" w:eastAsia="es-ES"/>
              </w:rPr>
              <w:t>s</w:t>
            </w:r>
          </w:p>
        </w:tc>
        <w:tc>
          <w:tcPr>
            <w:tcW w:w="2063" w:type="dxa"/>
            <w:gridSpan w:val="2"/>
            <w:tcBorders>
              <w:top w:val="single" w:sz="4" w:space="0" w:color="auto"/>
              <w:left w:val="nil"/>
              <w:bottom w:val="single" w:sz="4" w:space="0" w:color="auto"/>
              <w:right w:val="nil"/>
            </w:tcBorders>
            <w:shd w:val="clear" w:color="auto" w:fill="A8CBEE" w:themeFill="accent2" w:themeFillTint="66"/>
            <w:vAlign w:val="center"/>
          </w:tcPr>
          <w:p w:rsidR="006420DA" w:rsidRPr="00605BA1" w:rsidRDefault="00915718" w:rsidP="00C873AE">
            <w:pPr>
              <w:spacing w:after="0"/>
              <w:ind w:right="60" w:firstLine="0"/>
              <w:jc w:val="right"/>
              <w:rPr>
                <w:rFonts w:ascii="Arial Narrow" w:hAnsi="Arial Narrow" w:cs="Arial"/>
                <w:bCs/>
                <w:sz w:val="18"/>
                <w:szCs w:val="18"/>
                <w:lang w:val="es-ES" w:eastAsia="es-ES"/>
              </w:rPr>
            </w:pPr>
            <w:r w:rsidRPr="00605BA1">
              <w:rPr>
                <w:rFonts w:ascii="Arial Narrow" w:hAnsi="Arial Narrow" w:cs="Arial"/>
                <w:bCs/>
                <w:sz w:val="18"/>
                <w:szCs w:val="18"/>
                <w:lang w:val="es-ES" w:eastAsia="es-ES"/>
              </w:rPr>
              <w:t>Ejercicio</w:t>
            </w:r>
            <w:r w:rsidR="006420DA" w:rsidRPr="00605BA1">
              <w:rPr>
                <w:rFonts w:ascii="Arial Narrow" w:hAnsi="Arial Narrow" w:cs="Arial"/>
                <w:bCs/>
                <w:sz w:val="18"/>
                <w:szCs w:val="18"/>
                <w:lang w:val="es-ES" w:eastAsia="es-ES"/>
              </w:rPr>
              <w:t xml:space="preserve"> 201</w:t>
            </w:r>
            <w:r w:rsidR="004A7652" w:rsidRPr="00605BA1">
              <w:rPr>
                <w:rFonts w:ascii="Arial Narrow" w:hAnsi="Arial Narrow" w:cs="Arial"/>
                <w:bCs/>
                <w:sz w:val="18"/>
                <w:szCs w:val="18"/>
                <w:lang w:val="es-ES" w:eastAsia="es-ES"/>
              </w:rPr>
              <w:t>6</w:t>
            </w:r>
          </w:p>
        </w:tc>
        <w:tc>
          <w:tcPr>
            <w:tcW w:w="2463" w:type="dxa"/>
            <w:gridSpan w:val="2"/>
            <w:tcBorders>
              <w:top w:val="single" w:sz="4" w:space="0" w:color="auto"/>
              <w:left w:val="nil"/>
              <w:bottom w:val="single" w:sz="4" w:space="0" w:color="auto"/>
              <w:right w:val="nil"/>
            </w:tcBorders>
            <w:shd w:val="clear" w:color="auto" w:fill="A8CBEE" w:themeFill="accent2" w:themeFillTint="66"/>
            <w:vAlign w:val="center"/>
          </w:tcPr>
          <w:p w:rsidR="006420DA" w:rsidRPr="00605BA1" w:rsidRDefault="00915718" w:rsidP="004A7652">
            <w:pPr>
              <w:spacing w:after="0"/>
              <w:ind w:right="64" w:firstLine="0"/>
              <w:jc w:val="right"/>
              <w:rPr>
                <w:rFonts w:ascii="Arial Narrow" w:hAnsi="Arial Narrow" w:cs="Arial"/>
                <w:bCs/>
                <w:sz w:val="18"/>
                <w:szCs w:val="18"/>
                <w:lang w:val="es-ES" w:eastAsia="es-ES"/>
              </w:rPr>
            </w:pPr>
            <w:r w:rsidRPr="00605BA1">
              <w:rPr>
                <w:rFonts w:ascii="Arial Narrow" w:hAnsi="Arial Narrow" w:cs="Arial"/>
                <w:bCs/>
                <w:sz w:val="18"/>
                <w:szCs w:val="18"/>
                <w:lang w:val="es-ES" w:eastAsia="es-ES"/>
              </w:rPr>
              <w:t xml:space="preserve">Ejercicio </w:t>
            </w:r>
            <w:r w:rsidR="006420DA" w:rsidRPr="00605BA1">
              <w:rPr>
                <w:rFonts w:ascii="Arial Narrow" w:hAnsi="Arial Narrow" w:cs="Arial"/>
                <w:bCs/>
                <w:sz w:val="18"/>
                <w:szCs w:val="18"/>
                <w:lang w:val="es-ES" w:eastAsia="es-ES"/>
              </w:rPr>
              <w:t xml:space="preserve"> 201</w:t>
            </w:r>
            <w:r w:rsidR="004A7652" w:rsidRPr="00605BA1">
              <w:rPr>
                <w:rFonts w:ascii="Arial Narrow" w:hAnsi="Arial Narrow" w:cs="Arial"/>
                <w:bCs/>
                <w:sz w:val="18"/>
                <w:szCs w:val="18"/>
                <w:lang w:val="es-ES" w:eastAsia="es-ES"/>
              </w:rPr>
              <w:t>7</w:t>
            </w:r>
          </w:p>
        </w:tc>
      </w:tr>
      <w:tr w:rsidR="006420DA" w:rsidRPr="00605BA1" w:rsidTr="00E130CE">
        <w:trPr>
          <w:trHeight w:val="284"/>
          <w:jc w:val="center"/>
        </w:trPr>
        <w:tc>
          <w:tcPr>
            <w:tcW w:w="4646" w:type="dxa"/>
            <w:tcBorders>
              <w:top w:val="single" w:sz="4" w:space="0" w:color="auto"/>
              <w:bottom w:val="single" w:sz="4" w:space="0" w:color="auto"/>
            </w:tcBorders>
            <w:vAlign w:val="center"/>
          </w:tcPr>
          <w:p w:rsidR="006420DA" w:rsidRPr="00605BA1" w:rsidRDefault="006420DA" w:rsidP="006420DA">
            <w:pPr>
              <w:tabs>
                <w:tab w:val="left" w:pos="142"/>
                <w:tab w:val="left" w:pos="567"/>
                <w:tab w:val="left" w:pos="1134"/>
                <w:tab w:val="left" w:pos="1701"/>
              </w:tabs>
              <w:snapToGrid w:val="0"/>
              <w:spacing w:after="0"/>
              <w:ind w:firstLine="0"/>
              <w:jc w:val="lef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1 (+) Derechos pendientes de cobro</w:t>
            </w:r>
          </w:p>
        </w:tc>
        <w:tc>
          <w:tcPr>
            <w:tcW w:w="983" w:type="dxa"/>
            <w:tcBorders>
              <w:top w:val="single" w:sz="4" w:space="0" w:color="auto"/>
              <w:bottom w:val="single" w:sz="4" w:space="0" w:color="auto"/>
            </w:tcBorders>
            <w:vAlign w:val="center"/>
          </w:tcPr>
          <w:p w:rsidR="006420DA" w:rsidRPr="00605BA1" w:rsidRDefault="006420DA"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p>
        </w:tc>
        <w:tc>
          <w:tcPr>
            <w:tcW w:w="1080" w:type="dxa"/>
            <w:tcBorders>
              <w:top w:val="single" w:sz="4" w:space="0" w:color="auto"/>
              <w:bottom w:val="single" w:sz="4" w:space="0" w:color="auto"/>
            </w:tcBorders>
            <w:vAlign w:val="center"/>
          </w:tcPr>
          <w:p w:rsidR="006420DA" w:rsidRPr="00605BA1" w:rsidRDefault="004F7B63" w:rsidP="001A26E5">
            <w:pPr>
              <w:tabs>
                <w:tab w:val="left" w:pos="567"/>
                <w:tab w:val="left" w:pos="1701"/>
              </w:tabs>
              <w:snapToGrid w:val="0"/>
              <w:spacing w:after="0"/>
              <w:ind w:right="60" w:firstLine="0"/>
              <w:jc w:val="righ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1.863.74</w:t>
            </w:r>
            <w:r w:rsidR="001A26E5" w:rsidRPr="00605BA1">
              <w:rPr>
                <w:rFonts w:ascii="Arial Narrow" w:hAnsi="Arial Narrow"/>
                <w:color w:val="000000"/>
                <w:sz w:val="18"/>
                <w:szCs w:val="18"/>
                <w:lang w:val="es-ES" w:eastAsia="es-ES"/>
              </w:rPr>
              <w:t>6</w:t>
            </w:r>
          </w:p>
        </w:tc>
        <w:tc>
          <w:tcPr>
            <w:tcW w:w="1080" w:type="dxa"/>
            <w:tcBorders>
              <w:top w:val="single" w:sz="4" w:space="0" w:color="auto"/>
              <w:bottom w:val="single" w:sz="4" w:space="0" w:color="auto"/>
            </w:tcBorders>
            <w:vAlign w:val="center"/>
          </w:tcPr>
          <w:p w:rsidR="006420DA" w:rsidRPr="00605BA1" w:rsidRDefault="006420DA"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p>
        </w:tc>
        <w:tc>
          <w:tcPr>
            <w:tcW w:w="1383" w:type="dxa"/>
            <w:tcBorders>
              <w:top w:val="single" w:sz="4" w:space="0" w:color="auto"/>
              <w:bottom w:val="single" w:sz="4" w:space="0" w:color="auto"/>
            </w:tcBorders>
            <w:vAlign w:val="center"/>
          </w:tcPr>
          <w:p w:rsidR="006420DA" w:rsidRPr="00605BA1" w:rsidRDefault="004F7B63"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1.813.494</w:t>
            </w:r>
          </w:p>
        </w:tc>
      </w:tr>
      <w:tr w:rsidR="006420DA" w:rsidRPr="00605BA1" w:rsidTr="00E130CE">
        <w:trPr>
          <w:trHeight w:val="284"/>
          <w:jc w:val="center"/>
        </w:trPr>
        <w:tc>
          <w:tcPr>
            <w:tcW w:w="4646" w:type="dxa"/>
            <w:tcBorders>
              <w:top w:val="single" w:sz="4" w:space="0" w:color="auto"/>
            </w:tcBorders>
            <w:vAlign w:val="center"/>
          </w:tcPr>
          <w:p w:rsidR="006420DA" w:rsidRPr="00605BA1"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ab/>
              <w:t>(+) Ppto. Ingresos: Ejercicio corriente</w:t>
            </w:r>
          </w:p>
        </w:tc>
        <w:tc>
          <w:tcPr>
            <w:tcW w:w="983" w:type="dxa"/>
            <w:tcBorders>
              <w:top w:val="single" w:sz="4" w:space="0" w:color="auto"/>
            </w:tcBorders>
            <w:vAlign w:val="center"/>
          </w:tcPr>
          <w:p w:rsidR="006420DA" w:rsidRPr="00605BA1" w:rsidRDefault="004F7B63"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1.338.207</w:t>
            </w:r>
          </w:p>
        </w:tc>
        <w:tc>
          <w:tcPr>
            <w:tcW w:w="1080" w:type="dxa"/>
            <w:tcBorders>
              <w:top w:val="single" w:sz="4" w:space="0" w:color="auto"/>
            </w:tcBorders>
            <w:vAlign w:val="center"/>
          </w:tcPr>
          <w:p w:rsidR="006420DA" w:rsidRPr="00605BA1" w:rsidRDefault="006420DA"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p>
        </w:tc>
        <w:tc>
          <w:tcPr>
            <w:tcW w:w="1080" w:type="dxa"/>
            <w:tcBorders>
              <w:top w:val="single" w:sz="4" w:space="0" w:color="auto"/>
            </w:tcBorders>
            <w:vAlign w:val="center"/>
          </w:tcPr>
          <w:p w:rsidR="006420DA" w:rsidRPr="00605BA1" w:rsidRDefault="004F7B63"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1.976.717</w:t>
            </w:r>
          </w:p>
        </w:tc>
        <w:tc>
          <w:tcPr>
            <w:tcW w:w="1383" w:type="dxa"/>
            <w:tcBorders>
              <w:top w:val="single" w:sz="4" w:space="0" w:color="auto"/>
            </w:tcBorders>
            <w:vAlign w:val="center"/>
          </w:tcPr>
          <w:p w:rsidR="006420DA" w:rsidRPr="00605BA1" w:rsidRDefault="006420DA"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6420DA" w:rsidRPr="00605BA1" w:rsidTr="00E130CE">
        <w:trPr>
          <w:trHeight w:val="284"/>
          <w:jc w:val="center"/>
        </w:trPr>
        <w:tc>
          <w:tcPr>
            <w:tcW w:w="4646" w:type="dxa"/>
            <w:vAlign w:val="center"/>
          </w:tcPr>
          <w:p w:rsidR="006420DA" w:rsidRPr="00605BA1"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ab/>
              <w:t>(+) Ppto. Ingresos: Ejercicios cerrados</w:t>
            </w:r>
          </w:p>
        </w:tc>
        <w:tc>
          <w:tcPr>
            <w:tcW w:w="983" w:type="dxa"/>
            <w:vAlign w:val="center"/>
          </w:tcPr>
          <w:p w:rsidR="006420DA" w:rsidRPr="00605BA1" w:rsidRDefault="004F7B63"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994.572</w:t>
            </w:r>
          </w:p>
        </w:tc>
        <w:tc>
          <w:tcPr>
            <w:tcW w:w="1080" w:type="dxa"/>
            <w:vAlign w:val="center"/>
          </w:tcPr>
          <w:p w:rsidR="006420DA" w:rsidRPr="00605BA1" w:rsidRDefault="006420DA"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p>
        </w:tc>
        <w:tc>
          <w:tcPr>
            <w:tcW w:w="1080" w:type="dxa"/>
            <w:vAlign w:val="center"/>
          </w:tcPr>
          <w:p w:rsidR="006420DA" w:rsidRPr="00605BA1" w:rsidRDefault="004F7B63"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608.139</w:t>
            </w:r>
          </w:p>
        </w:tc>
        <w:tc>
          <w:tcPr>
            <w:tcW w:w="1383" w:type="dxa"/>
            <w:vAlign w:val="center"/>
          </w:tcPr>
          <w:p w:rsidR="006420DA" w:rsidRPr="00605BA1" w:rsidRDefault="006420DA"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6420DA" w:rsidRPr="00605BA1" w:rsidTr="00E130CE">
        <w:trPr>
          <w:trHeight w:val="284"/>
          <w:jc w:val="center"/>
        </w:trPr>
        <w:tc>
          <w:tcPr>
            <w:tcW w:w="4646" w:type="dxa"/>
            <w:vAlign w:val="center"/>
          </w:tcPr>
          <w:p w:rsidR="006420DA" w:rsidRPr="00605BA1"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ab/>
              <w:t>(+) De operaciones no presupuestarias</w:t>
            </w:r>
          </w:p>
        </w:tc>
        <w:tc>
          <w:tcPr>
            <w:tcW w:w="983" w:type="dxa"/>
            <w:vAlign w:val="center"/>
          </w:tcPr>
          <w:p w:rsidR="006420DA" w:rsidRPr="00605BA1" w:rsidRDefault="004F7B63"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747.383</w:t>
            </w:r>
          </w:p>
        </w:tc>
        <w:tc>
          <w:tcPr>
            <w:tcW w:w="1080" w:type="dxa"/>
            <w:vAlign w:val="center"/>
          </w:tcPr>
          <w:p w:rsidR="006420DA" w:rsidRPr="00605BA1" w:rsidRDefault="006420DA"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p>
        </w:tc>
        <w:tc>
          <w:tcPr>
            <w:tcW w:w="1080" w:type="dxa"/>
            <w:vAlign w:val="center"/>
          </w:tcPr>
          <w:p w:rsidR="006420DA" w:rsidRPr="00605BA1" w:rsidRDefault="004F7B63"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739.445</w:t>
            </w:r>
          </w:p>
        </w:tc>
        <w:tc>
          <w:tcPr>
            <w:tcW w:w="1383" w:type="dxa"/>
            <w:vAlign w:val="center"/>
          </w:tcPr>
          <w:p w:rsidR="006420DA" w:rsidRPr="00605BA1" w:rsidRDefault="006420DA"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6420DA" w:rsidRPr="00605BA1" w:rsidTr="00E130CE">
        <w:trPr>
          <w:trHeight w:val="284"/>
          <w:jc w:val="center"/>
        </w:trPr>
        <w:tc>
          <w:tcPr>
            <w:tcW w:w="4646" w:type="dxa"/>
            <w:vAlign w:val="center"/>
          </w:tcPr>
          <w:p w:rsidR="006420DA" w:rsidRPr="00605BA1"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 xml:space="preserve">         (+) Operaciones comerciales</w:t>
            </w:r>
          </w:p>
        </w:tc>
        <w:tc>
          <w:tcPr>
            <w:tcW w:w="983" w:type="dxa"/>
            <w:vAlign w:val="center"/>
          </w:tcPr>
          <w:p w:rsidR="006420DA" w:rsidRPr="00605BA1" w:rsidRDefault="006420DA"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p>
        </w:tc>
        <w:tc>
          <w:tcPr>
            <w:tcW w:w="1080" w:type="dxa"/>
            <w:vAlign w:val="center"/>
          </w:tcPr>
          <w:p w:rsidR="006420DA" w:rsidRPr="00605BA1" w:rsidRDefault="006420DA"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p>
        </w:tc>
        <w:tc>
          <w:tcPr>
            <w:tcW w:w="1080" w:type="dxa"/>
            <w:vAlign w:val="center"/>
          </w:tcPr>
          <w:p w:rsidR="006420DA" w:rsidRPr="00605BA1" w:rsidRDefault="006420DA"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p>
        </w:tc>
        <w:tc>
          <w:tcPr>
            <w:tcW w:w="1383" w:type="dxa"/>
            <w:vAlign w:val="center"/>
          </w:tcPr>
          <w:p w:rsidR="006420DA" w:rsidRPr="00605BA1" w:rsidRDefault="006420DA"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6420DA" w:rsidRPr="00605BA1" w:rsidTr="00E130CE">
        <w:trPr>
          <w:trHeight w:val="284"/>
          <w:jc w:val="center"/>
        </w:trPr>
        <w:tc>
          <w:tcPr>
            <w:tcW w:w="4646" w:type="dxa"/>
            <w:vAlign w:val="center"/>
          </w:tcPr>
          <w:p w:rsidR="006420DA" w:rsidRPr="00605BA1"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 xml:space="preserve">         (-) Cobros realizados pendientes de aplicación definitiva</w:t>
            </w:r>
          </w:p>
        </w:tc>
        <w:tc>
          <w:tcPr>
            <w:tcW w:w="983" w:type="dxa"/>
            <w:vAlign w:val="center"/>
          </w:tcPr>
          <w:p w:rsidR="006420DA" w:rsidRPr="00605BA1" w:rsidRDefault="006420DA"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p>
        </w:tc>
        <w:tc>
          <w:tcPr>
            <w:tcW w:w="1080" w:type="dxa"/>
            <w:vAlign w:val="center"/>
          </w:tcPr>
          <w:p w:rsidR="006420DA" w:rsidRPr="00605BA1" w:rsidRDefault="006420DA"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p>
        </w:tc>
        <w:tc>
          <w:tcPr>
            <w:tcW w:w="1080" w:type="dxa"/>
            <w:vAlign w:val="center"/>
          </w:tcPr>
          <w:p w:rsidR="006420DA" w:rsidRPr="00605BA1" w:rsidRDefault="006420DA"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p>
        </w:tc>
        <w:tc>
          <w:tcPr>
            <w:tcW w:w="1383" w:type="dxa"/>
            <w:vAlign w:val="center"/>
          </w:tcPr>
          <w:p w:rsidR="006420DA" w:rsidRPr="00605BA1" w:rsidRDefault="006420DA"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6420DA" w:rsidRPr="00605BA1" w:rsidTr="00E130CE">
        <w:trPr>
          <w:trHeight w:val="284"/>
          <w:jc w:val="center"/>
        </w:trPr>
        <w:tc>
          <w:tcPr>
            <w:tcW w:w="4646" w:type="dxa"/>
            <w:tcBorders>
              <w:bottom w:val="single" w:sz="4" w:space="0" w:color="auto"/>
            </w:tcBorders>
            <w:vAlign w:val="center"/>
          </w:tcPr>
          <w:p w:rsidR="006420DA" w:rsidRPr="00605BA1"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ab/>
              <w:t>(-) Saldos de dudoso cobro</w:t>
            </w:r>
          </w:p>
        </w:tc>
        <w:tc>
          <w:tcPr>
            <w:tcW w:w="983" w:type="dxa"/>
            <w:tcBorders>
              <w:bottom w:val="single" w:sz="4" w:space="0" w:color="auto"/>
            </w:tcBorders>
            <w:vAlign w:val="center"/>
          </w:tcPr>
          <w:p w:rsidR="006420DA" w:rsidRPr="00605BA1" w:rsidRDefault="004F7B63"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1.216.416</w:t>
            </w:r>
          </w:p>
        </w:tc>
        <w:tc>
          <w:tcPr>
            <w:tcW w:w="1080" w:type="dxa"/>
            <w:tcBorders>
              <w:bottom w:val="single" w:sz="4" w:space="0" w:color="auto"/>
            </w:tcBorders>
            <w:vAlign w:val="center"/>
          </w:tcPr>
          <w:p w:rsidR="006420DA" w:rsidRPr="00605BA1" w:rsidRDefault="006420DA"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p>
        </w:tc>
        <w:tc>
          <w:tcPr>
            <w:tcW w:w="1080" w:type="dxa"/>
            <w:tcBorders>
              <w:bottom w:val="single" w:sz="4" w:space="0" w:color="auto"/>
            </w:tcBorders>
            <w:vAlign w:val="center"/>
          </w:tcPr>
          <w:p w:rsidR="006420DA" w:rsidRPr="00605BA1" w:rsidRDefault="004F7B63"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1.510.807</w:t>
            </w:r>
          </w:p>
        </w:tc>
        <w:tc>
          <w:tcPr>
            <w:tcW w:w="1383" w:type="dxa"/>
            <w:tcBorders>
              <w:bottom w:val="single" w:sz="4" w:space="0" w:color="auto"/>
            </w:tcBorders>
            <w:vAlign w:val="center"/>
          </w:tcPr>
          <w:p w:rsidR="006420DA" w:rsidRPr="00605BA1" w:rsidRDefault="006420DA"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6420DA" w:rsidRPr="00605BA1" w:rsidTr="00E130CE">
        <w:trPr>
          <w:trHeight w:val="284"/>
          <w:jc w:val="center"/>
        </w:trPr>
        <w:tc>
          <w:tcPr>
            <w:tcW w:w="4646" w:type="dxa"/>
            <w:tcBorders>
              <w:top w:val="single" w:sz="4" w:space="0" w:color="auto"/>
              <w:bottom w:val="single" w:sz="4" w:space="0" w:color="auto"/>
            </w:tcBorders>
            <w:vAlign w:val="center"/>
          </w:tcPr>
          <w:p w:rsidR="006420DA" w:rsidRPr="00605BA1" w:rsidRDefault="006420DA" w:rsidP="006420DA">
            <w:pPr>
              <w:tabs>
                <w:tab w:val="left" w:pos="142"/>
                <w:tab w:val="left" w:pos="567"/>
                <w:tab w:val="left" w:pos="1134"/>
                <w:tab w:val="left" w:pos="1701"/>
              </w:tabs>
              <w:snapToGrid w:val="0"/>
              <w:spacing w:after="0"/>
              <w:ind w:firstLine="0"/>
              <w:jc w:val="lef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2</w:t>
            </w:r>
            <w:r w:rsidRPr="00605BA1">
              <w:rPr>
                <w:rFonts w:ascii="Arial Narrow" w:hAnsi="Arial Narrow"/>
                <w:b/>
                <w:color w:val="000000"/>
                <w:sz w:val="18"/>
                <w:szCs w:val="18"/>
                <w:lang w:val="es-ES" w:eastAsia="es-ES"/>
              </w:rPr>
              <w:t xml:space="preserve"> </w:t>
            </w:r>
            <w:r w:rsidRPr="00605BA1">
              <w:rPr>
                <w:rFonts w:ascii="Arial Narrow" w:hAnsi="Arial Narrow"/>
                <w:color w:val="000000"/>
                <w:sz w:val="18"/>
                <w:szCs w:val="18"/>
                <w:lang w:val="es-ES" w:eastAsia="es-ES"/>
              </w:rPr>
              <w:t>(-) Obligaciones pendientes de pago</w:t>
            </w:r>
          </w:p>
        </w:tc>
        <w:tc>
          <w:tcPr>
            <w:tcW w:w="983" w:type="dxa"/>
            <w:tcBorders>
              <w:top w:val="single" w:sz="4" w:space="0" w:color="auto"/>
              <w:bottom w:val="single" w:sz="4" w:space="0" w:color="auto"/>
            </w:tcBorders>
            <w:vAlign w:val="center"/>
          </w:tcPr>
          <w:p w:rsidR="006420DA" w:rsidRPr="00605BA1" w:rsidRDefault="006420DA"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p>
        </w:tc>
        <w:tc>
          <w:tcPr>
            <w:tcW w:w="1080" w:type="dxa"/>
            <w:tcBorders>
              <w:top w:val="single" w:sz="4" w:space="0" w:color="auto"/>
              <w:bottom w:val="single" w:sz="4" w:space="0" w:color="auto"/>
            </w:tcBorders>
            <w:vAlign w:val="center"/>
          </w:tcPr>
          <w:p w:rsidR="006420DA" w:rsidRPr="00605BA1" w:rsidRDefault="004F7B63"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5.370.408</w:t>
            </w:r>
          </w:p>
        </w:tc>
        <w:tc>
          <w:tcPr>
            <w:tcW w:w="1080" w:type="dxa"/>
            <w:tcBorders>
              <w:top w:val="single" w:sz="4" w:space="0" w:color="auto"/>
              <w:bottom w:val="single" w:sz="4" w:space="0" w:color="auto"/>
            </w:tcBorders>
            <w:vAlign w:val="center"/>
          </w:tcPr>
          <w:p w:rsidR="006420DA" w:rsidRPr="00605BA1" w:rsidRDefault="006420DA"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p>
        </w:tc>
        <w:tc>
          <w:tcPr>
            <w:tcW w:w="1383" w:type="dxa"/>
            <w:tcBorders>
              <w:top w:val="single" w:sz="4" w:space="0" w:color="auto"/>
              <w:bottom w:val="single" w:sz="4" w:space="0" w:color="auto"/>
            </w:tcBorders>
            <w:vAlign w:val="center"/>
          </w:tcPr>
          <w:p w:rsidR="006420DA" w:rsidRPr="00605BA1" w:rsidRDefault="004F7B63"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5.667.141</w:t>
            </w:r>
          </w:p>
        </w:tc>
      </w:tr>
      <w:tr w:rsidR="006420DA" w:rsidRPr="00605BA1" w:rsidTr="00E130CE">
        <w:trPr>
          <w:trHeight w:val="284"/>
          <w:jc w:val="center"/>
        </w:trPr>
        <w:tc>
          <w:tcPr>
            <w:tcW w:w="4646" w:type="dxa"/>
            <w:tcBorders>
              <w:top w:val="single" w:sz="4" w:space="0" w:color="auto"/>
            </w:tcBorders>
            <w:vAlign w:val="center"/>
          </w:tcPr>
          <w:p w:rsidR="006420DA" w:rsidRPr="00605BA1"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ab/>
              <w:t>(+) Ppto. de Gastos: Ejercicio corriente</w:t>
            </w:r>
          </w:p>
        </w:tc>
        <w:tc>
          <w:tcPr>
            <w:tcW w:w="983" w:type="dxa"/>
            <w:tcBorders>
              <w:top w:val="single" w:sz="4" w:space="0" w:color="auto"/>
            </w:tcBorders>
            <w:vAlign w:val="center"/>
          </w:tcPr>
          <w:p w:rsidR="006420DA" w:rsidRPr="00605BA1" w:rsidRDefault="004F7B63"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3.213.170</w:t>
            </w:r>
          </w:p>
        </w:tc>
        <w:tc>
          <w:tcPr>
            <w:tcW w:w="1080" w:type="dxa"/>
            <w:tcBorders>
              <w:top w:val="single" w:sz="4" w:space="0" w:color="auto"/>
            </w:tcBorders>
            <w:vAlign w:val="center"/>
          </w:tcPr>
          <w:p w:rsidR="006420DA" w:rsidRPr="00605BA1" w:rsidRDefault="006420DA"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p>
        </w:tc>
        <w:tc>
          <w:tcPr>
            <w:tcW w:w="1080" w:type="dxa"/>
            <w:tcBorders>
              <w:top w:val="single" w:sz="4" w:space="0" w:color="auto"/>
            </w:tcBorders>
            <w:vAlign w:val="center"/>
          </w:tcPr>
          <w:p w:rsidR="006420DA" w:rsidRPr="00605BA1" w:rsidRDefault="004F7B63"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3.272.718</w:t>
            </w:r>
          </w:p>
        </w:tc>
        <w:tc>
          <w:tcPr>
            <w:tcW w:w="1383" w:type="dxa"/>
            <w:tcBorders>
              <w:top w:val="single" w:sz="4" w:space="0" w:color="auto"/>
            </w:tcBorders>
            <w:vAlign w:val="center"/>
          </w:tcPr>
          <w:p w:rsidR="006420DA" w:rsidRPr="00605BA1" w:rsidRDefault="006420DA"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6420DA" w:rsidRPr="00605BA1" w:rsidTr="00E130CE">
        <w:trPr>
          <w:trHeight w:val="284"/>
          <w:jc w:val="center"/>
        </w:trPr>
        <w:tc>
          <w:tcPr>
            <w:tcW w:w="4646" w:type="dxa"/>
            <w:vAlign w:val="center"/>
          </w:tcPr>
          <w:p w:rsidR="006420DA" w:rsidRPr="00605BA1"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ab/>
              <w:t>(+) Ppto. de Gastos: Ejercicios cerrados</w:t>
            </w:r>
          </w:p>
        </w:tc>
        <w:tc>
          <w:tcPr>
            <w:tcW w:w="983" w:type="dxa"/>
            <w:vAlign w:val="center"/>
          </w:tcPr>
          <w:p w:rsidR="006420DA" w:rsidRPr="00605BA1" w:rsidRDefault="004F7B63"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2.020</w:t>
            </w:r>
          </w:p>
        </w:tc>
        <w:tc>
          <w:tcPr>
            <w:tcW w:w="1080" w:type="dxa"/>
            <w:vAlign w:val="center"/>
          </w:tcPr>
          <w:p w:rsidR="006420DA" w:rsidRPr="00605BA1" w:rsidRDefault="006420DA"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p>
        </w:tc>
        <w:tc>
          <w:tcPr>
            <w:tcW w:w="1080" w:type="dxa"/>
            <w:vAlign w:val="center"/>
          </w:tcPr>
          <w:p w:rsidR="006420DA" w:rsidRPr="00605BA1" w:rsidRDefault="004F7B63"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2.020</w:t>
            </w:r>
          </w:p>
        </w:tc>
        <w:tc>
          <w:tcPr>
            <w:tcW w:w="1383" w:type="dxa"/>
            <w:vAlign w:val="center"/>
          </w:tcPr>
          <w:p w:rsidR="006420DA" w:rsidRPr="00605BA1" w:rsidRDefault="006420DA"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6420DA" w:rsidRPr="00605BA1" w:rsidTr="00E130CE">
        <w:trPr>
          <w:trHeight w:val="284"/>
          <w:jc w:val="center"/>
        </w:trPr>
        <w:tc>
          <w:tcPr>
            <w:tcW w:w="4646" w:type="dxa"/>
            <w:vAlign w:val="center"/>
          </w:tcPr>
          <w:p w:rsidR="006420DA" w:rsidRPr="00605BA1"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 xml:space="preserve">         (+) De operaciones no presupuestarias</w:t>
            </w:r>
          </w:p>
        </w:tc>
        <w:tc>
          <w:tcPr>
            <w:tcW w:w="983" w:type="dxa"/>
            <w:vAlign w:val="center"/>
          </w:tcPr>
          <w:p w:rsidR="006420DA" w:rsidRPr="00605BA1" w:rsidRDefault="004F7B63"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2.155.218</w:t>
            </w:r>
          </w:p>
        </w:tc>
        <w:tc>
          <w:tcPr>
            <w:tcW w:w="1080" w:type="dxa"/>
            <w:vAlign w:val="center"/>
          </w:tcPr>
          <w:p w:rsidR="006420DA" w:rsidRPr="00605BA1" w:rsidRDefault="006420DA"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p>
        </w:tc>
        <w:tc>
          <w:tcPr>
            <w:tcW w:w="1080" w:type="dxa"/>
            <w:vAlign w:val="center"/>
          </w:tcPr>
          <w:p w:rsidR="006420DA" w:rsidRPr="00605BA1" w:rsidRDefault="004F7B63"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2.392.476</w:t>
            </w:r>
          </w:p>
        </w:tc>
        <w:tc>
          <w:tcPr>
            <w:tcW w:w="1383" w:type="dxa"/>
            <w:vAlign w:val="center"/>
          </w:tcPr>
          <w:p w:rsidR="006420DA" w:rsidRPr="00605BA1" w:rsidRDefault="006420DA"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6420DA" w:rsidRPr="00605BA1" w:rsidTr="00E130CE">
        <w:trPr>
          <w:trHeight w:val="284"/>
          <w:jc w:val="center"/>
        </w:trPr>
        <w:tc>
          <w:tcPr>
            <w:tcW w:w="4646" w:type="dxa"/>
            <w:vAlign w:val="center"/>
          </w:tcPr>
          <w:p w:rsidR="006420DA" w:rsidRPr="00605BA1"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 xml:space="preserve">         (+) De operaciones comerciales</w:t>
            </w:r>
          </w:p>
        </w:tc>
        <w:tc>
          <w:tcPr>
            <w:tcW w:w="983" w:type="dxa"/>
            <w:vAlign w:val="center"/>
          </w:tcPr>
          <w:p w:rsidR="006420DA" w:rsidRPr="00605BA1" w:rsidRDefault="006420DA"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p>
        </w:tc>
        <w:tc>
          <w:tcPr>
            <w:tcW w:w="1080" w:type="dxa"/>
            <w:vAlign w:val="center"/>
          </w:tcPr>
          <w:p w:rsidR="006420DA" w:rsidRPr="00605BA1" w:rsidRDefault="006420DA" w:rsidP="00BC4F7A">
            <w:pPr>
              <w:tabs>
                <w:tab w:val="left" w:pos="567"/>
                <w:tab w:val="left" w:pos="1701"/>
              </w:tabs>
              <w:snapToGrid w:val="0"/>
              <w:spacing w:after="0"/>
              <w:ind w:right="60" w:firstLine="0"/>
              <w:jc w:val="right"/>
              <w:rPr>
                <w:rFonts w:ascii="Arial Narrow" w:hAnsi="Arial Narrow"/>
                <w:color w:val="000000"/>
                <w:sz w:val="18"/>
                <w:szCs w:val="18"/>
                <w:lang w:val="es-ES" w:eastAsia="es-ES"/>
              </w:rPr>
            </w:pPr>
          </w:p>
        </w:tc>
        <w:tc>
          <w:tcPr>
            <w:tcW w:w="1080" w:type="dxa"/>
            <w:vAlign w:val="center"/>
          </w:tcPr>
          <w:p w:rsidR="006420DA" w:rsidRPr="00605BA1" w:rsidRDefault="006420DA"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p>
        </w:tc>
        <w:tc>
          <w:tcPr>
            <w:tcW w:w="1383" w:type="dxa"/>
            <w:vAlign w:val="center"/>
          </w:tcPr>
          <w:p w:rsidR="006420DA" w:rsidRPr="00605BA1" w:rsidRDefault="006420DA" w:rsidP="00BC4F7A">
            <w:pPr>
              <w:tabs>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6420DA" w:rsidRPr="00605BA1" w:rsidTr="00E130CE">
        <w:trPr>
          <w:trHeight w:val="284"/>
          <w:jc w:val="center"/>
        </w:trPr>
        <w:tc>
          <w:tcPr>
            <w:tcW w:w="4646" w:type="dxa"/>
            <w:tcBorders>
              <w:bottom w:val="single" w:sz="4" w:space="0" w:color="auto"/>
            </w:tcBorders>
            <w:vAlign w:val="center"/>
          </w:tcPr>
          <w:p w:rsidR="006420DA" w:rsidRPr="00605BA1" w:rsidRDefault="006420DA" w:rsidP="006420DA">
            <w:pPr>
              <w:tabs>
                <w:tab w:val="left" w:pos="142"/>
                <w:tab w:val="left" w:pos="567"/>
                <w:tab w:val="left" w:pos="1134"/>
                <w:tab w:val="left" w:pos="1701"/>
              </w:tabs>
              <w:snapToGrid w:val="0"/>
              <w:spacing w:after="0"/>
              <w:ind w:firstLine="0"/>
              <w:jc w:val="lef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 xml:space="preserve">         (-) Pagos realizados pendientes de aplicación definitiva</w:t>
            </w:r>
          </w:p>
        </w:tc>
        <w:tc>
          <w:tcPr>
            <w:tcW w:w="983" w:type="dxa"/>
            <w:tcBorders>
              <w:bottom w:val="single" w:sz="4" w:space="0" w:color="auto"/>
            </w:tcBorders>
            <w:vAlign w:val="center"/>
          </w:tcPr>
          <w:p w:rsidR="006420DA" w:rsidRPr="00605BA1" w:rsidRDefault="004F7B63" w:rsidP="00BC4F7A">
            <w:pPr>
              <w:tabs>
                <w:tab w:val="left" w:pos="284"/>
                <w:tab w:val="left" w:pos="567"/>
                <w:tab w:val="left" w:pos="1701"/>
              </w:tabs>
              <w:snapToGrid w:val="0"/>
              <w:spacing w:after="0"/>
              <w:ind w:right="60" w:firstLine="0"/>
              <w:jc w:val="righ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0</w:t>
            </w:r>
          </w:p>
        </w:tc>
        <w:tc>
          <w:tcPr>
            <w:tcW w:w="1080" w:type="dxa"/>
            <w:tcBorders>
              <w:bottom w:val="single" w:sz="4" w:space="0" w:color="auto"/>
            </w:tcBorders>
            <w:vAlign w:val="center"/>
          </w:tcPr>
          <w:p w:rsidR="006420DA" w:rsidRPr="00605BA1" w:rsidRDefault="006420DA" w:rsidP="00BC4F7A">
            <w:pPr>
              <w:tabs>
                <w:tab w:val="left" w:pos="284"/>
                <w:tab w:val="left" w:pos="567"/>
                <w:tab w:val="left" w:pos="1701"/>
              </w:tabs>
              <w:snapToGrid w:val="0"/>
              <w:spacing w:after="0"/>
              <w:ind w:right="60" w:firstLine="0"/>
              <w:jc w:val="right"/>
              <w:rPr>
                <w:rFonts w:ascii="Arial Narrow" w:hAnsi="Arial Narrow"/>
                <w:color w:val="000000"/>
                <w:sz w:val="18"/>
                <w:szCs w:val="18"/>
                <w:lang w:val="es-ES" w:eastAsia="es-ES"/>
              </w:rPr>
            </w:pPr>
          </w:p>
        </w:tc>
        <w:tc>
          <w:tcPr>
            <w:tcW w:w="1080" w:type="dxa"/>
            <w:tcBorders>
              <w:bottom w:val="single" w:sz="4" w:space="0" w:color="auto"/>
            </w:tcBorders>
            <w:vAlign w:val="center"/>
          </w:tcPr>
          <w:p w:rsidR="006420DA" w:rsidRPr="00605BA1" w:rsidRDefault="004F7B63" w:rsidP="00BC4F7A">
            <w:pPr>
              <w:tabs>
                <w:tab w:val="left" w:pos="284"/>
                <w:tab w:val="left" w:pos="567"/>
                <w:tab w:val="left" w:pos="1701"/>
              </w:tabs>
              <w:snapToGrid w:val="0"/>
              <w:spacing w:after="0"/>
              <w:ind w:right="36" w:firstLine="0"/>
              <w:jc w:val="righ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73</w:t>
            </w:r>
          </w:p>
        </w:tc>
        <w:tc>
          <w:tcPr>
            <w:tcW w:w="1383" w:type="dxa"/>
            <w:tcBorders>
              <w:bottom w:val="single" w:sz="4" w:space="0" w:color="auto"/>
            </w:tcBorders>
            <w:vAlign w:val="center"/>
          </w:tcPr>
          <w:p w:rsidR="006420DA" w:rsidRPr="00605BA1" w:rsidRDefault="006420DA" w:rsidP="00BC4F7A">
            <w:pPr>
              <w:tabs>
                <w:tab w:val="left" w:pos="284"/>
                <w:tab w:val="left" w:pos="567"/>
                <w:tab w:val="left" w:pos="1701"/>
              </w:tabs>
              <w:snapToGrid w:val="0"/>
              <w:spacing w:after="0"/>
              <w:ind w:right="36" w:firstLine="0"/>
              <w:jc w:val="right"/>
              <w:rPr>
                <w:rFonts w:ascii="Arial Narrow" w:hAnsi="Arial Narrow"/>
                <w:color w:val="000000"/>
                <w:sz w:val="18"/>
                <w:szCs w:val="18"/>
                <w:lang w:val="es-ES" w:eastAsia="es-ES"/>
              </w:rPr>
            </w:pPr>
          </w:p>
        </w:tc>
      </w:tr>
      <w:tr w:rsidR="006420DA" w:rsidRPr="00605BA1" w:rsidTr="00E130CE">
        <w:trPr>
          <w:trHeight w:val="284"/>
          <w:jc w:val="center"/>
        </w:trPr>
        <w:tc>
          <w:tcPr>
            <w:tcW w:w="4646" w:type="dxa"/>
            <w:tcBorders>
              <w:top w:val="single" w:sz="4" w:space="0" w:color="auto"/>
              <w:bottom w:val="single" w:sz="4" w:space="0" w:color="auto"/>
            </w:tcBorders>
            <w:vAlign w:val="center"/>
          </w:tcPr>
          <w:p w:rsidR="006420DA" w:rsidRPr="00605BA1" w:rsidRDefault="006420DA" w:rsidP="006420DA">
            <w:pPr>
              <w:tabs>
                <w:tab w:val="left" w:pos="142"/>
                <w:tab w:val="left" w:pos="567"/>
                <w:tab w:val="left" w:pos="1134"/>
                <w:tab w:val="left" w:pos="1701"/>
              </w:tabs>
              <w:snapToGrid w:val="0"/>
              <w:spacing w:after="0"/>
              <w:ind w:firstLine="0"/>
              <w:jc w:val="lef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 xml:space="preserve">3 (+) Fondos Líquidos </w:t>
            </w:r>
          </w:p>
        </w:tc>
        <w:tc>
          <w:tcPr>
            <w:tcW w:w="983" w:type="dxa"/>
            <w:tcBorders>
              <w:top w:val="single" w:sz="4" w:space="0" w:color="auto"/>
              <w:bottom w:val="single" w:sz="4" w:space="0" w:color="auto"/>
            </w:tcBorders>
            <w:vAlign w:val="center"/>
          </w:tcPr>
          <w:p w:rsidR="006420DA" w:rsidRPr="00605BA1" w:rsidRDefault="006420DA" w:rsidP="00BC4F7A">
            <w:pPr>
              <w:tabs>
                <w:tab w:val="left" w:pos="284"/>
                <w:tab w:val="left" w:pos="567"/>
                <w:tab w:val="left" w:pos="1701"/>
              </w:tabs>
              <w:snapToGrid w:val="0"/>
              <w:spacing w:after="0"/>
              <w:ind w:right="60" w:firstLine="0"/>
              <w:jc w:val="right"/>
              <w:rPr>
                <w:rFonts w:ascii="Arial Narrow" w:hAnsi="Arial Narrow"/>
                <w:color w:val="000000"/>
                <w:sz w:val="18"/>
                <w:szCs w:val="18"/>
                <w:lang w:val="es-ES" w:eastAsia="es-ES"/>
              </w:rPr>
            </w:pPr>
          </w:p>
        </w:tc>
        <w:tc>
          <w:tcPr>
            <w:tcW w:w="1080" w:type="dxa"/>
            <w:tcBorders>
              <w:top w:val="single" w:sz="4" w:space="0" w:color="auto"/>
              <w:bottom w:val="single" w:sz="4" w:space="0" w:color="auto"/>
            </w:tcBorders>
            <w:vAlign w:val="center"/>
          </w:tcPr>
          <w:p w:rsidR="006420DA" w:rsidRPr="00605BA1" w:rsidRDefault="004F7B63" w:rsidP="00DA5F9F">
            <w:pPr>
              <w:tabs>
                <w:tab w:val="left" w:pos="284"/>
                <w:tab w:val="left" w:pos="567"/>
                <w:tab w:val="left" w:pos="1701"/>
              </w:tabs>
              <w:snapToGrid w:val="0"/>
              <w:spacing w:after="0"/>
              <w:ind w:right="-32" w:firstLine="0"/>
              <w:jc w:val="righ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15.960.506</w:t>
            </w:r>
          </w:p>
        </w:tc>
        <w:tc>
          <w:tcPr>
            <w:tcW w:w="1080" w:type="dxa"/>
            <w:tcBorders>
              <w:top w:val="single" w:sz="4" w:space="0" w:color="auto"/>
              <w:bottom w:val="single" w:sz="4" w:space="0" w:color="auto"/>
            </w:tcBorders>
            <w:vAlign w:val="center"/>
          </w:tcPr>
          <w:p w:rsidR="006420DA" w:rsidRPr="00605BA1" w:rsidRDefault="006420DA" w:rsidP="00BC4F7A">
            <w:pPr>
              <w:tabs>
                <w:tab w:val="left" w:pos="284"/>
                <w:tab w:val="left" w:pos="567"/>
                <w:tab w:val="left" w:pos="1701"/>
              </w:tabs>
              <w:snapToGrid w:val="0"/>
              <w:spacing w:after="0"/>
              <w:ind w:right="36" w:firstLine="0"/>
              <w:jc w:val="right"/>
              <w:rPr>
                <w:rFonts w:ascii="Arial Narrow" w:hAnsi="Arial Narrow"/>
                <w:color w:val="000000"/>
                <w:sz w:val="18"/>
                <w:szCs w:val="18"/>
                <w:lang w:val="es-ES" w:eastAsia="es-ES"/>
              </w:rPr>
            </w:pPr>
          </w:p>
        </w:tc>
        <w:tc>
          <w:tcPr>
            <w:tcW w:w="1383" w:type="dxa"/>
            <w:tcBorders>
              <w:top w:val="single" w:sz="4" w:space="0" w:color="auto"/>
              <w:bottom w:val="single" w:sz="4" w:space="0" w:color="auto"/>
            </w:tcBorders>
            <w:vAlign w:val="center"/>
          </w:tcPr>
          <w:p w:rsidR="006420DA" w:rsidRPr="00605BA1" w:rsidRDefault="004F7B63" w:rsidP="00DA5F9F">
            <w:pPr>
              <w:tabs>
                <w:tab w:val="left" w:pos="284"/>
                <w:tab w:val="left" w:pos="567"/>
                <w:tab w:val="left" w:pos="1701"/>
              </w:tabs>
              <w:snapToGrid w:val="0"/>
              <w:spacing w:after="0"/>
              <w:ind w:right="21" w:firstLine="0"/>
              <w:jc w:val="right"/>
              <w:rPr>
                <w:rFonts w:ascii="Arial Narrow" w:hAnsi="Arial Narrow"/>
                <w:color w:val="000000"/>
                <w:sz w:val="18"/>
                <w:szCs w:val="18"/>
                <w:lang w:val="es-ES" w:eastAsia="es-ES"/>
              </w:rPr>
            </w:pPr>
            <w:r w:rsidRPr="00605BA1">
              <w:rPr>
                <w:rFonts w:ascii="Arial Narrow" w:hAnsi="Arial Narrow"/>
                <w:color w:val="000000"/>
                <w:sz w:val="18"/>
                <w:szCs w:val="18"/>
                <w:lang w:val="es-ES" w:eastAsia="es-ES"/>
              </w:rPr>
              <w:t>14.716.857</w:t>
            </w:r>
          </w:p>
        </w:tc>
      </w:tr>
      <w:tr w:rsidR="006420DA" w:rsidRPr="00605BA1" w:rsidTr="001B4AEA">
        <w:trPr>
          <w:trHeight w:val="284"/>
          <w:jc w:val="center"/>
        </w:trPr>
        <w:tc>
          <w:tcPr>
            <w:tcW w:w="4646" w:type="dxa"/>
            <w:tcBorders>
              <w:top w:val="single" w:sz="4" w:space="0" w:color="auto"/>
              <w:left w:val="nil"/>
              <w:bottom w:val="single" w:sz="4" w:space="0" w:color="auto"/>
              <w:right w:val="nil"/>
            </w:tcBorders>
            <w:shd w:val="clear" w:color="auto" w:fill="A0C3E3" w:themeFill="accent1" w:themeFillTint="99"/>
            <w:vAlign w:val="center"/>
          </w:tcPr>
          <w:p w:rsidR="006420DA" w:rsidRPr="00605BA1" w:rsidRDefault="006420DA" w:rsidP="008E7D7B">
            <w:pPr>
              <w:spacing w:after="0"/>
              <w:ind w:firstLine="0"/>
              <w:jc w:val="lef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I.  Remanente de Tesorería Total (1-2+3)</w:t>
            </w:r>
          </w:p>
        </w:tc>
        <w:tc>
          <w:tcPr>
            <w:tcW w:w="983" w:type="dxa"/>
            <w:tcBorders>
              <w:top w:val="single" w:sz="4" w:space="0" w:color="auto"/>
              <w:left w:val="nil"/>
              <w:bottom w:val="single" w:sz="4" w:space="0" w:color="auto"/>
              <w:right w:val="nil"/>
            </w:tcBorders>
            <w:shd w:val="clear" w:color="auto" w:fill="A0C3E3" w:themeFill="accent1" w:themeFillTint="99"/>
            <w:vAlign w:val="center"/>
          </w:tcPr>
          <w:p w:rsidR="006420DA" w:rsidRPr="00605BA1" w:rsidRDefault="006420DA" w:rsidP="00BC4F7A">
            <w:pPr>
              <w:tabs>
                <w:tab w:val="left" w:pos="567"/>
                <w:tab w:val="left" w:pos="1701"/>
              </w:tabs>
              <w:snapToGrid w:val="0"/>
              <w:spacing w:beforeLines="30" w:before="72" w:after="0"/>
              <w:ind w:right="60" w:firstLine="0"/>
              <w:jc w:val="right"/>
              <w:rPr>
                <w:rFonts w:ascii="Arial Narrow" w:hAnsi="Arial Narrow"/>
                <w:sz w:val="18"/>
                <w:szCs w:val="18"/>
                <w:lang w:val="es-ES" w:eastAsia="es-ES"/>
              </w:rPr>
            </w:pPr>
          </w:p>
        </w:tc>
        <w:tc>
          <w:tcPr>
            <w:tcW w:w="1080" w:type="dxa"/>
            <w:tcBorders>
              <w:top w:val="single" w:sz="4" w:space="0" w:color="auto"/>
              <w:left w:val="nil"/>
              <w:bottom w:val="single" w:sz="4" w:space="0" w:color="auto"/>
              <w:right w:val="nil"/>
            </w:tcBorders>
            <w:shd w:val="clear" w:color="auto" w:fill="A0C3E3" w:themeFill="accent1" w:themeFillTint="99"/>
            <w:vAlign w:val="center"/>
          </w:tcPr>
          <w:p w:rsidR="006420DA" w:rsidRPr="00605BA1" w:rsidRDefault="004F7B63" w:rsidP="00DA5F9F">
            <w:pPr>
              <w:spacing w:after="0"/>
              <w:ind w:right="-32" w:firstLine="0"/>
              <w:jc w:val="right"/>
              <w:rPr>
                <w:rFonts w:ascii="Arial Narrow" w:hAnsi="Arial Narrow" w:cs="Arial"/>
                <w:bCs/>
                <w:sz w:val="18"/>
                <w:szCs w:val="18"/>
                <w:lang w:val="es-ES" w:eastAsia="es-ES"/>
              </w:rPr>
            </w:pPr>
            <w:r w:rsidRPr="00605BA1">
              <w:rPr>
                <w:rFonts w:ascii="Arial Narrow" w:hAnsi="Arial Narrow" w:cs="Arial"/>
                <w:bCs/>
                <w:sz w:val="18"/>
                <w:szCs w:val="18"/>
                <w:lang w:val="es-ES" w:eastAsia="es-ES"/>
              </w:rPr>
              <w:t>12.453.845</w:t>
            </w:r>
          </w:p>
        </w:tc>
        <w:tc>
          <w:tcPr>
            <w:tcW w:w="1080" w:type="dxa"/>
            <w:tcBorders>
              <w:top w:val="single" w:sz="4" w:space="0" w:color="auto"/>
              <w:left w:val="nil"/>
              <w:bottom w:val="single" w:sz="4" w:space="0" w:color="auto"/>
              <w:right w:val="nil"/>
            </w:tcBorders>
            <w:shd w:val="clear" w:color="auto" w:fill="A0C3E3" w:themeFill="accent1" w:themeFillTint="99"/>
            <w:vAlign w:val="center"/>
          </w:tcPr>
          <w:p w:rsidR="006420DA" w:rsidRPr="00605BA1" w:rsidRDefault="006420DA" w:rsidP="008E7D7B">
            <w:pPr>
              <w:spacing w:after="0"/>
              <w:ind w:firstLine="0"/>
              <w:jc w:val="right"/>
              <w:rPr>
                <w:rFonts w:ascii="Arial Narrow" w:hAnsi="Arial Narrow" w:cs="Arial"/>
                <w:bCs/>
                <w:sz w:val="18"/>
                <w:szCs w:val="18"/>
                <w:lang w:val="es-ES" w:eastAsia="es-ES"/>
              </w:rPr>
            </w:pPr>
          </w:p>
        </w:tc>
        <w:tc>
          <w:tcPr>
            <w:tcW w:w="1383" w:type="dxa"/>
            <w:tcBorders>
              <w:top w:val="single" w:sz="4" w:space="0" w:color="auto"/>
              <w:left w:val="nil"/>
              <w:bottom w:val="single" w:sz="4" w:space="0" w:color="auto"/>
              <w:right w:val="nil"/>
            </w:tcBorders>
            <w:shd w:val="clear" w:color="auto" w:fill="A0C3E3" w:themeFill="accent1" w:themeFillTint="99"/>
            <w:vAlign w:val="center"/>
          </w:tcPr>
          <w:p w:rsidR="006420DA" w:rsidRPr="00605BA1" w:rsidRDefault="004F7B63" w:rsidP="00DA5F9F">
            <w:pPr>
              <w:spacing w:after="0"/>
              <w:ind w:right="21" w:firstLine="0"/>
              <w:jc w:val="right"/>
              <w:rPr>
                <w:rFonts w:ascii="Arial Narrow" w:hAnsi="Arial Narrow" w:cs="Arial"/>
                <w:bCs/>
                <w:sz w:val="18"/>
                <w:szCs w:val="18"/>
                <w:lang w:val="es-ES" w:eastAsia="es-ES"/>
              </w:rPr>
            </w:pPr>
            <w:r w:rsidRPr="00605BA1">
              <w:rPr>
                <w:rFonts w:ascii="Arial Narrow" w:hAnsi="Arial Narrow" w:cs="Arial"/>
                <w:bCs/>
                <w:sz w:val="18"/>
                <w:szCs w:val="18"/>
                <w:lang w:val="es-ES" w:eastAsia="es-ES"/>
              </w:rPr>
              <w:t>10.863.210</w:t>
            </w:r>
          </w:p>
        </w:tc>
      </w:tr>
      <w:tr w:rsidR="006420DA" w:rsidRPr="00605BA1" w:rsidTr="001B4AEA">
        <w:trPr>
          <w:trHeight w:val="284"/>
          <w:jc w:val="center"/>
        </w:trPr>
        <w:tc>
          <w:tcPr>
            <w:tcW w:w="4646" w:type="dxa"/>
            <w:tcBorders>
              <w:top w:val="single" w:sz="4" w:space="0" w:color="auto"/>
              <w:left w:val="nil"/>
              <w:bottom w:val="single" w:sz="4" w:space="0" w:color="auto"/>
              <w:right w:val="nil"/>
            </w:tcBorders>
            <w:shd w:val="clear" w:color="auto" w:fill="A0C3E3" w:themeFill="accent1" w:themeFillTint="99"/>
            <w:vAlign w:val="center"/>
          </w:tcPr>
          <w:p w:rsidR="006420DA" w:rsidRPr="00605BA1" w:rsidRDefault="006420DA" w:rsidP="008E7D7B">
            <w:pPr>
              <w:spacing w:after="0"/>
              <w:ind w:firstLine="0"/>
              <w:jc w:val="lef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 xml:space="preserve">II. Remanente de </w:t>
            </w:r>
            <w:r w:rsidR="008E7D7B" w:rsidRPr="00605BA1">
              <w:rPr>
                <w:rFonts w:ascii="Arial Narrow" w:hAnsi="Arial Narrow" w:cs="Arial"/>
                <w:bCs/>
                <w:color w:val="000000"/>
                <w:sz w:val="18"/>
                <w:szCs w:val="18"/>
                <w:lang w:val="es-ES" w:eastAsia="es-ES"/>
              </w:rPr>
              <w:t>T</w:t>
            </w:r>
            <w:r w:rsidRPr="00605BA1">
              <w:rPr>
                <w:rFonts w:ascii="Arial Narrow" w:hAnsi="Arial Narrow" w:cs="Arial"/>
                <w:bCs/>
                <w:color w:val="000000"/>
                <w:sz w:val="18"/>
                <w:szCs w:val="18"/>
                <w:lang w:val="es-ES" w:eastAsia="es-ES"/>
              </w:rPr>
              <w:t>esorería afectado</w:t>
            </w:r>
          </w:p>
        </w:tc>
        <w:tc>
          <w:tcPr>
            <w:tcW w:w="983" w:type="dxa"/>
            <w:tcBorders>
              <w:top w:val="single" w:sz="4" w:space="0" w:color="auto"/>
              <w:left w:val="nil"/>
              <w:bottom w:val="single" w:sz="4" w:space="0" w:color="auto"/>
              <w:right w:val="nil"/>
            </w:tcBorders>
            <w:shd w:val="clear" w:color="auto" w:fill="A0C3E3" w:themeFill="accent1" w:themeFillTint="99"/>
            <w:vAlign w:val="center"/>
          </w:tcPr>
          <w:p w:rsidR="006420DA" w:rsidRPr="00605BA1" w:rsidRDefault="006420DA" w:rsidP="00BC4F7A">
            <w:pPr>
              <w:tabs>
                <w:tab w:val="left" w:pos="426"/>
                <w:tab w:val="left" w:pos="567"/>
                <w:tab w:val="left" w:pos="1701"/>
              </w:tabs>
              <w:snapToGrid w:val="0"/>
              <w:spacing w:beforeLines="30" w:before="72" w:after="0"/>
              <w:ind w:right="60" w:firstLine="0"/>
              <w:jc w:val="right"/>
              <w:rPr>
                <w:rFonts w:ascii="Arial Narrow" w:hAnsi="Arial Narrow"/>
                <w:color w:val="000000"/>
                <w:sz w:val="18"/>
                <w:szCs w:val="18"/>
                <w:lang w:val="es-ES" w:eastAsia="es-ES"/>
              </w:rPr>
            </w:pPr>
          </w:p>
        </w:tc>
        <w:tc>
          <w:tcPr>
            <w:tcW w:w="1080" w:type="dxa"/>
            <w:tcBorders>
              <w:top w:val="single" w:sz="4" w:space="0" w:color="auto"/>
              <w:left w:val="nil"/>
              <w:bottom w:val="single" w:sz="4" w:space="0" w:color="auto"/>
              <w:right w:val="nil"/>
            </w:tcBorders>
            <w:shd w:val="clear" w:color="auto" w:fill="A0C3E3" w:themeFill="accent1" w:themeFillTint="99"/>
            <w:vAlign w:val="center"/>
          </w:tcPr>
          <w:p w:rsidR="006420DA" w:rsidRPr="00605BA1" w:rsidRDefault="004F7B63" w:rsidP="00DA5F9F">
            <w:pPr>
              <w:spacing w:after="0"/>
              <w:ind w:right="-32" w:firstLine="0"/>
              <w:jc w:val="right"/>
              <w:rPr>
                <w:rFonts w:ascii="Arial Narrow" w:hAnsi="Arial Narrow" w:cs="Arial"/>
                <w:bCs/>
                <w:sz w:val="18"/>
                <w:szCs w:val="18"/>
                <w:lang w:val="es-ES" w:eastAsia="es-ES"/>
              </w:rPr>
            </w:pPr>
            <w:r w:rsidRPr="00605BA1">
              <w:rPr>
                <w:rFonts w:ascii="Arial Narrow" w:hAnsi="Arial Narrow" w:cs="Arial"/>
                <w:bCs/>
                <w:sz w:val="18"/>
                <w:szCs w:val="18"/>
                <w:lang w:val="es-ES" w:eastAsia="es-ES"/>
              </w:rPr>
              <w:t>6.502.915</w:t>
            </w:r>
          </w:p>
        </w:tc>
        <w:tc>
          <w:tcPr>
            <w:tcW w:w="1080" w:type="dxa"/>
            <w:tcBorders>
              <w:top w:val="single" w:sz="4" w:space="0" w:color="auto"/>
              <w:left w:val="nil"/>
              <w:bottom w:val="single" w:sz="4" w:space="0" w:color="auto"/>
              <w:right w:val="nil"/>
            </w:tcBorders>
            <w:shd w:val="clear" w:color="auto" w:fill="A0C3E3" w:themeFill="accent1" w:themeFillTint="99"/>
            <w:vAlign w:val="center"/>
          </w:tcPr>
          <w:p w:rsidR="006420DA" w:rsidRPr="00605BA1" w:rsidRDefault="006420DA" w:rsidP="008E7D7B">
            <w:pPr>
              <w:spacing w:after="0"/>
              <w:ind w:firstLine="0"/>
              <w:jc w:val="right"/>
              <w:rPr>
                <w:rFonts w:ascii="Arial Narrow" w:hAnsi="Arial Narrow" w:cs="Arial"/>
                <w:bCs/>
                <w:sz w:val="18"/>
                <w:szCs w:val="18"/>
                <w:lang w:val="es-ES" w:eastAsia="es-ES"/>
              </w:rPr>
            </w:pPr>
          </w:p>
        </w:tc>
        <w:tc>
          <w:tcPr>
            <w:tcW w:w="1383" w:type="dxa"/>
            <w:tcBorders>
              <w:top w:val="single" w:sz="4" w:space="0" w:color="auto"/>
              <w:left w:val="nil"/>
              <w:bottom w:val="single" w:sz="4" w:space="0" w:color="auto"/>
              <w:right w:val="nil"/>
            </w:tcBorders>
            <w:shd w:val="clear" w:color="auto" w:fill="A0C3E3" w:themeFill="accent1" w:themeFillTint="99"/>
            <w:vAlign w:val="center"/>
          </w:tcPr>
          <w:p w:rsidR="006420DA" w:rsidRPr="00605BA1" w:rsidRDefault="004F7B63" w:rsidP="00DA5F9F">
            <w:pPr>
              <w:spacing w:after="0"/>
              <w:ind w:right="21" w:firstLine="0"/>
              <w:jc w:val="right"/>
              <w:rPr>
                <w:rFonts w:ascii="Arial Narrow" w:hAnsi="Arial Narrow" w:cs="Arial"/>
                <w:bCs/>
                <w:sz w:val="18"/>
                <w:szCs w:val="18"/>
                <w:lang w:val="es-ES" w:eastAsia="es-ES"/>
              </w:rPr>
            </w:pPr>
            <w:r w:rsidRPr="00605BA1">
              <w:rPr>
                <w:rFonts w:ascii="Arial Narrow" w:hAnsi="Arial Narrow" w:cs="Arial"/>
                <w:bCs/>
                <w:sz w:val="18"/>
                <w:szCs w:val="18"/>
                <w:lang w:val="es-ES" w:eastAsia="es-ES"/>
              </w:rPr>
              <w:t>6.457.990</w:t>
            </w:r>
          </w:p>
        </w:tc>
      </w:tr>
      <w:tr w:rsidR="006420DA" w:rsidRPr="00605BA1" w:rsidTr="001B4AEA">
        <w:trPr>
          <w:trHeight w:val="284"/>
          <w:jc w:val="center"/>
        </w:trPr>
        <w:tc>
          <w:tcPr>
            <w:tcW w:w="4646" w:type="dxa"/>
            <w:tcBorders>
              <w:top w:val="single" w:sz="4" w:space="0" w:color="auto"/>
              <w:left w:val="nil"/>
              <w:bottom w:val="single" w:sz="4" w:space="0" w:color="auto"/>
              <w:right w:val="nil"/>
            </w:tcBorders>
            <w:shd w:val="clear" w:color="auto" w:fill="A0C3E3" w:themeFill="accent1" w:themeFillTint="99"/>
            <w:vAlign w:val="center"/>
          </w:tcPr>
          <w:p w:rsidR="006420DA" w:rsidRPr="00605BA1" w:rsidRDefault="006420DA" w:rsidP="008E7D7B">
            <w:pPr>
              <w:spacing w:after="0"/>
              <w:ind w:firstLine="0"/>
              <w:jc w:val="left"/>
              <w:rPr>
                <w:rFonts w:ascii="Arial Narrow" w:hAnsi="Arial Narrow" w:cs="Arial"/>
                <w:bCs/>
                <w:color w:val="000000"/>
                <w:sz w:val="18"/>
                <w:szCs w:val="18"/>
                <w:lang w:val="es-ES" w:eastAsia="es-ES"/>
              </w:rPr>
            </w:pPr>
            <w:r w:rsidRPr="00605BA1">
              <w:rPr>
                <w:rFonts w:ascii="Arial Narrow" w:hAnsi="Arial Narrow" w:cs="Arial"/>
                <w:bCs/>
                <w:color w:val="000000"/>
                <w:sz w:val="18"/>
                <w:szCs w:val="18"/>
                <w:lang w:val="es-ES" w:eastAsia="es-ES"/>
              </w:rPr>
              <w:t xml:space="preserve">III. Remanente de </w:t>
            </w:r>
            <w:r w:rsidR="008E7D7B" w:rsidRPr="00605BA1">
              <w:rPr>
                <w:rFonts w:ascii="Arial Narrow" w:hAnsi="Arial Narrow" w:cs="Arial"/>
                <w:bCs/>
                <w:color w:val="000000"/>
                <w:sz w:val="18"/>
                <w:szCs w:val="18"/>
                <w:lang w:val="es-ES" w:eastAsia="es-ES"/>
              </w:rPr>
              <w:t>T</w:t>
            </w:r>
            <w:r w:rsidRPr="00605BA1">
              <w:rPr>
                <w:rFonts w:ascii="Arial Narrow" w:hAnsi="Arial Narrow" w:cs="Arial"/>
                <w:bCs/>
                <w:color w:val="000000"/>
                <w:sz w:val="18"/>
                <w:szCs w:val="18"/>
                <w:lang w:val="es-ES" w:eastAsia="es-ES"/>
              </w:rPr>
              <w:t>esorería no afectado (I-II)</w:t>
            </w:r>
          </w:p>
        </w:tc>
        <w:tc>
          <w:tcPr>
            <w:tcW w:w="983" w:type="dxa"/>
            <w:tcBorders>
              <w:top w:val="single" w:sz="4" w:space="0" w:color="auto"/>
              <w:left w:val="nil"/>
              <w:bottom w:val="single" w:sz="4" w:space="0" w:color="auto"/>
              <w:right w:val="nil"/>
            </w:tcBorders>
            <w:shd w:val="clear" w:color="auto" w:fill="A0C3E3" w:themeFill="accent1" w:themeFillTint="99"/>
            <w:vAlign w:val="center"/>
          </w:tcPr>
          <w:p w:rsidR="006420DA" w:rsidRPr="00605BA1" w:rsidRDefault="006420DA" w:rsidP="00BC4F7A">
            <w:pPr>
              <w:tabs>
                <w:tab w:val="left" w:pos="426"/>
                <w:tab w:val="left" w:pos="567"/>
                <w:tab w:val="left" w:pos="1701"/>
              </w:tabs>
              <w:snapToGrid w:val="0"/>
              <w:spacing w:beforeLines="30" w:before="72" w:after="0"/>
              <w:ind w:right="60" w:firstLine="0"/>
              <w:jc w:val="right"/>
              <w:rPr>
                <w:rFonts w:ascii="Arial Narrow" w:hAnsi="Arial Narrow"/>
                <w:color w:val="000000"/>
                <w:sz w:val="18"/>
                <w:szCs w:val="18"/>
                <w:lang w:val="es-ES" w:eastAsia="es-ES"/>
              </w:rPr>
            </w:pPr>
          </w:p>
        </w:tc>
        <w:tc>
          <w:tcPr>
            <w:tcW w:w="1080" w:type="dxa"/>
            <w:tcBorders>
              <w:top w:val="single" w:sz="4" w:space="0" w:color="auto"/>
              <w:left w:val="nil"/>
              <w:bottom w:val="single" w:sz="4" w:space="0" w:color="auto"/>
              <w:right w:val="nil"/>
            </w:tcBorders>
            <w:shd w:val="clear" w:color="auto" w:fill="A0C3E3" w:themeFill="accent1" w:themeFillTint="99"/>
            <w:vAlign w:val="center"/>
          </w:tcPr>
          <w:p w:rsidR="006420DA" w:rsidRPr="00605BA1" w:rsidRDefault="004F7B63" w:rsidP="00DA5F9F">
            <w:pPr>
              <w:spacing w:after="0"/>
              <w:ind w:right="-32" w:firstLine="0"/>
              <w:jc w:val="right"/>
              <w:rPr>
                <w:rFonts w:ascii="Arial Narrow" w:hAnsi="Arial Narrow" w:cs="Arial"/>
                <w:bCs/>
                <w:sz w:val="18"/>
                <w:szCs w:val="18"/>
                <w:lang w:val="es-ES" w:eastAsia="es-ES"/>
              </w:rPr>
            </w:pPr>
            <w:r w:rsidRPr="00605BA1">
              <w:rPr>
                <w:rFonts w:ascii="Arial Narrow" w:hAnsi="Arial Narrow" w:cs="Arial"/>
                <w:bCs/>
                <w:sz w:val="18"/>
                <w:szCs w:val="18"/>
                <w:lang w:val="es-ES" w:eastAsia="es-ES"/>
              </w:rPr>
              <w:t>5.950.930</w:t>
            </w:r>
          </w:p>
        </w:tc>
        <w:tc>
          <w:tcPr>
            <w:tcW w:w="1080" w:type="dxa"/>
            <w:tcBorders>
              <w:top w:val="single" w:sz="4" w:space="0" w:color="auto"/>
              <w:left w:val="nil"/>
              <w:bottom w:val="single" w:sz="4" w:space="0" w:color="auto"/>
              <w:right w:val="nil"/>
            </w:tcBorders>
            <w:shd w:val="clear" w:color="auto" w:fill="A0C3E3" w:themeFill="accent1" w:themeFillTint="99"/>
            <w:vAlign w:val="center"/>
          </w:tcPr>
          <w:p w:rsidR="006420DA" w:rsidRPr="00605BA1" w:rsidRDefault="006420DA" w:rsidP="008E7D7B">
            <w:pPr>
              <w:spacing w:after="0"/>
              <w:ind w:firstLine="0"/>
              <w:jc w:val="right"/>
              <w:rPr>
                <w:rFonts w:ascii="Arial Narrow" w:hAnsi="Arial Narrow" w:cs="Arial"/>
                <w:bCs/>
                <w:sz w:val="18"/>
                <w:szCs w:val="18"/>
                <w:lang w:val="es-ES" w:eastAsia="es-ES"/>
              </w:rPr>
            </w:pPr>
          </w:p>
        </w:tc>
        <w:tc>
          <w:tcPr>
            <w:tcW w:w="1383" w:type="dxa"/>
            <w:tcBorders>
              <w:top w:val="single" w:sz="4" w:space="0" w:color="auto"/>
              <w:left w:val="nil"/>
              <w:bottom w:val="single" w:sz="4" w:space="0" w:color="auto"/>
              <w:right w:val="nil"/>
            </w:tcBorders>
            <w:shd w:val="clear" w:color="auto" w:fill="A0C3E3" w:themeFill="accent1" w:themeFillTint="99"/>
            <w:vAlign w:val="center"/>
          </w:tcPr>
          <w:p w:rsidR="006420DA" w:rsidRPr="00605BA1" w:rsidRDefault="004F7B63" w:rsidP="00DA5F9F">
            <w:pPr>
              <w:spacing w:after="0"/>
              <w:ind w:right="21" w:firstLine="0"/>
              <w:jc w:val="right"/>
              <w:rPr>
                <w:rFonts w:ascii="Arial Narrow" w:hAnsi="Arial Narrow" w:cs="Arial"/>
                <w:bCs/>
                <w:sz w:val="18"/>
                <w:szCs w:val="18"/>
                <w:lang w:val="es-ES" w:eastAsia="es-ES"/>
              </w:rPr>
            </w:pPr>
            <w:r w:rsidRPr="00605BA1">
              <w:rPr>
                <w:rFonts w:ascii="Arial Narrow" w:hAnsi="Arial Narrow" w:cs="Arial"/>
                <w:bCs/>
                <w:sz w:val="18"/>
                <w:szCs w:val="18"/>
                <w:lang w:val="es-ES" w:eastAsia="es-ES"/>
              </w:rPr>
              <w:t>4.405.22</w:t>
            </w:r>
            <w:r w:rsidR="00C34628" w:rsidRPr="00605BA1">
              <w:rPr>
                <w:rFonts w:ascii="Arial Narrow" w:hAnsi="Arial Narrow" w:cs="Arial"/>
                <w:bCs/>
                <w:sz w:val="18"/>
                <w:szCs w:val="18"/>
                <w:lang w:val="es-ES" w:eastAsia="es-ES"/>
              </w:rPr>
              <w:t>0</w:t>
            </w:r>
          </w:p>
        </w:tc>
      </w:tr>
    </w:tbl>
    <w:p w:rsidR="001B1C8E" w:rsidRDefault="001B1C8E" w:rsidP="006420DA">
      <w:pPr>
        <w:pStyle w:val="atitulo2"/>
        <w:spacing w:before="240"/>
      </w:pPr>
    </w:p>
    <w:p w:rsidR="001B1C8E" w:rsidRDefault="001B1C8E">
      <w:pPr>
        <w:spacing w:after="0"/>
        <w:ind w:firstLine="0"/>
        <w:jc w:val="left"/>
        <w:rPr>
          <w:rFonts w:ascii="Arial" w:hAnsi="Arial"/>
          <w:bCs/>
          <w:iCs/>
          <w:color w:val="000000"/>
          <w:spacing w:val="10"/>
          <w:kern w:val="28"/>
          <w:sz w:val="25"/>
          <w:szCs w:val="26"/>
        </w:rPr>
      </w:pPr>
      <w:r>
        <w:br w:type="page"/>
      </w:r>
    </w:p>
    <w:p w:rsidR="006420DA" w:rsidRPr="00730AE6" w:rsidRDefault="006830EB" w:rsidP="006420DA">
      <w:pPr>
        <w:pStyle w:val="atitulo2"/>
        <w:spacing w:before="240"/>
        <w:rPr>
          <w:rFonts w:cs="Arial"/>
          <w:lang w:eastAsia="es-ES"/>
        </w:rPr>
      </w:pPr>
      <w:bookmarkStart w:id="27" w:name="_Toc3967020"/>
      <w:r>
        <w:lastRenderedPageBreak/>
        <w:t>V</w:t>
      </w:r>
      <w:r w:rsidR="004642AE" w:rsidRPr="00730AE6">
        <w:t xml:space="preserve">.4. Balance </w:t>
      </w:r>
      <w:r w:rsidR="006420DA" w:rsidRPr="00730AE6">
        <w:t>a 31 de diciembre de 201</w:t>
      </w:r>
      <w:r w:rsidR="00AA0208" w:rsidRPr="00730AE6">
        <w:t>7</w:t>
      </w:r>
      <w:bookmarkEnd w:id="27"/>
    </w:p>
    <w:tbl>
      <w:tblPr>
        <w:tblW w:w="9550" w:type="dxa"/>
        <w:jc w:val="center"/>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2835"/>
        <w:gridCol w:w="1030"/>
        <w:gridCol w:w="1030"/>
        <w:gridCol w:w="2529"/>
        <w:gridCol w:w="1070"/>
        <w:gridCol w:w="1056"/>
      </w:tblGrid>
      <w:tr w:rsidR="006420DA" w:rsidRPr="00317F02" w:rsidTr="001B4AEA">
        <w:trPr>
          <w:trHeight w:val="284"/>
          <w:jc w:val="center"/>
        </w:trPr>
        <w:tc>
          <w:tcPr>
            <w:tcW w:w="2835" w:type="dxa"/>
            <w:shd w:val="clear" w:color="auto" w:fill="A0C3E3" w:themeFill="accent1" w:themeFillTint="99"/>
            <w:noWrap/>
            <w:vAlign w:val="center"/>
          </w:tcPr>
          <w:p w:rsidR="006420DA" w:rsidRPr="00317F02" w:rsidRDefault="006420DA" w:rsidP="006420DA">
            <w:pPr>
              <w:spacing w:after="0"/>
              <w:ind w:firstLine="0"/>
              <w:jc w:val="left"/>
              <w:rPr>
                <w:rFonts w:ascii="Arial" w:hAnsi="Arial" w:cs="Arial"/>
                <w:bCs/>
                <w:color w:val="000000"/>
                <w:sz w:val="18"/>
                <w:szCs w:val="18"/>
                <w:lang w:val="es-ES" w:eastAsia="es-ES"/>
              </w:rPr>
            </w:pPr>
            <w:r w:rsidRPr="00317F02">
              <w:rPr>
                <w:rFonts w:ascii="Arial" w:hAnsi="Arial" w:cs="Arial"/>
                <w:bCs/>
                <w:color w:val="000000"/>
                <w:sz w:val="18"/>
                <w:szCs w:val="18"/>
                <w:lang w:val="es-ES" w:eastAsia="es-ES"/>
              </w:rPr>
              <w:t>ACTIVO</w:t>
            </w:r>
          </w:p>
        </w:tc>
        <w:tc>
          <w:tcPr>
            <w:tcW w:w="1030" w:type="dxa"/>
            <w:shd w:val="clear" w:color="auto" w:fill="A0C3E3" w:themeFill="accent1" w:themeFillTint="99"/>
            <w:noWrap/>
            <w:vAlign w:val="center"/>
          </w:tcPr>
          <w:p w:rsidR="006420DA" w:rsidRPr="00317F02" w:rsidRDefault="004642AE" w:rsidP="006420DA">
            <w:pPr>
              <w:spacing w:after="0"/>
              <w:ind w:firstLine="0"/>
              <w:jc w:val="right"/>
              <w:rPr>
                <w:rFonts w:ascii="Arial" w:hAnsi="Arial" w:cs="Arial"/>
                <w:bCs/>
                <w:color w:val="000000"/>
                <w:sz w:val="18"/>
                <w:szCs w:val="18"/>
                <w:lang w:val="es-ES" w:eastAsia="es-ES"/>
              </w:rPr>
            </w:pPr>
            <w:r w:rsidRPr="00317F02">
              <w:rPr>
                <w:rFonts w:ascii="Arial" w:hAnsi="Arial" w:cs="Arial"/>
                <w:bCs/>
                <w:color w:val="000000"/>
                <w:sz w:val="18"/>
                <w:szCs w:val="18"/>
                <w:lang w:val="es-ES" w:eastAsia="es-ES"/>
              </w:rPr>
              <w:t>2016</w:t>
            </w:r>
          </w:p>
        </w:tc>
        <w:tc>
          <w:tcPr>
            <w:tcW w:w="1030" w:type="dxa"/>
            <w:tcBorders>
              <w:right w:val="single" w:sz="4" w:space="0" w:color="auto"/>
            </w:tcBorders>
            <w:shd w:val="clear" w:color="auto" w:fill="A0C3E3" w:themeFill="accent1" w:themeFillTint="99"/>
            <w:noWrap/>
            <w:vAlign w:val="center"/>
          </w:tcPr>
          <w:p w:rsidR="006420DA" w:rsidRPr="00317F02" w:rsidRDefault="004642AE" w:rsidP="006420DA">
            <w:pPr>
              <w:spacing w:after="0"/>
              <w:ind w:firstLine="0"/>
              <w:jc w:val="right"/>
              <w:rPr>
                <w:rFonts w:ascii="Arial" w:hAnsi="Arial" w:cs="Arial"/>
                <w:bCs/>
                <w:color w:val="000000"/>
                <w:sz w:val="18"/>
                <w:szCs w:val="18"/>
                <w:lang w:val="es-ES" w:eastAsia="es-ES"/>
              </w:rPr>
            </w:pPr>
            <w:r w:rsidRPr="00317F02">
              <w:rPr>
                <w:rFonts w:ascii="Arial" w:hAnsi="Arial" w:cs="Arial"/>
                <w:bCs/>
                <w:color w:val="000000"/>
                <w:sz w:val="18"/>
                <w:szCs w:val="18"/>
                <w:lang w:val="es-ES" w:eastAsia="es-ES"/>
              </w:rPr>
              <w:t>2017</w:t>
            </w:r>
          </w:p>
        </w:tc>
        <w:tc>
          <w:tcPr>
            <w:tcW w:w="2529" w:type="dxa"/>
            <w:tcBorders>
              <w:left w:val="single" w:sz="4" w:space="0" w:color="auto"/>
            </w:tcBorders>
            <w:shd w:val="clear" w:color="auto" w:fill="A0C3E3" w:themeFill="accent1" w:themeFillTint="99"/>
            <w:vAlign w:val="center"/>
          </w:tcPr>
          <w:p w:rsidR="006420DA" w:rsidRPr="00317F02" w:rsidRDefault="006420DA" w:rsidP="006420DA">
            <w:pPr>
              <w:spacing w:after="0"/>
              <w:ind w:firstLine="0"/>
              <w:jc w:val="left"/>
              <w:rPr>
                <w:rFonts w:ascii="Arial" w:hAnsi="Arial" w:cs="Arial"/>
                <w:bCs/>
                <w:color w:val="000000"/>
                <w:sz w:val="18"/>
                <w:szCs w:val="18"/>
                <w:lang w:val="es-ES" w:eastAsia="es-ES"/>
              </w:rPr>
            </w:pPr>
            <w:r w:rsidRPr="00317F02">
              <w:rPr>
                <w:rFonts w:ascii="Arial" w:hAnsi="Arial" w:cs="Arial"/>
                <w:bCs/>
                <w:color w:val="000000"/>
                <w:sz w:val="18"/>
                <w:szCs w:val="18"/>
                <w:lang w:val="es-ES" w:eastAsia="es-ES"/>
              </w:rPr>
              <w:t>PASIVO</w:t>
            </w:r>
          </w:p>
        </w:tc>
        <w:tc>
          <w:tcPr>
            <w:tcW w:w="1070" w:type="dxa"/>
            <w:shd w:val="clear" w:color="auto" w:fill="A0C3E3" w:themeFill="accent1" w:themeFillTint="99"/>
            <w:noWrap/>
            <w:vAlign w:val="center"/>
          </w:tcPr>
          <w:p w:rsidR="006420DA" w:rsidRPr="00317F02" w:rsidRDefault="004642AE" w:rsidP="006420DA">
            <w:pPr>
              <w:spacing w:after="0"/>
              <w:ind w:firstLine="0"/>
              <w:jc w:val="right"/>
              <w:rPr>
                <w:rFonts w:ascii="Arial" w:hAnsi="Arial" w:cs="Arial"/>
                <w:bCs/>
                <w:color w:val="000000"/>
                <w:sz w:val="18"/>
                <w:szCs w:val="18"/>
                <w:lang w:val="es-ES" w:eastAsia="es-ES"/>
              </w:rPr>
            </w:pPr>
            <w:r w:rsidRPr="00317F02">
              <w:rPr>
                <w:rFonts w:ascii="Arial" w:hAnsi="Arial" w:cs="Arial"/>
                <w:bCs/>
                <w:color w:val="000000"/>
                <w:sz w:val="18"/>
                <w:szCs w:val="18"/>
                <w:lang w:val="es-ES" w:eastAsia="es-ES"/>
              </w:rPr>
              <w:t>2016</w:t>
            </w:r>
          </w:p>
        </w:tc>
        <w:tc>
          <w:tcPr>
            <w:tcW w:w="1056" w:type="dxa"/>
            <w:shd w:val="clear" w:color="auto" w:fill="A0C3E3" w:themeFill="accent1" w:themeFillTint="99"/>
            <w:noWrap/>
            <w:vAlign w:val="center"/>
          </w:tcPr>
          <w:p w:rsidR="006420DA" w:rsidRPr="00317F02" w:rsidRDefault="004642AE" w:rsidP="006420DA">
            <w:pPr>
              <w:spacing w:after="0"/>
              <w:ind w:firstLine="0"/>
              <w:jc w:val="right"/>
              <w:rPr>
                <w:rFonts w:ascii="Arial" w:hAnsi="Arial" w:cs="Arial"/>
                <w:bCs/>
                <w:color w:val="000000"/>
                <w:sz w:val="18"/>
                <w:szCs w:val="18"/>
                <w:lang w:val="es-ES" w:eastAsia="es-ES"/>
              </w:rPr>
            </w:pPr>
            <w:r w:rsidRPr="00317F02">
              <w:rPr>
                <w:rFonts w:ascii="Arial" w:hAnsi="Arial" w:cs="Arial"/>
                <w:bCs/>
                <w:color w:val="000000"/>
                <w:sz w:val="18"/>
                <w:szCs w:val="18"/>
                <w:lang w:val="es-ES" w:eastAsia="es-ES"/>
              </w:rPr>
              <w:t>2017</w:t>
            </w:r>
          </w:p>
        </w:tc>
      </w:tr>
      <w:tr w:rsidR="006420DA" w:rsidRPr="00730AE6" w:rsidTr="00A277E6">
        <w:trPr>
          <w:trHeight w:val="284"/>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b/>
                <w:bCs/>
                <w:sz w:val="17"/>
                <w:szCs w:val="17"/>
                <w:lang w:val="es-ES" w:eastAsia="es-ES"/>
              </w:rPr>
            </w:pPr>
            <w:r w:rsidRPr="00730AE6">
              <w:rPr>
                <w:rFonts w:ascii="Arial Narrow" w:hAnsi="Arial Narrow" w:cs="Arial"/>
                <w:b/>
                <w:bCs/>
                <w:sz w:val="17"/>
                <w:szCs w:val="17"/>
                <w:lang w:val="es-ES" w:eastAsia="es-ES"/>
              </w:rPr>
              <w:t>A) INMOVILIZADO</w:t>
            </w:r>
          </w:p>
        </w:tc>
        <w:tc>
          <w:tcPr>
            <w:tcW w:w="1030" w:type="dxa"/>
            <w:shd w:val="clear" w:color="auto" w:fill="auto"/>
            <w:noWrap/>
            <w:vAlign w:val="center"/>
          </w:tcPr>
          <w:p w:rsidR="006420DA" w:rsidRPr="00730AE6" w:rsidRDefault="001F1F77" w:rsidP="006420DA">
            <w:pPr>
              <w:spacing w:after="0"/>
              <w:ind w:firstLine="0"/>
              <w:jc w:val="right"/>
              <w:rPr>
                <w:rFonts w:ascii="Arial Narrow" w:hAnsi="Arial Narrow" w:cs="Arial"/>
                <w:b/>
                <w:bCs/>
                <w:color w:val="000000"/>
                <w:sz w:val="16"/>
                <w:szCs w:val="16"/>
                <w:lang w:val="es-ES" w:eastAsia="es-ES"/>
              </w:rPr>
            </w:pPr>
            <w:r w:rsidRPr="00730AE6">
              <w:rPr>
                <w:rFonts w:ascii="Arial Narrow" w:hAnsi="Arial Narrow" w:cs="Arial"/>
                <w:b/>
                <w:bCs/>
                <w:color w:val="000000"/>
                <w:sz w:val="16"/>
                <w:szCs w:val="16"/>
                <w:lang w:val="es-ES" w:eastAsia="es-ES"/>
              </w:rPr>
              <w:t>127.332.165</w:t>
            </w:r>
          </w:p>
        </w:tc>
        <w:tc>
          <w:tcPr>
            <w:tcW w:w="1030" w:type="dxa"/>
            <w:tcBorders>
              <w:right w:val="single" w:sz="4" w:space="0" w:color="auto"/>
            </w:tcBorders>
            <w:shd w:val="clear" w:color="auto" w:fill="auto"/>
            <w:noWrap/>
            <w:vAlign w:val="center"/>
          </w:tcPr>
          <w:p w:rsidR="006420DA" w:rsidRPr="00730AE6" w:rsidRDefault="001F1F77" w:rsidP="006420DA">
            <w:pPr>
              <w:spacing w:after="0"/>
              <w:ind w:firstLine="0"/>
              <w:jc w:val="right"/>
              <w:rPr>
                <w:rFonts w:ascii="Arial Narrow" w:hAnsi="Arial Narrow" w:cs="Arial"/>
                <w:b/>
                <w:bCs/>
                <w:color w:val="000000"/>
                <w:sz w:val="16"/>
                <w:szCs w:val="16"/>
                <w:lang w:val="es-ES" w:eastAsia="es-ES"/>
              </w:rPr>
            </w:pPr>
            <w:r w:rsidRPr="00730AE6">
              <w:rPr>
                <w:rFonts w:ascii="Arial Narrow" w:hAnsi="Arial Narrow" w:cs="Arial"/>
                <w:b/>
                <w:bCs/>
                <w:color w:val="000000"/>
                <w:sz w:val="16"/>
                <w:szCs w:val="16"/>
                <w:lang w:val="es-ES" w:eastAsia="es-ES"/>
              </w:rPr>
              <w:t>125.137.400</w:t>
            </w:r>
          </w:p>
        </w:tc>
        <w:tc>
          <w:tcPr>
            <w:tcW w:w="252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b/>
                <w:bCs/>
                <w:sz w:val="17"/>
                <w:szCs w:val="17"/>
                <w:lang w:val="es-ES" w:eastAsia="es-ES"/>
              </w:rPr>
            </w:pPr>
            <w:r w:rsidRPr="00730AE6">
              <w:rPr>
                <w:rFonts w:ascii="Arial Narrow" w:hAnsi="Arial Narrow" w:cs="Arial"/>
                <w:b/>
                <w:bCs/>
                <w:sz w:val="17"/>
                <w:szCs w:val="17"/>
                <w:lang w:val="es-ES" w:eastAsia="es-ES"/>
              </w:rPr>
              <w:t xml:space="preserve"> A) FONDOS PROPIOS</w:t>
            </w:r>
          </w:p>
        </w:tc>
        <w:tc>
          <w:tcPr>
            <w:tcW w:w="1070" w:type="dxa"/>
            <w:shd w:val="clear" w:color="auto" w:fill="auto"/>
            <w:noWrap/>
            <w:vAlign w:val="center"/>
          </w:tcPr>
          <w:p w:rsidR="006420DA" w:rsidRPr="00730AE6" w:rsidRDefault="00E313DF" w:rsidP="006420DA">
            <w:pPr>
              <w:spacing w:after="0"/>
              <w:ind w:firstLine="0"/>
              <w:jc w:val="right"/>
              <w:rPr>
                <w:rFonts w:ascii="Arial Narrow" w:hAnsi="Arial Narrow" w:cs="Arial"/>
                <w:b/>
                <w:bCs/>
                <w:color w:val="000000"/>
                <w:sz w:val="16"/>
                <w:szCs w:val="16"/>
                <w:lang w:val="es-ES" w:eastAsia="es-ES"/>
              </w:rPr>
            </w:pPr>
            <w:r w:rsidRPr="00730AE6">
              <w:rPr>
                <w:rFonts w:ascii="Arial Narrow" w:hAnsi="Arial Narrow" w:cs="Arial"/>
                <w:b/>
                <w:bCs/>
                <w:color w:val="000000"/>
                <w:sz w:val="16"/>
                <w:szCs w:val="16"/>
                <w:lang w:val="es-ES" w:eastAsia="es-ES"/>
              </w:rPr>
              <w:t>136.819.660</w:t>
            </w:r>
          </w:p>
        </w:tc>
        <w:tc>
          <w:tcPr>
            <w:tcW w:w="1056" w:type="dxa"/>
            <w:shd w:val="clear" w:color="auto" w:fill="auto"/>
            <w:noWrap/>
            <w:vAlign w:val="center"/>
          </w:tcPr>
          <w:p w:rsidR="006420DA" w:rsidRPr="00730AE6" w:rsidRDefault="009516BD" w:rsidP="006420DA">
            <w:pPr>
              <w:spacing w:after="0"/>
              <w:ind w:firstLine="0"/>
              <w:jc w:val="right"/>
              <w:rPr>
                <w:rFonts w:ascii="Arial Narrow" w:hAnsi="Arial Narrow" w:cs="Arial"/>
                <w:b/>
                <w:bCs/>
                <w:color w:val="000000"/>
                <w:sz w:val="16"/>
                <w:szCs w:val="16"/>
                <w:lang w:val="es-ES" w:eastAsia="es-ES"/>
              </w:rPr>
            </w:pPr>
            <w:r w:rsidRPr="00730AE6">
              <w:rPr>
                <w:rFonts w:ascii="Arial Narrow" w:hAnsi="Arial Narrow" w:cs="Arial"/>
                <w:b/>
                <w:bCs/>
                <w:color w:val="000000"/>
                <w:sz w:val="16"/>
                <w:szCs w:val="16"/>
                <w:lang w:val="es-ES" w:eastAsia="es-ES"/>
              </w:rPr>
              <w:t>132.536.461</w:t>
            </w:r>
          </w:p>
        </w:tc>
      </w:tr>
      <w:tr w:rsidR="006420DA" w:rsidRPr="00730AE6" w:rsidTr="00A277E6">
        <w:trPr>
          <w:trHeight w:val="284"/>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b/>
                <w:bCs/>
                <w:sz w:val="18"/>
                <w:szCs w:val="18"/>
                <w:lang w:val="es-ES" w:eastAsia="es-ES"/>
              </w:rPr>
            </w:pPr>
            <w:r w:rsidRPr="00730AE6">
              <w:rPr>
                <w:rFonts w:ascii="Arial Narrow" w:hAnsi="Arial Narrow" w:cs="Arial"/>
                <w:b/>
                <w:bCs/>
                <w:sz w:val="18"/>
                <w:szCs w:val="18"/>
                <w:lang w:val="es-ES" w:eastAsia="es-ES"/>
              </w:rPr>
              <w:t xml:space="preserve">II. Inmovilizaciones inmateriales </w:t>
            </w:r>
          </w:p>
        </w:tc>
        <w:tc>
          <w:tcPr>
            <w:tcW w:w="1030" w:type="dxa"/>
            <w:shd w:val="clear" w:color="auto" w:fill="auto"/>
            <w:noWrap/>
            <w:vAlign w:val="center"/>
          </w:tcPr>
          <w:p w:rsidR="006420DA" w:rsidRPr="00730AE6" w:rsidRDefault="001F1F77" w:rsidP="006420DA">
            <w:pPr>
              <w:spacing w:after="0"/>
              <w:ind w:firstLine="0"/>
              <w:jc w:val="right"/>
              <w:rPr>
                <w:rFonts w:ascii="Arial Narrow" w:hAnsi="Arial Narrow" w:cs="Arial"/>
                <w:b/>
                <w:bCs/>
                <w:color w:val="000000"/>
                <w:sz w:val="16"/>
                <w:szCs w:val="16"/>
                <w:lang w:val="es-ES" w:eastAsia="es-ES"/>
              </w:rPr>
            </w:pPr>
            <w:r w:rsidRPr="00730AE6">
              <w:rPr>
                <w:rFonts w:ascii="Arial Narrow" w:hAnsi="Arial Narrow" w:cs="Arial"/>
                <w:b/>
                <w:bCs/>
                <w:color w:val="000000"/>
                <w:sz w:val="16"/>
                <w:szCs w:val="16"/>
                <w:lang w:val="es-ES" w:eastAsia="es-ES"/>
              </w:rPr>
              <w:t>479.673</w:t>
            </w:r>
          </w:p>
        </w:tc>
        <w:tc>
          <w:tcPr>
            <w:tcW w:w="1030" w:type="dxa"/>
            <w:tcBorders>
              <w:right w:val="single" w:sz="4" w:space="0" w:color="auto"/>
            </w:tcBorders>
            <w:shd w:val="clear" w:color="auto" w:fill="auto"/>
            <w:noWrap/>
            <w:vAlign w:val="center"/>
          </w:tcPr>
          <w:p w:rsidR="006420DA" w:rsidRPr="00730AE6" w:rsidRDefault="001F1F77" w:rsidP="006420DA">
            <w:pPr>
              <w:spacing w:after="0"/>
              <w:ind w:firstLine="0"/>
              <w:jc w:val="right"/>
              <w:rPr>
                <w:rFonts w:ascii="Arial Narrow" w:hAnsi="Arial Narrow" w:cs="Arial"/>
                <w:b/>
                <w:bCs/>
                <w:color w:val="000000"/>
                <w:sz w:val="16"/>
                <w:szCs w:val="16"/>
                <w:lang w:val="es-ES" w:eastAsia="es-ES"/>
              </w:rPr>
            </w:pPr>
            <w:r w:rsidRPr="00730AE6">
              <w:rPr>
                <w:rFonts w:ascii="Arial Narrow" w:hAnsi="Arial Narrow" w:cs="Arial"/>
                <w:b/>
                <w:bCs/>
                <w:color w:val="000000"/>
                <w:sz w:val="16"/>
                <w:szCs w:val="16"/>
                <w:lang w:val="es-ES" w:eastAsia="es-ES"/>
              </w:rPr>
              <w:t>623.683</w:t>
            </w:r>
          </w:p>
        </w:tc>
        <w:tc>
          <w:tcPr>
            <w:tcW w:w="252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b/>
                <w:bCs/>
                <w:sz w:val="18"/>
                <w:szCs w:val="18"/>
                <w:lang w:val="es-ES" w:eastAsia="es-ES"/>
              </w:rPr>
            </w:pPr>
            <w:r w:rsidRPr="00730AE6">
              <w:rPr>
                <w:rFonts w:ascii="Arial Narrow" w:hAnsi="Arial Narrow" w:cs="Arial"/>
                <w:b/>
                <w:bCs/>
                <w:sz w:val="18"/>
                <w:szCs w:val="18"/>
                <w:lang w:val="es-ES" w:eastAsia="es-ES"/>
              </w:rPr>
              <w:t xml:space="preserve"> I. Patrimonio</w:t>
            </w:r>
          </w:p>
        </w:tc>
        <w:tc>
          <w:tcPr>
            <w:tcW w:w="1070" w:type="dxa"/>
            <w:shd w:val="clear" w:color="auto" w:fill="auto"/>
            <w:noWrap/>
            <w:vAlign w:val="center"/>
          </w:tcPr>
          <w:p w:rsidR="006420DA" w:rsidRPr="00730AE6" w:rsidRDefault="00E313DF" w:rsidP="006420DA">
            <w:pPr>
              <w:spacing w:after="0"/>
              <w:ind w:firstLine="0"/>
              <w:jc w:val="right"/>
              <w:rPr>
                <w:rFonts w:ascii="Arial Narrow" w:hAnsi="Arial Narrow" w:cs="Arial"/>
                <w:b/>
                <w:bCs/>
                <w:color w:val="000000"/>
                <w:sz w:val="16"/>
                <w:szCs w:val="16"/>
                <w:lang w:val="es-ES" w:eastAsia="es-ES"/>
              </w:rPr>
            </w:pPr>
            <w:r w:rsidRPr="00730AE6">
              <w:rPr>
                <w:rFonts w:ascii="Arial Narrow" w:hAnsi="Arial Narrow" w:cs="Arial"/>
                <w:b/>
                <w:bCs/>
                <w:color w:val="000000"/>
                <w:sz w:val="16"/>
                <w:szCs w:val="16"/>
                <w:lang w:val="es-ES" w:eastAsia="es-ES"/>
              </w:rPr>
              <w:t>127.912.262</w:t>
            </w:r>
          </w:p>
        </w:tc>
        <w:tc>
          <w:tcPr>
            <w:tcW w:w="1056" w:type="dxa"/>
            <w:shd w:val="clear" w:color="auto" w:fill="auto"/>
            <w:noWrap/>
            <w:vAlign w:val="center"/>
          </w:tcPr>
          <w:p w:rsidR="006420DA" w:rsidRPr="00730AE6" w:rsidRDefault="009516BD" w:rsidP="006420DA">
            <w:pPr>
              <w:spacing w:after="0"/>
              <w:ind w:firstLine="0"/>
              <w:jc w:val="right"/>
              <w:rPr>
                <w:rFonts w:ascii="Arial Narrow" w:hAnsi="Arial Narrow" w:cs="Arial"/>
                <w:b/>
                <w:bCs/>
                <w:color w:val="000000"/>
                <w:sz w:val="16"/>
                <w:szCs w:val="16"/>
                <w:lang w:val="es-ES" w:eastAsia="es-ES"/>
              </w:rPr>
            </w:pPr>
            <w:r w:rsidRPr="00730AE6">
              <w:rPr>
                <w:rFonts w:ascii="Arial Narrow" w:hAnsi="Arial Narrow" w:cs="Arial"/>
                <w:b/>
                <w:bCs/>
                <w:color w:val="000000"/>
                <w:sz w:val="16"/>
                <w:szCs w:val="16"/>
                <w:lang w:val="es-ES" w:eastAsia="es-ES"/>
              </w:rPr>
              <w:t>127.912.262</w:t>
            </w:r>
          </w:p>
        </w:tc>
      </w:tr>
      <w:tr w:rsidR="006420DA" w:rsidRPr="00730AE6" w:rsidTr="00A277E6">
        <w:trPr>
          <w:trHeight w:val="284"/>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xml:space="preserve"> 2. Propiedad industrial </w:t>
            </w:r>
          </w:p>
        </w:tc>
        <w:tc>
          <w:tcPr>
            <w:tcW w:w="1030" w:type="dxa"/>
            <w:shd w:val="clear" w:color="auto" w:fill="auto"/>
            <w:noWrap/>
            <w:vAlign w:val="center"/>
          </w:tcPr>
          <w:p w:rsidR="006420DA" w:rsidRPr="00730AE6" w:rsidRDefault="001F1F77"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548.210</w:t>
            </w:r>
          </w:p>
        </w:tc>
        <w:tc>
          <w:tcPr>
            <w:tcW w:w="1030" w:type="dxa"/>
            <w:tcBorders>
              <w:right w:val="single" w:sz="4" w:space="0" w:color="auto"/>
            </w:tcBorders>
            <w:shd w:val="clear" w:color="auto" w:fill="auto"/>
            <w:noWrap/>
            <w:vAlign w:val="center"/>
          </w:tcPr>
          <w:p w:rsidR="006420DA" w:rsidRPr="00730AE6" w:rsidRDefault="001F1F77" w:rsidP="006420DA">
            <w:pPr>
              <w:spacing w:after="0"/>
              <w:ind w:firstLine="0"/>
              <w:jc w:val="right"/>
              <w:rPr>
                <w:rFonts w:ascii="Arial Narrow" w:hAnsi="Arial Narrow" w:cs="Arial"/>
                <w:bCs/>
                <w:sz w:val="16"/>
                <w:szCs w:val="16"/>
                <w:lang w:val="es-ES" w:eastAsia="es-ES"/>
              </w:rPr>
            </w:pPr>
            <w:r w:rsidRPr="00730AE6">
              <w:rPr>
                <w:rFonts w:ascii="Arial Narrow" w:hAnsi="Arial Narrow" w:cs="Arial"/>
                <w:bCs/>
                <w:sz w:val="16"/>
                <w:szCs w:val="16"/>
                <w:lang w:val="es-ES" w:eastAsia="es-ES"/>
              </w:rPr>
              <w:t>562.114</w:t>
            </w:r>
          </w:p>
        </w:tc>
        <w:tc>
          <w:tcPr>
            <w:tcW w:w="252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xml:space="preserve"> 1. Patrimonio </w:t>
            </w:r>
          </w:p>
        </w:tc>
        <w:tc>
          <w:tcPr>
            <w:tcW w:w="1070" w:type="dxa"/>
            <w:shd w:val="clear" w:color="auto" w:fill="auto"/>
            <w:noWrap/>
            <w:vAlign w:val="center"/>
          </w:tcPr>
          <w:p w:rsidR="006420DA" w:rsidRPr="00730AE6" w:rsidRDefault="00E313DF"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123.083.338</w:t>
            </w:r>
          </w:p>
        </w:tc>
        <w:tc>
          <w:tcPr>
            <w:tcW w:w="1056" w:type="dxa"/>
            <w:shd w:val="clear" w:color="auto" w:fill="auto"/>
            <w:noWrap/>
            <w:vAlign w:val="center"/>
          </w:tcPr>
          <w:p w:rsidR="006420DA" w:rsidRPr="00730AE6" w:rsidRDefault="009516BD"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123.083.338</w:t>
            </w:r>
          </w:p>
        </w:tc>
      </w:tr>
      <w:tr w:rsidR="006420DA" w:rsidRPr="00730AE6" w:rsidTr="00A277E6">
        <w:trPr>
          <w:trHeight w:val="284"/>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xml:space="preserve"> 3. Aplicaciones informáticas </w:t>
            </w:r>
          </w:p>
        </w:tc>
        <w:tc>
          <w:tcPr>
            <w:tcW w:w="1030" w:type="dxa"/>
            <w:shd w:val="clear" w:color="auto" w:fill="auto"/>
            <w:noWrap/>
            <w:vAlign w:val="center"/>
          </w:tcPr>
          <w:p w:rsidR="006420DA" w:rsidRPr="00730AE6" w:rsidRDefault="001F1F77"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9.065.356</w:t>
            </w:r>
          </w:p>
        </w:tc>
        <w:tc>
          <w:tcPr>
            <w:tcW w:w="1030" w:type="dxa"/>
            <w:tcBorders>
              <w:right w:val="single" w:sz="4" w:space="0" w:color="auto"/>
            </w:tcBorders>
            <w:shd w:val="clear" w:color="auto" w:fill="auto"/>
            <w:noWrap/>
            <w:vAlign w:val="center"/>
          </w:tcPr>
          <w:p w:rsidR="006420DA" w:rsidRPr="00730AE6" w:rsidRDefault="001F1F77"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9.386.134</w:t>
            </w:r>
          </w:p>
        </w:tc>
        <w:tc>
          <w:tcPr>
            <w:tcW w:w="252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xml:space="preserve"> 3. Patrimonio recibido por cesión</w:t>
            </w:r>
          </w:p>
        </w:tc>
        <w:tc>
          <w:tcPr>
            <w:tcW w:w="1070" w:type="dxa"/>
            <w:shd w:val="clear" w:color="auto" w:fill="auto"/>
            <w:noWrap/>
            <w:vAlign w:val="center"/>
          </w:tcPr>
          <w:p w:rsidR="006420DA" w:rsidRPr="00730AE6" w:rsidRDefault="00E313DF"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5.385.399</w:t>
            </w:r>
          </w:p>
        </w:tc>
        <w:tc>
          <w:tcPr>
            <w:tcW w:w="1056" w:type="dxa"/>
            <w:shd w:val="clear" w:color="auto" w:fill="auto"/>
            <w:noWrap/>
            <w:vAlign w:val="center"/>
          </w:tcPr>
          <w:p w:rsidR="006420DA" w:rsidRPr="00730AE6" w:rsidRDefault="009516BD"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5.385.399</w:t>
            </w:r>
          </w:p>
        </w:tc>
      </w:tr>
      <w:tr w:rsidR="006420DA" w:rsidRPr="00730AE6" w:rsidTr="00A277E6">
        <w:trPr>
          <w:trHeight w:val="284"/>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xml:space="preserve"> 6. Otro inmovilizado inmaterial</w:t>
            </w:r>
          </w:p>
        </w:tc>
        <w:tc>
          <w:tcPr>
            <w:tcW w:w="1030" w:type="dxa"/>
            <w:shd w:val="clear" w:color="auto" w:fill="auto"/>
            <w:noWrap/>
            <w:vAlign w:val="center"/>
          </w:tcPr>
          <w:p w:rsidR="006420DA" w:rsidRPr="00730AE6" w:rsidRDefault="001F1F77"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64.705</w:t>
            </w:r>
          </w:p>
        </w:tc>
        <w:tc>
          <w:tcPr>
            <w:tcW w:w="1030" w:type="dxa"/>
            <w:tcBorders>
              <w:right w:val="single" w:sz="4" w:space="0" w:color="auto"/>
            </w:tcBorders>
            <w:shd w:val="clear" w:color="auto" w:fill="auto"/>
            <w:noWrap/>
            <w:vAlign w:val="center"/>
          </w:tcPr>
          <w:p w:rsidR="006420DA" w:rsidRPr="00730AE6" w:rsidRDefault="001F1F77"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129.919</w:t>
            </w:r>
          </w:p>
        </w:tc>
        <w:tc>
          <w:tcPr>
            <w:tcW w:w="252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xml:space="preserve"> 5. Patrim. entregado por cesión</w:t>
            </w:r>
          </w:p>
        </w:tc>
        <w:tc>
          <w:tcPr>
            <w:tcW w:w="1070" w:type="dxa"/>
            <w:shd w:val="clear" w:color="auto" w:fill="auto"/>
            <w:noWrap/>
            <w:vAlign w:val="center"/>
          </w:tcPr>
          <w:p w:rsidR="006420DA" w:rsidRPr="00730AE6" w:rsidRDefault="00E313DF"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-556.475</w:t>
            </w:r>
          </w:p>
        </w:tc>
        <w:tc>
          <w:tcPr>
            <w:tcW w:w="1056" w:type="dxa"/>
            <w:shd w:val="clear" w:color="auto" w:fill="auto"/>
            <w:noWrap/>
            <w:vAlign w:val="center"/>
          </w:tcPr>
          <w:p w:rsidR="006420DA" w:rsidRPr="00730AE6" w:rsidRDefault="009516BD"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-556.475</w:t>
            </w:r>
          </w:p>
        </w:tc>
      </w:tr>
      <w:tr w:rsidR="006420DA" w:rsidRPr="00730AE6" w:rsidTr="00A277E6">
        <w:trPr>
          <w:trHeight w:val="284"/>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xml:space="preserve"> 8. Amortizaciones</w:t>
            </w:r>
          </w:p>
        </w:tc>
        <w:tc>
          <w:tcPr>
            <w:tcW w:w="1030" w:type="dxa"/>
            <w:shd w:val="clear" w:color="auto" w:fill="auto"/>
            <w:noWrap/>
            <w:vAlign w:val="center"/>
          </w:tcPr>
          <w:p w:rsidR="006420DA" w:rsidRPr="00730AE6" w:rsidRDefault="001F1F77"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-9.198.598</w:t>
            </w:r>
          </w:p>
        </w:tc>
        <w:tc>
          <w:tcPr>
            <w:tcW w:w="1030" w:type="dxa"/>
            <w:tcBorders>
              <w:right w:val="single" w:sz="4" w:space="0" w:color="auto"/>
            </w:tcBorders>
            <w:shd w:val="clear" w:color="auto" w:fill="auto"/>
            <w:noWrap/>
            <w:vAlign w:val="center"/>
          </w:tcPr>
          <w:p w:rsidR="006420DA" w:rsidRPr="00730AE6" w:rsidRDefault="001F1F77" w:rsidP="00D00A4E">
            <w:pPr>
              <w:spacing w:after="0"/>
              <w:ind w:firstLine="0"/>
              <w:jc w:val="right"/>
              <w:rPr>
                <w:rFonts w:ascii="Arial Narrow" w:hAnsi="Arial Narrow" w:cs="Arial"/>
                <w:sz w:val="16"/>
                <w:szCs w:val="16"/>
                <w:lang w:val="es-ES" w:eastAsia="es-ES"/>
              </w:rPr>
            </w:pPr>
            <w:r w:rsidRPr="00730AE6">
              <w:rPr>
                <w:rFonts w:ascii="Arial Narrow" w:hAnsi="Arial Narrow" w:cs="Arial"/>
                <w:sz w:val="16"/>
                <w:szCs w:val="16"/>
                <w:lang w:val="es-ES" w:eastAsia="es-ES"/>
              </w:rPr>
              <w:t>-9.454.48</w:t>
            </w:r>
            <w:r w:rsidR="00D00A4E" w:rsidRPr="00730AE6">
              <w:rPr>
                <w:rFonts w:ascii="Arial Narrow" w:hAnsi="Arial Narrow" w:cs="Arial"/>
                <w:sz w:val="16"/>
                <w:szCs w:val="16"/>
                <w:lang w:val="es-ES" w:eastAsia="es-ES"/>
              </w:rPr>
              <w:t>4</w:t>
            </w:r>
          </w:p>
        </w:tc>
        <w:tc>
          <w:tcPr>
            <w:tcW w:w="252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w:t>
            </w:r>
          </w:p>
        </w:tc>
        <w:tc>
          <w:tcPr>
            <w:tcW w:w="1070" w:type="dxa"/>
            <w:shd w:val="clear" w:color="auto" w:fill="auto"/>
            <w:noWrap/>
            <w:vAlign w:val="center"/>
          </w:tcPr>
          <w:p w:rsidR="006420DA" w:rsidRPr="00730AE6" w:rsidRDefault="006420DA" w:rsidP="006420DA">
            <w:pPr>
              <w:spacing w:after="0"/>
              <w:ind w:firstLine="0"/>
              <w:jc w:val="right"/>
              <w:rPr>
                <w:rFonts w:ascii="Arial Narrow" w:hAnsi="Arial Narrow" w:cs="Arial"/>
                <w:bCs/>
                <w:color w:val="000000"/>
                <w:sz w:val="16"/>
                <w:szCs w:val="16"/>
                <w:lang w:val="es-ES" w:eastAsia="es-ES"/>
              </w:rPr>
            </w:pPr>
          </w:p>
        </w:tc>
        <w:tc>
          <w:tcPr>
            <w:tcW w:w="1056" w:type="dxa"/>
            <w:shd w:val="clear" w:color="auto" w:fill="auto"/>
            <w:noWrap/>
            <w:vAlign w:val="center"/>
          </w:tcPr>
          <w:p w:rsidR="006420DA" w:rsidRPr="00730AE6" w:rsidRDefault="006420DA" w:rsidP="006420DA">
            <w:pPr>
              <w:spacing w:after="0"/>
              <w:ind w:firstLine="0"/>
              <w:jc w:val="right"/>
              <w:rPr>
                <w:rFonts w:ascii="Arial Narrow" w:hAnsi="Arial Narrow" w:cs="Arial"/>
                <w:bCs/>
                <w:color w:val="000000"/>
                <w:sz w:val="16"/>
                <w:szCs w:val="16"/>
                <w:lang w:val="es-ES" w:eastAsia="es-ES"/>
              </w:rPr>
            </w:pPr>
          </w:p>
        </w:tc>
      </w:tr>
      <w:tr w:rsidR="006420DA" w:rsidRPr="00730AE6" w:rsidTr="00A277E6">
        <w:trPr>
          <w:trHeight w:val="284"/>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b/>
                <w:bCs/>
                <w:sz w:val="18"/>
                <w:szCs w:val="18"/>
                <w:lang w:val="es-ES" w:eastAsia="es-ES"/>
              </w:rPr>
            </w:pPr>
            <w:r w:rsidRPr="00730AE6">
              <w:rPr>
                <w:rFonts w:ascii="Arial Narrow" w:hAnsi="Arial Narrow" w:cs="Arial"/>
                <w:b/>
                <w:bCs/>
                <w:sz w:val="18"/>
                <w:szCs w:val="18"/>
                <w:lang w:val="es-ES" w:eastAsia="es-ES"/>
              </w:rPr>
              <w:t xml:space="preserve">III. Inmovilizaciones materiales </w:t>
            </w:r>
          </w:p>
        </w:tc>
        <w:tc>
          <w:tcPr>
            <w:tcW w:w="1030" w:type="dxa"/>
            <w:shd w:val="clear" w:color="auto" w:fill="auto"/>
            <w:noWrap/>
            <w:vAlign w:val="center"/>
          </w:tcPr>
          <w:p w:rsidR="006420DA" w:rsidRPr="00730AE6" w:rsidRDefault="001F1F77" w:rsidP="008B71ED">
            <w:pPr>
              <w:spacing w:after="0"/>
              <w:ind w:firstLine="0"/>
              <w:jc w:val="right"/>
              <w:rPr>
                <w:rFonts w:ascii="Arial Narrow" w:hAnsi="Arial Narrow" w:cs="Arial"/>
                <w:b/>
                <w:color w:val="000000"/>
                <w:sz w:val="16"/>
                <w:szCs w:val="16"/>
                <w:lang w:val="es-ES" w:eastAsia="es-ES"/>
              </w:rPr>
            </w:pPr>
            <w:r w:rsidRPr="00730AE6">
              <w:rPr>
                <w:rFonts w:ascii="Arial Narrow" w:hAnsi="Arial Narrow" w:cs="Arial"/>
                <w:b/>
                <w:color w:val="000000"/>
                <w:sz w:val="16"/>
                <w:szCs w:val="16"/>
                <w:lang w:val="es-ES" w:eastAsia="es-ES"/>
              </w:rPr>
              <w:t>126.564.71</w:t>
            </w:r>
            <w:r w:rsidR="008B71ED" w:rsidRPr="00730AE6">
              <w:rPr>
                <w:rFonts w:ascii="Arial Narrow" w:hAnsi="Arial Narrow" w:cs="Arial"/>
                <w:b/>
                <w:color w:val="000000"/>
                <w:sz w:val="16"/>
                <w:szCs w:val="16"/>
                <w:lang w:val="es-ES" w:eastAsia="es-ES"/>
              </w:rPr>
              <w:t>4</w:t>
            </w:r>
          </w:p>
        </w:tc>
        <w:tc>
          <w:tcPr>
            <w:tcW w:w="1030" w:type="dxa"/>
            <w:tcBorders>
              <w:right w:val="single" w:sz="4" w:space="0" w:color="auto"/>
            </w:tcBorders>
            <w:shd w:val="clear" w:color="auto" w:fill="auto"/>
            <w:noWrap/>
            <w:vAlign w:val="center"/>
          </w:tcPr>
          <w:p w:rsidR="006420DA" w:rsidRPr="00730AE6" w:rsidRDefault="001F1F77" w:rsidP="006420DA">
            <w:pPr>
              <w:spacing w:after="0"/>
              <w:ind w:firstLine="0"/>
              <w:jc w:val="right"/>
              <w:rPr>
                <w:rFonts w:ascii="Arial Narrow" w:hAnsi="Arial Narrow" w:cs="Arial"/>
                <w:b/>
                <w:color w:val="000000"/>
                <w:sz w:val="16"/>
                <w:szCs w:val="16"/>
                <w:lang w:val="es-ES" w:eastAsia="es-ES"/>
              </w:rPr>
            </w:pPr>
            <w:r w:rsidRPr="00730AE6">
              <w:rPr>
                <w:rFonts w:ascii="Arial Narrow" w:hAnsi="Arial Narrow" w:cs="Arial"/>
                <w:b/>
                <w:color w:val="000000"/>
                <w:sz w:val="16"/>
                <w:szCs w:val="16"/>
                <w:lang w:val="es-ES" w:eastAsia="es-ES"/>
              </w:rPr>
              <w:t>124.220.328</w:t>
            </w:r>
          </w:p>
        </w:tc>
        <w:tc>
          <w:tcPr>
            <w:tcW w:w="252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b/>
                <w:sz w:val="18"/>
                <w:szCs w:val="18"/>
                <w:lang w:val="es-ES" w:eastAsia="es-ES"/>
              </w:rPr>
            </w:pPr>
            <w:r w:rsidRPr="00730AE6">
              <w:rPr>
                <w:rFonts w:ascii="Arial Narrow" w:hAnsi="Arial Narrow" w:cs="Arial"/>
                <w:b/>
                <w:sz w:val="18"/>
                <w:szCs w:val="18"/>
                <w:lang w:val="es-ES" w:eastAsia="es-ES"/>
              </w:rPr>
              <w:t> </w:t>
            </w:r>
          </w:p>
        </w:tc>
        <w:tc>
          <w:tcPr>
            <w:tcW w:w="1070" w:type="dxa"/>
            <w:shd w:val="clear" w:color="auto" w:fill="auto"/>
            <w:noWrap/>
            <w:vAlign w:val="center"/>
          </w:tcPr>
          <w:p w:rsidR="006420DA" w:rsidRPr="00730AE6" w:rsidRDefault="006420DA" w:rsidP="006420DA">
            <w:pPr>
              <w:spacing w:after="0"/>
              <w:ind w:firstLine="0"/>
              <w:jc w:val="right"/>
              <w:rPr>
                <w:rFonts w:ascii="Arial Narrow" w:hAnsi="Arial Narrow" w:cs="Arial"/>
                <w:b/>
                <w:color w:val="000000"/>
                <w:sz w:val="16"/>
                <w:szCs w:val="16"/>
                <w:lang w:val="es-ES" w:eastAsia="es-ES"/>
              </w:rPr>
            </w:pPr>
          </w:p>
        </w:tc>
        <w:tc>
          <w:tcPr>
            <w:tcW w:w="1056" w:type="dxa"/>
            <w:shd w:val="clear" w:color="auto" w:fill="auto"/>
            <w:noWrap/>
            <w:vAlign w:val="center"/>
          </w:tcPr>
          <w:p w:rsidR="006420DA" w:rsidRPr="00730AE6" w:rsidRDefault="006420DA" w:rsidP="006420DA">
            <w:pPr>
              <w:spacing w:after="0"/>
              <w:ind w:firstLine="0"/>
              <w:jc w:val="right"/>
              <w:rPr>
                <w:rFonts w:ascii="Arial Narrow" w:hAnsi="Arial Narrow" w:cs="Arial"/>
                <w:b/>
                <w:color w:val="000000"/>
                <w:sz w:val="16"/>
                <w:szCs w:val="16"/>
                <w:lang w:val="es-ES" w:eastAsia="es-ES"/>
              </w:rPr>
            </w:pPr>
          </w:p>
        </w:tc>
      </w:tr>
      <w:tr w:rsidR="006420DA" w:rsidRPr="00730AE6" w:rsidTr="00A277E6">
        <w:trPr>
          <w:trHeight w:val="284"/>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xml:space="preserve"> 1. Terrenos y construcciones </w:t>
            </w:r>
          </w:p>
        </w:tc>
        <w:tc>
          <w:tcPr>
            <w:tcW w:w="1030" w:type="dxa"/>
            <w:shd w:val="clear" w:color="auto" w:fill="auto"/>
            <w:noWrap/>
            <w:vAlign w:val="center"/>
          </w:tcPr>
          <w:p w:rsidR="006420DA" w:rsidRPr="00730AE6" w:rsidRDefault="001F1F77"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168.378.028</w:t>
            </w:r>
          </w:p>
        </w:tc>
        <w:tc>
          <w:tcPr>
            <w:tcW w:w="1030" w:type="dxa"/>
            <w:tcBorders>
              <w:right w:val="single" w:sz="4" w:space="0" w:color="auto"/>
            </w:tcBorders>
            <w:shd w:val="clear" w:color="auto" w:fill="auto"/>
            <w:noWrap/>
            <w:vAlign w:val="center"/>
          </w:tcPr>
          <w:p w:rsidR="006420DA" w:rsidRPr="00730AE6" w:rsidRDefault="001F1F77" w:rsidP="006420DA">
            <w:pPr>
              <w:spacing w:after="0"/>
              <w:ind w:firstLine="0"/>
              <w:jc w:val="right"/>
              <w:rPr>
                <w:rFonts w:ascii="Arial Narrow" w:hAnsi="Arial Narrow" w:cs="Arial"/>
                <w:bCs/>
                <w:sz w:val="16"/>
                <w:szCs w:val="16"/>
                <w:lang w:val="es-ES" w:eastAsia="es-ES"/>
              </w:rPr>
            </w:pPr>
            <w:r w:rsidRPr="00730AE6">
              <w:rPr>
                <w:rFonts w:ascii="Arial Narrow" w:hAnsi="Arial Narrow" w:cs="Arial"/>
                <w:bCs/>
                <w:sz w:val="16"/>
                <w:szCs w:val="16"/>
                <w:lang w:val="es-ES" w:eastAsia="es-ES"/>
              </w:rPr>
              <w:t>168.802.957</w:t>
            </w:r>
          </w:p>
        </w:tc>
        <w:tc>
          <w:tcPr>
            <w:tcW w:w="252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b/>
                <w:bCs/>
                <w:sz w:val="18"/>
                <w:szCs w:val="18"/>
                <w:lang w:val="es-ES" w:eastAsia="es-ES"/>
              </w:rPr>
            </w:pPr>
            <w:r w:rsidRPr="00730AE6">
              <w:rPr>
                <w:rFonts w:ascii="Arial Narrow" w:hAnsi="Arial Narrow" w:cs="Arial"/>
                <w:b/>
                <w:bCs/>
                <w:sz w:val="18"/>
                <w:szCs w:val="18"/>
                <w:lang w:val="es-ES" w:eastAsia="es-ES"/>
              </w:rPr>
              <w:t xml:space="preserve">III. Rdo. de ejercicio anteriores </w:t>
            </w:r>
          </w:p>
        </w:tc>
        <w:tc>
          <w:tcPr>
            <w:tcW w:w="1070" w:type="dxa"/>
            <w:shd w:val="clear" w:color="auto" w:fill="auto"/>
            <w:noWrap/>
            <w:vAlign w:val="center"/>
          </w:tcPr>
          <w:p w:rsidR="006420DA" w:rsidRPr="00730AE6" w:rsidRDefault="00E313DF" w:rsidP="006420DA">
            <w:pPr>
              <w:spacing w:after="0"/>
              <w:ind w:firstLine="0"/>
              <w:jc w:val="right"/>
              <w:rPr>
                <w:rFonts w:ascii="Arial Narrow" w:hAnsi="Arial Narrow" w:cs="Arial"/>
                <w:b/>
                <w:color w:val="000000"/>
                <w:sz w:val="16"/>
                <w:szCs w:val="16"/>
                <w:lang w:val="es-ES" w:eastAsia="es-ES"/>
              </w:rPr>
            </w:pPr>
            <w:r w:rsidRPr="00730AE6">
              <w:rPr>
                <w:rFonts w:ascii="Arial Narrow" w:hAnsi="Arial Narrow" w:cs="Arial"/>
                <w:b/>
                <w:color w:val="000000"/>
                <w:sz w:val="16"/>
                <w:szCs w:val="16"/>
                <w:lang w:val="es-ES" w:eastAsia="es-ES"/>
              </w:rPr>
              <w:t>12.371.795</w:t>
            </w:r>
          </w:p>
        </w:tc>
        <w:tc>
          <w:tcPr>
            <w:tcW w:w="1056" w:type="dxa"/>
            <w:shd w:val="clear" w:color="auto" w:fill="auto"/>
            <w:noWrap/>
            <w:vAlign w:val="center"/>
          </w:tcPr>
          <w:p w:rsidR="006420DA" w:rsidRPr="00730AE6" w:rsidRDefault="009516BD" w:rsidP="00B824C3">
            <w:pPr>
              <w:spacing w:after="0"/>
              <w:ind w:firstLine="0"/>
              <w:jc w:val="right"/>
              <w:rPr>
                <w:rFonts w:ascii="Arial Narrow" w:hAnsi="Arial Narrow" w:cs="Arial"/>
                <w:b/>
                <w:color w:val="000000"/>
                <w:sz w:val="16"/>
                <w:szCs w:val="16"/>
                <w:lang w:val="es-ES" w:eastAsia="es-ES"/>
              </w:rPr>
            </w:pPr>
            <w:r w:rsidRPr="00730AE6">
              <w:rPr>
                <w:rFonts w:ascii="Arial Narrow" w:hAnsi="Arial Narrow" w:cs="Arial"/>
                <w:b/>
                <w:color w:val="000000"/>
                <w:sz w:val="16"/>
                <w:szCs w:val="16"/>
                <w:lang w:val="es-ES" w:eastAsia="es-ES"/>
              </w:rPr>
              <w:t>8.825.27</w:t>
            </w:r>
            <w:r w:rsidR="00B824C3" w:rsidRPr="00730AE6">
              <w:rPr>
                <w:rFonts w:ascii="Arial Narrow" w:hAnsi="Arial Narrow" w:cs="Arial"/>
                <w:b/>
                <w:color w:val="000000"/>
                <w:sz w:val="16"/>
                <w:szCs w:val="16"/>
                <w:lang w:val="es-ES" w:eastAsia="es-ES"/>
              </w:rPr>
              <w:t>7</w:t>
            </w:r>
          </w:p>
        </w:tc>
      </w:tr>
      <w:tr w:rsidR="006420DA" w:rsidRPr="00730AE6" w:rsidTr="00A277E6">
        <w:trPr>
          <w:trHeight w:val="284"/>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xml:space="preserve"> 2. Instalaciones técnicas y maquinaria</w:t>
            </w:r>
          </w:p>
        </w:tc>
        <w:tc>
          <w:tcPr>
            <w:tcW w:w="1030" w:type="dxa"/>
            <w:shd w:val="clear" w:color="auto" w:fill="auto"/>
            <w:noWrap/>
            <w:vAlign w:val="center"/>
          </w:tcPr>
          <w:p w:rsidR="006420DA" w:rsidRPr="00730AE6" w:rsidRDefault="001F1F77"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47.544.329</w:t>
            </w:r>
          </w:p>
        </w:tc>
        <w:tc>
          <w:tcPr>
            <w:tcW w:w="1030" w:type="dxa"/>
            <w:tcBorders>
              <w:right w:val="single" w:sz="4" w:space="0" w:color="auto"/>
            </w:tcBorders>
            <w:shd w:val="clear" w:color="auto" w:fill="auto"/>
            <w:noWrap/>
            <w:vAlign w:val="center"/>
          </w:tcPr>
          <w:p w:rsidR="006420DA" w:rsidRPr="00730AE6" w:rsidRDefault="001F1F77" w:rsidP="00D00A4E">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48.407.29</w:t>
            </w:r>
            <w:r w:rsidR="00D00A4E" w:rsidRPr="00730AE6">
              <w:rPr>
                <w:rFonts w:ascii="Arial Narrow" w:hAnsi="Arial Narrow" w:cs="Arial"/>
                <w:color w:val="000000"/>
                <w:sz w:val="16"/>
                <w:szCs w:val="16"/>
                <w:lang w:val="es-ES" w:eastAsia="es-ES"/>
              </w:rPr>
              <w:t>2</w:t>
            </w:r>
          </w:p>
        </w:tc>
        <w:tc>
          <w:tcPr>
            <w:tcW w:w="2529" w:type="dxa"/>
            <w:tcBorders>
              <w:left w:val="single" w:sz="4" w:space="0" w:color="auto"/>
            </w:tcBorders>
            <w:shd w:val="clear" w:color="auto" w:fill="auto"/>
            <w:vAlign w:val="center"/>
          </w:tcPr>
          <w:p w:rsidR="006420DA" w:rsidRPr="00730AE6" w:rsidRDefault="00BC4F7A" w:rsidP="00BC4F7A">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xml:space="preserve">1. Rdos. </w:t>
            </w:r>
            <w:proofErr w:type="gramStart"/>
            <w:r w:rsidRPr="00730AE6">
              <w:rPr>
                <w:rFonts w:ascii="Arial Narrow" w:hAnsi="Arial Narrow" w:cs="Arial"/>
                <w:sz w:val="18"/>
                <w:szCs w:val="18"/>
                <w:lang w:val="es-ES" w:eastAsia="es-ES"/>
              </w:rPr>
              <w:t>positivos</w:t>
            </w:r>
            <w:proofErr w:type="gramEnd"/>
            <w:r w:rsidRPr="00730AE6">
              <w:rPr>
                <w:rFonts w:ascii="Arial Narrow" w:hAnsi="Arial Narrow" w:cs="Arial"/>
                <w:sz w:val="18"/>
                <w:szCs w:val="18"/>
                <w:lang w:val="es-ES" w:eastAsia="es-ES"/>
              </w:rPr>
              <w:t xml:space="preserve"> </w:t>
            </w:r>
            <w:r w:rsidR="006420DA" w:rsidRPr="00730AE6">
              <w:rPr>
                <w:rFonts w:ascii="Arial Narrow" w:hAnsi="Arial Narrow" w:cs="Arial"/>
                <w:sz w:val="18"/>
                <w:szCs w:val="18"/>
                <w:lang w:val="es-ES" w:eastAsia="es-ES"/>
              </w:rPr>
              <w:t>ejercic</w:t>
            </w:r>
            <w:r w:rsidRPr="00730AE6">
              <w:rPr>
                <w:rFonts w:ascii="Arial Narrow" w:hAnsi="Arial Narrow" w:cs="Arial"/>
                <w:sz w:val="18"/>
                <w:szCs w:val="18"/>
                <w:lang w:val="es-ES" w:eastAsia="es-ES"/>
              </w:rPr>
              <w:t>.</w:t>
            </w:r>
            <w:r w:rsidR="006420DA" w:rsidRPr="00730AE6">
              <w:rPr>
                <w:rFonts w:ascii="Arial Narrow" w:hAnsi="Arial Narrow" w:cs="Arial"/>
                <w:sz w:val="18"/>
                <w:szCs w:val="18"/>
                <w:lang w:val="es-ES" w:eastAsia="es-ES"/>
              </w:rPr>
              <w:t xml:space="preserve"> anteriores </w:t>
            </w:r>
          </w:p>
        </w:tc>
        <w:tc>
          <w:tcPr>
            <w:tcW w:w="1070" w:type="dxa"/>
            <w:shd w:val="clear" w:color="auto" w:fill="auto"/>
            <w:noWrap/>
            <w:vAlign w:val="center"/>
          </w:tcPr>
          <w:p w:rsidR="006420DA" w:rsidRPr="00730AE6" w:rsidRDefault="00E313DF"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12.371.795</w:t>
            </w:r>
          </w:p>
        </w:tc>
        <w:tc>
          <w:tcPr>
            <w:tcW w:w="1056" w:type="dxa"/>
            <w:shd w:val="clear" w:color="auto" w:fill="auto"/>
            <w:noWrap/>
            <w:vAlign w:val="center"/>
          </w:tcPr>
          <w:p w:rsidR="006420DA" w:rsidRPr="00730AE6" w:rsidRDefault="009516BD" w:rsidP="00B824C3">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8.825.27</w:t>
            </w:r>
            <w:r w:rsidR="00B824C3" w:rsidRPr="00730AE6">
              <w:rPr>
                <w:rFonts w:ascii="Arial Narrow" w:hAnsi="Arial Narrow" w:cs="Arial"/>
                <w:color w:val="000000"/>
                <w:sz w:val="16"/>
                <w:szCs w:val="16"/>
                <w:lang w:val="es-ES" w:eastAsia="es-ES"/>
              </w:rPr>
              <w:t>7</w:t>
            </w:r>
          </w:p>
        </w:tc>
      </w:tr>
      <w:tr w:rsidR="006420DA" w:rsidRPr="00730AE6" w:rsidTr="00A277E6">
        <w:trPr>
          <w:trHeight w:val="284"/>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xml:space="preserve"> 3. Utillaje y mobiliario</w:t>
            </w:r>
          </w:p>
        </w:tc>
        <w:tc>
          <w:tcPr>
            <w:tcW w:w="1030" w:type="dxa"/>
            <w:shd w:val="clear" w:color="auto" w:fill="auto"/>
            <w:noWrap/>
            <w:vAlign w:val="center"/>
          </w:tcPr>
          <w:p w:rsidR="006420DA" w:rsidRPr="00730AE6" w:rsidRDefault="001F1F77"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17.489.860</w:t>
            </w:r>
          </w:p>
        </w:tc>
        <w:tc>
          <w:tcPr>
            <w:tcW w:w="1030" w:type="dxa"/>
            <w:tcBorders>
              <w:right w:val="single" w:sz="4" w:space="0" w:color="auto"/>
            </w:tcBorders>
            <w:shd w:val="clear" w:color="auto" w:fill="auto"/>
            <w:noWrap/>
            <w:vAlign w:val="center"/>
          </w:tcPr>
          <w:p w:rsidR="006420DA" w:rsidRPr="00730AE6" w:rsidRDefault="001F1F77"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17.820.465</w:t>
            </w:r>
          </w:p>
        </w:tc>
        <w:tc>
          <w:tcPr>
            <w:tcW w:w="252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w:t>
            </w:r>
          </w:p>
        </w:tc>
        <w:tc>
          <w:tcPr>
            <w:tcW w:w="1070" w:type="dxa"/>
            <w:shd w:val="clear" w:color="auto" w:fill="auto"/>
            <w:noWrap/>
            <w:vAlign w:val="center"/>
          </w:tcPr>
          <w:p w:rsidR="006420DA" w:rsidRPr="00730AE6" w:rsidRDefault="006420DA" w:rsidP="006420DA">
            <w:pPr>
              <w:spacing w:after="0"/>
              <w:ind w:firstLine="0"/>
              <w:jc w:val="right"/>
              <w:rPr>
                <w:rFonts w:ascii="Arial Narrow" w:hAnsi="Arial Narrow" w:cs="Arial"/>
                <w:color w:val="000000"/>
                <w:sz w:val="16"/>
                <w:szCs w:val="16"/>
                <w:lang w:val="es-ES" w:eastAsia="es-ES"/>
              </w:rPr>
            </w:pPr>
          </w:p>
        </w:tc>
        <w:tc>
          <w:tcPr>
            <w:tcW w:w="1056" w:type="dxa"/>
            <w:shd w:val="clear" w:color="auto" w:fill="auto"/>
            <w:noWrap/>
            <w:vAlign w:val="center"/>
          </w:tcPr>
          <w:p w:rsidR="006420DA" w:rsidRPr="00730AE6" w:rsidRDefault="006420DA" w:rsidP="006420DA">
            <w:pPr>
              <w:spacing w:after="0"/>
              <w:ind w:firstLine="0"/>
              <w:jc w:val="right"/>
              <w:rPr>
                <w:rFonts w:ascii="Arial Narrow" w:hAnsi="Arial Narrow" w:cs="Arial"/>
                <w:color w:val="000000"/>
                <w:sz w:val="16"/>
                <w:szCs w:val="16"/>
                <w:lang w:val="es-ES" w:eastAsia="es-ES"/>
              </w:rPr>
            </w:pPr>
          </w:p>
        </w:tc>
      </w:tr>
      <w:tr w:rsidR="006420DA" w:rsidRPr="00730AE6" w:rsidTr="00A277E6">
        <w:trPr>
          <w:trHeight w:val="284"/>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xml:space="preserve"> 4. Otro inmovilizado </w:t>
            </w:r>
          </w:p>
        </w:tc>
        <w:tc>
          <w:tcPr>
            <w:tcW w:w="1030" w:type="dxa"/>
            <w:shd w:val="clear" w:color="auto" w:fill="auto"/>
            <w:noWrap/>
            <w:vAlign w:val="center"/>
          </w:tcPr>
          <w:p w:rsidR="006420DA" w:rsidRPr="00730AE6" w:rsidRDefault="001F1F77"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20.179.650</w:t>
            </w:r>
          </w:p>
        </w:tc>
        <w:tc>
          <w:tcPr>
            <w:tcW w:w="1030" w:type="dxa"/>
            <w:tcBorders>
              <w:right w:val="single" w:sz="4" w:space="0" w:color="auto"/>
            </w:tcBorders>
            <w:shd w:val="clear" w:color="auto" w:fill="auto"/>
            <w:noWrap/>
            <w:vAlign w:val="center"/>
          </w:tcPr>
          <w:p w:rsidR="006420DA" w:rsidRPr="00730AE6" w:rsidRDefault="001F1F77"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20.182.859</w:t>
            </w:r>
          </w:p>
        </w:tc>
        <w:tc>
          <w:tcPr>
            <w:tcW w:w="252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w:t>
            </w:r>
          </w:p>
        </w:tc>
        <w:tc>
          <w:tcPr>
            <w:tcW w:w="1070" w:type="dxa"/>
            <w:shd w:val="clear" w:color="auto" w:fill="auto"/>
            <w:noWrap/>
            <w:vAlign w:val="center"/>
          </w:tcPr>
          <w:p w:rsidR="006420DA" w:rsidRPr="00730AE6" w:rsidRDefault="006420DA" w:rsidP="006420DA">
            <w:pPr>
              <w:spacing w:after="0"/>
              <w:ind w:firstLine="0"/>
              <w:jc w:val="right"/>
              <w:rPr>
                <w:rFonts w:ascii="Arial Narrow" w:hAnsi="Arial Narrow" w:cs="Arial"/>
                <w:color w:val="000000"/>
                <w:sz w:val="16"/>
                <w:szCs w:val="16"/>
                <w:lang w:val="es-ES" w:eastAsia="es-ES"/>
              </w:rPr>
            </w:pPr>
          </w:p>
        </w:tc>
        <w:tc>
          <w:tcPr>
            <w:tcW w:w="1056" w:type="dxa"/>
            <w:shd w:val="clear" w:color="auto" w:fill="auto"/>
            <w:noWrap/>
            <w:vAlign w:val="center"/>
          </w:tcPr>
          <w:p w:rsidR="006420DA" w:rsidRPr="00730AE6" w:rsidRDefault="006420DA" w:rsidP="006420DA">
            <w:pPr>
              <w:spacing w:after="0"/>
              <w:ind w:firstLine="0"/>
              <w:jc w:val="right"/>
              <w:rPr>
                <w:rFonts w:ascii="Arial Narrow" w:hAnsi="Arial Narrow" w:cs="Arial"/>
                <w:color w:val="000000"/>
                <w:sz w:val="16"/>
                <w:szCs w:val="16"/>
                <w:lang w:val="es-ES" w:eastAsia="es-ES"/>
              </w:rPr>
            </w:pPr>
          </w:p>
        </w:tc>
      </w:tr>
      <w:tr w:rsidR="00E313DF" w:rsidRPr="00730AE6" w:rsidTr="00A277E6">
        <w:trPr>
          <w:trHeight w:val="284"/>
          <w:jc w:val="center"/>
        </w:trPr>
        <w:tc>
          <w:tcPr>
            <w:tcW w:w="2835" w:type="dxa"/>
            <w:shd w:val="clear" w:color="auto" w:fill="auto"/>
            <w:vAlign w:val="center"/>
          </w:tcPr>
          <w:p w:rsidR="00E313DF" w:rsidRPr="00730AE6" w:rsidRDefault="00E313DF" w:rsidP="006420DA">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xml:space="preserve"> 6. Amortizaciones</w:t>
            </w:r>
          </w:p>
        </w:tc>
        <w:tc>
          <w:tcPr>
            <w:tcW w:w="1030" w:type="dxa"/>
            <w:shd w:val="clear" w:color="auto" w:fill="auto"/>
            <w:noWrap/>
            <w:vAlign w:val="center"/>
          </w:tcPr>
          <w:p w:rsidR="00E313DF" w:rsidRPr="00730AE6" w:rsidRDefault="00E313DF"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-127.027.153</w:t>
            </w:r>
          </w:p>
        </w:tc>
        <w:tc>
          <w:tcPr>
            <w:tcW w:w="1030" w:type="dxa"/>
            <w:tcBorders>
              <w:right w:val="single" w:sz="4" w:space="0" w:color="auto"/>
            </w:tcBorders>
            <w:shd w:val="clear" w:color="auto" w:fill="auto"/>
            <w:noWrap/>
            <w:vAlign w:val="center"/>
          </w:tcPr>
          <w:p w:rsidR="00E313DF" w:rsidRPr="00730AE6" w:rsidRDefault="00E313DF"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-130.993.245</w:t>
            </w:r>
          </w:p>
        </w:tc>
        <w:tc>
          <w:tcPr>
            <w:tcW w:w="2529" w:type="dxa"/>
            <w:tcBorders>
              <w:left w:val="single" w:sz="4" w:space="0" w:color="auto"/>
            </w:tcBorders>
            <w:shd w:val="clear" w:color="auto" w:fill="auto"/>
            <w:vAlign w:val="center"/>
          </w:tcPr>
          <w:p w:rsidR="00E313DF" w:rsidRPr="00730AE6" w:rsidRDefault="00E313DF" w:rsidP="006420DA">
            <w:pPr>
              <w:spacing w:after="0"/>
              <w:ind w:firstLine="0"/>
              <w:jc w:val="left"/>
              <w:rPr>
                <w:rFonts w:ascii="Arial Narrow" w:hAnsi="Arial Narrow" w:cs="Arial"/>
                <w:b/>
                <w:bCs/>
                <w:sz w:val="18"/>
                <w:szCs w:val="18"/>
                <w:lang w:val="es-ES" w:eastAsia="es-ES"/>
              </w:rPr>
            </w:pPr>
            <w:r w:rsidRPr="00730AE6">
              <w:rPr>
                <w:rFonts w:ascii="Arial Narrow" w:hAnsi="Arial Narrow" w:cs="Arial"/>
                <w:b/>
                <w:bCs/>
                <w:sz w:val="18"/>
                <w:szCs w:val="18"/>
                <w:lang w:val="es-ES" w:eastAsia="es-ES"/>
              </w:rPr>
              <w:t xml:space="preserve"> IV. Resultados del ejercicio</w:t>
            </w:r>
          </w:p>
        </w:tc>
        <w:tc>
          <w:tcPr>
            <w:tcW w:w="1070" w:type="dxa"/>
            <w:shd w:val="clear" w:color="auto" w:fill="auto"/>
            <w:noWrap/>
            <w:vAlign w:val="center"/>
          </w:tcPr>
          <w:p w:rsidR="00E313DF" w:rsidRPr="00730AE6" w:rsidRDefault="00E313DF" w:rsidP="006908A0">
            <w:pPr>
              <w:spacing w:after="0"/>
              <w:ind w:firstLine="0"/>
              <w:jc w:val="right"/>
              <w:rPr>
                <w:rFonts w:ascii="Arial Narrow" w:hAnsi="Arial Narrow" w:cs="Arial"/>
                <w:b/>
                <w:color w:val="000000"/>
                <w:sz w:val="16"/>
                <w:szCs w:val="16"/>
                <w:lang w:val="es-ES" w:eastAsia="es-ES"/>
              </w:rPr>
            </w:pPr>
            <w:r w:rsidRPr="00730AE6">
              <w:rPr>
                <w:rFonts w:ascii="Arial Narrow" w:hAnsi="Arial Narrow" w:cs="Arial"/>
                <w:b/>
                <w:color w:val="000000"/>
                <w:sz w:val="16"/>
                <w:szCs w:val="16"/>
                <w:lang w:val="es-ES" w:eastAsia="es-ES"/>
              </w:rPr>
              <w:t>-3.464.397</w:t>
            </w:r>
          </w:p>
        </w:tc>
        <w:tc>
          <w:tcPr>
            <w:tcW w:w="1056" w:type="dxa"/>
            <w:shd w:val="clear" w:color="auto" w:fill="auto"/>
            <w:noWrap/>
            <w:vAlign w:val="center"/>
          </w:tcPr>
          <w:p w:rsidR="00E313DF" w:rsidRPr="00730AE6" w:rsidRDefault="009516BD" w:rsidP="006420DA">
            <w:pPr>
              <w:spacing w:after="0"/>
              <w:ind w:firstLine="0"/>
              <w:jc w:val="right"/>
              <w:rPr>
                <w:rFonts w:ascii="Arial Narrow" w:hAnsi="Arial Narrow" w:cs="Arial"/>
                <w:b/>
                <w:color w:val="000000"/>
                <w:sz w:val="16"/>
                <w:szCs w:val="16"/>
                <w:lang w:val="es-ES" w:eastAsia="es-ES"/>
              </w:rPr>
            </w:pPr>
            <w:r w:rsidRPr="00730AE6">
              <w:rPr>
                <w:rFonts w:ascii="Arial Narrow" w:hAnsi="Arial Narrow" w:cs="Arial"/>
                <w:b/>
                <w:color w:val="000000"/>
                <w:sz w:val="16"/>
                <w:szCs w:val="16"/>
                <w:lang w:val="es-ES" w:eastAsia="es-ES"/>
              </w:rPr>
              <w:t>-4.201.077</w:t>
            </w:r>
          </w:p>
        </w:tc>
      </w:tr>
      <w:tr w:rsidR="00E313DF" w:rsidRPr="00730AE6" w:rsidTr="00A277E6">
        <w:trPr>
          <w:trHeight w:val="284"/>
          <w:jc w:val="center"/>
        </w:trPr>
        <w:tc>
          <w:tcPr>
            <w:tcW w:w="2835" w:type="dxa"/>
            <w:shd w:val="clear" w:color="auto" w:fill="auto"/>
            <w:vAlign w:val="center"/>
          </w:tcPr>
          <w:p w:rsidR="00E313DF" w:rsidRPr="00730AE6" w:rsidRDefault="00E313DF" w:rsidP="006420DA">
            <w:pPr>
              <w:spacing w:after="0"/>
              <w:ind w:firstLine="0"/>
              <w:jc w:val="left"/>
              <w:rPr>
                <w:rFonts w:ascii="Arial Narrow" w:hAnsi="Arial Narrow" w:cs="Arial"/>
                <w:bCs/>
                <w:sz w:val="18"/>
                <w:szCs w:val="18"/>
                <w:lang w:val="es-ES" w:eastAsia="es-ES"/>
              </w:rPr>
            </w:pPr>
            <w:r w:rsidRPr="00730AE6">
              <w:rPr>
                <w:rFonts w:ascii="Arial Narrow" w:hAnsi="Arial Narrow" w:cs="Arial"/>
                <w:b/>
                <w:bCs/>
                <w:sz w:val="18"/>
                <w:szCs w:val="18"/>
                <w:lang w:val="es-ES" w:eastAsia="es-ES"/>
              </w:rPr>
              <w:t>V. Inversiones financieras permanen</w:t>
            </w:r>
            <w:r w:rsidRPr="00730AE6">
              <w:rPr>
                <w:rFonts w:ascii="Arial Narrow" w:hAnsi="Arial Narrow" w:cs="Arial"/>
                <w:bCs/>
                <w:sz w:val="18"/>
                <w:szCs w:val="18"/>
                <w:lang w:val="es-ES" w:eastAsia="es-ES"/>
              </w:rPr>
              <w:t xml:space="preserve">. </w:t>
            </w:r>
          </w:p>
        </w:tc>
        <w:tc>
          <w:tcPr>
            <w:tcW w:w="1030" w:type="dxa"/>
            <w:shd w:val="clear" w:color="auto" w:fill="auto"/>
            <w:noWrap/>
            <w:vAlign w:val="center"/>
          </w:tcPr>
          <w:p w:rsidR="00E313DF" w:rsidRPr="00730AE6" w:rsidRDefault="00E313DF" w:rsidP="00D00A4E">
            <w:pPr>
              <w:spacing w:after="0"/>
              <w:ind w:firstLine="0"/>
              <w:jc w:val="right"/>
              <w:rPr>
                <w:rFonts w:ascii="Arial Narrow" w:hAnsi="Arial Narrow" w:cs="Arial"/>
                <w:b/>
                <w:color w:val="000000"/>
                <w:sz w:val="16"/>
                <w:szCs w:val="16"/>
                <w:lang w:val="es-ES" w:eastAsia="es-ES"/>
              </w:rPr>
            </w:pPr>
            <w:r w:rsidRPr="00730AE6">
              <w:rPr>
                <w:rFonts w:ascii="Arial Narrow" w:hAnsi="Arial Narrow" w:cs="Arial"/>
                <w:b/>
                <w:color w:val="000000"/>
                <w:sz w:val="16"/>
                <w:szCs w:val="16"/>
                <w:lang w:val="es-ES" w:eastAsia="es-ES"/>
              </w:rPr>
              <w:t>287.77</w:t>
            </w:r>
            <w:r w:rsidR="00D00A4E" w:rsidRPr="00730AE6">
              <w:rPr>
                <w:rFonts w:ascii="Arial Narrow" w:hAnsi="Arial Narrow" w:cs="Arial"/>
                <w:b/>
                <w:color w:val="000000"/>
                <w:sz w:val="16"/>
                <w:szCs w:val="16"/>
                <w:lang w:val="es-ES" w:eastAsia="es-ES"/>
              </w:rPr>
              <w:t>8</w:t>
            </w:r>
          </w:p>
        </w:tc>
        <w:tc>
          <w:tcPr>
            <w:tcW w:w="1030" w:type="dxa"/>
            <w:tcBorders>
              <w:right w:val="single" w:sz="4" w:space="0" w:color="auto"/>
            </w:tcBorders>
            <w:shd w:val="clear" w:color="auto" w:fill="auto"/>
            <w:noWrap/>
            <w:vAlign w:val="center"/>
          </w:tcPr>
          <w:p w:rsidR="00E313DF" w:rsidRPr="00730AE6" w:rsidRDefault="00E313DF" w:rsidP="006420DA">
            <w:pPr>
              <w:spacing w:after="0"/>
              <w:ind w:firstLine="0"/>
              <w:jc w:val="right"/>
              <w:rPr>
                <w:rFonts w:ascii="Arial Narrow" w:hAnsi="Arial Narrow" w:cs="Arial"/>
                <w:b/>
                <w:bCs/>
                <w:sz w:val="16"/>
                <w:szCs w:val="16"/>
                <w:lang w:val="es-ES" w:eastAsia="es-ES"/>
              </w:rPr>
            </w:pPr>
            <w:r w:rsidRPr="00730AE6">
              <w:rPr>
                <w:rFonts w:ascii="Arial Narrow" w:hAnsi="Arial Narrow" w:cs="Arial"/>
                <w:b/>
                <w:bCs/>
                <w:sz w:val="16"/>
                <w:szCs w:val="16"/>
                <w:lang w:val="es-ES" w:eastAsia="es-ES"/>
              </w:rPr>
              <w:t>293.389</w:t>
            </w:r>
          </w:p>
        </w:tc>
        <w:tc>
          <w:tcPr>
            <w:tcW w:w="2529" w:type="dxa"/>
            <w:tcBorders>
              <w:left w:val="single" w:sz="4" w:space="0" w:color="auto"/>
            </w:tcBorders>
            <w:shd w:val="clear" w:color="auto" w:fill="auto"/>
            <w:vAlign w:val="center"/>
          </w:tcPr>
          <w:p w:rsidR="00E313DF" w:rsidRPr="00730AE6" w:rsidRDefault="00E313DF" w:rsidP="006420DA">
            <w:pPr>
              <w:spacing w:after="0"/>
              <w:ind w:firstLine="0"/>
              <w:jc w:val="left"/>
              <w:rPr>
                <w:rFonts w:ascii="Arial Narrow" w:hAnsi="Arial Narrow" w:cs="Arial"/>
                <w:b/>
                <w:sz w:val="17"/>
                <w:szCs w:val="17"/>
                <w:lang w:val="es-ES" w:eastAsia="es-ES"/>
              </w:rPr>
            </w:pPr>
            <w:r w:rsidRPr="00730AE6">
              <w:rPr>
                <w:rFonts w:ascii="Arial Narrow" w:hAnsi="Arial Narrow" w:cs="Arial"/>
                <w:b/>
                <w:sz w:val="17"/>
                <w:szCs w:val="17"/>
                <w:lang w:val="es-ES" w:eastAsia="es-ES"/>
              </w:rPr>
              <w:t>B) PROV. RIESGOS Y GASTOS</w:t>
            </w:r>
          </w:p>
        </w:tc>
        <w:tc>
          <w:tcPr>
            <w:tcW w:w="1070" w:type="dxa"/>
            <w:shd w:val="clear" w:color="auto" w:fill="auto"/>
            <w:noWrap/>
            <w:vAlign w:val="center"/>
          </w:tcPr>
          <w:p w:rsidR="00E313DF" w:rsidRPr="00730AE6" w:rsidRDefault="00E313DF" w:rsidP="006908A0">
            <w:pPr>
              <w:spacing w:after="0"/>
              <w:ind w:firstLine="0"/>
              <w:jc w:val="right"/>
              <w:rPr>
                <w:rFonts w:ascii="Arial Narrow" w:hAnsi="Arial Narrow" w:cs="Arial"/>
                <w:b/>
                <w:color w:val="000000"/>
                <w:sz w:val="16"/>
                <w:szCs w:val="16"/>
                <w:lang w:val="es-ES" w:eastAsia="es-ES"/>
              </w:rPr>
            </w:pPr>
            <w:r w:rsidRPr="00730AE6">
              <w:rPr>
                <w:rFonts w:ascii="Arial Narrow" w:hAnsi="Arial Narrow" w:cs="Arial"/>
                <w:b/>
                <w:color w:val="000000"/>
                <w:sz w:val="16"/>
                <w:szCs w:val="16"/>
                <w:lang w:val="es-ES" w:eastAsia="es-ES"/>
              </w:rPr>
              <w:t>529.984</w:t>
            </w:r>
          </w:p>
        </w:tc>
        <w:tc>
          <w:tcPr>
            <w:tcW w:w="1056" w:type="dxa"/>
            <w:shd w:val="clear" w:color="auto" w:fill="auto"/>
            <w:noWrap/>
            <w:vAlign w:val="center"/>
          </w:tcPr>
          <w:p w:rsidR="00E313DF" w:rsidRPr="00730AE6" w:rsidRDefault="009516BD" w:rsidP="006420DA">
            <w:pPr>
              <w:spacing w:after="0"/>
              <w:ind w:firstLine="0"/>
              <w:jc w:val="right"/>
              <w:rPr>
                <w:rFonts w:ascii="Arial Narrow" w:hAnsi="Arial Narrow" w:cs="Arial"/>
                <w:b/>
                <w:color w:val="000000"/>
                <w:sz w:val="16"/>
                <w:szCs w:val="16"/>
                <w:lang w:val="es-ES" w:eastAsia="es-ES"/>
              </w:rPr>
            </w:pPr>
            <w:r w:rsidRPr="00730AE6">
              <w:rPr>
                <w:rFonts w:ascii="Arial Narrow" w:hAnsi="Arial Narrow" w:cs="Arial"/>
                <w:b/>
                <w:color w:val="000000"/>
                <w:sz w:val="16"/>
                <w:szCs w:val="16"/>
                <w:lang w:val="es-ES" w:eastAsia="es-ES"/>
              </w:rPr>
              <w:t>98.189</w:t>
            </w:r>
          </w:p>
        </w:tc>
      </w:tr>
      <w:tr w:rsidR="00E313DF" w:rsidRPr="00730AE6" w:rsidTr="00A277E6">
        <w:trPr>
          <w:trHeight w:val="284"/>
          <w:jc w:val="center"/>
        </w:trPr>
        <w:tc>
          <w:tcPr>
            <w:tcW w:w="2835" w:type="dxa"/>
            <w:shd w:val="clear" w:color="auto" w:fill="auto"/>
            <w:vAlign w:val="center"/>
          </w:tcPr>
          <w:p w:rsidR="00E313DF" w:rsidRPr="00730AE6" w:rsidRDefault="00E313DF" w:rsidP="006420DA">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1. Cartera de valores a largo plazo</w:t>
            </w:r>
          </w:p>
        </w:tc>
        <w:tc>
          <w:tcPr>
            <w:tcW w:w="1030" w:type="dxa"/>
            <w:shd w:val="clear" w:color="auto" w:fill="auto"/>
            <w:noWrap/>
            <w:vAlign w:val="center"/>
          </w:tcPr>
          <w:p w:rsidR="00E313DF" w:rsidRPr="00730AE6" w:rsidRDefault="00E313DF" w:rsidP="00D00A4E">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282.77</w:t>
            </w:r>
            <w:r w:rsidR="00D00A4E" w:rsidRPr="00730AE6">
              <w:rPr>
                <w:rFonts w:ascii="Arial Narrow" w:hAnsi="Arial Narrow" w:cs="Arial"/>
                <w:color w:val="000000"/>
                <w:sz w:val="16"/>
                <w:szCs w:val="16"/>
                <w:lang w:val="es-ES" w:eastAsia="es-ES"/>
              </w:rPr>
              <w:t>7</w:t>
            </w:r>
          </w:p>
        </w:tc>
        <w:tc>
          <w:tcPr>
            <w:tcW w:w="1030" w:type="dxa"/>
            <w:tcBorders>
              <w:right w:val="single" w:sz="4" w:space="0" w:color="auto"/>
            </w:tcBorders>
            <w:shd w:val="clear" w:color="auto" w:fill="auto"/>
            <w:noWrap/>
            <w:vAlign w:val="center"/>
          </w:tcPr>
          <w:p w:rsidR="00E313DF" w:rsidRPr="00730AE6" w:rsidRDefault="00E313DF" w:rsidP="006420DA">
            <w:pPr>
              <w:spacing w:after="0"/>
              <w:ind w:firstLine="0"/>
              <w:jc w:val="right"/>
              <w:rPr>
                <w:rFonts w:ascii="Arial Narrow" w:hAnsi="Arial Narrow" w:cs="Arial"/>
                <w:bCs/>
                <w:sz w:val="16"/>
                <w:szCs w:val="16"/>
                <w:lang w:val="es-ES" w:eastAsia="es-ES"/>
              </w:rPr>
            </w:pPr>
            <w:r w:rsidRPr="00730AE6">
              <w:rPr>
                <w:rFonts w:ascii="Arial Narrow" w:hAnsi="Arial Narrow" w:cs="Arial"/>
                <w:bCs/>
                <w:sz w:val="16"/>
                <w:szCs w:val="16"/>
                <w:lang w:val="es-ES" w:eastAsia="es-ES"/>
              </w:rPr>
              <w:t>288.788</w:t>
            </w:r>
          </w:p>
        </w:tc>
        <w:tc>
          <w:tcPr>
            <w:tcW w:w="2529" w:type="dxa"/>
            <w:tcBorders>
              <w:left w:val="single" w:sz="4" w:space="0" w:color="auto"/>
            </w:tcBorders>
            <w:shd w:val="clear" w:color="auto" w:fill="auto"/>
            <w:vAlign w:val="center"/>
          </w:tcPr>
          <w:p w:rsidR="00E313DF" w:rsidRPr="00730AE6" w:rsidRDefault="00E313DF" w:rsidP="006420DA">
            <w:pPr>
              <w:spacing w:after="0"/>
              <w:ind w:firstLine="0"/>
              <w:jc w:val="left"/>
              <w:rPr>
                <w:rFonts w:ascii="Arial Narrow" w:hAnsi="Arial Narrow" w:cs="Arial"/>
                <w:b/>
                <w:bCs/>
                <w:sz w:val="17"/>
                <w:szCs w:val="17"/>
                <w:lang w:val="es-ES" w:eastAsia="es-ES"/>
              </w:rPr>
            </w:pPr>
            <w:r w:rsidRPr="00730AE6">
              <w:rPr>
                <w:rFonts w:ascii="Arial Narrow" w:hAnsi="Arial Narrow" w:cs="Arial"/>
                <w:b/>
                <w:bCs/>
                <w:sz w:val="17"/>
                <w:szCs w:val="17"/>
                <w:lang w:val="es-ES" w:eastAsia="es-ES"/>
              </w:rPr>
              <w:t>C) ACREEDORES A L/P</w:t>
            </w:r>
          </w:p>
        </w:tc>
        <w:tc>
          <w:tcPr>
            <w:tcW w:w="1070" w:type="dxa"/>
            <w:shd w:val="clear" w:color="auto" w:fill="auto"/>
            <w:noWrap/>
            <w:vAlign w:val="center"/>
          </w:tcPr>
          <w:p w:rsidR="00E313DF" w:rsidRPr="00730AE6" w:rsidRDefault="00E313DF" w:rsidP="006908A0">
            <w:pPr>
              <w:spacing w:after="0"/>
              <w:ind w:firstLine="0"/>
              <w:jc w:val="right"/>
              <w:rPr>
                <w:rFonts w:ascii="Arial Narrow" w:hAnsi="Arial Narrow" w:cs="Arial"/>
                <w:b/>
                <w:color w:val="000000"/>
                <w:sz w:val="16"/>
                <w:szCs w:val="16"/>
                <w:lang w:val="es-ES" w:eastAsia="es-ES"/>
              </w:rPr>
            </w:pPr>
            <w:r w:rsidRPr="00730AE6">
              <w:rPr>
                <w:rFonts w:ascii="Arial Narrow" w:hAnsi="Arial Narrow" w:cs="Arial"/>
                <w:b/>
                <w:color w:val="000000"/>
                <w:sz w:val="16"/>
                <w:szCs w:val="16"/>
                <w:lang w:val="es-ES" w:eastAsia="es-ES"/>
              </w:rPr>
              <w:t>2.292.202</w:t>
            </w:r>
          </w:p>
        </w:tc>
        <w:tc>
          <w:tcPr>
            <w:tcW w:w="1056" w:type="dxa"/>
            <w:shd w:val="clear" w:color="auto" w:fill="auto"/>
            <w:noWrap/>
            <w:vAlign w:val="center"/>
          </w:tcPr>
          <w:p w:rsidR="00E313DF" w:rsidRPr="00730AE6" w:rsidRDefault="009516BD" w:rsidP="009516BD">
            <w:pPr>
              <w:spacing w:after="0"/>
              <w:ind w:firstLine="0"/>
              <w:jc w:val="right"/>
              <w:rPr>
                <w:rFonts w:ascii="Arial Narrow" w:hAnsi="Arial Narrow" w:cs="Arial"/>
                <w:b/>
                <w:color w:val="000000"/>
                <w:sz w:val="16"/>
                <w:szCs w:val="16"/>
                <w:lang w:val="es-ES" w:eastAsia="es-ES"/>
              </w:rPr>
            </w:pPr>
            <w:r w:rsidRPr="00730AE6">
              <w:rPr>
                <w:rFonts w:ascii="Arial Narrow" w:hAnsi="Arial Narrow" w:cs="Arial"/>
                <w:b/>
                <w:color w:val="000000"/>
                <w:sz w:val="16"/>
                <w:szCs w:val="16"/>
                <w:lang w:val="es-ES" w:eastAsia="es-ES"/>
              </w:rPr>
              <w:t>3.251.460</w:t>
            </w:r>
          </w:p>
        </w:tc>
      </w:tr>
      <w:tr w:rsidR="00E313DF" w:rsidRPr="00730AE6" w:rsidTr="00A277E6">
        <w:trPr>
          <w:trHeight w:val="284"/>
          <w:jc w:val="center"/>
        </w:trPr>
        <w:tc>
          <w:tcPr>
            <w:tcW w:w="2835" w:type="dxa"/>
            <w:shd w:val="clear" w:color="auto" w:fill="auto"/>
            <w:vAlign w:val="center"/>
          </w:tcPr>
          <w:p w:rsidR="00E313DF" w:rsidRPr="00730AE6" w:rsidRDefault="00E313DF" w:rsidP="006420DA">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3. Fianzas y depósitos constituidos  L/P</w:t>
            </w:r>
          </w:p>
        </w:tc>
        <w:tc>
          <w:tcPr>
            <w:tcW w:w="1030" w:type="dxa"/>
            <w:shd w:val="clear" w:color="auto" w:fill="auto"/>
            <w:noWrap/>
            <w:vAlign w:val="center"/>
          </w:tcPr>
          <w:p w:rsidR="00E313DF" w:rsidRPr="00730AE6" w:rsidRDefault="00E313DF"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5</w:t>
            </w:r>
            <w:r w:rsidR="00C47216" w:rsidRPr="00730AE6">
              <w:rPr>
                <w:rFonts w:ascii="Arial Narrow" w:hAnsi="Arial Narrow" w:cs="Arial"/>
                <w:color w:val="000000"/>
                <w:sz w:val="16"/>
                <w:szCs w:val="16"/>
                <w:lang w:val="es-ES" w:eastAsia="es-ES"/>
              </w:rPr>
              <w:t>.</w:t>
            </w:r>
            <w:r w:rsidRPr="00730AE6">
              <w:rPr>
                <w:rFonts w:ascii="Arial Narrow" w:hAnsi="Arial Narrow" w:cs="Arial"/>
                <w:color w:val="000000"/>
                <w:sz w:val="16"/>
                <w:szCs w:val="16"/>
                <w:lang w:val="es-ES" w:eastAsia="es-ES"/>
              </w:rPr>
              <w:t>001</w:t>
            </w:r>
          </w:p>
        </w:tc>
        <w:tc>
          <w:tcPr>
            <w:tcW w:w="1030" w:type="dxa"/>
            <w:tcBorders>
              <w:right w:val="single" w:sz="4" w:space="0" w:color="auto"/>
            </w:tcBorders>
            <w:shd w:val="clear" w:color="auto" w:fill="auto"/>
            <w:noWrap/>
            <w:vAlign w:val="center"/>
          </w:tcPr>
          <w:p w:rsidR="00E313DF" w:rsidRPr="00730AE6" w:rsidRDefault="00E313DF" w:rsidP="006420DA">
            <w:pPr>
              <w:spacing w:after="0"/>
              <w:ind w:firstLine="0"/>
              <w:jc w:val="right"/>
              <w:rPr>
                <w:rFonts w:ascii="Arial Narrow" w:hAnsi="Arial Narrow" w:cs="Arial"/>
                <w:bCs/>
                <w:sz w:val="16"/>
                <w:szCs w:val="16"/>
                <w:lang w:val="es-ES" w:eastAsia="es-ES"/>
              </w:rPr>
            </w:pPr>
            <w:r w:rsidRPr="00730AE6">
              <w:rPr>
                <w:rFonts w:ascii="Arial Narrow" w:hAnsi="Arial Narrow" w:cs="Arial"/>
                <w:bCs/>
                <w:sz w:val="16"/>
                <w:szCs w:val="16"/>
                <w:lang w:val="es-ES" w:eastAsia="es-ES"/>
              </w:rPr>
              <w:t>4.601</w:t>
            </w:r>
          </w:p>
        </w:tc>
        <w:tc>
          <w:tcPr>
            <w:tcW w:w="2529" w:type="dxa"/>
            <w:tcBorders>
              <w:left w:val="single" w:sz="4" w:space="0" w:color="auto"/>
            </w:tcBorders>
            <w:shd w:val="clear" w:color="auto" w:fill="auto"/>
            <w:vAlign w:val="center"/>
          </w:tcPr>
          <w:p w:rsidR="00E313DF" w:rsidRPr="00730AE6" w:rsidRDefault="00E313DF" w:rsidP="006420DA">
            <w:pPr>
              <w:spacing w:after="0"/>
              <w:ind w:firstLine="0"/>
              <w:jc w:val="left"/>
              <w:rPr>
                <w:rFonts w:ascii="Arial Narrow" w:hAnsi="Arial Narrow" w:cs="Arial"/>
                <w:b/>
                <w:bCs/>
                <w:sz w:val="18"/>
                <w:szCs w:val="18"/>
                <w:lang w:val="es-ES" w:eastAsia="es-ES"/>
              </w:rPr>
            </w:pPr>
            <w:r w:rsidRPr="00730AE6">
              <w:rPr>
                <w:rFonts w:ascii="Arial Narrow" w:hAnsi="Arial Narrow" w:cs="Arial"/>
                <w:b/>
                <w:bCs/>
                <w:sz w:val="18"/>
                <w:szCs w:val="18"/>
                <w:lang w:val="es-ES" w:eastAsia="es-ES"/>
              </w:rPr>
              <w:t xml:space="preserve"> II. Otras deudas a largo plazo </w:t>
            </w:r>
          </w:p>
        </w:tc>
        <w:tc>
          <w:tcPr>
            <w:tcW w:w="1070" w:type="dxa"/>
            <w:shd w:val="clear" w:color="auto" w:fill="auto"/>
            <w:noWrap/>
            <w:vAlign w:val="center"/>
          </w:tcPr>
          <w:p w:rsidR="00E313DF" w:rsidRPr="00730AE6" w:rsidRDefault="00E313DF" w:rsidP="006908A0">
            <w:pPr>
              <w:spacing w:after="0"/>
              <w:ind w:firstLine="0"/>
              <w:jc w:val="right"/>
              <w:rPr>
                <w:rFonts w:ascii="Arial Narrow" w:hAnsi="Arial Narrow" w:cs="Arial"/>
                <w:b/>
                <w:color w:val="000000"/>
                <w:sz w:val="16"/>
                <w:szCs w:val="16"/>
                <w:lang w:val="es-ES" w:eastAsia="es-ES"/>
              </w:rPr>
            </w:pPr>
            <w:r w:rsidRPr="00730AE6">
              <w:rPr>
                <w:rFonts w:ascii="Arial Narrow" w:hAnsi="Arial Narrow" w:cs="Arial"/>
                <w:b/>
                <w:color w:val="000000"/>
                <w:sz w:val="16"/>
                <w:szCs w:val="16"/>
                <w:lang w:val="es-ES" w:eastAsia="es-ES"/>
              </w:rPr>
              <w:t>2.292.202</w:t>
            </w:r>
          </w:p>
        </w:tc>
        <w:tc>
          <w:tcPr>
            <w:tcW w:w="1056" w:type="dxa"/>
            <w:shd w:val="clear" w:color="auto" w:fill="auto"/>
            <w:noWrap/>
            <w:vAlign w:val="center"/>
          </w:tcPr>
          <w:p w:rsidR="00E313DF" w:rsidRPr="00730AE6" w:rsidRDefault="009516BD" w:rsidP="006420DA">
            <w:pPr>
              <w:spacing w:after="0"/>
              <w:ind w:firstLine="0"/>
              <w:jc w:val="right"/>
              <w:rPr>
                <w:rFonts w:ascii="Arial Narrow" w:hAnsi="Arial Narrow" w:cs="Arial"/>
                <w:b/>
                <w:color w:val="000000"/>
                <w:sz w:val="16"/>
                <w:szCs w:val="16"/>
                <w:lang w:val="es-ES" w:eastAsia="es-ES"/>
              </w:rPr>
            </w:pPr>
            <w:r w:rsidRPr="00730AE6">
              <w:rPr>
                <w:rFonts w:ascii="Arial Narrow" w:hAnsi="Arial Narrow" w:cs="Arial"/>
                <w:b/>
                <w:color w:val="000000"/>
                <w:sz w:val="16"/>
                <w:szCs w:val="16"/>
                <w:lang w:val="es-ES" w:eastAsia="es-ES"/>
              </w:rPr>
              <w:t>3.251.460</w:t>
            </w:r>
          </w:p>
        </w:tc>
      </w:tr>
      <w:tr w:rsidR="00E313DF" w:rsidRPr="00730AE6" w:rsidTr="004058F4">
        <w:trPr>
          <w:trHeight w:val="558"/>
          <w:jc w:val="center"/>
        </w:trPr>
        <w:tc>
          <w:tcPr>
            <w:tcW w:w="2835" w:type="dxa"/>
            <w:shd w:val="clear" w:color="auto" w:fill="auto"/>
            <w:vAlign w:val="center"/>
          </w:tcPr>
          <w:p w:rsidR="00E313DF" w:rsidRPr="00730AE6" w:rsidRDefault="00E313DF" w:rsidP="006420DA">
            <w:pPr>
              <w:spacing w:after="0"/>
              <w:ind w:firstLine="0"/>
              <w:jc w:val="left"/>
              <w:rPr>
                <w:rFonts w:ascii="Arial Narrow" w:hAnsi="Arial Narrow" w:cs="Arial"/>
                <w:b/>
                <w:bCs/>
                <w:sz w:val="17"/>
                <w:szCs w:val="17"/>
                <w:lang w:val="es-ES" w:eastAsia="es-ES"/>
              </w:rPr>
            </w:pPr>
            <w:r w:rsidRPr="00730AE6">
              <w:rPr>
                <w:rFonts w:ascii="Arial Narrow" w:hAnsi="Arial Narrow" w:cs="Arial"/>
                <w:b/>
                <w:bCs/>
                <w:sz w:val="17"/>
                <w:szCs w:val="17"/>
                <w:lang w:val="es-ES" w:eastAsia="es-ES"/>
              </w:rPr>
              <w:t>B) GASTOS A DISTRIBUIR EN VARIOS EJERCICIOS</w:t>
            </w:r>
          </w:p>
        </w:tc>
        <w:tc>
          <w:tcPr>
            <w:tcW w:w="1030" w:type="dxa"/>
            <w:shd w:val="clear" w:color="auto" w:fill="auto"/>
            <w:noWrap/>
            <w:vAlign w:val="center"/>
          </w:tcPr>
          <w:p w:rsidR="00E313DF" w:rsidRPr="00730AE6" w:rsidRDefault="00E313DF" w:rsidP="006420DA">
            <w:pPr>
              <w:spacing w:after="0"/>
              <w:ind w:firstLine="0"/>
              <w:jc w:val="right"/>
              <w:rPr>
                <w:rFonts w:ascii="Arial Narrow" w:hAnsi="Arial Narrow" w:cs="Arial"/>
                <w:b/>
                <w:color w:val="000000"/>
                <w:sz w:val="16"/>
                <w:szCs w:val="16"/>
                <w:lang w:val="es-ES" w:eastAsia="es-ES"/>
              </w:rPr>
            </w:pPr>
            <w:r w:rsidRPr="00730AE6">
              <w:rPr>
                <w:rFonts w:ascii="Arial Narrow" w:hAnsi="Arial Narrow" w:cs="Arial"/>
                <w:b/>
                <w:color w:val="000000"/>
                <w:sz w:val="16"/>
                <w:szCs w:val="16"/>
                <w:lang w:val="es-ES" w:eastAsia="es-ES"/>
              </w:rPr>
              <w:t>0</w:t>
            </w:r>
          </w:p>
        </w:tc>
        <w:tc>
          <w:tcPr>
            <w:tcW w:w="1030" w:type="dxa"/>
            <w:tcBorders>
              <w:right w:val="single" w:sz="4" w:space="0" w:color="auto"/>
            </w:tcBorders>
            <w:shd w:val="clear" w:color="auto" w:fill="auto"/>
            <w:noWrap/>
            <w:vAlign w:val="center"/>
          </w:tcPr>
          <w:p w:rsidR="00E313DF" w:rsidRPr="00730AE6" w:rsidRDefault="00E313DF" w:rsidP="006420DA">
            <w:pPr>
              <w:spacing w:after="0"/>
              <w:ind w:firstLine="0"/>
              <w:jc w:val="right"/>
              <w:rPr>
                <w:rFonts w:ascii="Arial Narrow" w:hAnsi="Arial Narrow" w:cs="Arial"/>
                <w:b/>
                <w:bCs/>
                <w:sz w:val="16"/>
                <w:szCs w:val="16"/>
                <w:lang w:val="es-ES" w:eastAsia="es-ES"/>
              </w:rPr>
            </w:pPr>
            <w:r w:rsidRPr="00730AE6">
              <w:rPr>
                <w:rFonts w:ascii="Arial Narrow" w:hAnsi="Arial Narrow" w:cs="Arial"/>
                <w:b/>
                <w:bCs/>
                <w:sz w:val="16"/>
                <w:szCs w:val="16"/>
                <w:lang w:val="es-ES" w:eastAsia="es-ES"/>
              </w:rPr>
              <w:t>0</w:t>
            </w:r>
          </w:p>
        </w:tc>
        <w:tc>
          <w:tcPr>
            <w:tcW w:w="2529" w:type="dxa"/>
            <w:tcBorders>
              <w:left w:val="single" w:sz="4" w:space="0" w:color="auto"/>
            </w:tcBorders>
            <w:shd w:val="clear" w:color="auto" w:fill="auto"/>
            <w:vAlign w:val="center"/>
          </w:tcPr>
          <w:p w:rsidR="00E313DF" w:rsidRPr="00730AE6" w:rsidRDefault="00E313DF" w:rsidP="006420DA">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2. Otras deudas</w:t>
            </w:r>
          </w:p>
        </w:tc>
        <w:tc>
          <w:tcPr>
            <w:tcW w:w="1070" w:type="dxa"/>
            <w:shd w:val="clear" w:color="auto" w:fill="auto"/>
            <w:noWrap/>
            <w:vAlign w:val="center"/>
          </w:tcPr>
          <w:p w:rsidR="00E313DF" w:rsidRPr="00730AE6" w:rsidRDefault="00E313DF"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2.292.202</w:t>
            </w:r>
          </w:p>
        </w:tc>
        <w:tc>
          <w:tcPr>
            <w:tcW w:w="1056" w:type="dxa"/>
            <w:shd w:val="clear" w:color="auto" w:fill="auto"/>
            <w:noWrap/>
            <w:vAlign w:val="center"/>
          </w:tcPr>
          <w:p w:rsidR="00E313DF" w:rsidRPr="00730AE6" w:rsidRDefault="009516BD"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3.251.460</w:t>
            </w:r>
          </w:p>
        </w:tc>
      </w:tr>
      <w:tr w:rsidR="00E313DF" w:rsidRPr="00730AE6" w:rsidTr="00A277E6">
        <w:trPr>
          <w:trHeight w:val="284"/>
          <w:jc w:val="center"/>
        </w:trPr>
        <w:tc>
          <w:tcPr>
            <w:tcW w:w="2835" w:type="dxa"/>
            <w:shd w:val="clear" w:color="auto" w:fill="auto"/>
            <w:vAlign w:val="center"/>
          </w:tcPr>
          <w:p w:rsidR="00E313DF" w:rsidRPr="00730AE6" w:rsidRDefault="00E313DF" w:rsidP="006420DA">
            <w:pPr>
              <w:spacing w:after="0"/>
              <w:ind w:firstLine="0"/>
              <w:jc w:val="left"/>
              <w:rPr>
                <w:rFonts w:ascii="Arial Narrow" w:hAnsi="Arial Narrow" w:cs="Arial"/>
                <w:b/>
                <w:bCs/>
                <w:sz w:val="17"/>
                <w:szCs w:val="17"/>
                <w:lang w:val="es-ES" w:eastAsia="es-ES"/>
              </w:rPr>
            </w:pPr>
            <w:r w:rsidRPr="00730AE6">
              <w:rPr>
                <w:rFonts w:ascii="Arial Narrow" w:hAnsi="Arial Narrow" w:cs="Arial"/>
                <w:b/>
                <w:bCs/>
                <w:sz w:val="17"/>
                <w:szCs w:val="17"/>
                <w:lang w:val="es-ES" w:eastAsia="es-ES"/>
              </w:rPr>
              <w:t>C) ACTIVO CIRCULANTE</w:t>
            </w:r>
          </w:p>
        </w:tc>
        <w:tc>
          <w:tcPr>
            <w:tcW w:w="1030" w:type="dxa"/>
            <w:shd w:val="clear" w:color="auto" w:fill="auto"/>
            <w:noWrap/>
            <w:vAlign w:val="center"/>
          </w:tcPr>
          <w:p w:rsidR="00E313DF" w:rsidRPr="00730AE6" w:rsidRDefault="00E313DF" w:rsidP="008B71ED">
            <w:pPr>
              <w:spacing w:after="0"/>
              <w:ind w:firstLine="0"/>
              <w:jc w:val="right"/>
              <w:rPr>
                <w:rFonts w:ascii="Arial Narrow" w:hAnsi="Arial Narrow" w:cs="Arial"/>
                <w:b/>
                <w:color w:val="000000"/>
                <w:sz w:val="16"/>
                <w:szCs w:val="16"/>
                <w:lang w:val="es-ES" w:eastAsia="es-ES"/>
              </w:rPr>
            </w:pPr>
            <w:r w:rsidRPr="00730AE6">
              <w:rPr>
                <w:rFonts w:ascii="Arial Narrow" w:hAnsi="Arial Narrow" w:cs="Arial"/>
                <w:b/>
                <w:color w:val="000000"/>
                <w:sz w:val="16"/>
                <w:szCs w:val="16"/>
                <w:lang w:val="es-ES" w:eastAsia="es-ES"/>
              </w:rPr>
              <w:t>17.824.25</w:t>
            </w:r>
            <w:r w:rsidR="008B71ED" w:rsidRPr="00730AE6">
              <w:rPr>
                <w:rFonts w:ascii="Arial Narrow" w:hAnsi="Arial Narrow" w:cs="Arial"/>
                <w:b/>
                <w:color w:val="000000"/>
                <w:sz w:val="16"/>
                <w:szCs w:val="16"/>
                <w:lang w:val="es-ES" w:eastAsia="es-ES"/>
              </w:rPr>
              <w:t>3</w:t>
            </w:r>
          </w:p>
        </w:tc>
        <w:tc>
          <w:tcPr>
            <w:tcW w:w="1030" w:type="dxa"/>
            <w:tcBorders>
              <w:right w:val="single" w:sz="4" w:space="0" w:color="auto"/>
            </w:tcBorders>
            <w:shd w:val="clear" w:color="auto" w:fill="auto"/>
            <w:noWrap/>
            <w:vAlign w:val="center"/>
          </w:tcPr>
          <w:p w:rsidR="00E313DF" w:rsidRPr="00730AE6" w:rsidRDefault="00E313DF" w:rsidP="00C52F48">
            <w:pPr>
              <w:spacing w:after="0"/>
              <w:ind w:firstLine="0"/>
              <w:jc w:val="right"/>
              <w:rPr>
                <w:rFonts w:ascii="Arial Narrow" w:hAnsi="Arial Narrow" w:cs="Arial"/>
                <w:b/>
                <w:bCs/>
                <w:sz w:val="16"/>
                <w:szCs w:val="16"/>
                <w:lang w:val="es-ES" w:eastAsia="es-ES"/>
              </w:rPr>
            </w:pPr>
            <w:r w:rsidRPr="00730AE6">
              <w:rPr>
                <w:rFonts w:ascii="Arial Narrow" w:hAnsi="Arial Narrow" w:cs="Arial"/>
                <w:b/>
                <w:bCs/>
                <w:sz w:val="16"/>
                <w:szCs w:val="16"/>
                <w:lang w:val="es-ES" w:eastAsia="es-ES"/>
              </w:rPr>
              <w:t>16.530.424</w:t>
            </w:r>
          </w:p>
        </w:tc>
        <w:tc>
          <w:tcPr>
            <w:tcW w:w="2529" w:type="dxa"/>
            <w:tcBorders>
              <w:left w:val="single" w:sz="4" w:space="0" w:color="auto"/>
            </w:tcBorders>
            <w:shd w:val="clear" w:color="auto" w:fill="auto"/>
            <w:vAlign w:val="center"/>
          </w:tcPr>
          <w:p w:rsidR="00E313DF" w:rsidRPr="00730AE6" w:rsidRDefault="00E313DF" w:rsidP="006420DA">
            <w:pPr>
              <w:spacing w:after="0"/>
              <w:ind w:firstLine="0"/>
              <w:jc w:val="left"/>
              <w:rPr>
                <w:rFonts w:ascii="Arial Narrow" w:hAnsi="Arial Narrow" w:cs="Arial"/>
                <w:bCs/>
                <w:sz w:val="18"/>
                <w:szCs w:val="18"/>
                <w:lang w:val="es-ES" w:eastAsia="es-ES"/>
              </w:rPr>
            </w:pPr>
          </w:p>
        </w:tc>
        <w:tc>
          <w:tcPr>
            <w:tcW w:w="1070" w:type="dxa"/>
            <w:shd w:val="clear" w:color="auto" w:fill="auto"/>
            <w:noWrap/>
            <w:vAlign w:val="center"/>
          </w:tcPr>
          <w:p w:rsidR="00E313DF" w:rsidRPr="00730AE6" w:rsidRDefault="00E313DF" w:rsidP="006420DA">
            <w:pPr>
              <w:spacing w:after="0"/>
              <w:ind w:firstLine="0"/>
              <w:jc w:val="right"/>
              <w:rPr>
                <w:rFonts w:ascii="Arial Narrow" w:hAnsi="Arial Narrow" w:cs="Arial"/>
                <w:color w:val="000000"/>
                <w:sz w:val="16"/>
                <w:szCs w:val="16"/>
                <w:lang w:val="es-ES" w:eastAsia="es-ES"/>
              </w:rPr>
            </w:pPr>
          </w:p>
        </w:tc>
        <w:tc>
          <w:tcPr>
            <w:tcW w:w="1056" w:type="dxa"/>
            <w:shd w:val="clear" w:color="auto" w:fill="auto"/>
            <w:noWrap/>
            <w:vAlign w:val="center"/>
          </w:tcPr>
          <w:p w:rsidR="00E313DF" w:rsidRPr="00730AE6" w:rsidRDefault="00E313DF" w:rsidP="006420DA">
            <w:pPr>
              <w:spacing w:after="0"/>
              <w:ind w:firstLine="0"/>
              <w:jc w:val="right"/>
              <w:rPr>
                <w:rFonts w:ascii="Arial Narrow" w:hAnsi="Arial Narrow" w:cs="Arial"/>
                <w:color w:val="000000"/>
                <w:sz w:val="16"/>
                <w:szCs w:val="16"/>
                <w:lang w:val="es-ES" w:eastAsia="es-ES"/>
              </w:rPr>
            </w:pPr>
          </w:p>
        </w:tc>
      </w:tr>
      <w:tr w:rsidR="00E313DF" w:rsidRPr="00730AE6" w:rsidTr="00A277E6">
        <w:trPr>
          <w:trHeight w:val="284"/>
          <w:jc w:val="center"/>
        </w:trPr>
        <w:tc>
          <w:tcPr>
            <w:tcW w:w="2835" w:type="dxa"/>
            <w:shd w:val="clear" w:color="auto" w:fill="auto"/>
            <w:vAlign w:val="center"/>
          </w:tcPr>
          <w:p w:rsidR="00E313DF" w:rsidRPr="00730AE6" w:rsidRDefault="00E313DF" w:rsidP="006420DA">
            <w:pPr>
              <w:spacing w:after="0"/>
              <w:ind w:firstLine="0"/>
              <w:jc w:val="left"/>
              <w:rPr>
                <w:rFonts w:ascii="Arial Narrow" w:hAnsi="Arial Narrow" w:cs="Arial"/>
                <w:b/>
                <w:bCs/>
                <w:sz w:val="18"/>
                <w:szCs w:val="18"/>
                <w:lang w:val="es-ES" w:eastAsia="es-ES"/>
              </w:rPr>
            </w:pPr>
            <w:r w:rsidRPr="00730AE6">
              <w:rPr>
                <w:rFonts w:ascii="Arial Narrow" w:hAnsi="Arial Narrow" w:cs="Arial"/>
                <w:b/>
                <w:bCs/>
                <w:sz w:val="18"/>
                <w:szCs w:val="18"/>
                <w:lang w:val="es-ES" w:eastAsia="es-ES"/>
              </w:rPr>
              <w:t>II. Deudores</w:t>
            </w:r>
          </w:p>
        </w:tc>
        <w:tc>
          <w:tcPr>
            <w:tcW w:w="1030" w:type="dxa"/>
            <w:shd w:val="clear" w:color="auto" w:fill="auto"/>
            <w:noWrap/>
            <w:vAlign w:val="center"/>
          </w:tcPr>
          <w:p w:rsidR="00E313DF" w:rsidRPr="00730AE6" w:rsidRDefault="00E313DF" w:rsidP="006420DA">
            <w:pPr>
              <w:spacing w:after="0"/>
              <w:ind w:firstLine="0"/>
              <w:jc w:val="right"/>
              <w:rPr>
                <w:rFonts w:ascii="Arial Narrow" w:hAnsi="Arial Narrow" w:cs="Arial"/>
                <w:b/>
                <w:color w:val="000000"/>
                <w:sz w:val="16"/>
                <w:szCs w:val="16"/>
                <w:lang w:val="es-ES" w:eastAsia="es-ES"/>
              </w:rPr>
            </w:pPr>
            <w:r w:rsidRPr="00730AE6">
              <w:rPr>
                <w:rFonts w:ascii="Arial Narrow" w:hAnsi="Arial Narrow" w:cs="Arial"/>
                <w:b/>
                <w:color w:val="000000"/>
                <w:sz w:val="16"/>
                <w:szCs w:val="16"/>
                <w:lang w:val="es-ES" w:eastAsia="es-ES"/>
              </w:rPr>
              <w:t>1.863.747</w:t>
            </w:r>
          </w:p>
        </w:tc>
        <w:tc>
          <w:tcPr>
            <w:tcW w:w="1030" w:type="dxa"/>
            <w:tcBorders>
              <w:right w:val="single" w:sz="4" w:space="0" w:color="auto"/>
            </w:tcBorders>
            <w:shd w:val="clear" w:color="auto" w:fill="auto"/>
            <w:noWrap/>
            <w:vAlign w:val="center"/>
          </w:tcPr>
          <w:p w:rsidR="00E313DF" w:rsidRPr="00730AE6" w:rsidRDefault="00E313DF" w:rsidP="006420DA">
            <w:pPr>
              <w:spacing w:after="0"/>
              <w:ind w:firstLine="0"/>
              <w:jc w:val="right"/>
              <w:rPr>
                <w:rFonts w:ascii="Arial Narrow" w:hAnsi="Arial Narrow" w:cs="Arial"/>
                <w:b/>
                <w:bCs/>
                <w:sz w:val="16"/>
                <w:szCs w:val="16"/>
                <w:lang w:val="es-ES" w:eastAsia="es-ES"/>
              </w:rPr>
            </w:pPr>
            <w:r w:rsidRPr="00730AE6">
              <w:rPr>
                <w:rFonts w:ascii="Arial Narrow" w:hAnsi="Arial Narrow" w:cs="Arial"/>
                <w:b/>
                <w:bCs/>
                <w:sz w:val="16"/>
                <w:szCs w:val="16"/>
                <w:lang w:val="es-ES" w:eastAsia="es-ES"/>
              </w:rPr>
              <w:t>1.813.567</w:t>
            </w:r>
          </w:p>
        </w:tc>
        <w:tc>
          <w:tcPr>
            <w:tcW w:w="2529" w:type="dxa"/>
            <w:tcBorders>
              <w:left w:val="single" w:sz="4" w:space="0" w:color="auto"/>
            </w:tcBorders>
            <w:shd w:val="clear" w:color="auto" w:fill="auto"/>
            <w:vAlign w:val="center"/>
          </w:tcPr>
          <w:p w:rsidR="00E313DF" w:rsidRPr="00730AE6" w:rsidRDefault="00E313DF" w:rsidP="006420DA">
            <w:pPr>
              <w:spacing w:after="0"/>
              <w:ind w:firstLine="0"/>
              <w:jc w:val="left"/>
              <w:rPr>
                <w:rFonts w:ascii="Arial Narrow" w:hAnsi="Arial Narrow" w:cs="Arial"/>
                <w:b/>
                <w:bCs/>
                <w:sz w:val="17"/>
                <w:szCs w:val="17"/>
                <w:lang w:val="es-ES" w:eastAsia="es-ES"/>
              </w:rPr>
            </w:pPr>
            <w:r w:rsidRPr="00730AE6">
              <w:rPr>
                <w:rFonts w:ascii="Arial Narrow" w:hAnsi="Arial Narrow" w:cs="Arial"/>
                <w:b/>
                <w:bCs/>
                <w:sz w:val="17"/>
                <w:szCs w:val="17"/>
                <w:lang w:val="es-ES" w:eastAsia="es-ES"/>
              </w:rPr>
              <w:t xml:space="preserve"> D) ACREEDORES A C/P</w:t>
            </w:r>
          </w:p>
        </w:tc>
        <w:tc>
          <w:tcPr>
            <w:tcW w:w="1070" w:type="dxa"/>
            <w:shd w:val="clear" w:color="auto" w:fill="auto"/>
            <w:noWrap/>
            <w:vAlign w:val="center"/>
          </w:tcPr>
          <w:p w:rsidR="00E313DF" w:rsidRPr="00730AE6" w:rsidRDefault="00E313DF" w:rsidP="006420DA">
            <w:pPr>
              <w:spacing w:after="0"/>
              <w:ind w:firstLine="0"/>
              <w:jc w:val="right"/>
              <w:rPr>
                <w:rFonts w:ascii="Arial Narrow" w:hAnsi="Arial Narrow" w:cs="Arial"/>
                <w:b/>
                <w:color w:val="000000"/>
                <w:sz w:val="16"/>
                <w:szCs w:val="16"/>
                <w:lang w:val="es-ES" w:eastAsia="es-ES"/>
              </w:rPr>
            </w:pPr>
            <w:r w:rsidRPr="00730AE6">
              <w:rPr>
                <w:rFonts w:ascii="Arial Narrow" w:hAnsi="Arial Narrow" w:cs="Arial"/>
                <w:b/>
                <w:color w:val="000000"/>
                <w:sz w:val="16"/>
                <w:szCs w:val="16"/>
                <w:lang w:val="es-ES" w:eastAsia="es-ES"/>
              </w:rPr>
              <w:t>5.514.571</w:t>
            </w:r>
          </w:p>
        </w:tc>
        <w:tc>
          <w:tcPr>
            <w:tcW w:w="1056" w:type="dxa"/>
            <w:shd w:val="clear" w:color="auto" w:fill="auto"/>
            <w:noWrap/>
            <w:vAlign w:val="center"/>
          </w:tcPr>
          <w:p w:rsidR="00E313DF" w:rsidRPr="00730AE6" w:rsidRDefault="009516BD" w:rsidP="006420DA">
            <w:pPr>
              <w:spacing w:after="0"/>
              <w:ind w:firstLine="0"/>
              <w:jc w:val="right"/>
              <w:rPr>
                <w:rFonts w:ascii="Arial Narrow" w:hAnsi="Arial Narrow" w:cs="Arial"/>
                <w:b/>
                <w:color w:val="000000"/>
                <w:sz w:val="16"/>
                <w:szCs w:val="16"/>
                <w:lang w:val="es-ES" w:eastAsia="es-ES"/>
              </w:rPr>
            </w:pPr>
            <w:r w:rsidRPr="00730AE6">
              <w:rPr>
                <w:rFonts w:ascii="Arial Narrow" w:hAnsi="Arial Narrow" w:cs="Arial"/>
                <w:b/>
                <w:color w:val="000000"/>
                <w:sz w:val="16"/>
                <w:szCs w:val="16"/>
                <w:lang w:val="es-ES" w:eastAsia="es-ES"/>
              </w:rPr>
              <w:t>5.781.713</w:t>
            </w:r>
          </w:p>
        </w:tc>
      </w:tr>
      <w:tr w:rsidR="00E313DF" w:rsidRPr="00730AE6" w:rsidTr="00A277E6">
        <w:trPr>
          <w:trHeight w:val="284"/>
          <w:jc w:val="center"/>
        </w:trPr>
        <w:tc>
          <w:tcPr>
            <w:tcW w:w="2835" w:type="dxa"/>
            <w:shd w:val="clear" w:color="auto" w:fill="auto"/>
            <w:vAlign w:val="center"/>
          </w:tcPr>
          <w:p w:rsidR="00E313DF" w:rsidRPr="00730AE6" w:rsidRDefault="00E313DF" w:rsidP="006420DA">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1. Deudores presupuestarios</w:t>
            </w:r>
          </w:p>
        </w:tc>
        <w:tc>
          <w:tcPr>
            <w:tcW w:w="1030" w:type="dxa"/>
            <w:shd w:val="clear" w:color="auto" w:fill="auto"/>
            <w:noWrap/>
            <w:vAlign w:val="center"/>
          </w:tcPr>
          <w:p w:rsidR="00E313DF" w:rsidRPr="00730AE6" w:rsidRDefault="00E313DF" w:rsidP="006420DA">
            <w:pPr>
              <w:spacing w:after="0"/>
              <w:ind w:firstLine="0"/>
              <w:jc w:val="right"/>
              <w:rPr>
                <w:rFonts w:ascii="Arial Narrow" w:hAnsi="Arial Narrow" w:cs="Arial"/>
                <w:bCs/>
                <w:color w:val="000000"/>
                <w:sz w:val="16"/>
                <w:szCs w:val="16"/>
                <w:lang w:val="es-ES" w:eastAsia="es-ES"/>
              </w:rPr>
            </w:pPr>
            <w:r w:rsidRPr="00730AE6">
              <w:rPr>
                <w:rFonts w:ascii="Arial Narrow" w:hAnsi="Arial Narrow" w:cs="Arial"/>
                <w:bCs/>
                <w:color w:val="000000"/>
                <w:sz w:val="16"/>
                <w:szCs w:val="16"/>
                <w:lang w:val="es-ES" w:eastAsia="es-ES"/>
              </w:rPr>
              <w:t>2.332.779</w:t>
            </w:r>
          </w:p>
        </w:tc>
        <w:tc>
          <w:tcPr>
            <w:tcW w:w="1030" w:type="dxa"/>
            <w:tcBorders>
              <w:right w:val="single" w:sz="4" w:space="0" w:color="auto"/>
            </w:tcBorders>
            <w:shd w:val="clear" w:color="auto" w:fill="auto"/>
            <w:noWrap/>
            <w:vAlign w:val="center"/>
          </w:tcPr>
          <w:p w:rsidR="00E313DF" w:rsidRPr="00730AE6" w:rsidRDefault="00E313DF" w:rsidP="006420DA">
            <w:pPr>
              <w:spacing w:after="0"/>
              <w:ind w:firstLine="0"/>
              <w:jc w:val="right"/>
              <w:rPr>
                <w:rFonts w:ascii="Arial Narrow" w:hAnsi="Arial Narrow" w:cs="Arial"/>
                <w:bCs/>
                <w:sz w:val="16"/>
                <w:szCs w:val="16"/>
                <w:lang w:val="es-ES" w:eastAsia="es-ES"/>
              </w:rPr>
            </w:pPr>
            <w:r w:rsidRPr="00730AE6">
              <w:rPr>
                <w:rFonts w:ascii="Arial Narrow" w:hAnsi="Arial Narrow" w:cs="Arial"/>
                <w:bCs/>
                <w:sz w:val="16"/>
                <w:szCs w:val="16"/>
                <w:lang w:val="es-ES" w:eastAsia="es-ES"/>
              </w:rPr>
              <w:t>2.584.856</w:t>
            </w:r>
          </w:p>
        </w:tc>
        <w:tc>
          <w:tcPr>
            <w:tcW w:w="2529" w:type="dxa"/>
            <w:tcBorders>
              <w:left w:val="single" w:sz="4" w:space="0" w:color="auto"/>
            </w:tcBorders>
            <w:shd w:val="clear" w:color="auto" w:fill="auto"/>
            <w:vAlign w:val="center"/>
          </w:tcPr>
          <w:p w:rsidR="00E313DF" w:rsidRPr="00730AE6" w:rsidRDefault="00E313DF" w:rsidP="006420DA">
            <w:pPr>
              <w:spacing w:after="0"/>
              <w:ind w:firstLine="0"/>
              <w:jc w:val="left"/>
              <w:rPr>
                <w:rFonts w:ascii="Arial Narrow" w:hAnsi="Arial Narrow" w:cs="Arial"/>
                <w:b/>
                <w:bCs/>
                <w:sz w:val="18"/>
                <w:szCs w:val="18"/>
                <w:lang w:val="es-ES" w:eastAsia="es-ES"/>
              </w:rPr>
            </w:pPr>
            <w:r w:rsidRPr="00730AE6">
              <w:rPr>
                <w:rFonts w:ascii="Arial Narrow" w:hAnsi="Arial Narrow" w:cs="Arial"/>
                <w:b/>
                <w:bCs/>
                <w:sz w:val="18"/>
                <w:szCs w:val="18"/>
                <w:lang w:val="es-ES" w:eastAsia="es-ES"/>
              </w:rPr>
              <w:t xml:space="preserve"> III. Acreedores </w:t>
            </w:r>
          </w:p>
        </w:tc>
        <w:tc>
          <w:tcPr>
            <w:tcW w:w="1070" w:type="dxa"/>
            <w:shd w:val="clear" w:color="auto" w:fill="auto"/>
            <w:noWrap/>
            <w:vAlign w:val="center"/>
          </w:tcPr>
          <w:p w:rsidR="00E313DF" w:rsidRPr="00730AE6" w:rsidRDefault="00E313DF" w:rsidP="004F3217">
            <w:pPr>
              <w:spacing w:after="0"/>
              <w:ind w:firstLine="0"/>
              <w:jc w:val="right"/>
              <w:rPr>
                <w:rFonts w:ascii="Arial Narrow" w:hAnsi="Arial Narrow" w:cs="Arial"/>
                <w:b/>
                <w:color w:val="000000"/>
                <w:sz w:val="16"/>
                <w:szCs w:val="16"/>
                <w:lang w:val="es-ES" w:eastAsia="es-ES"/>
              </w:rPr>
            </w:pPr>
            <w:r w:rsidRPr="00730AE6">
              <w:rPr>
                <w:rFonts w:ascii="Arial Narrow" w:hAnsi="Arial Narrow" w:cs="Arial"/>
                <w:b/>
                <w:color w:val="000000"/>
                <w:sz w:val="16"/>
                <w:szCs w:val="16"/>
                <w:lang w:val="es-ES" w:eastAsia="es-ES"/>
              </w:rPr>
              <w:t>5.382.39</w:t>
            </w:r>
            <w:r w:rsidR="004F3217" w:rsidRPr="00730AE6">
              <w:rPr>
                <w:rFonts w:ascii="Arial Narrow" w:hAnsi="Arial Narrow" w:cs="Arial"/>
                <w:b/>
                <w:color w:val="000000"/>
                <w:sz w:val="16"/>
                <w:szCs w:val="16"/>
                <w:lang w:val="es-ES" w:eastAsia="es-ES"/>
              </w:rPr>
              <w:t>2</w:t>
            </w:r>
          </w:p>
        </w:tc>
        <w:tc>
          <w:tcPr>
            <w:tcW w:w="1056" w:type="dxa"/>
            <w:shd w:val="clear" w:color="auto" w:fill="auto"/>
            <w:noWrap/>
            <w:vAlign w:val="center"/>
          </w:tcPr>
          <w:p w:rsidR="00E313DF" w:rsidRPr="00730AE6" w:rsidRDefault="009516BD" w:rsidP="006420DA">
            <w:pPr>
              <w:spacing w:after="0"/>
              <w:ind w:firstLine="0"/>
              <w:jc w:val="right"/>
              <w:rPr>
                <w:rFonts w:ascii="Arial Narrow" w:hAnsi="Arial Narrow" w:cs="Arial"/>
                <w:b/>
                <w:color w:val="000000"/>
                <w:sz w:val="16"/>
                <w:szCs w:val="16"/>
                <w:lang w:val="es-ES" w:eastAsia="es-ES"/>
              </w:rPr>
            </w:pPr>
            <w:r w:rsidRPr="00730AE6">
              <w:rPr>
                <w:rFonts w:ascii="Arial Narrow" w:hAnsi="Arial Narrow" w:cs="Arial"/>
                <w:b/>
                <w:color w:val="000000"/>
                <w:sz w:val="16"/>
                <w:szCs w:val="16"/>
                <w:lang w:val="es-ES" w:eastAsia="es-ES"/>
              </w:rPr>
              <w:t>5.679.199</w:t>
            </w:r>
          </w:p>
        </w:tc>
      </w:tr>
      <w:tr w:rsidR="00E313DF" w:rsidRPr="00730AE6" w:rsidTr="00A277E6">
        <w:trPr>
          <w:trHeight w:val="284"/>
          <w:jc w:val="center"/>
        </w:trPr>
        <w:tc>
          <w:tcPr>
            <w:tcW w:w="2835" w:type="dxa"/>
            <w:shd w:val="clear" w:color="auto" w:fill="auto"/>
            <w:vAlign w:val="center"/>
          </w:tcPr>
          <w:p w:rsidR="00E313DF" w:rsidRPr="00730AE6" w:rsidRDefault="00E313DF" w:rsidP="006420DA">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xml:space="preserve">2. Deudores no presupuestarios </w:t>
            </w:r>
          </w:p>
        </w:tc>
        <w:tc>
          <w:tcPr>
            <w:tcW w:w="1030" w:type="dxa"/>
            <w:shd w:val="clear" w:color="auto" w:fill="auto"/>
            <w:noWrap/>
            <w:vAlign w:val="center"/>
          </w:tcPr>
          <w:p w:rsidR="00E313DF" w:rsidRPr="00730AE6" w:rsidRDefault="00E313DF"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193.64</w:t>
            </w:r>
            <w:r w:rsidR="00D00A4E" w:rsidRPr="00730AE6">
              <w:rPr>
                <w:rFonts w:ascii="Arial Narrow" w:hAnsi="Arial Narrow" w:cs="Arial"/>
                <w:color w:val="000000"/>
                <w:sz w:val="16"/>
                <w:szCs w:val="16"/>
                <w:lang w:val="es-ES" w:eastAsia="es-ES"/>
              </w:rPr>
              <w:t>5</w:t>
            </w:r>
          </w:p>
        </w:tc>
        <w:tc>
          <w:tcPr>
            <w:tcW w:w="1030" w:type="dxa"/>
            <w:tcBorders>
              <w:right w:val="single" w:sz="4" w:space="0" w:color="auto"/>
            </w:tcBorders>
            <w:shd w:val="clear" w:color="auto" w:fill="auto"/>
            <w:noWrap/>
            <w:vAlign w:val="center"/>
          </w:tcPr>
          <w:p w:rsidR="00E313DF" w:rsidRPr="00730AE6" w:rsidRDefault="00E313DF" w:rsidP="00BD6173">
            <w:pPr>
              <w:spacing w:after="0"/>
              <w:ind w:firstLine="0"/>
              <w:jc w:val="right"/>
              <w:rPr>
                <w:rFonts w:ascii="Arial Narrow" w:hAnsi="Arial Narrow" w:cs="Arial"/>
                <w:bCs/>
                <w:sz w:val="16"/>
                <w:szCs w:val="16"/>
                <w:lang w:val="es-ES" w:eastAsia="es-ES"/>
              </w:rPr>
            </w:pPr>
            <w:r w:rsidRPr="00730AE6">
              <w:rPr>
                <w:rFonts w:ascii="Arial Narrow" w:hAnsi="Arial Narrow" w:cs="Arial"/>
                <w:bCs/>
                <w:sz w:val="16"/>
                <w:szCs w:val="16"/>
                <w:lang w:val="es-ES" w:eastAsia="es-ES"/>
              </w:rPr>
              <w:t>227.011</w:t>
            </w:r>
          </w:p>
        </w:tc>
        <w:tc>
          <w:tcPr>
            <w:tcW w:w="2529" w:type="dxa"/>
            <w:tcBorders>
              <w:left w:val="single" w:sz="4" w:space="0" w:color="auto"/>
            </w:tcBorders>
            <w:shd w:val="clear" w:color="auto" w:fill="auto"/>
            <w:vAlign w:val="center"/>
          </w:tcPr>
          <w:p w:rsidR="00E313DF" w:rsidRPr="00730AE6" w:rsidRDefault="00E313DF" w:rsidP="006420DA">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1. Acreedores presupuestarios</w:t>
            </w:r>
          </w:p>
        </w:tc>
        <w:tc>
          <w:tcPr>
            <w:tcW w:w="1070" w:type="dxa"/>
            <w:shd w:val="clear" w:color="auto" w:fill="auto"/>
            <w:noWrap/>
            <w:vAlign w:val="center"/>
          </w:tcPr>
          <w:p w:rsidR="00E313DF" w:rsidRPr="00730AE6" w:rsidRDefault="00E313DF"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3.215.189</w:t>
            </w:r>
          </w:p>
        </w:tc>
        <w:tc>
          <w:tcPr>
            <w:tcW w:w="1056" w:type="dxa"/>
            <w:shd w:val="clear" w:color="auto" w:fill="auto"/>
            <w:noWrap/>
            <w:vAlign w:val="center"/>
          </w:tcPr>
          <w:p w:rsidR="00E313DF" w:rsidRPr="00730AE6" w:rsidRDefault="00A05A4C"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3.274.738</w:t>
            </w:r>
          </w:p>
        </w:tc>
      </w:tr>
      <w:tr w:rsidR="00E313DF" w:rsidRPr="00730AE6" w:rsidTr="00A277E6">
        <w:trPr>
          <w:trHeight w:val="284"/>
          <w:jc w:val="center"/>
        </w:trPr>
        <w:tc>
          <w:tcPr>
            <w:tcW w:w="2835" w:type="dxa"/>
            <w:shd w:val="clear" w:color="auto" w:fill="auto"/>
            <w:vAlign w:val="center"/>
          </w:tcPr>
          <w:p w:rsidR="00E313DF" w:rsidRPr="00730AE6" w:rsidRDefault="00E313DF" w:rsidP="006420DA">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4. Administraciones públicas</w:t>
            </w:r>
          </w:p>
        </w:tc>
        <w:tc>
          <w:tcPr>
            <w:tcW w:w="1030" w:type="dxa"/>
            <w:shd w:val="clear" w:color="auto" w:fill="auto"/>
            <w:noWrap/>
            <w:vAlign w:val="center"/>
          </w:tcPr>
          <w:p w:rsidR="00E313DF" w:rsidRPr="00730AE6" w:rsidRDefault="00E313DF"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553.739</w:t>
            </w:r>
          </w:p>
        </w:tc>
        <w:tc>
          <w:tcPr>
            <w:tcW w:w="1030" w:type="dxa"/>
            <w:tcBorders>
              <w:right w:val="single" w:sz="4" w:space="0" w:color="auto"/>
            </w:tcBorders>
            <w:shd w:val="clear" w:color="auto" w:fill="auto"/>
            <w:noWrap/>
            <w:vAlign w:val="center"/>
          </w:tcPr>
          <w:p w:rsidR="00E313DF" w:rsidRPr="00730AE6" w:rsidRDefault="00E313DF" w:rsidP="006420DA">
            <w:pPr>
              <w:spacing w:after="0"/>
              <w:ind w:firstLine="0"/>
              <w:jc w:val="right"/>
              <w:rPr>
                <w:rFonts w:ascii="Arial Narrow" w:hAnsi="Arial Narrow" w:cs="Arial"/>
                <w:bCs/>
                <w:sz w:val="16"/>
                <w:szCs w:val="16"/>
                <w:lang w:val="es-ES" w:eastAsia="es-ES"/>
              </w:rPr>
            </w:pPr>
            <w:r w:rsidRPr="00730AE6">
              <w:rPr>
                <w:rFonts w:ascii="Arial Narrow" w:hAnsi="Arial Narrow" w:cs="Arial"/>
                <w:bCs/>
                <w:sz w:val="16"/>
                <w:szCs w:val="16"/>
                <w:lang w:val="es-ES" w:eastAsia="es-ES"/>
              </w:rPr>
              <w:t>512.434</w:t>
            </w:r>
          </w:p>
        </w:tc>
        <w:tc>
          <w:tcPr>
            <w:tcW w:w="2529" w:type="dxa"/>
            <w:tcBorders>
              <w:left w:val="single" w:sz="4" w:space="0" w:color="auto"/>
            </w:tcBorders>
            <w:shd w:val="clear" w:color="auto" w:fill="auto"/>
            <w:vAlign w:val="center"/>
          </w:tcPr>
          <w:p w:rsidR="00E313DF" w:rsidRPr="00730AE6" w:rsidRDefault="00E313DF" w:rsidP="006420DA">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2. Acreedores no presupuestarios</w:t>
            </w:r>
          </w:p>
        </w:tc>
        <w:tc>
          <w:tcPr>
            <w:tcW w:w="1070" w:type="dxa"/>
            <w:shd w:val="clear" w:color="auto" w:fill="auto"/>
            <w:noWrap/>
            <w:vAlign w:val="center"/>
          </w:tcPr>
          <w:p w:rsidR="00E313DF" w:rsidRPr="00730AE6" w:rsidRDefault="00E313DF"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240.035</w:t>
            </w:r>
          </w:p>
        </w:tc>
        <w:tc>
          <w:tcPr>
            <w:tcW w:w="1056" w:type="dxa"/>
            <w:shd w:val="clear" w:color="auto" w:fill="auto"/>
            <w:noWrap/>
            <w:vAlign w:val="center"/>
          </w:tcPr>
          <w:p w:rsidR="00E313DF" w:rsidRPr="00730AE6" w:rsidRDefault="00A05A4C"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268.238</w:t>
            </w:r>
          </w:p>
        </w:tc>
      </w:tr>
      <w:tr w:rsidR="00E313DF" w:rsidRPr="00730AE6" w:rsidTr="00A277E6">
        <w:trPr>
          <w:trHeight w:val="284"/>
          <w:jc w:val="center"/>
        </w:trPr>
        <w:tc>
          <w:tcPr>
            <w:tcW w:w="2835" w:type="dxa"/>
            <w:shd w:val="clear" w:color="auto" w:fill="auto"/>
            <w:vAlign w:val="center"/>
          </w:tcPr>
          <w:p w:rsidR="00E313DF" w:rsidRPr="00730AE6" w:rsidRDefault="00E313DF" w:rsidP="006420DA">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xml:space="preserve">5. Otros deudores </w:t>
            </w:r>
          </w:p>
        </w:tc>
        <w:tc>
          <w:tcPr>
            <w:tcW w:w="1030" w:type="dxa"/>
            <w:shd w:val="clear" w:color="auto" w:fill="auto"/>
            <w:noWrap/>
            <w:vAlign w:val="center"/>
          </w:tcPr>
          <w:p w:rsidR="00E313DF" w:rsidRPr="00730AE6" w:rsidRDefault="00E313DF"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0</w:t>
            </w:r>
          </w:p>
        </w:tc>
        <w:tc>
          <w:tcPr>
            <w:tcW w:w="1030" w:type="dxa"/>
            <w:tcBorders>
              <w:right w:val="single" w:sz="4" w:space="0" w:color="auto"/>
            </w:tcBorders>
            <w:shd w:val="clear" w:color="auto" w:fill="auto"/>
            <w:noWrap/>
            <w:vAlign w:val="center"/>
          </w:tcPr>
          <w:p w:rsidR="00E313DF" w:rsidRPr="00730AE6" w:rsidRDefault="00E313DF" w:rsidP="006420DA">
            <w:pPr>
              <w:spacing w:after="0"/>
              <w:ind w:firstLine="0"/>
              <w:jc w:val="right"/>
              <w:rPr>
                <w:rFonts w:ascii="Arial Narrow" w:hAnsi="Arial Narrow" w:cs="Arial"/>
                <w:sz w:val="16"/>
                <w:szCs w:val="16"/>
                <w:lang w:val="es-ES" w:eastAsia="es-ES"/>
              </w:rPr>
            </w:pPr>
            <w:r w:rsidRPr="00730AE6">
              <w:rPr>
                <w:rFonts w:ascii="Arial Narrow" w:hAnsi="Arial Narrow" w:cs="Arial"/>
                <w:sz w:val="16"/>
                <w:szCs w:val="16"/>
                <w:lang w:val="es-ES" w:eastAsia="es-ES"/>
              </w:rPr>
              <w:t>73</w:t>
            </w:r>
          </w:p>
        </w:tc>
        <w:tc>
          <w:tcPr>
            <w:tcW w:w="2529" w:type="dxa"/>
            <w:tcBorders>
              <w:left w:val="single" w:sz="4" w:space="0" w:color="auto"/>
            </w:tcBorders>
            <w:shd w:val="clear" w:color="auto" w:fill="auto"/>
            <w:vAlign w:val="center"/>
          </w:tcPr>
          <w:p w:rsidR="00E313DF" w:rsidRPr="00730AE6" w:rsidRDefault="00E313DF" w:rsidP="006420DA">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4. Administraciones públicas</w:t>
            </w:r>
          </w:p>
        </w:tc>
        <w:tc>
          <w:tcPr>
            <w:tcW w:w="1070" w:type="dxa"/>
            <w:shd w:val="clear" w:color="auto" w:fill="auto"/>
            <w:noWrap/>
            <w:vAlign w:val="center"/>
          </w:tcPr>
          <w:p w:rsidR="00E313DF" w:rsidRPr="00730AE6" w:rsidRDefault="00E313DF" w:rsidP="006420DA">
            <w:pPr>
              <w:spacing w:after="0"/>
              <w:ind w:firstLine="0"/>
              <w:jc w:val="right"/>
              <w:rPr>
                <w:rFonts w:ascii="Arial Narrow" w:hAnsi="Arial Narrow" w:cs="Arial"/>
                <w:bCs/>
                <w:color w:val="000000"/>
                <w:sz w:val="16"/>
                <w:szCs w:val="16"/>
                <w:lang w:val="es-ES" w:eastAsia="es-ES"/>
              </w:rPr>
            </w:pPr>
            <w:r w:rsidRPr="00730AE6">
              <w:rPr>
                <w:rFonts w:ascii="Arial Narrow" w:hAnsi="Arial Narrow" w:cs="Arial"/>
                <w:bCs/>
                <w:color w:val="000000"/>
                <w:sz w:val="16"/>
                <w:szCs w:val="16"/>
                <w:lang w:val="es-ES" w:eastAsia="es-ES"/>
              </w:rPr>
              <w:t>1.853.195</w:t>
            </w:r>
          </w:p>
        </w:tc>
        <w:tc>
          <w:tcPr>
            <w:tcW w:w="1056" w:type="dxa"/>
            <w:shd w:val="clear" w:color="auto" w:fill="auto"/>
            <w:noWrap/>
            <w:vAlign w:val="center"/>
          </w:tcPr>
          <w:p w:rsidR="00E313DF" w:rsidRPr="00730AE6" w:rsidRDefault="00A05A4C" w:rsidP="006420DA">
            <w:pPr>
              <w:spacing w:after="0"/>
              <w:ind w:firstLine="0"/>
              <w:jc w:val="right"/>
              <w:rPr>
                <w:rFonts w:ascii="Arial Narrow" w:hAnsi="Arial Narrow" w:cs="Arial"/>
                <w:bCs/>
                <w:color w:val="000000"/>
                <w:sz w:val="16"/>
                <w:szCs w:val="16"/>
                <w:lang w:val="es-ES" w:eastAsia="es-ES"/>
              </w:rPr>
            </w:pPr>
            <w:r w:rsidRPr="00730AE6">
              <w:rPr>
                <w:rFonts w:ascii="Arial Narrow" w:hAnsi="Arial Narrow" w:cs="Arial"/>
                <w:bCs/>
                <w:color w:val="000000"/>
                <w:sz w:val="16"/>
                <w:szCs w:val="16"/>
                <w:lang w:val="es-ES" w:eastAsia="es-ES"/>
              </w:rPr>
              <w:t>2.052.630</w:t>
            </w:r>
          </w:p>
        </w:tc>
      </w:tr>
      <w:tr w:rsidR="00E313DF" w:rsidRPr="00730AE6" w:rsidTr="00A277E6">
        <w:trPr>
          <w:trHeight w:val="284"/>
          <w:jc w:val="center"/>
        </w:trPr>
        <w:tc>
          <w:tcPr>
            <w:tcW w:w="2835" w:type="dxa"/>
            <w:shd w:val="clear" w:color="auto" w:fill="auto"/>
            <w:vAlign w:val="center"/>
          </w:tcPr>
          <w:p w:rsidR="00E313DF" w:rsidRPr="00730AE6" w:rsidRDefault="00E313DF" w:rsidP="006420DA">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6. Provisiones</w:t>
            </w:r>
          </w:p>
        </w:tc>
        <w:tc>
          <w:tcPr>
            <w:tcW w:w="1030" w:type="dxa"/>
            <w:shd w:val="clear" w:color="auto" w:fill="auto"/>
            <w:noWrap/>
            <w:vAlign w:val="center"/>
          </w:tcPr>
          <w:p w:rsidR="00E313DF" w:rsidRPr="00730AE6" w:rsidRDefault="00E313DF" w:rsidP="006420DA">
            <w:pPr>
              <w:spacing w:after="0"/>
              <w:ind w:firstLine="0"/>
              <w:jc w:val="right"/>
              <w:rPr>
                <w:rFonts w:ascii="Arial Narrow" w:hAnsi="Arial Narrow" w:cs="Arial"/>
                <w:bCs/>
                <w:color w:val="000000"/>
                <w:sz w:val="16"/>
                <w:szCs w:val="16"/>
                <w:lang w:val="es-ES" w:eastAsia="es-ES"/>
              </w:rPr>
            </w:pPr>
            <w:r w:rsidRPr="00730AE6">
              <w:rPr>
                <w:rFonts w:ascii="Arial Narrow" w:hAnsi="Arial Narrow" w:cs="Arial"/>
                <w:bCs/>
                <w:color w:val="000000"/>
                <w:sz w:val="16"/>
                <w:szCs w:val="16"/>
                <w:lang w:val="es-ES" w:eastAsia="es-ES"/>
              </w:rPr>
              <w:t>-1.216.416</w:t>
            </w:r>
          </w:p>
        </w:tc>
        <w:tc>
          <w:tcPr>
            <w:tcW w:w="1030" w:type="dxa"/>
            <w:tcBorders>
              <w:right w:val="single" w:sz="4" w:space="0" w:color="auto"/>
            </w:tcBorders>
            <w:shd w:val="clear" w:color="auto" w:fill="auto"/>
            <w:noWrap/>
            <w:vAlign w:val="center"/>
          </w:tcPr>
          <w:p w:rsidR="00E313DF" w:rsidRPr="00730AE6" w:rsidRDefault="00E313DF" w:rsidP="006420DA">
            <w:pPr>
              <w:spacing w:after="0"/>
              <w:ind w:firstLine="0"/>
              <w:jc w:val="right"/>
              <w:rPr>
                <w:rFonts w:ascii="Arial Narrow" w:hAnsi="Arial Narrow" w:cs="Arial"/>
                <w:bCs/>
                <w:color w:val="000000"/>
                <w:sz w:val="16"/>
                <w:szCs w:val="16"/>
                <w:lang w:val="es-ES" w:eastAsia="es-ES"/>
              </w:rPr>
            </w:pPr>
            <w:r w:rsidRPr="00730AE6">
              <w:rPr>
                <w:rFonts w:ascii="Arial Narrow" w:hAnsi="Arial Narrow" w:cs="Arial"/>
                <w:bCs/>
                <w:color w:val="000000"/>
                <w:sz w:val="16"/>
                <w:szCs w:val="16"/>
                <w:lang w:val="es-ES" w:eastAsia="es-ES"/>
              </w:rPr>
              <w:t>-1.510.807</w:t>
            </w:r>
          </w:p>
        </w:tc>
        <w:tc>
          <w:tcPr>
            <w:tcW w:w="2529" w:type="dxa"/>
            <w:tcBorders>
              <w:left w:val="single" w:sz="4" w:space="0" w:color="auto"/>
            </w:tcBorders>
            <w:shd w:val="clear" w:color="auto" w:fill="auto"/>
            <w:vAlign w:val="center"/>
          </w:tcPr>
          <w:p w:rsidR="00E313DF" w:rsidRPr="00730AE6" w:rsidRDefault="00E313DF" w:rsidP="006420DA">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5. Otros acreedores</w:t>
            </w:r>
          </w:p>
        </w:tc>
        <w:tc>
          <w:tcPr>
            <w:tcW w:w="1070" w:type="dxa"/>
            <w:shd w:val="clear" w:color="auto" w:fill="auto"/>
            <w:noWrap/>
            <w:vAlign w:val="center"/>
          </w:tcPr>
          <w:p w:rsidR="00E313DF" w:rsidRPr="00730AE6" w:rsidRDefault="00E313DF"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11.985</w:t>
            </w:r>
          </w:p>
        </w:tc>
        <w:tc>
          <w:tcPr>
            <w:tcW w:w="1056" w:type="dxa"/>
            <w:shd w:val="clear" w:color="auto" w:fill="auto"/>
            <w:noWrap/>
            <w:vAlign w:val="center"/>
          </w:tcPr>
          <w:p w:rsidR="00E313DF" w:rsidRPr="00730AE6" w:rsidRDefault="00A05A4C"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11.985</w:t>
            </w:r>
          </w:p>
        </w:tc>
      </w:tr>
      <w:tr w:rsidR="00E313DF" w:rsidRPr="00730AE6" w:rsidTr="00A277E6">
        <w:trPr>
          <w:trHeight w:val="284"/>
          <w:jc w:val="center"/>
        </w:trPr>
        <w:tc>
          <w:tcPr>
            <w:tcW w:w="2835" w:type="dxa"/>
            <w:shd w:val="clear" w:color="auto" w:fill="auto"/>
            <w:vAlign w:val="center"/>
          </w:tcPr>
          <w:p w:rsidR="00E313DF" w:rsidRPr="00730AE6" w:rsidRDefault="00E313DF" w:rsidP="006420DA">
            <w:pPr>
              <w:spacing w:after="0"/>
              <w:ind w:firstLine="0"/>
              <w:jc w:val="left"/>
              <w:rPr>
                <w:rFonts w:ascii="Arial Narrow" w:hAnsi="Arial Narrow" w:cs="Arial"/>
                <w:b/>
                <w:bCs/>
                <w:sz w:val="18"/>
                <w:szCs w:val="18"/>
                <w:lang w:val="es-ES" w:eastAsia="es-ES"/>
              </w:rPr>
            </w:pPr>
            <w:r w:rsidRPr="00730AE6">
              <w:rPr>
                <w:rFonts w:ascii="Arial Narrow" w:hAnsi="Arial Narrow" w:cs="Arial"/>
                <w:b/>
                <w:bCs/>
                <w:sz w:val="18"/>
                <w:szCs w:val="18"/>
                <w:lang w:val="es-ES" w:eastAsia="es-ES"/>
              </w:rPr>
              <w:t xml:space="preserve">III. Inversiones financieras temporales </w:t>
            </w:r>
          </w:p>
        </w:tc>
        <w:tc>
          <w:tcPr>
            <w:tcW w:w="1030" w:type="dxa"/>
            <w:shd w:val="clear" w:color="auto" w:fill="auto"/>
            <w:noWrap/>
            <w:vAlign w:val="center"/>
          </w:tcPr>
          <w:p w:rsidR="00E313DF" w:rsidRPr="00730AE6" w:rsidRDefault="00E313DF" w:rsidP="006420DA">
            <w:pPr>
              <w:spacing w:after="0"/>
              <w:ind w:firstLine="0"/>
              <w:jc w:val="right"/>
              <w:rPr>
                <w:rFonts w:ascii="Arial Narrow" w:hAnsi="Arial Narrow" w:cs="Arial"/>
                <w:b/>
                <w:color w:val="000000"/>
                <w:sz w:val="16"/>
                <w:szCs w:val="16"/>
                <w:lang w:val="es-ES" w:eastAsia="es-ES"/>
              </w:rPr>
            </w:pPr>
            <w:r w:rsidRPr="00730AE6">
              <w:rPr>
                <w:rFonts w:ascii="Arial Narrow" w:hAnsi="Arial Narrow" w:cs="Arial"/>
                <w:b/>
                <w:color w:val="000000"/>
                <w:sz w:val="16"/>
                <w:szCs w:val="16"/>
                <w:lang w:val="es-ES" w:eastAsia="es-ES"/>
              </w:rPr>
              <w:t>8.500.000</w:t>
            </w:r>
          </w:p>
        </w:tc>
        <w:tc>
          <w:tcPr>
            <w:tcW w:w="1030" w:type="dxa"/>
            <w:tcBorders>
              <w:right w:val="single" w:sz="4" w:space="0" w:color="auto"/>
            </w:tcBorders>
            <w:shd w:val="clear" w:color="auto" w:fill="auto"/>
            <w:noWrap/>
            <w:vAlign w:val="center"/>
          </w:tcPr>
          <w:p w:rsidR="00E313DF" w:rsidRPr="00730AE6" w:rsidRDefault="00E313DF" w:rsidP="006420DA">
            <w:pPr>
              <w:spacing w:after="0"/>
              <w:ind w:firstLine="0"/>
              <w:jc w:val="right"/>
              <w:rPr>
                <w:rFonts w:ascii="Arial Narrow" w:hAnsi="Arial Narrow" w:cs="Arial"/>
                <w:b/>
                <w:color w:val="000000"/>
                <w:sz w:val="16"/>
                <w:szCs w:val="16"/>
                <w:lang w:val="es-ES" w:eastAsia="es-ES"/>
              </w:rPr>
            </w:pPr>
            <w:r w:rsidRPr="00730AE6">
              <w:rPr>
                <w:rFonts w:ascii="Arial Narrow" w:hAnsi="Arial Narrow" w:cs="Arial"/>
                <w:b/>
                <w:color w:val="000000"/>
                <w:sz w:val="16"/>
                <w:szCs w:val="16"/>
                <w:lang w:val="es-ES" w:eastAsia="es-ES"/>
              </w:rPr>
              <w:t>7.000.000</w:t>
            </w:r>
          </w:p>
        </w:tc>
        <w:tc>
          <w:tcPr>
            <w:tcW w:w="2529" w:type="dxa"/>
            <w:tcBorders>
              <w:left w:val="single" w:sz="4" w:space="0" w:color="auto"/>
            </w:tcBorders>
            <w:shd w:val="clear" w:color="auto" w:fill="auto"/>
            <w:vAlign w:val="center"/>
          </w:tcPr>
          <w:p w:rsidR="00E313DF" w:rsidRPr="00730AE6" w:rsidRDefault="00E313DF" w:rsidP="006420DA">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6. Fianzas y depósitos recibidos c/p</w:t>
            </w:r>
          </w:p>
        </w:tc>
        <w:tc>
          <w:tcPr>
            <w:tcW w:w="1070" w:type="dxa"/>
            <w:shd w:val="clear" w:color="auto" w:fill="auto"/>
            <w:noWrap/>
            <w:vAlign w:val="center"/>
          </w:tcPr>
          <w:p w:rsidR="00E313DF" w:rsidRPr="00730AE6" w:rsidRDefault="00E313DF"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61.988</w:t>
            </w:r>
          </w:p>
        </w:tc>
        <w:tc>
          <w:tcPr>
            <w:tcW w:w="1056" w:type="dxa"/>
            <w:shd w:val="clear" w:color="auto" w:fill="auto"/>
            <w:noWrap/>
            <w:vAlign w:val="center"/>
          </w:tcPr>
          <w:p w:rsidR="00E313DF" w:rsidRPr="00730AE6" w:rsidRDefault="00A05A4C"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71.608</w:t>
            </w:r>
          </w:p>
        </w:tc>
      </w:tr>
      <w:tr w:rsidR="00E313DF" w:rsidRPr="00730AE6" w:rsidTr="00A277E6">
        <w:trPr>
          <w:trHeight w:val="284"/>
          <w:jc w:val="center"/>
        </w:trPr>
        <w:tc>
          <w:tcPr>
            <w:tcW w:w="2835" w:type="dxa"/>
            <w:shd w:val="clear" w:color="auto" w:fill="auto"/>
            <w:vAlign w:val="center"/>
          </w:tcPr>
          <w:p w:rsidR="00E313DF" w:rsidRPr="00730AE6" w:rsidRDefault="00E313DF" w:rsidP="006420DA">
            <w:pPr>
              <w:spacing w:after="0"/>
              <w:ind w:firstLine="0"/>
              <w:jc w:val="left"/>
              <w:rPr>
                <w:rFonts w:ascii="Arial Narrow" w:hAnsi="Arial Narrow" w:cs="Arial"/>
                <w:sz w:val="18"/>
                <w:szCs w:val="18"/>
                <w:lang w:val="es-ES" w:eastAsia="es-ES"/>
              </w:rPr>
            </w:pPr>
            <w:r w:rsidRPr="00730AE6">
              <w:rPr>
                <w:rFonts w:ascii="Arial Narrow" w:hAnsi="Arial Narrow" w:cs="Arial"/>
                <w:sz w:val="18"/>
                <w:szCs w:val="18"/>
                <w:lang w:val="es-ES" w:eastAsia="es-ES"/>
              </w:rPr>
              <w:t xml:space="preserve">1. Cartera de valores a corto plazo </w:t>
            </w:r>
          </w:p>
        </w:tc>
        <w:tc>
          <w:tcPr>
            <w:tcW w:w="1030" w:type="dxa"/>
            <w:shd w:val="clear" w:color="auto" w:fill="auto"/>
            <w:noWrap/>
            <w:vAlign w:val="center"/>
          </w:tcPr>
          <w:p w:rsidR="00E313DF" w:rsidRPr="00730AE6" w:rsidRDefault="00E313DF"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8.500.000</w:t>
            </w:r>
          </w:p>
        </w:tc>
        <w:tc>
          <w:tcPr>
            <w:tcW w:w="1030" w:type="dxa"/>
            <w:tcBorders>
              <w:right w:val="single" w:sz="4" w:space="0" w:color="auto"/>
            </w:tcBorders>
            <w:shd w:val="clear" w:color="auto" w:fill="auto"/>
            <w:noWrap/>
            <w:vAlign w:val="center"/>
          </w:tcPr>
          <w:p w:rsidR="00E313DF" w:rsidRPr="00730AE6" w:rsidRDefault="00E313DF" w:rsidP="006420DA">
            <w:pPr>
              <w:spacing w:after="0"/>
              <w:ind w:firstLine="0"/>
              <w:jc w:val="right"/>
              <w:rPr>
                <w:rFonts w:ascii="Arial Narrow" w:hAnsi="Arial Narrow" w:cs="Arial"/>
                <w:sz w:val="16"/>
                <w:szCs w:val="16"/>
                <w:lang w:val="es-ES" w:eastAsia="es-ES"/>
              </w:rPr>
            </w:pPr>
            <w:r w:rsidRPr="00730AE6">
              <w:rPr>
                <w:rFonts w:ascii="Arial Narrow" w:hAnsi="Arial Narrow" w:cs="Arial"/>
                <w:sz w:val="16"/>
                <w:szCs w:val="16"/>
                <w:lang w:val="es-ES" w:eastAsia="es-ES"/>
              </w:rPr>
              <w:t>7.000.000</w:t>
            </w:r>
          </w:p>
        </w:tc>
        <w:tc>
          <w:tcPr>
            <w:tcW w:w="2529" w:type="dxa"/>
            <w:tcBorders>
              <w:left w:val="single" w:sz="4" w:space="0" w:color="auto"/>
            </w:tcBorders>
            <w:shd w:val="clear" w:color="auto" w:fill="auto"/>
            <w:vAlign w:val="center"/>
          </w:tcPr>
          <w:p w:rsidR="00E313DF" w:rsidRPr="00730AE6" w:rsidRDefault="00E313DF" w:rsidP="006420DA">
            <w:pPr>
              <w:spacing w:after="0"/>
              <w:ind w:firstLine="0"/>
              <w:jc w:val="left"/>
              <w:rPr>
                <w:rFonts w:ascii="Arial Narrow" w:hAnsi="Arial Narrow" w:cs="Arial"/>
                <w:b/>
                <w:sz w:val="18"/>
                <w:szCs w:val="18"/>
                <w:lang w:val="es-ES" w:eastAsia="es-ES"/>
              </w:rPr>
            </w:pPr>
            <w:r w:rsidRPr="00730AE6">
              <w:rPr>
                <w:rFonts w:ascii="Arial Narrow" w:hAnsi="Arial Narrow" w:cs="Arial"/>
                <w:b/>
                <w:sz w:val="18"/>
                <w:szCs w:val="18"/>
                <w:lang w:val="es-ES" w:eastAsia="es-ES"/>
              </w:rPr>
              <w:t>IV. Ajustes por periodificación</w:t>
            </w:r>
          </w:p>
        </w:tc>
        <w:tc>
          <w:tcPr>
            <w:tcW w:w="1070" w:type="dxa"/>
            <w:shd w:val="clear" w:color="auto" w:fill="auto"/>
            <w:noWrap/>
            <w:vAlign w:val="center"/>
          </w:tcPr>
          <w:p w:rsidR="00E313DF" w:rsidRPr="00730AE6" w:rsidRDefault="00E313DF" w:rsidP="006420DA">
            <w:pPr>
              <w:spacing w:after="0"/>
              <w:ind w:firstLine="0"/>
              <w:jc w:val="right"/>
              <w:rPr>
                <w:rFonts w:ascii="Arial Narrow" w:hAnsi="Arial Narrow" w:cs="Arial"/>
                <w:b/>
                <w:color w:val="000000"/>
                <w:sz w:val="16"/>
                <w:szCs w:val="16"/>
                <w:lang w:val="es-ES" w:eastAsia="es-ES"/>
              </w:rPr>
            </w:pPr>
            <w:r w:rsidRPr="00730AE6">
              <w:rPr>
                <w:rFonts w:ascii="Arial Narrow" w:hAnsi="Arial Narrow" w:cs="Arial"/>
                <w:b/>
                <w:color w:val="000000"/>
                <w:sz w:val="16"/>
                <w:szCs w:val="16"/>
                <w:lang w:val="es-ES" w:eastAsia="es-ES"/>
              </w:rPr>
              <w:t>132.178</w:t>
            </w:r>
          </w:p>
        </w:tc>
        <w:tc>
          <w:tcPr>
            <w:tcW w:w="1056" w:type="dxa"/>
            <w:shd w:val="clear" w:color="auto" w:fill="auto"/>
            <w:noWrap/>
            <w:vAlign w:val="center"/>
          </w:tcPr>
          <w:p w:rsidR="00E313DF" w:rsidRPr="00730AE6" w:rsidRDefault="00A05A4C" w:rsidP="006420DA">
            <w:pPr>
              <w:spacing w:after="0"/>
              <w:ind w:firstLine="0"/>
              <w:jc w:val="right"/>
              <w:rPr>
                <w:rFonts w:ascii="Arial Narrow" w:hAnsi="Arial Narrow" w:cs="Arial"/>
                <w:b/>
                <w:color w:val="000000"/>
                <w:sz w:val="16"/>
                <w:szCs w:val="16"/>
                <w:lang w:val="es-ES" w:eastAsia="es-ES"/>
              </w:rPr>
            </w:pPr>
            <w:r w:rsidRPr="00730AE6">
              <w:rPr>
                <w:rFonts w:ascii="Arial Narrow" w:hAnsi="Arial Narrow" w:cs="Arial"/>
                <w:b/>
                <w:color w:val="000000"/>
                <w:sz w:val="16"/>
                <w:szCs w:val="16"/>
                <w:lang w:val="es-ES" w:eastAsia="es-ES"/>
              </w:rPr>
              <w:t>102.514</w:t>
            </w:r>
          </w:p>
        </w:tc>
      </w:tr>
      <w:tr w:rsidR="00E313DF" w:rsidRPr="00730AE6" w:rsidTr="00A277E6">
        <w:trPr>
          <w:trHeight w:val="284"/>
          <w:jc w:val="center"/>
        </w:trPr>
        <w:tc>
          <w:tcPr>
            <w:tcW w:w="2835" w:type="dxa"/>
            <w:shd w:val="clear" w:color="auto" w:fill="auto"/>
            <w:vAlign w:val="center"/>
          </w:tcPr>
          <w:p w:rsidR="00E313DF" w:rsidRPr="00730AE6" w:rsidRDefault="00E313DF" w:rsidP="006420DA">
            <w:pPr>
              <w:spacing w:after="0"/>
              <w:ind w:firstLine="0"/>
              <w:jc w:val="left"/>
              <w:rPr>
                <w:rFonts w:ascii="Arial Narrow" w:hAnsi="Arial Narrow" w:cs="Arial"/>
                <w:b/>
                <w:sz w:val="18"/>
                <w:szCs w:val="18"/>
                <w:lang w:val="es-ES" w:eastAsia="es-ES"/>
              </w:rPr>
            </w:pPr>
            <w:r w:rsidRPr="00730AE6">
              <w:rPr>
                <w:rFonts w:ascii="Arial Narrow" w:hAnsi="Arial Narrow" w:cs="Arial"/>
                <w:b/>
                <w:sz w:val="18"/>
                <w:szCs w:val="18"/>
                <w:lang w:val="es-ES" w:eastAsia="es-ES"/>
              </w:rPr>
              <w:t>IV: Tesorería</w:t>
            </w:r>
          </w:p>
        </w:tc>
        <w:tc>
          <w:tcPr>
            <w:tcW w:w="1030" w:type="dxa"/>
            <w:shd w:val="clear" w:color="auto" w:fill="auto"/>
            <w:noWrap/>
            <w:vAlign w:val="center"/>
          </w:tcPr>
          <w:p w:rsidR="00E313DF" w:rsidRPr="00730AE6" w:rsidRDefault="00E313DF" w:rsidP="006420DA">
            <w:pPr>
              <w:spacing w:after="0"/>
              <w:ind w:firstLine="0"/>
              <w:jc w:val="right"/>
              <w:rPr>
                <w:rFonts w:ascii="Arial Narrow" w:hAnsi="Arial Narrow" w:cs="Arial"/>
                <w:b/>
                <w:color w:val="000000"/>
                <w:sz w:val="16"/>
                <w:szCs w:val="16"/>
                <w:lang w:val="es-ES" w:eastAsia="es-ES"/>
              </w:rPr>
            </w:pPr>
            <w:r w:rsidRPr="00730AE6">
              <w:rPr>
                <w:rFonts w:ascii="Arial Narrow" w:hAnsi="Arial Narrow" w:cs="Arial"/>
                <w:b/>
                <w:color w:val="000000"/>
                <w:sz w:val="16"/>
                <w:szCs w:val="16"/>
                <w:lang w:val="es-ES" w:eastAsia="es-ES"/>
              </w:rPr>
              <w:t>7.460.506</w:t>
            </w:r>
          </w:p>
        </w:tc>
        <w:tc>
          <w:tcPr>
            <w:tcW w:w="1030" w:type="dxa"/>
            <w:tcBorders>
              <w:right w:val="single" w:sz="4" w:space="0" w:color="auto"/>
            </w:tcBorders>
            <w:shd w:val="clear" w:color="auto" w:fill="auto"/>
            <w:noWrap/>
            <w:vAlign w:val="center"/>
          </w:tcPr>
          <w:p w:rsidR="00E313DF" w:rsidRPr="00730AE6" w:rsidRDefault="00E313DF" w:rsidP="006420DA">
            <w:pPr>
              <w:spacing w:after="0"/>
              <w:ind w:firstLine="0"/>
              <w:jc w:val="right"/>
              <w:rPr>
                <w:rFonts w:ascii="Arial Narrow" w:hAnsi="Arial Narrow" w:cs="Arial"/>
                <w:b/>
                <w:sz w:val="16"/>
                <w:szCs w:val="16"/>
                <w:lang w:val="es-ES" w:eastAsia="es-ES"/>
              </w:rPr>
            </w:pPr>
            <w:r w:rsidRPr="00730AE6">
              <w:rPr>
                <w:rFonts w:ascii="Arial Narrow" w:hAnsi="Arial Narrow" w:cs="Arial"/>
                <w:b/>
                <w:sz w:val="16"/>
                <w:szCs w:val="16"/>
                <w:lang w:val="es-ES" w:eastAsia="es-ES"/>
              </w:rPr>
              <w:t>7.716.857</w:t>
            </w:r>
          </w:p>
        </w:tc>
        <w:tc>
          <w:tcPr>
            <w:tcW w:w="2529" w:type="dxa"/>
            <w:tcBorders>
              <w:left w:val="single" w:sz="4" w:space="0" w:color="auto"/>
            </w:tcBorders>
            <w:shd w:val="clear" w:color="auto" w:fill="auto"/>
            <w:vAlign w:val="center"/>
          </w:tcPr>
          <w:p w:rsidR="00E313DF" w:rsidRPr="00730AE6" w:rsidRDefault="00E313DF" w:rsidP="006420DA">
            <w:pPr>
              <w:spacing w:after="0"/>
              <w:ind w:firstLine="0"/>
              <w:jc w:val="left"/>
              <w:rPr>
                <w:rFonts w:ascii="Arial Narrow" w:hAnsi="Arial Narrow" w:cs="Arial"/>
                <w:sz w:val="18"/>
                <w:szCs w:val="18"/>
                <w:lang w:val="es-ES" w:eastAsia="es-ES"/>
              </w:rPr>
            </w:pPr>
          </w:p>
        </w:tc>
        <w:tc>
          <w:tcPr>
            <w:tcW w:w="1070" w:type="dxa"/>
            <w:shd w:val="clear" w:color="auto" w:fill="auto"/>
            <w:noWrap/>
            <w:vAlign w:val="center"/>
          </w:tcPr>
          <w:p w:rsidR="00E313DF" w:rsidRPr="00730AE6" w:rsidRDefault="00E313DF" w:rsidP="006420DA">
            <w:pPr>
              <w:spacing w:after="0"/>
              <w:ind w:firstLine="0"/>
              <w:jc w:val="right"/>
              <w:rPr>
                <w:rFonts w:ascii="Arial Narrow" w:hAnsi="Arial Narrow" w:cs="Arial"/>
                <w:color w:val="000000"/>
                <w:sz w:val="16"/>
                <w:szCs w:val="16"/>
                <w:lang w:val="es-ES" w:eastAsia="es-ES"/>
              </w:rPr>
            </w:pPr>
          </w:p>
        </w:tc>
        <w:tc>
          <w:tcPr>
            <w:tcW w:w="1056" w:type="dxa"/>
            <w:shd w:val="clear" w:color="auto" w:fill="auto"/>
            <w:noWrap/>
            <w:vAlign w:val="center"/>
          </w:tcPr>
          <w:p w:rsidR="00E313DF" w:rsidRPr="00730AE6" w:rsidRDefault="00E313DF" w:rsidP="006420DA">
            <w:pPr>
              <w:spacing w:after="0"/>
              <w:ind w:firstLine="0"/>
              <w:jc w:val="right"/>
              <w:rPr>
                <w:rFonts w:ascii="Arial Narrow" w:hAnsi="Arial Narrow" w:cs="Arial"/>
                <w:color w:val="000000"/>
                <w:sz w:val="16"/>
                <w:szCs w:val="16"/>
                <w:lang w:val="es-ES" w:eastAsia="es-ES"/>
              </w:rPr>
            </w:pPr>
          </w:p>
        </w:tc>
      </w:tr>
      <w:tr w:rsidR="00E313DF" w:rsidRPr="00317F02" w:rsidTr="00BC4F7A">
        <w:trPr>
          <w:trHeight w:val="284"/>
          <w:jc w:val="center"/>
        </w:trPr>
        <w:tc>
          <w:tcPr>
            <w:tcW w:w="2835" w:type="dxa"/>
            <w:shd w:val="clear" w:color="auto" w:fill="A8CBEE" w:themeFill="accent2" w:themeFillTint="66"/>
            <w:vAlign w:val="center"/>
          </w:tcPr>
          <w:p w:rsidR="00E313DF" w:rsidRPr="00317F02" w:rsidRDefault="00E313DF" w:rsidP="006420DA">
            <w:pPr>
              <w:spacing w:after="0"/>
              <w:ind w:firstLine="0"/>
              <w:jc w:val="left"/>
              <w:rPr>
                <w:rFonts w:ascii="Arial" w:hAnsi="Arial" w:cs="Arial"/>
                <w:bCs/>
                <w:sz w:val="16"/>
                <w:szCs w:val="16"/>
                <w:lang w:val="es-ES" w:eastAsia="es-ES"/>
              </w:rPr>
            </w:pPr>
            <w:r w:rsidRPr="00317F02">
              <w:rPr>
                <w:rFonts w:ascii="Arial" w:hAnsi="Arial" w:cs="Arial"/>
                <w:bCs/>
                <w:sz w:val="16"/>
                <w:szCs w:val="16"/>
                <w:lang w:val="es-ES" w:eastAsia="es-ES"/>
              </w:rPr>
              <w:t>Total General  (A+B+C)</w:t>
            </w:r>
          </w:p>
        </w:tc>
        <w:tc>
          <w:tcPr>
            <w:tcW w:w="1030" w:type="dxa"/>
            <w:shd w:val="clear" w:color="auto" w:fill="A8CBEE" w:themeFill="accent2" w:themeFillTint="66"/>
            <w:noWrap/>
            <w:vAlign w:val="center"/>
          </w:tcPr>
          <w:p w:rsidR="00E313DF" w:rsidRPr="00317F02" w:rsidRDefault="00E313DF" w:rsidP="006420DA">
            <w:pPr>
              <w:spacing w:after="0"/>
              <w:ind w:firstLine="0"/>
              <w:jc w:val="right"/>
              <w:rPr>
                <w:rFonts w:ascii="Arial" w:hAnsi="Arial" w:cs="Arial"/>
                <w:bCs/>
                <w:color w:val="000000"/>
                <w:sz w:val="16"/>
                <w:szCs w:val="16"/>
                <w:lang w:val="es-ES" w:eastAsia="es-ES"/>
              </w:rPr>
            </w:pPr>
            <w:r w:rsidRPr="00317F02">
              <w:rPr>
                <w:rFonts w:ascii="Arial" w:hAnsi="Arial" w:cs="Arial"/>
                <w:bCs/>
                <w:color w:val="000000"/>
                <w:sz w:val="16"/>
                <w:szCs w:val="16"/>
                <w:lang w:val="es-ES" w:eastAsia="es-ES"/>
              </w:rPr>
              <w:t>145.156.417</w:t>
            </w:r>
          </w:p>
        </w:tc>
        <w:tc>
          <w:tcPr>
            <w:tcW w:w="1030" w:type="dxa"/>
            <w:tcBorders>
              <w:right w:val="single" w:sz="4" w:space="0" w:color="auto"/>
            </w:tcBorders>
            <w:shd w:val="clear" w:color="auto" w:fill="A8CBEE" w:themeFill="accent2" w:themeFillTint="66"/>
            <w:noWrap/>
            <w:vAlign w:val="center"/>
          </w:tcPr>
          <w:p w:rsidR="00E313DF" w:rsidRPr="00317F02" w:rsidRDefault="00E313DF" w:rsidP="006420DA">
            <w:pPr>
              <w:spacing w:after="0"/>
              <w:ind w:firstLine="0"/>
              <w:jc w:val="right"/>
              <w:rPr>
                <w:rFonts w:ascii="Arial" w:hAnsi="Arial" w:cs="Arial"/>
                <w:bCs/>
                <w:color w:val="000000"/>
                <w:sz w:val="16"/>
                <w:szCs w:val="16"/>
                <w:lang w:val="es-ES" w:eastAsia="es-ES"/>
              </w:rPr>
            </w:pPr>
            <w:r w:rsidRPr="00317F02">
              <w:rPr>
                <w:rFonts w:ascii="Arial" w:hAnsi="Arial" w:cs="Arial"/>
                <w:bCs/>
                <w:color w:val="000000"/>
                <w:sz w:val="16"/>
                <w:szCs w:val="16"/>
                <w:lang w:val="es-ES" w:eastAsia="es-ES"/>
              </w:rPr>
              <w:t>141.667.824</w:t>
            </w:r>
          </w:p>
        </w:tc>
        <w:tc>
          <w:tcPr>
            <w:tcW w:w="2529" w:type="dxa"/>
            <w:tcBorders>
              <w:left w:val="single" w:sz="4" w:space="0" w:color="auto"/>
            </w:tcBorders>
            <w:shd w:val="clear" w:color="auto" w:fill="A8CBEE" w:themeFill="accent2" w:themeFillTint="66"/>
            <w:vAlign w:val="center"/>
          </w:tcPr>
          <w:p w:rsidR="00E313DF" w:rsidRPr="00317F02" w:rsidRDefault="00E313DF" w:rsidP="006420DA">
            <w:pPr>
              <w:spacing w:after="0"/>
              <w:ind w:firstLine="0"/>
              <w:jc w:val="left"/>
              <w:rPr>
                <w:rFonts w:ascii="Arial" w:hAnsi="Arial" w:cs="Arial"/>
                <w:sz w:val="16"/>
                <w:szCs w:val="16"/>
                <w:lang w:val="es-ES" w:eastAsia="es-ES"/>
              </w:rPr>
            </w:pPr>
            <w:r w:rsidRPr="00317F02">
              <w:rPr>
                <w:rFonts w:ascii="Arial" w:hAnsi="Arial" w:cs="Arial"/>
                <w:sz w:val="16"/>
                <w:szCs w:val="16"/>
                <w:lang w:val="es-ES" w:eastAsia="es-ES"/>
              </w:rPr>
              <w:t>Total General (A+B+C)</w:t>
            </w:r>
          </w:p>
        </w:tc>
        <w:tc>
          <w:tcPr>
            <w:tcW w:w="1070" w:type="dxa"/>
            <w:shd w:val="clear" w:color="auto" w:fill="A8CBEE" w:themeFill="accent2" w:themeFillTint="66"/>
            <w:noWrap/>
            <w:vAlign w:val="center"/>
          </w:tcPr>
          <w:p w:rsidR="00E313DF" w:rsidRPr="00317F02" w:rsidRDefault="00E313DF" w:rsidP="006420DA">
            <w:pPr>
              <w:spacing w:after="0"/>
              <w:ind w:firstLine="0"/>
              <w:jc w:val="right"/>
              <w:rPr>
                <w:rFonts w:ascii="Arial" w:hAnsi="Arial" w:cs="Arial"/>
                <w:bCs/>
                <w:color w:val="000000"/>
                <w:sz w:val="16"/>
                <w:szCs w:val="16"/>
                <w:lang w:val="es-ES" w:eastAsia="es-ES"/>
              </w:rPr>
            </w:pPr>
            <w:r w:rsidRPr="00317F02">
              <w:rPr>
                <w:rFonts w:ascii="Arial" w:hAnsi="Arial" w:cs="Arial"/>
                <w:bCs/>
                <w:color w:val="000000"/>
                <w:sz w:val="16"/>
                <w:szCs w:val="16"/>
                <w:lang w:val="es-ES" w:eastAsia="es-ES"/>
              </w:rPr>
              <w:t>145.156.417</w:t>
            </w:r>
          </w:p>
        </w:tc>
        <w:tc>
          <w:tcPr>
            <w:tcW w:w="1056" w:type="dxa"/>
            <w:shd w:val="clear" w:color="auto" w:fill="A8CBEE" w:themeFill="accent2" w:themeFillTint="66"/>
            <w:noWrap/>
            <w:vAlign w:val="center"/>
          </w:tcPr>
          <w:p w:rsidR="00E313DF" w:rsidRPr="00317F02" w:rsidRDefault="00A05A4C" w:rsidP="006420DA">
            <w:pPr>
              <w:spacing w:after="0"/>
              <w:ind w:firstLine="0"/>
              <w:jc w:val="right"/>
              <w:rPr>
                <w:rFonts w:ascii="Arial" w:hAnsi="Arial" w:cs="Arial"/>
                <w:bCs/>
                <w:color w:val="000000"/>
                <w:sz w:val="16"/>
                <w:szCs w:val="16"/>
                <w:lang w:val="es-ES" w:eastAsia="es-ES"/>
              </w:rPr>
            </w:pPr>
            <w:r w:rsidRPr="00317F02">
              <w:rPr>
                <w:rFonts w:ascii="Arial" w:hAnsi="Arial" w:cs="Arial"/>
                <w:bCs/>
                <w:color w:val="000000"/>
                <w:sz w:val="16"/>
                <w:szCs w:val="16"/>
                <w:lang w:val="es-ES" w:eastAsia="es-ES"/>
              </w:rPr>
              <w:t>141.667.824</w:t>
            </w:r>
          </w:p>
        </w:tc>
      </w:tr>
    </w:tbl>
    <w:p w:rsidR="006420DA" w:rsidRPr="00730AE6" w:rsidRDefault="006420DA" w:rsidP="006420DA">
      <w:pPr>
        <w:spacing w:after="0"/>
        <w:ind w:firstLine="0"/>
        <w:rPr>
          <w:sz w:val="26"/>
          <w:szCs w:val="26"/>
          <w:lang w:val="es-ES" w:eastAsia="es-ES"/>
        </w:rPr>
      </w:pPr>
    </w:p>
    <w:p w:rsidR="006420DA" w:rsidRPr="00730AE6" w:rsidRDefault="006420DA" w:rsidP="006420DA">
      <w:pPr>
        <w:spacing w:after="0"/>
        <w:ind w:firstLine="0"/>
        <w:rPr>
          <w:sz w:val="26"/>
          <w:szCs w:val="26"/>
          <w:lang w:val="es-ES" w:eastAsia="es-ES"/>
        </w:rPr>
      </w:pPr>
    </w:p>
    <w:p w:rsidR="006420DA" w:rsidRPr="00730AE6" w:rsidRDefault="006420DA" w:rsidP="006420DA">
      <w:pPr>
        <w:spacing w:after="0"/>
        <w:ind w:firstLine="0"/>
        <w:rPr>
          <w:sz w:val="26"/>
          <w:szCs w:val="26"/>
          <w:lang w:val="es-ES" w:eastAsia="es-ES"/>
        </w:rPr>
      </w:pPr>
      <w:r w:rsidRPr="00730AE6">
        <w:rPr>
          <w:sz w:val="26"/>
          <w:szCs w:val="26"/>
          <w:lang w:val="es-ES" w:eastAsia="es-ES"/>
        </w:rPr>
        <w:br w:type="page"/>
      </w:r>
    </w:p>
    <w:p w:rsidR="006420DA" w:rsidRPr="00730AE6" w:rsidRDefault="006830EB" w:rsidP="006420DA">
      <w:pPr>
        <w:pStyle w:val="atitulo2"/>
        <w:spacing w:before="240"/>
        <w:rPr>
          <w:rFonts w:cs="Arial"/>
          <w:lang w:eastAsia="es-ES"/>
        </w:rPr>
      </w:pPr>
      <w:bookmarkStart w:id="28" w:name="_Toc3967021"/>
      <w:r>
        <w:lastRenderedPageBreak/>
        <w:t>V</w:t>
      </w:r>
      <w:r w:rsidR="006420DA" w:rsidRPr="00730AE6">
        <w:t>.5. Cuenta de resultado</w:t>
      </w:r>
      <w:r w:rsidR="004642AE" w:rsidRPr="00730AE6">
        <w:t xml:space="preserve"> económico-patrimonial</w:t>
      </w:r>
      <w:r w:rsidR="006420DA" w:rsidRPr="00730AE6">
        <w:t xml:space="preserve"> 201</w:t>
      </w:r>
      <w:r w:rsidR="00AA0208" w:rsidRPr="00730AE6">
        <w:t>7</w:t>
      </w:r>
      <w:bookmarkEnd w:id="28"/>
    </w:p>
    <w:tbl>
      <w:tblPr>
        <w:tblW w:w="9460" w:type="dxa"/>
        <w:jc w:val="center"/>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2835"/>
        <w:gridCol w:w="870"/>
        <w:gridCol w:w="1030"/>
        <w:gridCol w:w="2599"/>
        <w:gridCol w:w="1070"/>
        <w:gridCol w:w="1056"/>
      </w:tblGrid>
      <w:tr w:rsidR="006420DA" w:rsidRPr="00730AE6" w:rsidTr="00BC4F7A">
        <w:trPr>
          <w:trHeight w:val="312"/>
          <w:jc w:val="center"/>
        </w:trPr>
        <w:tc>
          <w:tcPr>
            <w:tcW w:w="2835" w:type="dxa"/>
            <w:shd w:val="clear" w:color="auto" w:fill="A8CBEE" w:themeFill="accent2" w:themeFillTint="66"/>
            <w:noWrap/>
            <w:vAlign w:val="center"/>
          </w:tcPr>
          <w:p w:rsidR="006420DA" w:rsidRPr="00730AE6" w:rsidRDefault="006420DA" w:rsidP="006420DA">
            <w:pPr>
              <w:spacing w:after="0"/>
              <w:ind w:firstLine="0"/>
              <w:jc w:val="left"/>
              <w:rPr>
                <w:rFonts w:ascii="Arial" w:hAnsi="Arial" w:cs="Arial"/>
                <w:bCs/>
                <w:color w:val="000000"/>
                <w:sz w:val="16"/>
                <w:szCs w:val="16"/>
                <w:lang w:val="es-ES" w:eastAsia="es-ES"/>
              </w:rPr>
            </w:pPr>
            <w:r w:rsidRPr="00730AE6">
              <w:rPr>
                <w:rFonts w:ascii="Arial" w:hAnsi="Arial" w:cs="Arial"/>
                <w:bCs/>
                <w:color w:val="000000"/>
                <w:sz w:val="16"/>
                <w:szCs w:val="16"/>
                <w:lang w:val="es-ES" w:eastAsia="es-ES"/>
              </w:rPr>
              <w:t>DEBE</w:t>
            </w:r>
          </w:p>
        </w:tc>
        <w:tc>
          <w:tcPr>
            <w:tcW w:w="870" w:type="dxa"/>
            <w:shd w:val="clear" w:color="auto" w:fill="A8CBEE" w:themeFill="accent2" w:themeFillTint="66"/>
            <w:noWrap/>
            <w:vAlign w:val="center"/>
          </w:tcPr>
          <w:p w:rsidR="006420DA" w:rsidRPr="00730AE6" w:rsidRDefault="004642AE" w:rsidP="006420DA">
            <w:pPr>
              <w:spacing w:after="0"/>
              <w:ind w:firstLine="0"/>
              <w:jc w:val="right"/>
              <w:rPr>
                <w:rFonts w:ascii="Arial" w:hAnsi="Arial" w:cs="Arial"/>
                <w:bCs/>
                <w:color w:val="000000"/>
                <w:sz w:val="16"/>
                <w:szCs w:val="16"/>
                <w:lang w:val="es-ES" w:eastAsia="es-ES"/>
              </w:rPr>
            </w:pPr>
            <w:r w:rsidRPr="00730AE6">
              <w:rPr>
                <w:rFonts w:ascii="Arial" w:hAnsi="Arial" w:cs="Arial"/>
                <w:bCs/>
                <w:color w:val="000000"/>
                <w:sz w:val="16"/>
                <w:szCs w:val="16"/>
                <w:lang w:val="es-ES" w:eastAsia="es-ES"/>
              </w:rPr>
              <w:t>2016</w:t>
            </w:r>
          </w:p>
        </w:tc>
        <w:tc>
          <w:tcPr>
            <w:tcW w:w="1030" w:type="dxa"/>
            <w:tcBorders>
              <w:right w:val="single" w:sz="4" w:space="0" w:color="auto"/>
            </w:tcBorders>
            <w:shd w:val="clear" w:color="auto" w:fill="A8CBEE" w:themeFill="accent2" w:themeFillTint="66"/>
            <w:noWrap/>
            <w:vAlign w:val="center"/>
          </w:tcPr>
          <w:p w:rsidR="006420DA" w:rsidRPr="00730AE6" w:rsidRDefault="004642AE" w:rsidP="006420DA">
            <w:pPr>
              <w:spacing w:after="0"/>
              <w:ind w:firstLine="0"/>
              <w:jc w:val="right"/>
              <w:rPr>
                <w:rFonts w:ascii="Arial" w:hAnsi="Arial" w:cs="Arial"/>
                <w:bCs/>
                <w:color w:val="000000"/>
                <w:sz w:val="16"/>
                <w:szCs w:val="16"/>
                <w:lang w:val="es-ES" w:eastAsia="es-ES"/>
              </w:rPr>
            </w:pPr>
            <w:r w:rsidRPr="00730AE6">
              <w:rPr>
                <w:rFonts w:ascii="Arial" w:hAnsi="Arial" w:cs="Arial"/>
                <w:bCs/>
                <w:color w:val="000000"/>
                <w:sz w:val="16"/>
                <w:szCs w:val="16"/>
                <w:lang w:val="es-ES" w:eastAsia="es-ES"/>
              </w:rPr>
              <w:t>2017</w:t>
            </w:r>
          </w:p>
        </w:tc>
        <w:tc>
          <w:tcPr>
            <w:tcW w:w="2599" w:type="dxa"/>
            <w:tcBorders>
              <w:left w:val="single" w:sz="4" w:space="0" w:color="auto"/>
            </w:tcBorders>
            <w:shd w:val="clear" w:color="auto" w:fill="A8CBEE" w:themeFill="accent2" w:themeFillTint="66"/>
            <w:vAlign w:val="center"/>
          </w:tcPr>
          <w:p w:rsidR="006420DA" w:rsidRPr="00730AE6" w:rsidRDefault="006420DA" w:rsidP="006420DA">
            <w:pPr>
              <w:spacing w:after="0"/>
              <w:ind w:firstLine="0"/>
              <w:jc w:val="left"/>
              <w:rPr>
                <w:rFonts w:ascii="Arial" w:hAnsi="Arial" w:cs="Arial"/>
                <w:bCs/>
                <w:color w:val="000000"/>
                <w:sz w:val="16"/>
                <w:szCs w:val="16"/>
                <w:lang w:val="es-ES" w:eastAsia="es-ES"/>
              </w:rPr>
            </w:pPr>
            <w:r w:rsidRPr="00730AE6">
              <w:rPr>
                <w:rFonts w:ascii="Arial" w:hAnsi="Arial" w:cs="Arial"/>
                <w:bCs/>
                <w:color w:val="000000"/>
                <w:sz w:val="16"/>
                <w:szCs w:val="16"/>
                <w:lang w:val="es-ES" w:eastAsia="es-ES"/>
              </w:rPr>
              <w:t>HABER</w:t>
            </w:r>
          </w:p>
        </w:tc>
        <w:tc>
          <w:tcPr>
            <w:tcW w:w="1070" w:type="dxa"/>
            <w:shd w:val="clear" w:color="auto" w:fill="A8CBEE" w:themeFill="accent2" w:themeFillTint="66"/>
            <w:noWrap/>
            <w:vAlign w:val="center"/>
          </w:tcPr>
          <w:p w:rsidR="006420DA" w:rsidRPr="00730AE6" w:rsidRDefault="004642AE" w:rsidP="006420DA">
            <w:pPr>
              <w:spacing w:after="0"/>
              <w:ind w:firstLine="0"/>
              <w:jc w:val="right"/>
              <w:rPr>
                <w:rFonts w:ascii="Arial" w:hAnsi="Arial" w:cs="Arial"/>
                <w:bCs/>
                <w:color w:val="000000"/>
                <w:sz w:val="16"/>
                <w:szCs w:val="16"/>
                <w:lang w:val="es-ES" w:eastAsia="es-ES"/>
              </w:rPr>
            </w:pPr>
            <w:r w:rsidRPr="00730AE6">
              <w:rPr>
                <w:rFonts w:ascii="Arial" w:hAnsi="Arial" w:cs="Arial"/>
                <w:bCs/>
                <w:color w:val="000000"/>
                <w:sz w:val="16"/>
                <w:szCs w:val="16"/>
                <w:lang w:val="es-ES" w:eastAsia="es-ES"/>
              </w:rPr>
              <w:t>2016</w:t>
            </w:r>
          </w:p>
        </w:tc>
        <w:tc>
          <w:tcPr>
            <w:tcW w:w="1056" w:type="dxa"/>
            <w:shd w:val="clear" w:color="auto" w:fill="A8CBEE" w:themeFill="accent2" w:themeFillTint="66"/>
            <w:noWrap/>
            <w:vAlign w:val="center"/>
          </w:tcPr>
          <w:p w:rsidR="006420DA" w:rsidRPr="00730AE6" w:rsidRDefault="004642AE" w:rsidP="006420DA">
            <w:pPr>
              <w:spacing w:after="0"/>
              <w:ind w:firstLine="0"/>
              <w:jc w:val="right"/>
              <w:rPr>
                <w:rFonts w:ascii="Arial" w:hAnsi="Arial" w:cs="Arial"/>
                <w:bCs/>
                <w:color w:val="000000"/>
                <w:sz w:val="16"/>
                <w:szCs w:val="16"/>
                <w:lang w:val="es-ES" w:eastAsia="es-ES"/>
              </w:rPr>
            </w:pPr>
            <w:r w:rsidRPr="00730AE6">
              <w:rPr>
                <w:rFonts w:ascii="Arial" w:hAnsi="Arial" w:cs="Arial"/>
                <w:bCs/>
                <w:color w:val="000000"/>
                <w:sz w:val="16"/>
                <w:szCs w:val="16"/>
                <w:lang w:val="es-ES" w:eastAsia="es-ES"/>
              </w:rPr>
              <w:t>2017</w:t>
            </w:r>
          </w:p>
        </w:tc>
      </w:tr>
      <w:tr w:rsidR="006420DA" w:rsidRPr="00730AE6" w:rsidTr="00A277E6">
        <w:trPr>
          <w:trHeight w:val="312"/>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b/>
                <w:bCs/>
                <w:color w:val="000000"/>
                <w:sz w:val="16"/>
                <w:szCs w:val="16"/>
                <w:lang w:val="es-ES" w:eastAsia="es-ES"/>
              </w:rPr>
            </w:pPr>
            <w:r w:rsidRPr="00730AE6">
              <w:rPr>
                <w:rFonts w:ascii="Arial Narrow" w:hAnsi="Arial Narrow" w:cs="Arial"/>
                <w:b/>
                <w:bCs/>
                <w:color w:val="000000"/>
                <w:sz w:val="16"/>
                <w:szCs w:val="16"/>
                <w:lang w:val="es-ES" w:eastAsia="es-ES"/>
              </w:rPr>
              <w:t>A) GASTOS</w:t>
            </w:r>
          </w:p>
        </w:tc>
        <w:tc>
          <w:tcPr>
            <w:tcW w:w="870" w:type="dxa"/>
            <w:shd w:val="clear" w:color="auto" w:fill="auto"/>
            <w:noWrap/>
            <w:vAlign w:val="center"/>
          </w:tcPr>
          <w:p w:rsidR="006420DA" w:rsidRPr="00730AE6" w:rsidRDefault="00734CEF" w:rsidP="006420DA">
            <w:pPr>
              <w:spacing w:after="0"/>
              <w:ind w:firstLine="0"/>
              <w:jc w:val="right"/>
              <w:rPr>
                <w:rFonts w:ascii="Arial Narrow" w:hAnsi="Arial Narrow" w:cs="Arial"/>
                <w:b/>
                <w:bCs/>
                <w:color w:val="000000"/>
                <w:sz w:val="16"/>
                <w:szCs w:val="16"/>
                <w:lang w:val="es-ES" w:eastAsia="es-ES"/>
              </w:rPr>
            </w:pPr>
            <w:r w:rsidRPr="00730AE6">
              <w:rPr>
                <w:rFonts w:ascii="Arial Narrow" w:hAnsi="Arial Narrow" w:cs="Arial"/>
                <w:b/>
                <w:bCs/>
                <w:color w:val="000000"/>
                <w:sz w:val="16"/>
                <w:szCs w:val="16"/>
                <w:lang w:val="es-ES" w:eastAsia="es-ES"/>
              </w:rPr>
              <w:t>76.217</w:t>
            </w:r>
            <w:r w:rsidR="002531FD" w:rsidRPr="00730AE6">
              <w:rPr>
                <w:rFonts w:ascii="Arial Narrow" w:hAnsi="Arial Narrow" w:cs="Arial"/>
                <w:b/>
                <w:bCs/>
                <w:color w:val="000000"/>
                <w:sz w:val="16"/>
                <w:szCs w:val="16"/>
                <w:lang w:val="es-ES" w:eastAsia="es-ES"/>
              </w:rPr>
              <w:t>.</w:t>
            </w:r>
            <w:r w:rsidRPr="00730AE6">
              <w:rPr>
                <w:rFonts w:ascii="Arial Narrow" w:hAnsi="Arial Narrow" w:cs="Arial"/>
                <w:b/>
                <w:bCs/>
                <w:color w:val="000000"/>
                <w:sz w:val="16"/>
                <w:szCs w:val="16"/>
                <w:lang w:val="es-ES" w:eastAsia="es-ES"/>
              </w:rPr>
              <w:t>426</w:t>
            </w:r>
          </w:p>
        </w:tc>
        <w:tc>
          <w:tcPr>
            <w:tcW w:w="1030" w:type="dxa"/>
            <w:tcBorders>
              <w:right w:val="single" w:sz="4" w:space="0" w:color="auto"/>
            </w:tcBorders>
            <w:shd w:val="clear" w:color="auto" w:fill="auto"/>
            <w:noWrap/>
            <w:vAlign w:val="center"/>
          </w:tcPr>
          <w:p w:rsidR="006420DA" w:rsidRPr="00730AE6" w:rsidRDefault="000B06CE" w:rsidP="006420DA">
            <w:pPr>
              <w:spacing w:after="0"/>
              <w:ind w:firstLine="0"/>
              <w:jc w:val="right"/>
              <w:rPr>
                <w:rFonts w:ascii="Arial Narrow" w:hAnsi="Arial Narrow" w:cs="Arial"/>
                <w:b/>
                <w:bCs/>
                <w:color w:val="000000"/>
                <w:sz w:val="16"/>
                <w:szCs w:val="16"/>
                <w:lang w:val="es-ES" w:eastAsia="es-ES"/>
              </w:rPr>
            </w:pPr>
            <w:r w:rsidRPr="00730AE6">
              <w:rPr>
                <w:rFonts w:ascii="Arial Narrow" w:hAnsi="Arial Narrow" w:cs="Arial"/>
                <w:b/>
                <w:bCs/>
                <w:color w:val="000000"/>
                <w:sz w:val="16"/>
                <w:szCs w:val="16"/>
                <w:lang w:val="es-ES" w:eastAsia="es-ES"/>
              </w:rPr>
              <w:t>80.680.052</w:t>
            </w:r>
          </w:p>
        </w:tc>
        <w:tc>
          <w:tcPr>
            <w:tcW w:w="259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b/>
                <w:bCs/>
                <w:color w:val="000000"/>
                <w:sz w:val="16"/>
                <w:szCs w:val="16"/>
                <w:lang w:val="es-ES" w:eastAsia="es-ES"/>
              </w:rPr>
            </w:pPr>
            <w:r w:rsidRPr="00730AE6">
              <w:rPr>
                <w:rFonts w:ascii="Arial Narrow" w:hAnsi="Arial Narrow" w:cs="Arial"/>
                <w:b/>
                <w:bCs/>
                <w:color w:val="000000"/>
                <w:sz w:val="16"/>
                <w:szCs w:val="16"/>
                <w:lang w:val="es-ES" w:eastAsia="es-ES"/>
              </w:rPr>
              <w:t>B) INGRESOS</w:t>
            </w:r>
          </w:p>
        </w:tc>
        <w:tc>
          <w:tcPr>
            <w:tcW w:w="1070" w:type="dxa"/>
            <w:shd w:val="clear" w:color="auto" w:fill="auto"/>
            <w:noWrap/>
            <w:vAlign w:val="center"/>
          </w:tcPr>
          <w:p w:rsidR="006420DA" w:rsidRPr="00730AE6" w:rsidRDefault="00981249" w:rsidP="006420DA">
            <w:pPr>
              <w:spacing w:after="0"/>
              <w:ind w:firstLine="0"/>
              <w:jc w:val="right"/>
              <w:rPr>
                <w:rFonts w:ascii="Arial Narrow" w:hAnsi="Arial Narrow" w:cs="Arial"/>
                <w:b/>
                <w:bCs/>
                <w:color w:val="000000"/>
                <w:sz w:val="16"/>
                <w:szCs w:val="16"/>
                <w:lang w:val="es-ES" w:eastAsia="es-ES"/>
              </w:rPr>
            </w:pPr>
            <w:r w:rsidRPr="00730AE6">
              <w:rPr>
                <w:rFonts w:ascii="Arial Narrow" w:hAnsi="Arial Narrow" w:cs="Arial"/>
                <w:b/>
                <w:bCs/>
                <w:color w:val="000000"/>
                <w:sz w:val="16"/>
                <w:szCs w:val="16"/>
                <w:lang w:val="es-ES" w:eastAsia="es-ES"/>
              </w:rPr>
              <w:t>72.753.029</w:t>
            </w:r>
          </w:p>
        </w:tc>
        <w:tc>
          <w:tcPr>
            <w:tcW w:w="1056" w:type="dxa"/>
            <w:shd w:val="clear" w:color="auto" w:fill="auto"/>
            <w:noWrap/>
            <w:vAlign w:val="center"/>
          </w:tcPr>
          <w:p w:rsidR="006420DA" w:rsidRPr="00730AE6" w:rsidRDefault="003B5A84" w:rsidP="006420DA">
            <w:pPr>
              <w:spacing w:after="0"/>
              <w:ind w:firstLine="0"/>
              <w:jc w:val="right"/>
              <w:rPr>
                <w:rFonts w:ascii="Arial Narrow" w:hAnsi="Arial Narrow" w:cs="Arial"/>
                <w:b/>
                <w:bCs/>
                <w:color w:val="000000"/>
                <w:sz w:val="16"/>
                <w:szCs w:val="16"/>
                <w:lang w:val="es-ES" w:eastAsia="es-ES"/>
              </w:rPr>
            </w:pPr>
            <w:r w:rsidRPr="00730AE6">
              <w:rPr>
                <w:rFonts w:ascii="Arial Narrow" w:hAnsi="Arial Narrow" w:cs="Arial"/>
                <w:b/>
                <w:bCs/>
                <w:color w:val="000000"/>
                <w:sz w:val="16"/>
                <w:szCs w:val="16"/>
                <w:lang w:val="es-ES" w:eastAsia="es-ES"/>
              </w:rPr>
              <w:t>76.478.975</w:t>
            </w:r>
          </w:p>
        </w:tc>
      </w:tr>
      <w:tr w:rsidR="006420DA" w:rsidRPr="00730AE6" w:rsidTr="004058F4">
        <w:trPr>
          <w:trHeight w:val="516"/>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b/>
                <w:bCs/>
                <w:color w:val="000000"/>
                <w:sz w:val="16"/>
                <w:szCs w:val="16"/>
                <w:lang w:val="es-ES" w:eastAsia="es-ES"/>
              </w:rPr>
            </w:pPr>
            <w:r w:rsidRPr="00730AE6">
              <w:rPr>
                <w:rFonts w:ascii="Arial Narrow" w:hAnsi="Arial Narrow" w:cs="Arial"/>
                <w:b/>
                <w:bCs/>
                <w:color w:val="000000"/>
                <w:sz w:val="16"/>
                <w:szCs w:val="16"/>
                <w:lang w:val="es-ES" w:eastAsia="es-ES"/>
              </w:rPr>
              <w:t>1. Gastos de funcionamiento de los serv</w:t>
            </w:r>
            <w:r w:rsidRPr="00730AE6">
              <w:rPr>
                <w:rFonts w:ascii="Arial Narrow" w:hAnsi="Arial Narrow" w:cs="Arial"/>
                <w:b/>
                <w:bCs/>
                <w:color w:val="000000"/>
                <w:sz w:val="16"/>
                <w:szCs w:val="16"/>
                <w:lang w:val="es-ES" w:eastAsia="es-ES"/>
              </w:rPr>
              <w:t>i</w:t>
            </w:r>
            <w:r w:rsidRPr="00730AE6">
              <w:rPr>
                <w:rFonts w:ascii="Arial Narrow" w:hAnsi="Arial Narrow" w:cs="Arial"/>
                <w:b/>
                <w:bCs/>
                <w:color w:val="000000"/>
                <w:sz w:val="16"/>
                <w:szCs w:val="16"/>
                <w:lang w:val="es-ES" w:eastAsia="es-ES"/>
              </w:rPr>
              <w:t>cios y prestaciones sociales</w:t>
            </w:r>
          </w:p>
        </w:tc>
        <w:tc>
          <w:tcPr>
            <w:tcW w:w="870" w:type="dxa"/>
            <w:shd w:val="clear" w:color="auto" w:fill="auto"/>
            <w:noWrap/>
            <w:vAlign w:val="center"/>
          </w:tcPr>
          <w:p w:rsidR="006420DA" w:rsidRPr="00730AE6" w:rsidRDefault="00734CEF" w:rsidP="006420DA">
            <w:pPr>
              <w:spacing w:after="0"/>
              <w:ind w:firstLine="0"/>
              <w:jc w:val="right"/>
              <w:rPr>
                <w:rFonts w:ascii="Arial Narrow" w:hAnsi="Arial Narrow" w:cs="Arial"/>
                <w:b/>
                <w:bCs/>
                <w:color w:val="000000"/>
                <w:sz w:val="16"/>
                <w:szCs w:val="16"/>
                <w:lang w:val="es-ES" w:eastAsia="es-ES"/>
              </w:rPr>
            </w:pPr>
            <w:r w:rsidRPr="00730AE6">
              <w:rPr>
                <w:rFonts w:ascii="Arial Narrow" w:hAnsi="Arial Narrow" w:cs="Arial"/>
                <w:b/>
                <w:bCs/>
                <w:color w:val="000000"/>
                <w:sz w:val="16"/>
                <w:szCs w:val="16"/>
                <w:lang w:val="es-ES" w:eastAsia="es-ES"/>
              </w:rPr>
              <w:t>73.503.371</w:t>
            </w:r>
          </w:p>
        </w:tc>
        <w:tc>
          <w:tcPr>
            <w:tcW w:w="1030" w:type="dxa"/>
            <w:tcBorders>
              <w:right w:val="single" w:sz="4" w:space="0" w:color="auto"/>
            </w:tcBorders>
            <w:shd w:val="clear" w:color="auto" w:fill="auto"/>
            <w:noWrap/>
            <w:vAlign w:val="center"/>
          </w:tcPr>
          <w:p w:rsidR="006420DA" w:rsidRPr="00730AE6" w:rsidRDefault="000B06CE" w:rsidP="006420DA">
            <w:pPr>
              <w:spacing w:after="0"/>
              <w:ind w:firstLine="0"/>
              <w:jc w:val="right"/>
              <w:rPr>
                <w:rFonts w:ascii="Arial Narrow" w:hAnsi="Arial Narrow" w:cs="Arial"/>
                <w:b/>
                <w:bCs/>
                <w:color w:val="000000"/>
                <w:sz w:val="16"/>
                <w:szCs w:val="16"/>
                <w:lang w:val="es-ES" w:eastAsia="es-ES"/>
              </w:rPr>
            </w:pPr>
            <w:r w:rsidRPr="00730AE6">
              <w:rPr>
                <w:rFonts w:ascii="Arial Narrow" w:hAnsi="Arial Narrow" w:cs="Arial"/>
                <w:b/>
                <w:bCs/>
                <w:color w:val="000000"/>
                <w:sz w:val="16"/>
                <w:szCs w:val="16"/>
                <w:lang w:val="es-ES" w:eastAsia="es-ES"/>
              </w:rPr>
              <w:t>78.630.176</w:t>
            </w:r>
          </w:p>
        </w:tc>
        <w:tc>
          <w:tcPr>
            <w:tcW w:w="259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b/>
                <w:bCs/>
                <w:color w:val="000000"/>
                <w:sz w:val="16"/>
                <w:szCs w:val="16"/>
                <w:lang w:val="es-ES" w:eastAsia="es-ES"/>
              </w:rPr>
            </w:pPr>
            <w:r w:rsidRPr="00730AE6">
              <w:rPr>
                <w:rFonts w:ascii="Arial Narrow" w:hAnsi="Arial Narrow" w:cs="Arial"/>
                <w:b/>
                <w:bCs/>
                <w:color w:val="000000"/>
                <w:sz w:val="16"/>
                <w:szCs w:val="16"/>
                <w:lang w:val="es-ES" w:eastAsia="es-ES"/>
              </w:rPr>
              <w:t>1. Prestación de servicios</w:t>
            </w:r>
          </w:p>
        </w:tc>
        <w:tc>
          <w:tcPr>
            <w:tcW w:w="1070" w:type="dxa"/>
            <w:shd w:val="clear" w:color="auto" w:fill="auto"/>
            <w:noWrap/>
            <w:vAlign w:val="center"/>
          </w:tcPr>
          <w:p w:rsidR="006420DA" w:rsidRPr="00730AE6" w:rsidRDefault="00981249" w:rsidP="006420DA">
            <w:pPr>
              <w:spacing w:after="0"/>
              <w:ind w:firstLine="0"/>
              <w:jc w:val="right"/>
              <w:rPr>
                <w:rFonts w:ascii="Arial Narrow" w:hAnsi="Arial Narrow" w:cs="Arial"/>
                <w:b/>
                <w:bCs/>
                <w:color w:val="000000"/>
                <w:sz w:val="16"/>
                <w:szCs w:val="16"/>
                <w:lang w:val="es-ES" w:eastAsia="es-ES"/>
              </w:rPr>
            </w:pPr>
            <w:r w:rsidRPr="00730AE6">
              <w:rPr>
                <w:rFonts w:ascii="Arial Narrow" w:hAnsi="Arial Narrow" w:cs="Arial"/>
                <w:b/>
                <w:bCs/>
                <w:color w:val="000000"/>
                <w:sz w:val="16"/>
                <w:szCs w:val="16"/>
                <w:lang w:val="es-ES" w:eastAsia="es-ES"/>
              </w:rPr>
              <w:t>13.736.144</w:t>
            </w:r>
          </w:p>
        </w:tc>
        <w:tc>
          <w:tcPr>
            <w:tcW w:w="1056" w:type="dxa"/>
            <w:shd w:val="clear" w:color="auto" w:fill="auto"/>
            <w:noWrap/>
            <w:vAlign w:val="center"/>
          </w:tcPr>
          <w:p w:rsidR="006420DA" w:rsidRPr="00730AE6" w:rsidRDefault="003B5A84" w:rsidP="006420DA">
            <w:pPr>
              <w:spacing w:after="0"/>
              <w:ind w:firstLine="0"/>
              <w:jc w:val="right"/>
              <w:rPr>
                <w:rFonts w:ascii="Arial Narrow" w:hAnsi="Arial Narrow" w:cs="Arial"/>
                <w:b/>
                <w:bCs/>
                <w:color w:val="000000"/>
                <w:sz w:val="16"/>
                <w:szCs w:val="16"/>
                <w:lang w:val="es-ES" w:eastAsia="es-ES"/>
              </w:rPr>
            </w:pPr>
            <w:r w:rsidRPr="00730AE6">
              <w:rPr>
                <w:rFonts w:ascii="Arial Narrow" w:hAnsi="Arial Narrow" w:cs="Arial"/>
                <w:b/>
                <w:bCs/>
                <w:color w:val="000000"/>
                <w:sz w:val="16"/>
                <w:szCs w:val="16"/>
                <w:lang w:val="es-ES" w:eastAsia="es-ES"/>
              </w:rPr>
              <w:t>12.488.928</w:t>
            </w:r>
          </w:p>
        </w:tc>
      </w:tr>
      <w:tr w:rsidR="006420DA" w:rsidRPr="00730AE6" w:rsidTr="004058F4">
        <w:trPr>
          <w:trHeight w:val="563"/>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a) Gastos de personal:</w:t>
            </w:r>
          </w:p>
        </w:tc>
        <w:tc>
          <w:tcPr>
            <w:tcW w:w="870" w:type="dxa"/>
            <w:shd w:val="clear" w:color="auto" w:fill="auto"/>
            <w:noWrap/>
            <w:vAlign w:val="center"/>
          </w:tcPr>
          <w:p w:rsidR="006420DA" w:rsidRPr="00730AE6" w:rsidRDefault="00734CEF"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54.003.258</w:t>
            </w:r>
          </w:p>
        </w:tc>
        <w:tc>
          <w:tcPr>
            <w:tcW w:w="1030" w:type="dxa"/>
            <w:tcBorders>
              <w:right w:val="single" w:sz="4" w:space="0" w:color="auto"/>
            </w:tcBorders>
            <w:shd w:val="clear" w:color="auto" w:fill="auto"/>
            <w:noWrap/>
            <w:vAlign w:val="center"/>
          </w:tcPr>
          <w:p w:rsidR="006420DA" w:rsidRPr="00730AE6" w:rsidRDefault="000B06CE" w:rsidP="006420DA">
            <w:pPr>
              <w:spacing w:after="0"/>
              <w:ind w:firstLine="0"/>
              <w:jc w:val="right"/>
              <w:rPr>
                <w:rFonts w:ascii="Arial Narrow" w:hAnsi="Arial Narrow" w:cs="Arial"/>
                <w:bCs/>
                <w:sz w:val="16"/>
                <w:szCs w:val="16"/>
                <w:lang w:val="es-ES" w:eastAsia="es-ES"/>
              </w:rPr>
            </w:pPr>
            <w:r w:rsidRPr="00730AE6">
              <w:rPr>
                <w:rFonts w:ascii="Arial Narrow" w:hAnsi="Arial Narrow" w:cs="Arial"/>
                <w:bCs/>
                <w:sz w:val="16"/>
                <w:szCs w:val="16"/>
                <w:lang w:val="es-ES" w:eastAsia="es-ES"/>
              </w:rPr>
              <w:t>57.796.568</w:t>
            </w:r>
          </w:p>
        </w:tc>
        <w:tc>
          <w:tcPr>
            <w:tcW w:w="259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sz w:val="16"/>
                <w:szCs w:val="16"/>
                <w:lang w:val="es-ES" w:eastAsia="es-ES"/>
              </w:rPr>
            </w:pPr>
            <w:r w:rsidRPr="00730AE6">
              <w:rPr>
                <w:rFonts w:ascii="Arial Narrow" w:hAnsi="Arial Narrow" w:cs="Arial"/>
                <w:sz w:val="16"/>
                <w:szCs w:val="16"/>
                <w:lang w:val="es-ES" w:eastAsia="es-ES"/>
              </w:rPr>
              <w:t>a) Tasas por prestación de servicios o realización de actividades</w:t>
            </w:r>
          </w:p>
        </w:tc>
        <w:tc>
          <w:tcPr>
            <w:tcW w:w="1070" w:type="dxa"/>
            <w:shd w:val="clear" w:color="auto" w:fill="auto"/>
            <w:noWrap/>
            <w:vAlign w:val="center"/>
          </w:tcPr>
          <w:p w:rsidR="006420DA" w:rsidRPr="00730AE6" w:rsidRDefault="00981249"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1.162.534</w:t>
            </w:r>
          </w:p>
        </w:tc>
        <w:tc>
          <w:tcPr>
            <w:tcW w:w="1056" w:type="dxa"/>
            <w:shd w:val="clear" w:color="auto" w:fill="auto"/>
            <w:noWrap/>
            <w:vAlign w:val="center"/>
          </w:tcPr>
          <w:p w:rsidR="006420DA" w:rsidRPr="00730AE6" w:rsidRDefault="003B5A84"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1.112.055</w:t>
            </w:r>
          </w:p>
        </w:tc>
      </w:tr>
      <w:tr w:rsidR="006420DA" w:rsidRPr="00730AE6" w:rsidTr="004058F4">
        <w:trPr>
          <w:trHeight w:val="571"/>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a.1) Sueldos, salarios y asimilados</w:t>
            </w:r>
          </w:p>
        </w:tc>
        <w:tc>
          <w:tcPr>
            <w:tcW w:w="870" w:type="dxa"/>
            <w:shd w:val="clear" w:color="auto" w:fill="auto"/>
            <w:noWrap/>
            <w:vAlign w:val="center"/>
          </w:tcPr>
          <w:p w:rsidR="006420DA" w:rsidRPr="00730AE6" w:rsidRDefault="00734CEF"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46.567.165</w:t>
            </w:r>
          </w:p>
        </w:tc>
        <w:tc>
          <w:tcPr>
            <w:tcW w:w="1030" w:type="dxa"/>
            <w:tcBorders>
              <w:right w:val="single" w:sz="4" w:space="0" w:color="auto"/>
            </w:tcBorders>
            <w:shd w:val="clear" w:color="auto" w:fill="auto"/>
            <w:noWrap/>
            <w:vAlign w:val="center"/>
          </w:tcPr>
          <w:p w:rsidR="006420DA" w:rsidRPr="00730AE6" w:rsidRDefault="000B06CE"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49.691.546</w:t>
            </w:r>
          </w:p>
        </w:tc>
        <w:tc>
          <w:tcPr>
            <w:tcW w:w="259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b) Precios públicos por prestación de servicios o realización de actividades</w:t>
            </w:r>
          </w:p>
        </w:tc>
        <w:tc>
          <w:tcPr>
            <w:tcW w:w="1070" w:type="dxa"/>
            <w:shd w:val="clear" w:color="auto" w:fill="auto"/>
            <w:noWrap/>
            <w:vAlign w:val="center"/>
          </w:tcPr>
          <w:p w:rsidR="006420DA" w:rsidRPr="00730AE6" w:rsidRDefault="00981249"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12.240.793</w:t>
            </w:r>
          </w:p>
        </w:tc>
        <w:tc>
          <w:tcPr>
            <w:tcW w:w="1056" w:type="dxa"/>
            <w:shd w:val="clear" w:color="auto" w:fill="auto"/>
            <w:noWrap/>
            <w:vAlign w:val="center"/>
          </w:tcPr>
          <w:p w:rsidR="006420DA" w:rsidRPr="00730AE6" w:rsidRDefault="003B5A84"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11.061.195</w:t>
            </w:r>
          </w:p>
        </w:tc>
      </w:tr>
      <w:tr w:rsidR="006420DA" w:rsidRPr="00730AE6" w:rsidTr="004058F4">
        <w:trPr>
          <w:trHeight w:val="409"/>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a.2) Cargas sociales</w:t>
            </w:r>
          </w:p>
        </w:tc>
        <w:tc>
          <w:tcPr>
            <w:tcW w:w="870" w:type="dxa"/>
            <w:shd w:val="clear" w:color="auto" w:fill="auto"/>
            <w:noWrap/>
            <w:vAlign w:val="center"/>
          </w:tcPr>
          <w:p w:rsidR="006420DA" w:rsidRPr="00730AE6" w:rsidRDefault="00734CEF"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7.436.093</w:t>
            </w:r>
          </w:p>
        </w:tc>
        <w:tc>
          <w:tcPr>
            <w:tcW w:w="1030" w:type="dxa"/>
            <w:tcBorders>
              <w:right w:val="single" w:sz="4" w:space="0" w:color="auto"/>
            </w:tcBorders>
            <w:shd w:val="clear" w:color="auto" w:fill="auto"/>
            <w:noWrap/>
            <w:vAlign w:val="center"/>
          </w:tcPr>
          <w:p w:rsidR="006420DA" w:rsidRPr="00730AE6" w:rsidRDefault="000B06CE" w:rsidP="00AC61D7">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8.105.02</w:t>
            </w:r>
            <w:r w:rsidR="00AC61D7" w:rsidRPr="00730AE6">
              <w:rPr>
                <w:rFonts w:ascii="Arial Narrow" w:hAnsi="Arial Narrow" w:cs="Arial"/>
                <w:color w:val="000000"/>
                <w:sz w:val="16"/>
                <w:szCs w:val="16"/>
                <w:lang w:val="es-ES" w:eastAsia="es-ES"/>
              </w:rPr>
              <w:t>2</w:t>
            </w:r>
          </w:p>
        </w:tc>
        <w:tc>
          <w:tcPr>
            <w:tcW w:w="259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c) Precios públicos  utilización privativa o aprovecha.  especial del dominio público</w:t>
            </w:r>
          </w:p>
        </w:tc>
        <w:tc>
          <w:tcPr>
            <w:tcW w:w="1070" w:type="dxa"/>
            <w:shd w:val="clear" w:color="auto" w:fill="auto"/>
            <w:noWrap/>
            <w:vAlign w:val="center"/>
          </w:tcPr>
          <w:p w:rsidR="006420DA" w:rsidRPr="00730AE6" w:rsidRDefault="00981249"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332.817</w:t>
            </w:r>
          </w:p>
        </w:tc>
        <w:tc>
          <w:tcPr>
            <w:tcW w:w="1056" w:type="dxa"/>
            <w:shd w:val="clear" w:color="auto" w:fill="auto"/>
            <w:noWrap/>
            <w:vAlign w:val="center"/>
          </w:tcPr>
          <w:p w:rsidR="006420DA" w:rsidRPr="00730AE6" w:rsidRDefault="003B5A84"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315.678</w:t>
            </w:r>
          </w:p>
        </w:tc>
      </w:tr>
      <w:tr w:rsidR="006420DA" w:rsidRPr="00730AE6" w:rsidTr="00A277E6">
        <w:trPr>
          <w:trHeight w:val="312"/>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c) Dotaciones amortizaciones inmovilizado</w:t>
            </w:r>
          </w:p>
        </w:tc>
        <w:tc>
          <w:tcPr>
            <w:tcW w:w="870" w:type="dxa"/>
            <w:shd w:val="clear" w:color="auto" w:fill="auto"/>
            <w:noWrap/>
            <w:vAlign w:val="center"/>
          </w:tcPr>
          <w:p w:rsidR="006420DA" w:rsidRPr="00730AE6" w:rsidRDefault="00734CEF"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7.097.837</w:t>
            </w:r>
          </w:p>
        </w:tc>
        <w:tc>
          <w:tcPr>
            <w:tcW w:w="1030" w:type="dxa"/>
            <w:tcBorders>
              <w:right w:val="single" w:sz="4" w:space="0" w:color="auto"/>
            </w:tcBorders>
            <w:shd w:val="clear" w:color="auto" w:fill="auto"/>
            <w:noWrap/>
            <w:vAlign w:val="center"/>
          </w:tcPr>
          <w:p w:rsidR="006420DA" w:rsidRPr="00730AE6" w:rsidRDefault="000B06CE" w:rsidP="006420DA">
            <w:pPr>
              <w:spacing w:after="0"/>
              <w:ind w:firstLine="0"/>
              <w:jc w:val="right"/>
              <w:rPr>
                <w:rFonts w:ascii="Arial Narrow" w:hAnsi="Arial Narrow" w:cs="Arial"/>
                <w:sz w:val="16"/>
                <w:szCs w:val="16"/>
                <w:lang w:val="es-ES" w:eastAsia="es-ES"/>
              </w:rPr>
            </w:pPr>
            <w:r w:rsidRPr="00730AE6">
              <w:rPr>
                <w:rFonts w:ascii="Arial Narrow" w:hAnsi="Arial Narrow" w:cs="Arial"/>
                <w:sz w:val="16"/>
                <w:szCs w:val="16"/>
                <w:lang w:val="es-ES" w:eastAsia="es-ES"/>
              </w:rPr>
              <w:t>7.007446</w:t>
            </w:r>
          </w:p>
        </w:tc>
        <w:tc>
          <w:tcPr>
            <w:tcW w:w="259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b/>
                <w:bCs/>
                <w:color w:val="000000"/>
                <w:sz w:val="16"/>
                <w:szCs w:val="16"/>
                <w:lang w:val="es-ES" w:eastAsia="es-ES"/>
              </w:rPr>
            </w:pPr>
            <w:r w:rsidRPr="00730AE6">
              <w:rPr>
                <w:rFonts w:ascii="Arial Narrow" w:hAnsi="Arial Narrow" w:cs="Arial"/>
                <w:b/>
                <w:bCs/>
                <w:color w:val="000000"/>
                <w:sz w:val="16"/>
                <w:szCs w:val="16"/>
                <w:lang w:val="es-ES" w:eastAsia="es-ES"/>
              </w:rPr>
              <w:t>2. Otros ingresos de gestión ordinaria</w:t>
            </w:r>
          </w:p>
        </w:tc>
        <w:tc>
          <w:tcPr>
            <w:tcW w:w="1070" w:type="dxa"/>
            <w:shd w:val="clear" w:color="auto" w:fill="auto"/>
            <w:noWrap/>
            <w:vAlign w:val="center"/>
          </w:tcPr>
          <w:p w:rsidR="006420DA" w:rsidRPr="00730AE6" w:rsidRDefault="00981249" w:rsidP="007E71BB">
            <w:pPr>
              <w:spacing w:after="0"/>
              <w:ind w:firstLine="0"/>
              <w:jc w:val="right"/>
              <w:rPr>
                <w:rFonts w:ascii="Arial Narrow" w:hAnsi="Arial Narrow" w:cs="Arial"/>
                <w:b/>
                <w:bCs/>
                <w:color w:val="000000"/>
                <w:sz w:val="16"/>
                <w:szCs w:val="16"/>
                <w:lang w:val="es-ES" w:eastAsia="es-ES"/>
              </w:rPr>
            </w:pPr>
            <w:r w:rsidRPr="00730AE6">
              <w:rPr>
                <w:rFonts w:ascii="Arial Narrow" w:hAnsi="Arial Narrow" w:cs="Arial"/>
                <w:b/>
                <w:bCs/>
                <w:color w:val="000000"/>
                <w:sz w:val="16"/>
                <w:szCs w:val="16"/>
                <w:lang w:val="es-ES" w:eastAsia="es-ES"/>
              </w:rPr>
              <w:t>2.595.25</w:t>
            </w:r>
            <w:r w:rsidR="007E71BB" w:rsidRPr="00730AE6">
              <w:rPr>
                <w:rFonts w:ascii="Arial Narrow" w:hAnsi="Arial Narrow" w:cs="Arial"/>
                <w:b/>
                <w:bCs/>
                <w:color w:val="000000"/>
                <w:sz w:val="16"/>
                <w:szCs w:val="16"/>
                <w:lang w:val="es-ES" w:eastAsia="es-ES"/>
              </w:rPr>
              <w:t>1</w:t>
            </w:r>
          </w:p>
        </w:tc>
        <w:tc>
          <w:tcPr>
            <w:tcW w:w="1056" w:type="dxa"/>
            <w:shd w:val="clear" w:color="auto" w:fill="auto"/>
            <w:noWrap/>
            <w:vAlign w:val="center"/>
          </w:tcPr>
          <w:p w:rsidR="006420DA" w:rsidRPr="00730AE6" w:rsidRDefault="003B5A84" w:rsidP="006420DA">
            <w:pPr>
              <w:spacing w:after="0"/>
              <w:ind w:firstLine="0"/>
              <w:jc w:val="right"/>
              <w:rPr>
                <w:rFonts w:ascii="Arial Narrow" w:hAnsi="Arial Narrow" w:cs="Arial"/>
                <w:b/>
                <w:bCs/>
                <w:color w:val="000000"/>
                <w:sz w:val="16"/>
                <w:szCs w:val="16"/>
                <w:lang w:val="es-ES" w:eastAsia="es-ES"/>
              </w:rPr>
            </w:pPr>
            <w:r w:rsidRPr="00730AE6">
              <w:rPr>
                <w:rFonts w:ascii="Arial Narrow" w:hAnsi="Arial Narrow" w:cs="Arial"/>
                <w:b/>
                <w:bCs/>
                <w:color w:val="000000"/>
                <w:sz w:val="16"/>
                <w:szCs w:val="16"/>
                <w:lang w:val="es-ES" w:eastAsia="es-ES"/>
              </w:rPr>
              <w:t>2.795.979</w:t>
            </w:r>
          </w:p>
        </w:tc>
      </w:tr>
      <w:tr w:rsidR="006420DA" w:rsidRPr="00730AE6" w:rsidTr="00A277E6">
        <w:trPr>
          <w:trHeight w:val="312"/>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d) Variación de provisiones tráfico</w:t>
            </w:r>
          </w:p>
        </w:tc>
        <w:tc>
          <w:tcPr>
            <w:tcW w:w="870" w:type="dxa"/>
            <w:shd w:val="clear" w:color="auto" w:fill="auto"/>
            <w:noWrap/>
            <w:vAlign w:val="center"/>
          </w:tcPr>
          <w:p w:rsidR="006420DA" w:rsidRPr="00730AE6" w:rsidRDefault="00734CEF"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-571.148</w:t>
            </w:r>
          </w:p>
        </w:tc>
        <w:tc>
          <w:tcPr>
            <w:tcW w:w="1030" w:type="dxa"/>
            <w:tcBorders>
              <w:right w:val="single" w:sz="4" w:space="0" w:color="auto"/>
            </w:tcBorders>
            <w:shd w:val="clear" w:color="auto" w:fill="auto"/>
            <w:noWrap/>
            <w:vAlign w:val="center"/>
          </w:tcPr>
          <w:p w:rsidR="006420DA" w:rsidRPr="00730AE6" w:rsidRDefault="000B06CE" w:rsidP="006420DA">
            <w:pPr>
              <w:spacing w:after="0"/>
              <w:ind w:firstLine="0"/>
              <w:jc w:val="right"/>
              <w:rPr>
                <w:rFonts w:ascii="Arial Narrow" w:hAnsi="Arial Narrow" w:cs="Arial"/>
                <w:sz w:val="16"/>
                <w:szCs w:val="16"/>
                <w:lang w:val="es-ES" w:eastAsia="es-ES"/>
              </w:rPr>
            </w:pPr>
            <w:r w:rsidRPr="00730AE6">
              <w:rPr>
                <w:rFonts w:ascii="Arial Narrow" w:hAnsi="Arial Narrow" w:cs="Arial"/>
                <w:sz w:val="16"/>
                <w:szCs w:val="16"/>
                <w:lang w:val="es-ES" w:eastAsia="es-ES"/>
              </w:rPr>
              <w:t>294.391</w:t>
            </w:r>
          </w:p>
        </w:tc>
        <w:tc>
          <w:tcPr>
            <w:tcW w:w="259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a) Reintegros</w:t>
            </w:r>
          </w:p>
        </w:tc>
        <w:tc>
          <w:tcPr>
            <w:tcW w:w="1070" w:type="dxa"/>
            <w:shd w:val="clear" w:color="auto" w:fill="auto"/>
            <w:noWrap/>
            <w:vAlign w:val="center"/>
          </w:tcPr>
          <w:p w:rsidR="006420DA" w:rsidRPr="00730AE6" w:rsidRDefault="00981249"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20.441</w:t>
            </w:r>
          </w:p>
        </w:tc>
        <w:tc>
          <w:tcPr>
            <w:tcW w:w="1056" w:type="dxa"/>
            <w:shd w:val="clear" w:color="auto" w:fill="auto"/>
            <w:noWrap/>
            <w:vAlign w:val="center"/>
          </w:tcPr>
          <w:p w:rsidR="006420DA" w:rsidRPr="00730AE6" w:rsidRDefault="003B5A84"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16.330</w:t>
            </w:r>
          </w:p>
        </w:tc>
      </w:tr>
      <w:tr w:rsidR="006420DA" w:rsidRPr="00730AE6" w:rsidTr="00A277E6">
        <w:trPr>
          <w:trHeight w:val="312"/>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d.1) Variación de provisiones y pérdidas</w:t>
            </w:r>
          </w:p>
          <w:p w:rsidR="006420DA" w:rsidRPr="00730AE6" w:rsidRDefault="006420DA" w:rsidP="006420DA">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 xml:space="preserve"> de créditos incobrables</w:t>
            </w:r>
          </w:p>
        </w:tc>
        <w:tc>
          <w:tcPr>
            <w:tcW w:w="870" w:type="dxa"/>
            <w:shd w:val="clear" w:color="auto" w:fill="auto"/>
            <w:noWrap/>
            <w:vAlign w:val="center"/>
          </w:tcPr>
          <w:p w:rsidR="006420DA" w:rsidRPr="00730AE6" w:rsidRDefault="00734CEF"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-571.148</w:t>
            </w:r>
          </w:p>
        </w:tc>
        <w:tc>
          <w:tcPr>
            <w:tcW w:w="1030" w:type="dxa"/>
            <w:tcBorders>
              <w:right w:val="single" w:sz="4" w:space="0" w:color="auto"/>
            </w:tcBorders>
            <w:shd w:val="clear" w:color="auto" w:fill="auto"/>
            <w:noWrap/>
            <w:vAlign w:val="center"/>
          </w:tcPr>
          <w:p w:rsidR="006420DA" w:rsidRPr="00730AE6" w:rsidRDefault="000B06CE"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294.391</w:t>
            </w:r>
          </w:p>
        </w:tc>
        <w:tc>
          <w:tcPr>
            <w:tcW w:w="259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c) Otros ingresos de gestión</w:t>
            </w:r>
          </w:p>
        </w:tc>
        <w:tc>
          <w:tcPr>
            <w:tcW w:w="1070" w:type="dxa"/>
            <w:shd w:val="clear" w:color="auto" w:fill="auto"/>
            <w:noWrap/>
            <w:vAlign w:val="center"/>
          </w:tcPr>
          <w:p w:rsidR="006420DA" w:rsidRPr="00730AE6" w:rsidRDefault="00981249" w:rsidP="009A341D">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2.540.9</w:t>
            </w:r>
            <w:r w:rsidR="009A341D" w:rsidRPr="00730AE6">
              <w:rPr>
                <w:rFonts w:ascii="Arial Narrow" w:hAnsi="Arial Narrow" w:cs="Arial"/>
                <w:color w:val="000000"/>
                <w:sz w:val="16"/>
                <w:szCs w:val="16"/>
                <w:lang w:val="es-ES" w:eastAsia="es-ES"/>
              </w:rPr>
              <w:t>79</w:t>
            </w:r>
          </w:p>
        </w:tc>
        <w:tc>
          <w:tcPr>
            <w:tcW w:w="1056" w:type="dxa"/>
            <w:shd w:val="clear" w:color="auto" w:fill="auto"/>
            <w:noWrap/>
            <w:vAlign w:val="center"/>
          </w:tcPr>
          <w:p w:rsidR="006420DA" w:rsidRPr="00730AE6" w:rsidRDefault="003B5A84"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2.775.002</w:t>
            </w:r>
          </w:p>
        </w:tc>
      </w:tr>
      <w:tr w:rsidR="006420DA" w:rsidRPr="00730AE6" w:rsidTr="00A277E6">
        <w:trPr>
          <w:trHeight w:val="312"/>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e) Otros gastos de gestión</w:t>
            </w:r>
          </w:p>
        </w:tc>
        <w:tc>
          <w:tcPr>
            <w:tcW w:w="870" w:type="dxa"/>
            <w:shd w:val="clear" w:color="auto" w:fill="auto"/>
            <w:noWrap/>
            <w:vAlign w:val="center"/>
          </w:tcPr>
          <w:p w:rsidR="006420DA" w:rsidRPr="00730AE6" w:rsidRDefault="00734CEF"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12.794.000</w:t>
            </w:r>
          </w:p>
        </w:tc>
        <w:tc>
          <w:tcPr>
            <w:tcW w:w="1030" w:type="dxa"/>
            <w:tcBorders>
              <w:right w:val="single" w:sz="4" w:space="0" w:color="auto"/>
            </w:tcBorders>
            <w:shd w:val="clear" w:color="auto" w:fill="auto"/>
            <w:noWrap/>
            <w:vAlign w:val="center"/>
          </w:tcPr>
          <w:p w:rsidR="006420DA" w:rsidRPr="00730AE6" w:rsidRDefault="000B06CE" w:rsidP="006420DA">
            <w:pPr>
              <w:spacing w:after="0"/>
              <w:ind w:firstLine="0"/>
              <w:jc w:val="right"/>
              <w:rPr>
                <w:rFonts w:ascii="Arial Narrow" w:hAnsi="Arial Narrow" w:cs="Arial"/>
                <w:bCs/>
                <w:sz w:val="16"/>
                <w:szCs w:val="16"/>
                <w:lang w:val="es-ES" w:eastAsia="es-ES"/>
              </w:rPr>
            </w:pPr>
            <w:r w:rsidRPr="00730AE6">
              <w:rPr>
                <w:rFonts w:ascii="Arial Narrow" w:hAnsi="Arial Narrow" w:cs="Arial"/>
                <w:bCs/>
                <w:sz w:val="16"/>
                <w:szCs w:val="16"/>
                <w:lang w:val="es-ES" w:eastAsia="es-ES"/>
              </w:rPr>
              <w:t>13.501.039</w:t>
            </w:r>
          </w:p>
        </w:tc>
        <w:tc>
          <w:tcPr>
            <w:tcW w:w="2599" w:type="dxa"/>
            <w:tcBorders>
              <w:left w:val="single" w:sz="4" w:space="0" w:color="auto"/>
            </w:tcBorders>
            <w:shd w:val="clear" w:color="auto" w:fill="auto"/>
            <w:vAlign w:val="center"/>
          </w:tcPr>
          <w:p w:rsidR="006420DA" w:rsidRPr="00730AE6" w:rsidRDefault="006420DA" w:rsidP="006420DA">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c.1) Ingresos acces. y  otros corrientes</w:t>
            </w:r>
          </w:p>
        </w:tc>
        <w:tc>
          <w:tcPr>
            <w:tcW w:w="1070" w:type="dxa"/>
            <w:shd w:val="clear" w:color="auto" w:fill="auto"/>
            <w:noWrap/>
            <w:vAlign w:val="center"/>
          </w:tcPr>
          <w:p w:rsidR="006420DA" w:rsidRPr="00730AE6" w:rsidRDefault="00981249"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2.432.519</w:t>
            </w:r>
          </w:p>
        </w:tc>
        <w:tc>
          <w:tcPr>
            <w:tcW w:w="1056" w:type="dxa"/>
            <w:shd w:val="clear" w:color="auto" w:fill="auto"/>
            <w:noWrap/>
            <w:vAlign w:val="center"/>
          </w:tcPr>
          <w:p w:rsidR="006420DA" w:rsidRPr="00730AE6" w:rsidRDefault="003B5A84"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2.343.207</w:t>
            </w:r>
          </w:p>
        </w:tc>
      </w:tr>
      <w:tr w:rsidR="006420DA" w:rsidRPr="00730AE6" w:rsidTr="00A277E6">
        <w:trPr>
          <w:trHeight w:val="312"/>
          <w:jc w:val="center"/>
        </w:trPr>
        <w:tc>
          <w:tcPr>
            <w:tcW w:w="2835" w:type="dxa"/>
            <w:shd w:val="clear" w:color="auto" w:fill="auto"/>
            <w:vAlign w:val="center"/>
          </w:tcPr>
          <w:p w:rsidR="006420DA" w:rsidRPr="00730AE6" w:rsidRDefault="006420DA" w:rsidP="006420DA">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e.1) Servicios exteriores</w:t>
            </w:r>
          </w:p>
        </w:tc>
        <w:tc>
          <w:tcPr>
            <w:tcW w:w="870" w:type="dxa"/>
            <w:shd w:val="clear" w:color="auto" w:fill="auto"/>
            <w:noWrap/>
            <w:vAlign w:val="center"/>
          </w:tcPr>
          <w:p w:rsidR="006420DA" w:rsidRPr="00730AE6" w:rsidRDefault="00734CEF"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12.787.283</w:t>
            </w:r>
          </w:p>
        </w:tc>
        <w:tc>
          <w:tcPr>
            <w:tcW w:w="1030" w:type="dxa"/>
            <w:tcBorders>
              <w:right w:val="single" w:sz="4" w:space="0" w:color="auto"/>
            </w:tcBorders>
            <w:shd w:val="clear" w:color="auto" w:fill="auto"/>
            <w:noWrap/>
            <w:vAlign w:val="center"/>
          </w:tcPr>
          <w:p w:rsidR="006420DA" w:rsidRPr="00730AE6" w:rsidRDefault="000B06CE"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13.480.137</w:t>
            </w:r>
          </w:p>
        </w:tc>
        <w:tc>
          <w:tcPr>
            <w:tcW w:w="2599" w:type="dxa"/>
            <w:tcBorders>
              <w:left w:val="single" w:sz="4" w:space="0" w:color="auto"/>
            </w:tcBorders>
            <w:shd w:val="clear" w:color="auto" w:fill="auto"/>
            <w:vAlign w:val="center"/>
          </w:tcPr>
          <w:p w:rsidR="006420DA" w:rsidRPr="00730AE6" w:rsidRDefault="00BD6173" w:rsidP="006420DA">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c.2) Exceso provisión rie</w:t>
            </w:r>
            <w:r w:rsidR="008A4738" w:rsidRPr="00730AE6">
              <w:rPr>
                <w:rFonts w:ascii="Arial Narrow" w:hAnsi="Arial Narrow" w:cs="Arial"/>
                <w:color w:val="000000"/>
                <w:sz w:val="16"/>
                <w:szCs w:val="16"/>
                <w:lang w:val="es-ES" w:eastAsia="es-ES"/>
              </w:rPr>
              <w:t>s</w:t>
            </w:r>
            <w:r w:rsidRPr="00730AE6">
              <w:rPr>
                <w:rFonts w:ascii="Arial Narrow" w:hAnsi="Arial Narrow" w:cs="Arial"/>
                <w:color w:val="000000"/>
                <w:sz w:val="16"/>
                <w:szCs w:val="16"/>
                <w:lang w:val="es-ES" w:eastAsia="es-ES"/>
              </w:rPr>
              <w:t>go</w:t>
            </w:r>
            <w:r w:rsidR="008A4738" w:rsidRPr="00730AE6">
              <w:rPr>
                <w:rFonts w:ascii="Arial Narrow" w:hAnsi="Arial Narrow" w:cs="Arial"/>
                <w:color w:val="000000"/>
                <w:sz w:val="16"/>
                <w:szCs w:val="16"/>
                <w:lang w:val="es-ES" w:eastAsia="es-ES"/>
              </w:rPr>
              <w:t>s</w:t>
            </w:r>
            <w:r w:rsidRPr="00730AE6">
              <w:rPr>
                <w:rFonts w:ascii="Arial Narrow" w:hAnsi="Arial Narrow" w:cs="Arial"/>
                <w:color w:val="000000"/>
                <w:sz w:val="16"/>
                <w:szCs w:val="16"/>
                <w:lang w:val="es-ES" w:eastAsia="es-ES"/>
              </w:rPr>
              <w:t xml:space="preserve"> y gastos</w:t>
            </w:r>
          </w:p>
        </w:tc>
        <w:tc>
          <w:tcPr>
            <w:tcW w:w="1070" w:type="dxa"/>
            <w:shd w:val="clear" w:color="auto" w:fill="auto"/>
            <w:noWrap/>
            <w:vAlign w:val="center"/>
          </w:tcPr>
          <w:p w:rsidR="006420DA" w:rsidRPr="00730AE6" w:rsidRDefault="00981249"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108.460</w:t>
            </w:r>
          </w:p>
        </w:tc>
        <w:tc>
          <w:tcPr>
            <w:tcW w:w="1056" w:type="dxa"/>
            <w:shd w:val="clear" w:color="auto" w:fill="auto"/>
            <w:noWrap/>
            <w:vAlign w:val="center"/>
          </w:tcPr>
          <w:p w:rsidR="006420DA" w:rsidRPr="00730AE6" w:rsidRDefault="003B5A84"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431.795</w:t>
            </w:r>
          </w:p>
        </w:tc>
      </w:tr>
      <w:tr w:rsidR="00BD6173" w:rsidRPr="00730AE6" w:rsidTr="00A277E6">
        <w:trPr>
          <w:trHeight w:val="312"/>
          <w:jc w:val="center"/>
        </w:trPr>
        <w:tc>
          <w:tcPr>
            <w:tcW w:w="2835" w:type="dxa"/>
            <w:shd w:val="clear" w:color="auto" w:fill="auto"/>
            <w:vAlign w:val="center"/>
          </w:tcPr>
          <w:p w:rsidR="00BD6173" w:rsidRPr="00730AE6" w:rsidRDefault="00BD6173" w:rsidP="006420DA">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e.2) Tributos</w:t>
            </w:r>
          </w:p>
        </w:tc>
        <w:tc>
          <w:tcPr>
            <w:tcW w:w="870" w:type="dxa"/>
            <w:shd w:val="clear" w:color="auto" w:fill="auto"/>
            <w:noWrap/>
            <w:vAlign w:val="center"/>
          </w:tcPr>
          <w:p w:rsidR="00BD6173" w:rsidRPr="00730AE6" w:rsidRDefault="00734CEF"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-60.276</w:t>
            </w:r>
          </w:p>
        </w:tc>
        <w:tc>
          <w:tcPr>
            <w:tcW w:w="1030" w:type="dxa"/>
            <w:tcBorders>
              <w:right w:val="single" w:sz="4" w:space="0" w:color="auto"/>
            </w:tcBorders>
            <w:shd w:val="clear" w:color="auto" w:fill="auto"/>
            <w:noWrap/>
            <w:vAlign w:val="center"/>
          </w:tcPr>
          <w:p w:rsidR="00BD6173" w:rsidRPr="00730AE6" w:rsidRDefault="000B06CE" w:rsidP="00AC61D7">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20.90</w:t>
            </w:r>
            <w:r w:rsidR="00AC61D7" w:rsidRPr="00730AE6">
              <w:rPr>
                <w:rFonts w:ascii="Arial Narrow" w:hAnsi="Arial Narrow" w:cs="Arial"/>
                <w:color w:val="000000"/>
                <w:sz w:val="16"/>
                <w:szCs w:val="16"/>
                <w:lang w:val="es-ES" w:eastAsia="es-ES"/>
              </w:rPr>
              <w:t>2</w:t>
            </w:r>
          </w:p>
        </w:tc>
        <w:tc>
          <w:tcPr>
            <w:tcW w:w="2599" w:type="dxa"/>
            <w:tcBorders>
              <w:left w:val="single" w:sz="4" w:space="0" w:color="auto"/>
            </w:tcBorders>
            <w:shd w:val="clear" w:color="auto" w:fill="auto"/>
            <w:vAlign w:val="center"/>
          </w:tcPr>
          <w:p w:rsidR="00BD6173" w:rsidRPr="00730AE6" w:rsidRDefault="00BD6173" w:rsidP="00BD6173">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f) Otros intereses e ingresos similares</w:t>
            </w:r>
          </w:p>
        </w:tc>
        <w:tc>
          <w:tcPr>
            <w:tcW w:w="1070" w:type="dxa"/>
            <w:shd w:val="clear" w:color="auto" w:fill="auto"/>
            <w:noWrap/>
            <w:vAlign w:val="center"/>
          </w:tcPr>
          <w:p w:rsidR="00BD6173" w:rsidRPr="00730AE6" w:rsidRDefault="00981249" w:rsidP="00BD6173">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28.283</w:t>
            </w:r>
          </w:p>
        </w:tc>
        <w:tc>
          <w:tcPr>
            <w:tcW w:w="1056" w:type="dxa"/>
            <w:shd w:val="clear" w:color="auto" w:fill="auto"/>
            <w:noWrap/>
            <w:vAlign w:val="center"/>
          </w:tcPr>
          <w:p w:rsidR="00BD6173" w:rsidRPr="00730AE6" w:rsidRDefault="003B5A84" w:rsidP="00BD6173">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3.574</w:t>
            </w:r>
          </w:p>
        </w:tc>
      </w:tr>
      <w:tr w:rsidR="00BD6173" w:rsidRPr="00730AE6" w:rsidTr="00A277E6">
        <w:trPr>
          <w:trHeight w:val="312"/>
          <w:jc w:val="center"/>
        </w:trPr>
        <w:tc>
          <w:tcPr>
            <w:tcW w:w="2835" w:type="dxa"/>
            <w:shd w:val="clear" w:color="auto" w:fill="auto"/>
            <w:vAlign w:val="center"/>
          </w:tcPr>
          <w:p w:rsidR="00BD6173" w:rsidRPr="00730AE6" w:rsidRDefault="00BD6173" w:rsidP="006420DA">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e.3) Otros gastos de gestión corriente</w:t>
            </w:r>
          </w:p>
        </w:tc>
        <w:tc>
          <w:tcPr>
            <w:tcW w:w="870" w:type="dxa"/>
            <w:shd w:val="clear" w:color="auto" w:fill="auto"/>
            <w:noWrap/>
            <w:vAlign w:val="center"/>
          </w:tcPr>
          <w:p w:rsidR="00BD6173" w:rsidRPr="00730AE6" w:rsidRDefault="00734CEF" w:rsidP="00E30D93">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66.99</w:t>
            </w:r>
            <w:r w:rsidR="00E30D93" w:rsidRPr="00730AE6">
              <w:rPr>
                <w:rFonts w:ascii="Arial Narrow" w:hAnsi="Arial Narrow" w:cs="Arial"/>
                <w:color w:val="000000"/>
                <w:sz w:val="16"/>
                <w:szCs w:val="16"/>
                <w:lang w:val="es-ES" w:eastAsia="es-ES"/>
              </w:rPr>
              <w:t>3</w:t>
            </w:r>
          </w:p>
        </w:tc>
        <w:tc>
          <w:tcPr>
            <w:tcW w:w="1030" w:type="dxa"/>
            <w:tcBorders>
              <w:right w:val="single" w:sz="4" w:space="0" w:color="auto"/>
            </w:tcBorders>
            <w:shd w:val="clear" w:color="auto" w:fill="auto"/>
            <w:noWrap/>
            <w:vAlign w:val="center"/>
          </w:tcPr>
          <w:p w:rsidR="00BD6173" w:rsidRPr="00730AE6" w:rsidRDefault="000B06CE"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0</w:t>
            </w:r>
          </w:p>
        </w:tc>
        <w:tc>
          <w:tcPr>
            <w:tcW w:w="2599" w:type="dxa"/>
            <w:tcBorders>
              <w:left w:val="single" w:sz="4" w:space="0" w:color="auto"/>
            </w:tcBorders>
            <w:shd w:val="clear" w:color="auto" w:fill="auto"/>
            <w:vAlign w:val="center"/>
          </w:tcPr>
          <w:p w:rsidR="00BD6173" w:rsidRPr="00730AE6" w:rsidRDefault="00BD6173" w:rsidP="00BD6173">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f.1) Otros intereses</w:t>
            </w:r>
          </w:p>
        </w:tc>
        <w:tc>
          <w:tcPr>
            <w:tcW w:w="1070" w:type="dxa"/>
            <w:shd w:val="clear" w:color="auto" w:fill="auto"/>
            <w:noWrap/>
            <w:vAlign w:val="center"/>
          </w:tcPr>
          <w:p w:rsidR="00BD6173" w:rsidRPr="00730AE6" w:rsidRDefault="00981249" w:rsidP="00BD6173">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28.283</w:t>
            </w:r>
          </w:p>
        </w:tc>
        <w:tc>
          <w:tcPr>
            <w:tcW w:w="1056" w:type="dxa"/>
            <w:shd w:val="clear" w:color="auto" w:fill="auto"/>
            <w:noWrap/>
            <w:vAlign w:val="center"/>
          </w:tcPr>
          <w:p w:rsidR="00BD6173" w:rsidRPr="00730AE6" w:rsidRDefault="003B5A84" w:rsidP="00BD6173">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3.574</w:t>
            </w:r>
          </w:p>
        </w:tc>
      </w:tr>
      <w:tr w:rsidR="00BD6173" w:rsidRPr="00730AE6" w:rsidTr="00A277E6">
        <w:trPr>
          <w:trHeight w:val="312"/>
          <w:jc w:val="center"/>
        </w:trPr>
        <w:tc>
          <w:tcPr>
            <w:tcW w:w="2835" w:type="dxa"/>
            <w:shd w:val="clear" w:color="auto" w:fill="auto"/>
            <w:vAlign w:val="center"/>
          </w:tcPr>
          <w:p w:rsidR="00BD6173" w:rsidRPr="00730AE6" w:rsidRDefault="00BD6173" w:rsidP="006420DA">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f) Gastos financieros y asimilables</w:t>
            </w:r>
          </w:p>
        </w:tc>
        <w:tc>
          <w:tcPr>
            <w:tcW w:w="870" w:type="dxa"/>
            <w:shd w:val="clear" w:color="auto" w:fill="auto"/>
            <w:noWrap/>
            <w:vAlign w:val="center"/>
          </w:tcPr>
          <w:p w:rsidR="00BD6173" w:rsidRPr="00730AE6" w:rsidRDefault="00734CEF"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176.828</w:t>
            </w:r>
          </w:p>
        </w:tc>
        <w:tc>
          <w:tcPr>
            <w:tcW w:w="1030" w:type="dxa"/>
            <w:tcBorders>
              <w:right w:val="single" w:sz="4" w:space="0" w:color="auto"/>
            </w:tcBorders>
            <w:shd w:val="clear" w:color="auto" w:fill="auto"/>
            <w:noWrap/>
            <w:vAlign w:val="center"/>
          </w:tcPr>
          <w:p w:rsidR="00BD6173" w:rsidRPr="00730AE6" w:rsidRDefault="000B06CE"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27.413</w:t>
            </w:r>
          </w:p>
        </w:tc>
        <w:tc>
          <w:tcPr>
            <w:tcW w:w="2599" w:type="dxa"/>
            <w:tcBorders>
              <w:left w:val="single" w:sz="4" w:space="0" w:color="auto"/>
            </w:tcBorders>
            <w:shd w:val="clear" w:color="auto" w:fill="auto"/>
            <w:vAlign w:val="center"/>
          </w:tcPr>
          <w:p w:rsidR="00BD6173" w:rsidRPr="00730AE6" w:rsidRDefault="00BD6173" w:rsidP="00BD6173">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g) Diferencias positivas cambio</w:t>
            </w:r>
          </w:p>
        </w:tc>
        <w:tc>
          <w:tcPr>
            <w:tcW w:w="1070" w:type="dxa"/>
            <w:shd w:val="clear" w:color="auto" w:fill="auto"/>
            <w:noWrap/>
            <w:vAlign w:val="center"/>
          </w:tcPr>
          <w:p w:rsidR="00BD6173" w:rsidRPr="00730AE6" w:rsidRDefault="00981249" w:rsidP="00BD6173">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5.547</w:t>
            </w:r>
          </w:p>
        </w:tc>
        <w:tc>
          <w:tcPr>
            <w:tcW w:w="1056" w:type="dxa"/>
            <w:shd w:val="clear" w:color="auto" w:fill="auto"/>
            <w:noWrap/>
            <w:vAlign w:val="center"/>
          </w:tcPr>
          <w:p w:rsidR="00BD6173" w:rsidRPr="00730AE6" w:rsidRDefault="003B5A84" w:rsidP="00BD6173">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1.72</w:t>
            </w:r>
          </w:p>
        </w:tc>
      </w:tr>
      <w:tr w:rsidR="00BD6173" w:rsidRPr="00730AE6" w:rsidTr="00A277E6">
        <w:trPr>
          <w:trHeight w:val="312"/>
          <w:jc w:val="center"/>
        </w:trPr>
        <w:tc>
          <w:tcPr>
            <w:tcW w:w="2835" w:type="dxa"/>
            <w:shd w:val="clear" w:color="auto" w:fill="auto"/>
            <w:vAlign w:val="center"/>
          </w:tcPr>
          <w:p w:rsidR="00BD6173" w:rsidRPr="00730AE6" w:rsidRDefault="00BD6173" w:rsidP="006420DA">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f.1) Por deudas</w:t>
            </w:r>
          </w:p>
        </w:tc>
        <w:tc>
          <w:tcPr>
            <w:tcW w:w="870" w:type="dxa"/>
            <w:shd w:val="clear" w:color="auto" w:fill="auto"/>
            <w:noWrap/>
            <w:vAlign w:val="center"/>
          </w:tcPr>
          <w:p w:rsidR="00BD6173" w:rsidRPr="00730AE6" w:rsidRDefault="00734CEF"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57.634</w:t>
            </w:r>
          </w:p>
        </w:tc>
        <w:tc>
          <w:tcPr>
            <w:tcW w:w="1030" w:type="dxa"/>
            <w:tcBorders>
              <w:right w:val="single" w:sz="4" w:space="0" w:color="auto"/>
            </w:tcBorders>
            <w:shd w:val="clear" w:color="auto" w:fill="auto"/>
            <w:noWrap/>
            <w:vAlign w:val="center"/>
          </w:tcPr>
          <w:p w:rsidR="00BD6173" w:rsidRPr="00730AE6" w:rsidRDefault="000B06CE" w:rsidP="006420DA">
            <w:pPr>
              <w:spacing w:after="0"/>
              <w:ind w:firstLine="0"/>
              <w:jc w:val="right"/>
              <w:rPr>
                <w:rFonts w:ascii="Arial Narrow" w:hAnsi="Arial Narrow" w:cs="Arial"/>
                <w:bCs/>
                <w:sz w:val="16"/>
                <w:szCs w:val="16"/>
                <w:lang w:val="es-ES" w:eastAsia="es-ES"/>
              </w:rPr>
            </w:pPr>
            <w:r w:rsidRPr="00730AE6">
              <w:rPr>
                <w:rFonts w:ascii="Arial Narrow" w:hAnsi="Arial Narrow" w:cs="Arial"/>
                <w:bCs/>
                <w:sz w:val="16"/>
                <w:szCs w:val="16"/>
                <w:lang w:val="es-ES" w:eastAsia="es-ES"/>
              </w:rPr>
              <w:t>27.413</w:t>
            </w:r>
          </w:p>
        </w:tc>
        <w:tc>
          <w:tcPr>
            <w:tcW w:w="2599" w:type="dxa"/>
            <w:tcBorders>
              <w:left w:val="single" w:sz="4" w:space="0" w:color="auto"/>
            </w:tcBorders>
            <w:shd w:val="clear" w:color="auto" w:fill="auto"/>
            <w:vAlign w:val="center"/>
          </w:tcPr>
          <w:p w:rsidR="00BD6173" w:rsidRPr="00730AE6" w:rsidRDefault="00BD6173" w:rsidP="00BD6173">
            <w:pPr>
              <w:spacing w:after="0"/>
              <w:ind w:firstLine="0"/>
              <w:jc w:val="left"/>
              <w:rPr>
                <w:rFonts w:ascii="Arial Narrow" w:hAnsi="Arial Narrow" w:cs="Arial"/>
                <w:b/>
                <w:bCs/>
                <w:color w:val="000000"/>
                <w:sz w:val="16"/>
                <w:szCs w:val="16"/>
                <w:lang w:val="es-ES" w:eastAsia="es-ES"/>
              </w:rPr>
            </w:pPr>
            <w:r w:rsidRPr="00730AE6">
              <w:rPr>
                <w:rFonts w:ascii="Arial Narrow" w:hAnsi="Arial Narrow" w:cs="Arial"/>
                <w:b/>
                <w:bCs/>
                <w:color w:val="000000"/>
                <w:sz w:val="16"/>
                <w:szCs w:val="16"/>
                <w:lang w:val="es-ES" w:eastAsia="es-ES"/>
              </w:rPr>
              <w:t>3. Transferencias y subvenciones</w:t>
            </w:r>
          </w:p>
        </w:tc>
        <w:tc>
          <w:tcPr>
            <w:tcW w:w="1070" w:type="dxa"/>
            <w:shd w:val="clear" w:color="auto" w:fill="auto"/>
            <w:noWrap/>
            <w:vAlign w:val="center"/>
          </w:tcPr>
          <w:p w:rsidR="00BD6173" w:rsidRPr="00730AE6" w:rsidRDefault="00981249" w:rsidP="00BD6173">
            <w:pPr>
              <w:spacing w:after="0"/>
              <w:ind w:firstLine="0"/>
              <w:jc w:val="right"/>
              <w:rPr>
                <w:rFonts w:ascii="Arial Narrow" w:hAnsi="Arial Narrow" w:cs="Arial"/>
                <w:b/>
                <w:color w:val="000000"/>
                <w:sz w:val="16"/>
                <w:szCs w:val="16"/>
                <w:lang w:val="es-ES" w:eastAsia="es-ES"/>
              </w:rPr>
            </w:pPr>
            <w:r w:rsidRPr="00730AE6">
              <w:rPr>
                <w:rFonts w:ascii="Arial Narrow" w:hAnsi="Arial Narrow" w:cs="Arial"/>
                <w:b/>
                <w:color w:val="000000"/>
                <w:sz w:val="16"/>
                <w:szCs w:val="16"/>
                <w:lang w:val="es-ES" w:eastAsia="es-ES"/>
              </w:rPr>
              <w:t>56.387.551</w:t>
            </w:r>
          </w:p>
        </w:tc>
        <w:tc>
          <w:tcPr>
            <w:tcW w:w="1056" w:type="dxa"/>
            <w:shd w:val="clear" w:color="auto" w:fill="auto"/>
            <w:noWrap/>
            <w:vAlign w:val="center"/>
          </w:tcPr>
          <w:p w:rsidR="00BD6173" w:rsidRPr="00730AE6" w:rsidRDefault="003B5A84" w:rsidP="00BD6173">
            <w:pPr>
              <w:spacing w:after="0"/>
              <w:ind w:firstLine="0"/>
              <w:jc w:val="right"/>
              <w:rPr>
                <w:rFonts w:ascii="Arial Narrow" w:hAnsi="Arial Narrow" w:cs="Arial"/>
                <w:b/>
                <w:color w:val="000000"/>
                <w:sz w:val="16"/>
                <w:szCs w:val="16"/>
                <w:lang w:val="es-ES" w:eastAsia="es-ES"/>
              </w:rPr>
            </w:pPr>
            <w:r w:rsidRPr="00730AE6">
              <w:rPr>
                <w:rFonts w:ascii="Arial Narrow" w:hAnsi="Arial Narrow" w:cs="Arial"/>
                <w:b/>
                <w:color w:val="000000"/>
                <w:sz w:val="16"/>
                <w:szCs w:val="16"/>
                <w:lang w:val="es-ES" w:eastAsia="es-ES"/>
              </w:rPr>
              <w:t>61.173.978</w:t>
            </w:r>
          </w:p>
        </w:tc>
      </w:tr>
      <w:tr w:rsidR="00BD6173" w:rsidRPr="00730AE6" w:rsidTr="00A277E6">
        <w:trPr>
          <w:trHeight w:val="312"/>
          <w:jc w:val="center"/>
        </w:trPr>
        <w:tc>
          <w:tcPr>
            <w:tcW w:w="2835" w:type="dxa"/>
            <w:shd w:val="clear" w:color="auto" w:fill="auto"/>
            <w:vAlign w:val="center"/>
          </w:tcPr>
          <w:p w:rsidR="00BD6173" w:rsidRPr="00730AE6" w:rsidRDefault="00BD6173" w:rsidP="006420DA">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f.2) Pérdidas de inversiones financieras</w:t>
            </w:r>
          </w:p>
        </w:tc>
        <w:tc>
          <w:tcPr>
            <w:tcW w:w="870" w:type="dxa"/>
            <w:shd w:val="clear" w:color="auto" w:fill="auto"/>
            <w:noWrap/>
            <w:vAlign w:val="center"/>
          </w:tcPr>
          <w:p w:rsidR="00BD6173" w:rsidRPr="00730AE6" w:rsidRDefault="00734CEF"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119.194</w:t>
            </w:r>
          </w:p>
        </w:tc>
        <w:tc>
          <w:tcPr>
            <w:tcW w:w="1030" w:type="dxa"/>
            <w:tcBorders>
              <w:right w:val="single" w:sz="4" w:space="0" w:color="auto"/>
            </w:tcBorders>
            <w:shd w:val="clear" w:color="auto" w:fill="auto"/>
            <w:noWrap/>
            <w:vAlign w:val="center"/>
          </w:tcPr>
          <w:p w:rsidR="00BD6173" w:rsidRPr="00730AE6" w:rsidRDefault="000B06CE"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0</w:t>
            </w:r>
          </w:p>
        </w:tc>
        <w:tc>
          <w:tcPr>
            <w:tcW w:w="2599" w:type="dxa"/>
            <w:tcBorders>
              <w:left w:val="single" w:sz="4" w:space="0" w:color="auto"/>
            </w:tcBorders>
            <w:shd w:val="clear" w:color="auto" w:fill="auto"/>
            <w:vAlign w:val="center"/>
          </w:tcPr>
          <w:p w:rsidR="00BD6173" w:rsidRPr="00730AE6" w:rsidRDefault="00BD6173" w:rsidP="00BD6173">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a) Transferencias corrientes</w:t>
            </w:r>
          </w:p>
        </w:tc>
        <w:tc>
          <w:tcPr>
            <w:tcW w:w="1070" w:type="dxa"/>
            <w:shd w:val="clear" w:color="auto" w:fill="auto"/>
            <w:noWrap/>
            <w:vAlign w:val="center"/>
          </w:tcPr>
          <w:p w:rsidR="00BD6173" w:rsidRPr="00730AE6" w:rsidRDefault="00981249" w:rsidP="00BD6173">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51.639.279</w:t>
            </w:r>
          </w:p>
        </w:tc>
        <w:tc>
          <w:tcPr>
            <w:tcW w:w="1056" w:type="dxa"/>
            <w:shd w:val="clear" w:color="auto" w:fill="auto"/>
            <w:noWrap/>
            <w:vAlign w:val="center"/>
          </w:tcPr>
          <w:p w:rsidR="00BD6173" w:rsidRPr="00730AE6" w:rsidRDefault="003B5A84" w:rsidP="00BD6173">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54.467.279</w:t>
            </w:r>
          </w:p>
        </w:tc>
      </w:tr>
      <w:tr w:rsidR="00BD6173" w:rsidRPr="00730AE6" w:rsidTr="00A277E6">
        <w:trPr>
          <w:trHeight w:val="312"/>
          <w:jc w:val="center"/>
        </w:trPr>
        <w:tc>
          <w:tcPr>
            <w:tcW w:w="2835" w:type="dxa"/>
            <w:shd w:val="clear" w:color="auto" w:fill="auto"/>
            <w:vAlign w:val="center"/>
          </w:tcPr>
          <w:p w:rsidR="00BD6173" w:rsidRPr="00730AE6" w:rsidRDefault="00BD6173" w:rsidP="006420DA">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h) Diferencias negativas de cambio</w:t>
            </w:r>
          </w:p>
        </w:tc>
        <w:tc>
          <w:tcPr>
            <w:tcW w:w="870" w:type="dxa"/>
            <w:shd w:val="clear" w:color="auto" w:fill="auto"/>
            <w:noWrap/>
            <w:vAlign w:val="center"/>
          </w:tcPr>
          <w:p w:rsidR="00BD6173" w:rsidRPr="00730AE6" w:rsidRDefault="00734CEF"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2.595</w:t>
            </w:r>
          </w:p>
        </w:tc>
        <w:tc>
          <w:tcPr>
            <w:tcW w:w="1030" w:type="dxa"/>
            <w:tcBorders>
              <w:right w:val="single" w:sz="4" w:space="0" w:color="auto"/>
            </w:tcBorders>
            <w:shd w:val="clear" w:color="auto" w:fill="auto"/>
            <w:noWrap/>
            <w:vAlign w:val="center"/>
          </w:tcPr>
          <w:p w:rsidR="00BD6173" w:rsidRPr="00730AE6" w:rsidRDefault="000B06CE" w:rsidP="006420DA">
            <w:pPr>
              <w:spacing w:after="0"/>
              <w:ind w:firstLine="0"/>
              <w:jc w:val="right"/>
              <w:rPr>
                <w:rFonts w:ascii="Arial Narrow" w:hAnsi="Arial Narrow" w:cs="Arial"/>
                <w:bCs/>
                <w:sz w:val="16"/>
                <w:szCs w:val="16"/>
                <w:lang w:val="es-ES" w:eastAsia="es-ES"/>
              </w:rPr>
            </w:pPr>
            <w:r w:rsidRPr="00730AE6">
              <w:rPr>
                <w:rFonts w:ascii="Arial Narrow" w:hAnsi="Arial Narrow" w:cs="Arial"/>
                <w:bCs/>
                <w:sz w:val="16"/>
                <w:szCs w:val="16"/>
                <w:lang w:val="es-ES" w:eastAsia="es-ES"/>
              </w:rPr>
              <w:t>3.319</w:t>
            </w:r>
          </w:p>
        </w:tc>
        <w:tc>
          <w:tcPr>
            <w:tcW w:w="2599" w:type="dxa"/>
            <w:tcBorders>
              <w:left w:val="single" w:sz="4" w:space="0" w:color="auto"/>
            </w:tcBorders>
            <w:shd w:val="clear" w:color="auto" w:fill="auto"/>
            <w:vAlign w:val="center"/>
          </w:tcPr>
          <w:p w:rsidR="00BD6173" w:rsidRPr="00730AE6" w:rsidRDefault="00BD6173" w:rsidP="00BD6173">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b) Subvenciones corrientes</w:t>
            </w:r>
          </w:p>
        </w:tc>
        <w:tc>
          <w:tcPr>
            <w:tcW w:w="1070" w:type="dxa"/>
            <w:shd w:val="clear" w:color="auto" w:fill="auto"/>
            <w:noWrap/>
            <w:vAlign w:val="center"/>
          </w:tcPr>
          <w:p w:rsidR="00BD6173" w:rsidRPr="00730AE6" w:rsidRDefault="00981249" w:rsidP="00BD6173">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4.746.033</w:t>
            </w:r>
          </w:p>
        </w:tc>
        <w:tc>
          <w:tcPr>
            <w:tcW w:w="1056" w:type="dxa"/>
            <w:shd w:val="clear" w:color="auto" w:fill="auto"/>
            <w:noWrap/>
            <w:vAlign w:val="center"/>
          </w:tcPr>
          <w:p w:rsidR="00BD6173" w:rsidRPr="00730AE6" w:rsidRDefault="003B5A84" w:rsidP="00BD6173">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6.003.347</w:t>
            </w:r>
          </w:p>
        </w:tc>
      </w:tr>
      <w:tr w:rsidR="00BD6173" w:rsidRPr="00730AE6" w:rsidTr="00A277E6">
        <w:trPr>
          <w:trHeight w:val="312"/>
          <w:jc w:val="center"/>
        </w:trPr>
        <w:tc>
          <w:tcPr>
            <w:tcW w:w="2835" w:type="dxa"/>
            <w:shd w:val="clear" w:color="auto" w:fill="auto"/>
            <w:vAlign w:val="center"/>
          </w:tcPr>
          <w:p w:rsidR="00BD6173" w:rsidRPr="00730AE6" w:rsidRDefault="00BD6173" w:rsidP="006420DA">
            <w:pPr>
              <w:spacing w:after="0"/>
              <w:ind w:firstLine="0"/>
              <w:jc w:val="left"/>
              <w:rPr>
                <w:rFonts w:ascii="Arial Narrow" w:hAnsi="Arial Narrow" w:cs="Arial"/>
                <w:b/>
                <w:bCs/>
                <w:color w:val="000000"/>
                <w:sz w:val="16"/>
                <w:szCs w:val="16"/>
                <w:lang w:val="es-ES" w:eastAsia="es-ES"/>
              </w:rPr>
            </w:pPr>
            <w:r w:rsidRPr="00730AE6">
              <w:rPr>
                <w:rFonts w:ascii="Arial Narrow" w:hAnsi="Arial Narrow" w:cs="Arial"/>
                <w:b/>
                <w:bCs/>
                <w:color w:val="000000"/>
                <w:sz w:val="16"/>
                <w:szCs w:val="16"/>
                <w:lang w:val="es-ES" w:eastAsia="es-ES"/>
              </w:rPr>
              <w:t>2. Transferencias y subvenciones</w:t>
            </w:r>
          </w:p>
        </w:tc>
        <w:tc>
          <w:tcPr>
            <w:tcW w:w="870" w:type="dxa"/>
            <w:shd w:val="clear" w:color="auto" w:fill="auto"/>
            <w:noWrap/>
            <w:vAlign w:val="center"/>
          </w:tcPr>
          <w:p w:rsidR="00BD6173" w:rsidRPr="00730AE6" w:rsidRDefault="00734CEF" w:rsidP="006420DA">
            <w:pPr>
              <w:spacing w:after="0"/>
              <w:ind w:firstLine="0"/>
              <w:jc w:val="right"/>
              <w:rPr>
                <w:rFonts w:ascii="Arial Narrow" w:hAnsi="Arial Narrow" w:cs="Arial"/>
                <w:b/>
                <w:bCs/>
                <w:color w:val="000000"/>
                <w:sz w:val="16"/>
                <w:szCs w:val="16"/>
                <w:lang w:val="es-ES" w:eastAsia="es-ES"/>
              </w:rPr>
            </w:pPr>
            <w:r w:rsidRPr="00730AE6">
              <w:rPr>
                <w:rFonts w:ascii="Arial Narrow" w:hAnsi="Arial Narrow" w:cs="Arial"/>
                <w:b/>
                <w:bCs/>
                <w:color w:val="000000"/>
                <w:sz w:val="16"/>
                <w:szCs w:val="16"/>
                <w:lang w:val="es-ES" w:eastAsia="es-ES"/>
              </w:rPr>
              <w:t>1.663.684</w:t>
            </w:r>
          </w:p>
        </w:tc>
        <w:tc>
          <w:tcPr>
            <w:tcW w:w="1030" w:type="dxa"/>
            <w:tcBorders>
              <w:right w:val="single" w:sz="4" w:space="0" w:color="auto"/>
            </w:tcBorders>
            <w:shd w:val="clear" w:color="auto" w:fill="auto"/>
            <w:noWrap/>
            <w:vAlign w:val="center"/>
          </w:tcPr>
          <w:p w:rsidR="00BD6173" w:rsidRPr="00730AE6" w:rsidRDefault="000B06CE" w:rsidP="006420DA">
            <w:pPr>
              <w:spacing w:after="0"/>
              <w:ind w:firstLine="0"/>
              <w:jc w:val="right"/>
              <w:rPr>
                <w:rFonts w:ascii="Arial Narrow" w:hAnsi="Arial Narrow" w:cs="Arial"/>
                <w:b/>
                <w:bCs/>
                <w:sz w:val="16"/>
                <w:szCs w:val="16"/>
                <w:lang w:val="es-ES" w:eastAsia="es-ES"/>
              </w:rPr>
            </w:pPr>
            <w:r w:rsidRPr="00730AE6">
              <w:rPr>
                <w:rFonts w:ascii="Arial Narrow" w:hAnsi="Arial Narrow" w:cs="Arial"/>
                <w:b/>
                <w:bCs/>
                <w:sz w:val="16"/>
                <w:szCs w:val="16"/>
                <w:lang w:val="es-ES" w:eastAsia="es-ES"/>
              </w:rPr>
              <w:t>2.047.130</w:t>
            </w:r>
          </w:p>
        </w:tc>
        <w:tc>
          <w:tcPr>
            <w:tcW w:w="2599" w:type="dxa"/>
            <w:tcBorders>
              <w:left w:val="single" w:sz="4" w:space="0" w:color="auto"/>
            </w:tcBorders>
            <w:shd w:val="clear" w:color="auto" w:fill="auto"/>
            <w:vAlign w:val="center"/>
          </w:tcPr>
          <w:p w:rsidR="00BD6173" w:rsidRPr="00730AE6" w:rsidRDefault="00BD6173" w:rsidP="00BD6173">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c) Transferencias de capital</w:t>
            </w:r>
          </w:p>
        </w:tc>
        <w:tc>
          <w:tcPr>
            <w:tcW w:w="1070" w:type="dxa"/>
            <w:shd w:val="clear" w:color="auto" w:fill="auto"/>
            <w:noWrap/>
            <w:vAlign w:val="center"/>
          </w:tcPr>
          <w:p w:rsidR="00BD6173" w:rsidRPr="00730AE6" w:rsidRDefault="004B74A3" w:rsidP="00BD6173">
            <w:pPr>
              <w:spacing w:after="0"/>
              <w:ind w:firstLine="0"/>
              <w:jc w:val="right"/>
              <w:rPr>
                <w:rFonts w:ascii="Arial Narrow" w:hAnsi="Arial Narrow" w:cs="Arial"/>
                <w:color w:val="000000"/>
                <w:sz w:val="16"/>
                <w:szCs w:val="16"/>
                <w:lang w:val="es-ES" w:eastAsia="es-ES"/>
              </w:rPr>
            </w:pPr>
            <w:r>
              <w:rPr>
                <w:rFonts w:ascii="Arial Narrow" w:hAnsi="Arial Narrow" w:cs="Arial"/>
                <w:color w:val="000000"/>
                <w:sz w:val="16"/>
                <w:szCs w:val="16"/>
                <w:lang w:val="es-ES" w:eastAsia="es-ES"/>
              </w:rPr>
              <w:t>0</w:t>
            </w:r>
          </w:p>
        </w:tc>
        <w:tc>
          <w:tcPr>
            <w:tcW w:w="1056" w:type="dxa"/>
            <w:shd w:val="clear" w:color="auto" w:fill="auto"/>
            <w:noWrap/>
            <w:vAlign w:val="center"/>
          </w:tcPr>
          <w:p w:rsidR="00BD6173" w:rsidRPr="00730AE6" w:rsidRDefault="003B5A84" w:rsidP="00BD6173">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699.877</w:t>
            </w:r>
          </w:p>
        </w:tc>
      </w:tr>
      <w:tr w:rsidR="00BD6173" w:rsidRPr="00730AE6" w:rsidTr="00A277E6">
        <w:trPr>
          <w:trHeight w:val="312"/>
          <w:jc w:val="center"/>
        </w:trPr>
        <w:tc>
          <w:tcPr>
            <w:tcW w:w="2835" w:type="dxa"/>
            <w:shd w:val="clear" w:color="auto" w:fill="auto"/>
            <w:vAlign w:val="center"/>
          </w:tcPr>
          <w:p w:rsidR="00BD6173" w:rsidRPr="00730AE6" w:rsidRDefault="00BD6173" w:rsidP="006420DA">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a) Transferencias corrientes</w:t>
            </w:r>
          </w:p>
        </w:tc>
        <w:tc>
          <w:tcPr>
            <w:tcW w:w="870" w:type="dxa"/>
            <w:shd w:val="clear" w:color="auto" w:fill="auto"/>
            <w:noWrap/>
            <w:vAlign w:val="center"/>
          </w:tcPr>
          <w:p w:rsidR="00BD6173" w:rsidRPr="00730AE6" w:rsidRDefault="00734CEF"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26.065</w:t>
            </w:r>
          </w:p>
        </w:tc>
        <w:tc>
          <w:tcPr>
            <w:tcW w:w="1030" w:type="dxa"/>
            <w:tcBorders>
              <w:right w:val="single" w:sz="4" w:space="0" w:color="auto"/>
            </w:tcBorders>
            <w:shd w:val="clear" w:color="auto" w:fill="auto"/>
            <w:noWrap/>
            <w:vAlign w:val="center"/>
          </w:tcPr>
          <w:p w:rsidR="00BD6173" w:rsidRPr="00730AE6" w:rsidRDefault="000B06CE" w:rsidP="006420DA">
            <w:pPr>
              <w:spacing w:after="0"/>
              <w:ind w:firstLine="0"/>
              <w:jc w:val="right"/>
              <w:rPr>
                <w:rFonts w:ascii="Arial Narrow" w:hAnsi="Arial Narrow" w:cs="Arial"/>
                <w:bCs/>
                <w:sz w:val="16"/>
                <w:szCs w:val="16"/>
                <w:lang w:val="es-ES" w:eastAsia="es-ES"/>
              </w:rPr>
            </w:pPr>
            <w:r w:rsidRPr="00730AE6">
              <w:rPr>
                <w:rFonts w:ascii="Arial Narrow" w:hAnsi="Arial Narrow" w:cs="Arial"/>
                <w:bCs/>
                <w:sz w:val="16"/>
                <w:szCs w:val="16"/>
                <w:lang w:val="es-ES" w:eastAsia="es-ES"/>
              </w:rPr>
              <w:t>56.143</w:t>
            </w:r>
          </w:p>
        </w:tc>
        <w:tc>
          <w:tcPr>
            <w:tcW w:w="2599" w:type="dxa"/>
            <w:tcBorders>
              <w:left w:val="single" w:sz="4" w:space="0" w:color="auto"/>
            </w:tcBorders>
            <w:shd w:val="clear" w:color="auto" w:fill="auto"/>
            <w:vAlign w:val="center"/>
          </w:tcPr>
          <w:p w:rsidR="00BD6173" w:rsidRPr="00730AE6" w:rsidRDefault="00BD6173" w:rsidP="00BD6173">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d) Subvenciones de capital</w:t>
            </w:r>
          </w:p>
        </w:tc>
        <w:tc>
          <w:tcPr>
            <w:tcW w:w="1070" w:type="dxa"/>
            <w:shd w:val="clear" w:color="auto" w:fill="auto"/>
            <w:noWrap/>
            <w:vAlign w:val="center"/>
          </w:tcPr>
          <w:p w:rsidR="00BD6173" w:rsidRPr="00730AE6" w:rsidRDefault="00981249" w:rsidP="00BD6173">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2.239</w:t>
            </w:r>
          </w:p>
        </w:tc>
        <w:tc>
          <w:tcPr>
            <w:tcW w:w="1056" w:type="dxa"/>
            <w:shd w:val="clear" w:color="auto" w:fill="auto"/>
            <w:noWrap/>
            <w:vAlign w:val="center"/>
          </w:tcPr>
          <w:p w:rsidR="00BD6173" w:rsidRPr="00730AE6" w:rsidRDefault="003B5A84" w:rsidP="00BD6173">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3.475</w:t>
            </w:r>
          </w:p>
        </w:tc>
      </w:tr>
      <w:tr w:rsidR="00BD6173" w:rsidRPr="00730AE6" w:rsidTr="004058F4">
        <w:trPr>
          <w:trHeight w:val="560"/>
          <w:jc w:val="center"/>
        </w:trPr>
        <w:tc>
          <w:tcPr>
            <w:tcW w:w="2835" w:type="dxa"/>
            <w:shd w:val="clear" w:color="auto" w:fill="auto"/>
            <w:vAlign w:val="center"/>
          </w:tcPr>
          <w:p w:rsidR="00BD6173" w:rsidRPr="00730AE6" w:rsidRDefault="00BD6173" w:rsidP="006420DA">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b) Subvenciones corrientes</w:t>
            </w:r>
          </w:p>
        </w:tc>
        <w:tc>
          <w:tcPr>
            <w:tcW w:w="870" w:type="dxa"/>
            <w:shd w:val="clear" w:color="auto" w:fill="auto"/>
            <w:noWrap/>
            <w:vAlign w:val="center"/>
          </w:tcPr>
          <w:p w:rsidR="00BD6173" w:rsidRPr="00730AE6" w:rsidRDefault="00734CEF"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1.637.619</w:t>
            </w:r>
          </w:p>
        </w:tc>
        <w:tc>
          <w:tcPr>
            <w:tcW w:w="1030" w:type="dxa"/>
            <w:tcBorders>
              <w:right w:val="single" w:sz="4" w:space="0" w:color="auto"/>
            </w:tcBorders>
            <w:shd w:val="clear" w:color="auto" w:fill="auto"/>
            <w:noWrap/>
            <w:vAlign w:val="center"/>
          </w:tcPr>
          <w:p w:rsidR="00BD6173" w:rsidRPr="00730AE6" w:rsidRDefault="000B06CE" w:rsidP="006420DA">
            <w:pPr>
              <w:spacing w:after="0"/>
              <w:ind w:firstLine="0"/>
              <w:jc w:val="right"/>
              <w:rPr>
                <w:rFonts w:ascii="Arial Narrow" w:hAnsi="Arial Narrow" w:cs="Arial"/>
                <w:bCs/>
                <w:sz w:val="16"/>
                <w:szCs w:val="16"/>
                <w:lang w:val="es-ES" w:eastAsia="es-ES"/>
              </w:rPr>
            </w:pPr>
            <w:r w:rsidRPr="00730AE6">
              <w:rPr>
                <w:rFonts w:ascii="Arial Narrow" w:hAnsi="Arial Narrow" w:cs="Arial"/>
                <w:bCs/>
                <w:sz w:val="16"/>
                <w:szCs w:val="16"/>
                <w:lang w:val="es-ES" w:eastAsia="es-ES"/>
              </w:rPr>
              <w:t>1.990.987</w:t>
            </w:r>
          </w:p>
        </w:tc>
        <w:tc>
          <w:tcPr>
            <w:tcW w:w="2599" w:type="dxa"/>
            <w:tcBorders>
              <w:left w:val="single" w:sz="4" w:space="0" w:color="auto"/>
            </w:tcBorders>
            <w:shd w:val="clear" w:color="auto" w:fill="auto"/>
            <w:vAlign w:val="center"/>
          </w:tcPr>
          <w:p w:rsidR="00BD6173" w:rsidRPr="00730AE6" w:rsidRDefault="00BD6173" w:rsidP="00BD6173">
            <w:pPr>
              <w:spacing w:after="0"/>
              <w:ind w:firstLine="0"/>
              <w:jc w:val="left"/>
              <w:rPr>
                <w:rFonts w:ascii="Arial Narrow" w:hAnsi="Arial Narrow" w:cs="Arial"/>
                <w:b/>
                <w:bCs/>
                <w:color w:val="000000"/>
                <w:sz w:val="16"/>
                <w:szCs w:val="16"/>
                <w:lang w:val="es-ES" w:eastAsia="es-ES"/>
              </w:rPr>
            </w:pPr>
            <w:r w:rsidRPr="00730AE6">
              <w:rPr>
                <w:rFonts w:ascii="Arial Narrow" w:hAnsi="Arial Narrow" w:cs="Arial"/>
                <w:b/>
                <w:bCs/>
                <w:color w:val="000000"/>
                <w:sz w:val="16"/>
                <w:szCs w:val="16"/>
                <w:lang w:val="es-ES" w:eastAsia="es-ES"/>
              </w:rPr>
              <w:t>4. Ganancias e Ingresos extraordin</w:t>
            </w:r>
            <w:r w:rsidRPr="00730AE6">
              <w:rPr>
                <w:rFonts w:ascii="Arial Narrow" w:hAnsi="Arial Narrow" w:cs="Arial"/>
                <w:b/>
                <w:bCs/>
                <w:color w:val="000000"/>
                <w:sz w:val="16"/>
                <w:szCs w:val="16"/>
                <w:lang w:val="es-ES" w:eastAsia="es-ES"/>
              </w:rPr>
              <w:t>a</w:t>
            </w:r>
            <w:r w:rsidRPr="00730AE6">
              <w:rPr>
                <w:rFonts w:ascii="Arial Narrow" w:hAnsi="Arial Narrow" w:cs="Arial"/>
                <w:b/>
                <w:bCs/>
                <w:color w:val="000000"/>
                <w:sz w:val="16"/>
                <w:szCs w:val="16"/>
                <w:lang w:val="es-ES" w:eastAsia="es-ES"/>
              </w:rPr>
              <w:t>rios</w:t>
            </w:r>
          </w:p>
        </w:tc>
        <w:tc>
          <w:tcPr>
            <w:tcW w:w="1070" w:type="dxa"/>
            <w:shd w:val="clear" w:color="auto" w:fill="auto"/>
            <w:noWrap/>
            <w:vAlign w:val="center"/>
          </w:tcPr>
          <w:p w:rsidR="00BD6173" w:rsidRPr="00730AE6" w:rsidRDefault="00981249" w:rsidP="00BD6173">
            <w:pPr>
              <w:spacing w:after="0"/>
              <w:ind w:firstLine="0"/>
              <w:jc w:val="right"/>
              <w:rPr>
                <w:rFonts w:ascii="Arial Narrow" w:hAnsi="Arial Narrow" w:cs="Arial"/>
                <w:b/>
                <w:color w:val="000000"/>
                <w:sz w:val="16"/>
                <w:szCs w:val="16"/>
                <w:lang w:val="es-ES" w:eastAsia="es-ES"/>
              </w:rPr>
            </w:pPr>
            <w:r w:rsidRPr="00730AE6">
              <w:rPr>
                <w:rFonts w:ascii="Arial Narrow" w:hAnsi="Arial Narrow" w:cs="Arial"/>
                <w:b/>
                <w:color w:val="000000"/>
                <w:sz w:val="16"/>
                <w:szCs w:val="16"/>
                <w:lang w:val="es-ES" w:eastAsia="es-ES"/>
              </w:rPr>
              <w:t>34.083</w:t>
            </w:r>
          </w:p>
        </w:tc>
        <w:tc>
          <w:tcPr>
            <w:tcW w:w="1056" w:type="dxa"/>
            <w:shd w:val="clear" w:color="auto" w:fill="auto"/>
            <w:noWrap/>
            <w:vAlign w:val="center"/>
          </w:tcPr>
          <w:p w:rsidR="00BD6173" w:rsidRPr="00730AE6" w:rsidRDefault="003B5A84" w:rsidP="00BD6173">
            <w:pPr>
              <w:spacing w:after="0"/>
              <w:ind w:firstLine="0"/>
              <w:jc w:val="right"/>
              <w:rPr>
                <w:rFonts w:ascii="Arial Narrow" w:hAnsi="Arial Narrow" w:cs="Arial"/>
                <w:b/>
                <w:color w:val="000000"/>
                <w:sz w:val="16"/>
                <w:szCs w:val="16"/>
                <w:lang w:val="es-ES" w:eastAsia="es-ES"/>
              </w:rPr>
            </w:pPr>
            <w:r w:rsidRPr="00730AE6">
              <w:rPr>
                <w:rFonts w:ascii="Arial Narrow" w:hAnsi="Arial Narrow" w:cs="Arial"/>
                <w:b/>
                <w:color w:val="000000"/>
                <w:sz w:val="16"/>
                <w:szCs w:val="16"/>
                <w:lang w:val="es-ES" w:eastAsia="es-ES"/>
              </w:rPr>
              <w:t>20.090</w:t>
            </w:r>
          </w:p>
        </w:tc>
      </w:tr>
      <w:tr w:rsidR="00B831F8" w:rsidRPr="00730AE6" w:rsidTr="00A277E6">
        <w:trPr>
          <w:trHeight w:val="312"/>
          <w:jc w:val="center"/>
        </w:trPr>
        <w:tc>
          <w:tcPr>
            <w:tcW w:w="2835" w:type="dxa"/>
            <w:shd w:val="clear" w:color="auto" w:fill="auto"/>
            <w:vAlign w:val="center"/>
          </w:tcPr>
          <w:p w:rsidR="00B831F8" w:rsidRPr="00730AE6" w:rsidRDefault="00B831F8" w:rsidP="006420DA">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c) Transferencias de capital</w:t>
            </w:r>
          </w:p>
        </w:tc>
        <w:tc>
          <w:tcPr>
            <w:tcW w:w="870" w:type="dxa"/>
            <w:shd w:val="clear" w:color="auto" w:fill="auto"/>
            <w:noWrap/>
            <w:vAlign w:val="center"/>
          </w:tcPr>
          <w:p w:rsidR="00B831F8" w:rsidRPr="00730AE6" w:rsidRDefault="00B831F8"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0</w:t>
            </w:r>
          </w:p>
        </w:tc>
        <w:tc>
          <w:tcPr>
            <w:tcW w:w="1030" w:type="dxa"/>
            <w:tcBorders>
              <w:right w:val="single" w:sz="4" w:space="0" w:color="auto"/>
            </w:tcBorders>
            <w:shd w:val="clear" w:color="auto" w:fill="auto"/>
            <w:noWrap/>
            <w:vAlign w:val="center"/>
          </w:tcPr>
          <w:p w:rsidR="00B831F8" w:rsidRPr="00730AE6" w:rsidRDefault="00B831F8" w:rsidP="006420DA">
            <w:pPr>
              <w:spacing w:after="0"/>
              <w:ind w:firstLine="0"/>
              <w:jc w:val="right"/>
              <w:rPr>
                <w:rFonts w:ascii="Arial Narrow" w:hAnsi="Arial Narrow" w:cs="Arial"/>
                <w:sz w:val="16"/>
                <w:szCs w:val="16"/>
                <w:lang w:val="es-ES" w:eastAsia="es-ES"/>
              </w:rPr>
            </w:pPr>
            <w:r w:rsidRPr="00730AE6">
              <w:rPr>
                <w:rFonts w:ascii="Arial Narrow" w:hAnsi="Arial Narrow" w:cs="Arial"/>
                <w:sz w:val="16"/>
                <w:szCs w:val="16"/>
                <w:lang w:val="es-ES" w:eastAsia="es-ES"/>
              </w:rPr>
              <w:t>0</w:t>
            </w:r>
          </w:p>
        </w:tc>
        <w:tc>
          <w:tcPr>
            <w:tcW w:w="2599" w:type="dxa"/>
            <w:tcBorders>
              <w:left w:val="single" w:sz="4" w:space="0" w:color="auto"/>
            </w:tcBorders>
            <w:shd w:val="clear" w:color="auto" w:fill="auto"/>
            <w:vAlign w:val="center"/>
          </w:tcPr>
          <w:p w:rsidR="00B831F8" w:rsidRPr="00730AE6" w:rsidRDefault="00B831F8" w:rsidP="00BD6173">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a) Beneficios procedentes del inmoviliz</w:t>
            </w:r>
            <w:r w:rsidRPr="00730AE6">
              <w:rPr>
                <w:rFonts w:ascii="Arial Narrow" w:hAnsi="Arial Narrow" w:cs="Arial"/>
                <w:color w:val="000000"/>
                <w:sz w:val="16"/>
                <w:szCs w:val="16"/>
                <w:lang w:val="es-ES" w:eastAsia="es-ES"/>
              </w:rPr>
              <w:t>a</w:t>
            </w:r>
            <w:r w:rsidRPr="00730AE6">
              <w:rPr>
                <w:rFonts w:ascii="Arial Narrow" w:hAnsi="Arial Narrow" w:cs="Arial"/>
                <w:color w:val="000000"/>
                <w:sz w:val="16"/>
                <w:szCs w:val="16"/>
                <w:lang w:val="es-ES" w:eastAsia="es-ES"/>
              </w:rPr>
              <w:t>do</w:t>
            </w:r>
          </w:p>
        </w:tc>
        <w:tc>
          <w:tcPr>
            <w:tcW w:w="1070" w:type="dxa"/>
            <w:shd w:val="clear" w:color="auto" w:fill="auto"/>
            <w:noWrap/>
            <w:vAlign w:val="center"/>
          </w:tcPr>
          <w:p w:rsidR="00B831F8" w:rsidRPr="00730AE6" w:rsidRDefault="00B831F8" w:rsidP="009A341D">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2.</w:t>
            </w:r>
            <w:r w:rsidR="009A341D" w:rsidRPr="00730AE6">
              <w:rPr>
                <w:rFonts w:ascii="Arial Narrow" w:hAnsi="Arial Narrow" w:cs="Arial"/>
                <w:color w:val="000000"/>
                <w:sz w:val="16"/>
                <w:szCs w:val="16"/>
                <w:lang w:val="es-ES" w:eastAsia="es-ES"/>
              </w:rPr>
              <w:t>1</w:t>
            </w:r>
            <w:r w:rsidRPr="00730AE6">
              <w:rPr>
                <w:rFonts w:ascii="Arial Narrow" w:hAnsi="Arial Narrow" w:cs="Arial"/>
                <w:color w:val="000000"/>
                <w:sz w:val="16"/>
                <w:szCs w:val="16"/>
                <w:lang w:val="es-ES" w:eastAsia="es-ES"/>
              </w:rPr>
              <w:t>20</w:t>
            </w:r>
          </w:p>
        </w:tc>
        <w:tc>
          <w:tcPr>
            <w:tcW w:w="1056" w:type="dxa"/>
            <w:shd w:val="clear" w:color="auto" w:fill="auto"/>
            <w:noWrap/>
            <w:vAlign w:val="center"/>
          </w:tcPr>
          <w:p w:rsidR="00B831F8" w:rsidRPr="00730AE6" w:rsidRDefault="003B5A84" w:rsidP="00BD6173">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2.751</w:t>
            </w:r>
          </w:p>
        </w:tc>
      </w:tr>
      <w:tr w:rsidR="00B831F8" w:rsidRPr="00730AE6" w:rsidTr="00A277E6">
        <w:trPr>
          <w:trHeight w:val="312"/>
          <w:jc w:val="center"/>
        </w:trPr>
        <w:tc>
          <w:tcPr>
            <w:tcW w:w="2835" w:type="dxa"/>
            <w:shd w:val="clear" w:color="auto" w:fill="auto"/>
            <w:vAlign w:val="center"/>
          </w:tcPr>
          <w:p w:rsidR="00B831F8" w:rsidRPr="00730AE6" w:rsidRDefault="00B831F8" w:rsidP="006420DA">
            <w:pPr>
              <w:spacing w:after="0"/>
              <w:ind w:firstLine="0"/>
              <w:jc w:val="left"/>
              <w:rPr>
                <w:rFonts w:ascii="Arial Narrow" w:hAnsi="Arial Narrow" w:cs="Arial"/>
                <w:color w:val="000000"/>
                <w:sz w:val="16"/>
                <w:szCs w:val="16"/>
                <w:lang w:val="es-ES" w:eastAsia="es-ES"/>
              </w:rPr>
            </w:pPr>
            <w:r w:rsidRPr="00730AE6">
              <w:rPr>
                <w:rFonts w:ascii="Arial Narrow" w:hAnsi="Arial Narrow" w:cs="Arial"/>
                <w:b/>
                <w:bCs/>
                <w:color w:val="000000"/>
                <w:sz w:val="16"/>
                <w:szCs w:val="16"/>
                <w:lang w:val="es-ES" w:eastAsia="es-ES"/>
              </w:rPr>
              <w:t>3. Pérdidas y gastos extraordinarios</w:t>
            </w:r>
          </w:p>
        </w:tc>
        <w:tc>
          <w:tcPr>
            <w:tcW w:w="870" w:type="dxa"/>
            <w:shd w:val="clear" w:color="auto" w:fill="auto"/>
            <w:noWrap/>
            <w:vAlign w:val="center"/>
          </w:tcPr>
          <w:p w:rsidR="00B831F8" w:rsidRPr="00730AE6" w:rsidRDefault="00B831F8"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b/>
                <w:bCs/>
                <w:color w:val="000000"/>
                <w:sz w:val="16"/>
                <w:szCs w:val="16"/>
                <w:lang w:val="es-ES" w:eastAsia="es-ES"/>
              </w:rPr>
              <w:t>1.050.371</w:t>
            </w:r>
          </w:p>
        </w:tc>
        <w:tc>
          <w:tcPr>
            <w:tcW w:w="1030" w:type="dxa"/>
            <w:tcBorders>
              <w:right w:val="single" w:sz="4" w:space="0" w:color="auto"/>
            </w:tcBorders>
            <w:shd w:val="clear" w:color="auto" w:fill="auto"/>
            <w:noWrap/>
            <w:vAlign w:val="center"/>
          </w:tcPr>
          <w:p w:rsidR="00B831F8" w:rsidRPr="00730AE6" w:rsidRDefault="00B831F8" w:rsidP="006420DA">
            <w:pPr>
              <w:spacing w:after="0"/>
              <w:ind w:firstLine="0"/>
              <w:jc w:val="right"/>
              <w:rPr>
                <w:rFonts w:ascii="Arial Narrow" w:hAnsi="Arial Narrow" w:cs="Arial"/>
                <w:sz w:val="16"/>
                <w:szCs w:val="16"/>
                <w:lang w:val="es-ES" w:eastAsia="es-ES"/>
              </w:rPr>
            </w:pPr>
            <w:r w:rsidRPr="00730AE6">
              <w:rPr>
                <w:rFonts w:ascii="Arial Narrow" w:hAnsi="Arial Narrow" w:cs="Arial"/>
                <w:b/>
                <w:bCs/>
                <w:color w:val="000000"/>
                <w:sz w:val="16"/>
                <w:szCs w:val="16"/>
                <w:lang w:val="es-ES" w:eastAsia="es-ES"/>
              </w:rPr>
              <w:t>2.745</w:t>
            </w:r>
          </w:p>
        </w:tc>
        <w:tc>
          <w:tcPr>
            <w:tcW w:w="2599" w:type="dxa"/>
            <w:tcBorders>
              <w:left w:val="single" w:sz="4" w:space="0" w:color="auto"/>
            </w:tcBorders>
            <w:shd w:val="clear" w:color="auto" w:fill="auto"/>
            <w:vAlign w:val="center"/>
          </w:tcPr>
          <w:p w:rsidR="00B831F8" w:rsidRPr="00730AE6" w:rsidRDefault="00B831F8" w:rsidP="00BD6173">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c) Ingresos extraordinarios</w:t>
            </w:r>
          </w:p>
        </w:tc>
        <w:tc>
          <w:tcPr>
            <w:tcW w:w="1070" w:type="dxa"/>
            <w:shd w:val="clear" w:color="auto" w:fill="auto"/>
            <w:noWrap/>
            <w:vAlign w:val="center"/>
          </w:tcPr>
          <w:p w:rsidR="00B831F8" w:rsidRPr="00730AE6" w:rsidRDefault="00B831F8" w:rsidP="00BD6173">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31.963</w:t>
            </w:r>
          </w:p>
        </w:tc>
        <w:tc>
          <w:tcPr>
            <w:tcW w:w="1056" w:type="dxa"/>
            <w:shd w:val="clear" w:color="auto" w:fill="auto"/>
            <w:noWrap/>
            <w:vAlign w:val="center"/>
          </w:tcPr>
          <w:p w:rsidR="00B831F8" w:rsidRPr="00730AE6" w:rsidRDefault="003B5A84" w:rsidP="007E71BB">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17.33</w:t>
            </w:r>
            <w:r w:rsidR="007E71BB" w:rsidRPr="00730AE6">
              <w:rPr>
                <w:rFonts w:ascii="Arial Narrow" w:hAnsi="Arial Narrow" w:cs="Arial"/>
                <w:color w:val="000000"/>
                <w:sz w:val="16"/>
                <w:szCs w:val="16"/>
                <w:lang w:val="es-ES" w:eastAsia="es-ES"/>
              </w:rPr>
              <w:t>9</w:t>
            </w:r>
          </w:p>
        </w:tc>
      </w:tr>
      <w:tr w:rsidR="00B831F8" w:rsidRPr="00730AE6" w:rsidTr="00A277E6">
        <w:trPr>
          <w:trHeight w:val="312"/>
          <w:jc w:val="center"/>
        </w:trPr>
        <w:tc>
          <w:tcPr>
            <w:tcW w:w="2835" w:type="dxa"/>
            <w:shd w:val="clear" w:color="auto" w:fill="auto"/>
            <w:vAlign w:val="center"/>
          </w:tcPr>
          <w:p w:rsidR="00B831F8" w:rsidRPr="00730AE6" w:rsidRDefault="00B831F8" w:rsidP="006420DA">
            <w:pPr>
              <w:spacing w:after="0"/>
              <w:ind w:firstLine="0"/>
              <w:jc w:val="left"/>
              <w:rPr>
                <w:rFonts w:ascii="Arial Narrow" w:hAnsi="Arial Narrow" w:cs="Arial"/>
                <w:b/>
                <w:bCs/>
                <w:color w:val="000000"/>
                <w:sz w:val="16"/>
                <w:szCs w:val="16"/>
                <w:lang w:val="es-ES" w:eastAsia="es-ES"/>
              </w:rPr>
            </w:pPr>
            <w:r w:rsidRPr="00730AE6">
              <w:rPr>
                <w:rFonts w:ascii="Arial Narrow" w:hAnsi="Arial Narrow" w:cs="Arial"/>
                <w:color w:val="000000"/>
                <w:sz w:val="16"/>
                <w:szCs w:val="16"/>
                <w:lang w:val="es-ES" w:eastAsia="es-ES"/>
              </w:rPr>
              <w:t>a) Pérdidas procedentes de inmovilizado</w:t>
            </w:r>
          </w:p>
        </w:tc>
        <w:tc>
          <w:tcPr>
            <w:tcW w:w="870" w:type="dxa"/>
            <w:shd w:val="clear" w:color="auto" w:fill="auto"/>
            <w:noWrap/>
            <w:vAlign w:val="center"/>
          </w:tcPr>
          <w:p w:rsidR="00B831F8" w:rsidRPr="00730AE6" w:rsidRDefault="00B831F8" w:rsidP="006420DA">
            <w:pPr>
              <w:spacing w:after="0"/>
              <w:ind w:firstLine="0"/>
              <w:jc w:val="right"/>
              <w:rPr>
                <w:rFonts w:ascii="Arial Narrow" w:hAnsi="Arial Narrow" w:cs="Arial"/>
                <w:b/>
                <w:bCs/>
                <w:color w:val="000000"/>
                <w:sz w:val="16"/>
                <w:szCs w:val="16"/>
                <w:lang w:val="es-ES" w:eastAsia="es-ES"/>
              </w:rPr>
            </w:pPr>
            <w:r w:rsidRPr="00730AE6">
              <w:rPr>
                <w:rFonts w:ascii="Arial Narrow" w:hAnsi="Arial Narrow" w:cs="Arial"/>
                <w:color w:val="000000"/>
                <w:sz w:val="16"/>
                <w:szCs w:val="16"/>
                <w:lang w:val="es-ES" w:eastAsia="es-ES"/>
              </w:rPr>
              <w:t>48.773</w:t>
            </w:r>
          </w:p>
        </w:tc>
        <w:tc>
          <w:tcPr>
            <w:tcW w:w="1030" w:type="dxa"/>
            <w:tcBorders>
              <w:right w:val="single" w:sz="4" w:space="0" w:color="auto"/>
            </w:tcBorders>
            <w:shd w:val="clear" w:color="auto" w:fill="auto"/>
            <w:noWrap/>
            <w:vAlign w:val="center"/>
          </w:tcPr>
          <w:p w:rsidR="00B831F8" w:rsidRPr="00730AE6" w:rsidRDefault="00B831F8" w:rsidP="000B06CE">
            <w:pPr>
              <w:spacing w:after="0"/>
              <w:ind w:firstLine="0"/>
              <w:jc w:val="right"/>
              <w:rPr>
                <w:rFonts w:ascii="Arial Narrow" w:hAnsi="Arial Narrow" w:cs="Arial"/>
                <w:b/>
                <w:bCs/>
                <w:color w:val="000000"/>
                <w:sz w:val="16"/>
                <w:szCs w:val="16"/>
                <w:lang w:val="es-ES" w:eastAsia="es-ES"/>
              </w:rPr>
            </w:pPr>
            <w:r w:rsidRPr="00730AE6">
              <w:rPr>
                <w:rFonts w:ascii="Arial Narrow" w:hAnsi="Arial Narrow" w:cs="Arial"/>
                <w:color w:val="000000"/>
                <w:sz w:val="16"/>
                <w:szCs w:val="16"/>
                <w:lang w:val="es-ES" w:eastAsia="es-ES"/>
              </w:rPr>
              <w:t>-1</w:t>
            </w:r>
          </w:p>
        </w:tc>
        <w:tc>
          <w:tcPr>
            <w:tcW w:w="2599" w:type="dxa"/>
            <w:tcBorders>
              <w:left w:val="single" w:sz="4" w:space="0" w:color="auto"/>
            </w:tcBorders>
            <w:shd w:val="clear" w:color="auto" w:fill="auto"/>
            <w:vAlign w:val="center"/>
          </w:tcPr>
          <w:p w:rsidR="00B831F8" w:rsidRPr="00730AE6" w:rsidRDefault="00B831F8" w:rsidP="00BD6173">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d) Ingresos y beneficios de otros erjerc.</w:t>
            </w:r>
          </w:p>
        </w:tc>
        <w:tc>
          <w:tcPr>
            <w:tcW w:w="1070" w:type="dxa"/>
            <w:shd w:val="clear" w:color="auto" w:fill="auto"/>
            <w:noWrap/>
            <w:vAlign w:val="center"/>
          </w:tcPr>
          <w:p w:rsidR="00B831F8" w:rsidRPr="00730AE6" w:rsidRDefault="00B831F8" w:rsidP="00BD6173">
            <w:pPr>
              <w:spacing w:after="0"/>
              <w:ind w:firstLine="0"/>
              <w:jc w:val="right"/>
              <w:rPr>
                <w:rFonts w:ascii="Arial Narrow" w:hAnsi="Arial Narrow" w:cs="Arial"/>
                <w:bCs/>
                <w:color w:val="000000"/>
                <w:sz w:val="16"/>
                <w:szCs w:val="16"/>
                <w:lang w:val="es-ES" w:eastAsia="es-ES"/>
              </w:rPr>
            </w:pPr>
            <w:r w:rsidRPr="00730AE6">
              <w:rPr>
                <w:rFonts w:ascii="Arial Narrow" w:hAnsi="Arial Narrow" w:cs="Arial"/>
                <w:bCs/>
                <w:color w:val="000000"/>
                <w:sz w:val="16"/>
                <w:szCs w:val="16"/>
                <w:lang w:val="es-ES" w:eastAsia="es-ES"/>
              </w:rPr>
              <w:t>0</w:t>
            </w:r>
          </w:p>
        </w:tc>
        <w:tc>
          <w:tcPr>
            <w:tcW w:w="1056" w:type="dxa"/>
            <w:shd w:val="clear" w:color="auto" w:fill="auto"/>
            <w:noWrap/>
            <w:vAlign w:val="center"/>
          </w:tcPr>
          <w:p w:rsidR="00B831F8" w:rsidRPr="00730AE6" w:rsidRDefault="003B5A84" w:rsidP="00BD6173">
            <w:pPr>
              <w:spacing w:after="0"/>
              <w:ind w:firstLine="0"/>
              <w:jc w:val="right"/>
              <w:rPr>
                <w:rFonts w:ascii="Arial Narrow" w:hAnsi="Arial Narrow" w:cs="Arial"/>
                <w:bCs/>
                <w:color w:val="000000"/>
                <w:sz w:val="16"/>
                <w:szCs w:val="16"/>
                <w:lang w:val="es-ES" w:eastAsia="es-ES"/>
              </w:rPr>
            </w:pPr>
            <w:r w:rsidRPr="00730AE6">
              <w:rPr>
                <w:rFonts w:ascii="Arial Narrow" w:hAnsi="Arial Narrow" w:cs="Arial"/>
                <w:bCs/>
                <w:color w:val="000000"/>
                <w:sz w:val="16"/>
                <w:szCs w:val="16"/>
                <w:lang w:val="es-ES" w:eastAsia="es-ES"/>
              </w:rPr>
              <w:t>0</w:t>
            </w:r>
          </w:p>
        </w:tc>
      </w:tr>
      <w:tr w:rsidR="00B831F8" w:rsidRPr="00730AE6" w:rsidTr="00A277E6">
        <w:trPr>
          <w:trHeight w:val="312"/>
          <w:jc w:val="center"/>
        </w:trPr>
        <w:tc>
          <w:tcPr>
            <w:tcW w:w="2835" w:type="dxa"/>
            <w:shd w:val="clear" w:color="auto" w:fill="auto"/>
            <w:vAlign w:val="center"/>
          </w:tcPr>
          <w:p w:rsidR="00B831F8" w:rsidRPr="00730AE6" w:rsidRDefault="00B831F8" w:rsidP="006420DA">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c) Gastos extraordinarios</w:t>
            </w:r>
          </w:p>
        </w:tc>
        <w:tc>
          <w:tcPr>
            <w:tcW w:w="870" w:type="dxa"/>
            <w:shd w:val="clear" w:color="auto" w:fill="auto"/>
            <w:noWrap/>
            <w:vAlign w:val="center"/>
          </w:tcPr>
          <w:p w:rsidR="00B831F8" w:rsidRPr="00730AE6" w:rsidRDefault="00B831F8"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0</w:t>
            </w:r>
          </w:p>
        </w:tc>
        <w:tc>
          <w:tcPr>
            <w:tcW w:w="1030" w:type="dxa"/>
            <w:tcBorders>
              <w:right w:val="single" w:sz="4" w:space="0" w:color="auto"/>
            </w:tcBorders>
            <w:shd w:val="clear" w:color="auto" w:fill="auto"/>
            <w:noWrap/>
            <w:vAlign w:val="center"/>
          </w:tcPr>
          <w:p w:rsidR="00B831F8" w:rsidRPr="00730AE6" w:rsidRDefault="00B831F8" w:rsidP="006420DA">
            <w:pPr>
              <w:spacing w:after="0"/>
              <w:ind w:firstLine="0"/>
              <w:jc w:val="right"/>
              <w:rPr>
                <w:rFonts w:ascii="Arial Narrow" w:hAnsi="Arial Narrow" w:cs="Arial"/>
                <w:color w:val="000000"/>
                <w:sz w:val="16"/>
                <w:szCs w:val="16"/>
                <w:lang w:val="es-ES" w:eastAsia="es-ES"/>
              </w:rPr>
            </w:pPr>
            <w:r w:rsidRPr="00730AE6">
              <w:rPr>
                <w:rFonts w:ascii="Arial Narrow" w:hAnsi="Arial Narrow" w:cs="Arial"/>
                <w:sz w:val="16"/>
                <w:szCs w:val="16"/>
                <w:lang w:val="es-ES" w:eastAsia="es-ES"/>
              </w:rPr>
              <w:t>2.746</w:t>
            </w:r>
          </w:p>
        </w:tc>
        <w:tc>
          <w:tcPr>
            <w:tcW w:w="2599" w:type="dxa"/>
            <w:tcBorders>
              <w:left w:val="single" w:sz="4" w:space="0" w:color="auto"/>
            </w:tcBorders>
            <w:shd w:val="clear" w:color="auto" w:fill="auto"/>
            <w:vAlign w:val="center"/>
          </w:tcPr>
          <w:p w:rsidR="00B831F8" w:rsidRPr="00730AE6" w:rsidRDefault="00B831F8" w:rsidP="006420DA">
            <w:pPr>
              <w:spacing w:after="0"/>
              <w:ind w:firstLine="0"/>
              <w:jc w:val="left"/>
              <w:rPr>
                <w:rFonts w:ascii="Arial Narrow" w:hAnsi="Arial Narrow" w:cs="Arial"/>
                <w:color w:val="000000"/>
                <w:sz w:val="16"/>
                <w:szCs w:val="16"/>
                <w:lang w:val="es-ES" w:eastAsia="es-ES"/>
              </w:rPr>
            </w:pPr>
          </w:p>
        </w:tc>
        <w:tc>
          <w:tcPr>
            <w:tcW w:w="1070" w:type="dxa"/>
            <w:shd w:val="clear" w:color="auto" w:fill="auto"/>
            <w:noWrap/>
            <w:vAlign w:val="center"/>
          </w:tcPr>
          <w:p w:rsidR="00B831F8" w:rsidRPr="00730AE6" w:rsidRDefault="00B831F8" w:rsidP="006420DA">
            <w:pPr>
              <w:spacing w:after="0"/>
              <w:ind w:firstLine="0"/>
              <w:jc w:val="right"/>
              <w:rPr>
                <w:rFonts w:ascii="Arial Narrow" w:hAnsi="Arial Narrow" w:cs="Arial"/>
                <w:color w:val="000000"/>
                <w:sz w:val="16"/>
                <w:szCs w:val="16"/>
                <w:lang w:val="es-ES" w:eastAsia="es-ES"/>
              </w:rPr>
            </w:pPr>
          </w:p>
        </w:tc>
        <w:tc>
          <w:tcPr>
            <w:tcW w:w="1056" w:type="dxa"/>
            <w:shd w:val="clear" w:color="auto" w:fill="auto"/>
            <w:noWrap/>
            <w:vAlign w:val="center"/>
          </w:tcPr>
          <w:p w:rsidR="00B831F8" w:rsidRPr="00730AE6" w:rsidRDefault="00B831F8" w:rsidP="006420DA">
            <w:pPr>
              <w:spacing w:after="0"/>
              <w:ind w:firstLine="0"/>
              <w:jc w:val="right"/>
              <w:rPr>
                <w:rFonts w:ascii="Arial Narrow" w:hAnsi="Arial Narrow" w:cs="Arial"/>
                <w:color w:val="000000"/>
                <w:sz w:val="16"/>
                <w:szCs w:val="16"/>
                <w:lang w:val="es-ES" w:eastAsia="es-ES"/>
              </w:rPr>
            </w:pPr>
          </w:p>
        </w:tc>
      </w:tr>
      <w:tr w:rsidR="00B831F8" w:rsidRPr="00730AE6" w:rsidTr="00A277E6">
        <w:trPr>
          <w:trHeight w:val="312"/>
          <w:jc w:val="center"/>
        </w:trPr>
        <w:tc>
          <w:tcPr>
            <w:tcW w:w="2835" w:type="dxa"/>
            <w:shd w:val="clear" w:color="auto" w:fill="auto"/>
            <w:vAlign w:val="center"/>
          </w:tcPr>
          <w:p w:rsidR="00B831F8" w:rsidRPr="00730AE6" w:rsidRDefault="00B831F8" w:rsidP="006420DA">
            <w:pPr>
              <w:spacing w:after="0"/>
              <w:ind w:firstLine="0"/>
              <w:jc w:val="lef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d) Gastos y Pérdidas de otros ejercicios</w:t>
            </w:r>
          </w:p>
        </w:tc>
        <w:tc>
          <w:tcPr>
            <w:tcW w:w="870" w:type="dxa"/>
            <w:shd w:val="clear" w:color="auto" w:fill="auto"/>
            <w:noWrap/>
            <w:vAlign w:val="center"/>
          </w:tcPr>
          <w:p w:rsidR="00B831F8" w:rsidRPr="00730AE6" w:rsidRDefault="00B831F8" w:rsidP="00E30D93">
            <w:pPr>
              <w:spacing w:after="0"/>
              <w:ind w:firstLine="0"/>
              <w:jc w:val="right"/>
              <w:rPr>
                <w:rFonts w:ascii="Arial Narrow" w:hAnsi="Arial Narrow" w:cs="Arial"/>
                <w:color w:val="000000"/>
                <w:sz w:val="16"/>
                <w:szCs w:val="16"/>
                <w:lang w:val="es-ES" w:eastAsia="es-ES"/>
              </w:rPr>
            </w:pPr>
            <w:r w:rsidRPr="00730AE6">
              <w:rPr>
                <w:rFonts w:ascii="Arial Narrow" w:hAnsi="Arial Narrow" w:cs="Arial"/>
                <w:color w:val="000000"/>
                <w:sz w:val="16"/>
                <w:szCs w:val="16"/>
                <w:lang w:val="es-ES" w:eastAsia="es-ES"/>
              </w:rPr>
              <w:t>1.001.598</w:t>
            </w:r>
          </w:p>
        </w:tc>
        <w:tc>
          <w:tcPr>
            <w:tcW w:w="1030" w:type="dxa"/>
            <w:tcBorders>
              <w:right w:val="single" w:sz="4" w:space="0" w:color="auto"/>
            </w:tcBorders>
            <w:shd w:val="clear" w:color="auto" w:fill="auto"/>
            <w:noWrap/>
            <w:vAlign w:val="center"/>
          </w:tcPr>
          <w:p w:rsidR="00B831F8" w:rsidRPr="00730AE6" w:rsidRDefault="00B831F8" w:rsidP="006420DA">
            <w:pPr>
              <w:spacing w:after="0"/>
              <w:ind w:firstLine="0"/>
              <w:jc w:val="right"/>
              <w:rPr>
                <w:rFonts w:ascii="Arial Narrow" w:hAnsi="Arial Narrow" w:cs="Arial"/>
                <w:sz w:val="16"/>
                <w:szCs w:val="16"/>
                <w:lang w:val="es-ES" w:eastAsia="es-ES"/>
              </w:rPr>
            </w:pPr>
            <w:r w:rsidRPr="00730AE6">
              <w:rPr>
                <w:rFonts w:ascii="Arial Narrow" w:hAnsi="Arial Narrow" w:cs="Arial"/>
                <w:sz w:val="16"/>
                <w:szCs w:val="16"/>
                <w:lang w:val="es-ES" w:eastAsia="es-ES"/>
              </w:rPr>
              <w:t>0</w:t>
            </w:r>
          </w:p>
        </w:tc>
        <w:tc>
          <w:tcPr>
            <w:tcW w:w="2599" w:type="dxa"/>
            <w:tcBorders>
              <w:left w:val="single" w:sz="4" w:space="0" w:color="auto"/>
            </w:tcBorders>
            <w:shd w:val="clear" w:color="auto" w:fill="auto"/>
            <w:vAlign w:val="center"/>
          </w:tcPr>
          <w:p w:rsidR="00B831F8" w:rsidRPr="00730AE6" w:rsidRDefault="00B831F8" w:rsidP="006420DA">
            <w:pPr>
              <w:spacing w:after="0"/>
              <w:ind w:firstLine="0"/>
              <w:jc w:val="left"/>
              <w:rPr>
                <w:rFonts w:ascii="Arial Narrow" w:hAnsi="Arial Narrow" w:cs="Arial"/>
                <w:color w:val="000000"/>
                <w:sz w:val="16"/>
                <w:szCs w:val="16"/>
                <w:lang w:val="es-ES" w:eastAsia="es-ES"/>
              </w:rPr>
            </w:pPr>
          </w:p>
        </w:tc>
        <w:tc>
          <w:tcPr>
            <w:tcW w:w="1070" w:type="dxa"/>
            <w:shd w:val="clear" w:color="auto" w:fill="auto"/>
            <w:noWrap/>
            <w:vAlign w:val="center"/>
          </w:tcPr>
          <w:p w:rsidR="00B831F8" w:rsidRPr="00730AE6" w:rsidRDefault="00B831F8" w:rsidP="006420DA">
            <w:pPr>
              <w:spacing w:after="0"/>
              <w:ind w:firstLine="0"/>
              <w:jc w:val="right"/>
              <w:rPr>
                <w:rFonts w:ascii="Arial Narrow" w:hAnsi="Arial Narrow" w:cs="Arial"/>
                <w:color w:val="000000"/>
                <w:sz w:val="16"/>
                <w:szCs w:val="16"/>
                <w:lang w:val="es-ES" w:eastAsia="es-ES"/>
              </w:rPr>
            </w:pPr>
          </w:p>
        </w:tc>
        <w:tc>
          <w:tcPr>
            <w:tcW w:w="1056" w:type="dxa"/>
            <w:shd w:val="clear" w:color="auto" w:fill="auto"/>
            <w:noWrap/>
            <w:vAlign w:val="center"/>
          </w:tcPr>
          <w:p w:rsidR="00B831F8" w:rsidRPr="00730AE6" w:rsidRDefault="00B831F8" w:rsidP="006420DA">
            <w:pPr>
              <w:spacing w:after="0"/>
              <w:ind w:firstLine="0"/>
              <w:jc w:val="right"/>
              <w:rPr>
                <w:rFonts w:ascii="Arial Narrow" w:hAnsi="Arial Narrow" w:cs="Arial"/>
                <w:color w:val="000000"/>
                <w:sz w:val="16"/>
                <w:szCs w:val="16"/>
                <w:lang w:val="es-ES" w:eastAsia="es-ES"/>
              </w:rPr>
            </w:pPr>
          </w:p>
        </w:tc>
      </w:tr>
      <w:tr w:rsidR="00B831F8" w:rsidRPr="006955A6" w:rsidTr="00BC4F7A">
        <w:trPr>
          <w:trHeight w:val="312"/>
          <w:jc w:val="center"/>
        </w:trPr>
        <w:tc>
          <w:tcPr>
            <w:tcW w:w="2835" w:type="dxa"/>
            <w:shd w:val="clear" w:color="auto" w:fill="A8CBEE" w:themeFill="accent2" w:themeFillTint="66"/>
            <w:vAlign w:val="center"/>
          </w:tcPr>
          <w:p w:rsidR="00B831F8" w:rsidRPr="006955A6" w:rsidRDefault="00B831F8" w:rsidP="006420DA">
            <w:pPr>
              <w:spacing w:after="0"/>
              <w:ind w:firstLine="0"/>
              <w:jc w:val="left"/>
              <w:rPr>
                <w:rFonts w:ascii="Arial" w:hAnsi="Arial" w:cs="Arial"/>
                <w:bCs/>
                <w:color w:val="000000"/>
                <w:sz w:val="16"/>
                <w:szCs w:val="16"/>
                <w:lang w:val="es-ES" w:eastAsia="es-ES"/>
              </w:rPr>
            </w:pPr>
            <w:r w:rsidRPr="006955A6">
              <w:rPr>
                <w:rFonts w:ascii="Arial" w:hAnsi="Arial" w:cs="Arial"/>
                <w:bCs/>
                <w:color w:val="000000"/>
                <w:sz w:val="16"/>
                <w:szCs w:val="16"/>
                <w:lang w:val="es-ES" w:eastAsia="es-ES"/>
              </w:rPr>
              <w:t>AHORRO</w:t>
            </w:r>
          </w:p>
        </w:tc>
        <w:tc>
          <w:tcPr>
            <w:tcW w:w="870" w:type="dxa"/>
            <w:shd w:val="clear" w:color="auto" w:fill="A8CBEE" w:themeFill="accent2" w:themeFillTint="66"/>
            <w:noWrap/>
            <w:vAlign w:val="center"/>
          </w:tcPr>
          <w:p w:rsidR="00B831F8" w:rsidRPr="006955A6" w:rsidRDefault="00B831F8" w:rsidP="006420DA">
            <w:pPr>
              <w:spacing w:after="0"/>
              <w:ind w:firstLine="0"/>
              <w:jc w:val="right"/>
              <w:rPr>
                <w:rFonts w:ascii="Arial" w:hAnsi="Arial" w:cs="Arial"/>
                <w:bCs/>
                <w:color w:val="000000"/>
                <w:sz w:val="16"/>
                <w:szCs w:val="16"/>
                <w:lang w:val="es-ES" w:eastAsia="es-ES"/>
              </w:rPr>
            </w:pPr>
          </w:p>
        </w:tc>
        <w:tc>
          <w:tcPr>
            <w:tcW w:w="1030" w:type="dxa"/>
            <w:tcBorders>
              <w:right w:val="single" w:sz="4" w:space="0" w:color="auto"/>
            </w:tcBorders>
            <w:shd w:val="clear" w:color="auto" w:fill="A8CBEE" w:themeFill="accent2" w:themeFillTint="66"/>
            <w:noWrap/>
            <w:vAlign w:val="center"/>
          </w:tcPr>
          <w:p w:rsidR="00B831F8" w:rsidRPr="006955A6" w:rsidRDefault="00B831F8" w:rsidP="006420DA">
            <w:pPr>
              <w:spacing w:after="0"/>
              <w:ind w:firstLine="0"/>
              <w:jc w:val="right"/>
              <w:rPr>
                <w:rFonts w:ascii="Arial" w:hAnsi="Arial" w:cs="Arial"/>
                <w:bCs/>
                <w:color w:val="000000"/>
                <w:sz w:val="16"/>
                <w:szCs w:val="16"/>
                <w:lang w:val="es-ES" w:eastAsia="es-ES"/>
              </w:rPr>
            </w:pPr>
          </w:p>
        </w:tc>
        <w:tc>
          <w:tcPr>
            <w:tcW w:w="2599" w:type="dxa"/>
            <w:tcBorders>
              <w:left w:val="single" w:sz="4" w:space="0" w:color="auto"/>
            </w:tcBorders>
            <w:shd w:val="clear" w:color="auto" w:fill="A8CBEE" w:themeFill="accent2" w:themeFillTint="66"/>
            <w:vAlign w:val="center"/>
          </w:tcPr>
          <w:p w:rsidR="00B831F8" w:rsidRPr="006955A6" w:rsidRDefault="00B831F8" w:rsidP="006420DA">
            <w:pPr>
              <w:spacing w:after="0"/>
              <w:ind w:firstLine="0"/>
              <w:jc w:val="left"/>
              <w:rPr>
                <w:rFonts w:ascii="Arial" w:hAnsi="Arial" w:cs="Arial"/>
                <w:bCs/>
                <w:color w:val="000000"/>
                <w:sz w:val="16"/>
                <w:szCs w:val="16"/>
                <w:lang w:val="es-ES" w:eastAsia="es-ES"/>
              </w:rPr>
            </w:pPr>
            <w:r w:rsidRPr="006955A6">
              <w:rPr>
                <w:rFonts w:ascii="Arial" w:hAnsi="Arial" w:cs="Arial"/>
                <w:bCs/>
                <w:color w:val="000000"/>
                <w:sz w:val="16"/>
                <w:szCs w:val="16"/>
                <w:lang w:val="es-ES" w:eastAsia="es-ES"/>
              </w:rPr>
              <w:t>DESAHORRO</w:t>
            </w:r>
          </w:p>
        </w:tc>
        <w:tc>
          <w:tcPr>
            <w:tcW w:w="1070" w:type="dxa"/>
            <w:shd w:val="clear" w:color="auto" w:fill="A8CBEE" w:themeFill="accent2" w:themeFillTint="66"/>
            <w:noWrap/>
            <w:vAlign w:val="center"/>
          </w:tcPr>
          <w:p w:rsidR="00B831F8" w:rsidRPr="006955A6" w:rsidRDefault="0048483A" w:rsidP="006420DA">
            <w:pPr>
              <w:spacing w:after="0"/>
              <w:ind w:firstLine="0"/>
              <w:jc w:val="right"/>
              <w:rPr>
                <w:rFonts w:ascii="Arial" w:hAnsi="Arial" w:cs="Arial"/>
                <w:bCs/>
                <w:color w:val="000000"/>
                <w:sz w:val="16"/>
                <w:szCs w:val="16"/>
                <w:lang w:val="es-ES" w:eastAsia="es-ES"/>
              </w:rPr>
            </w:pPr>
            <w:r w:rsidRPr="006955A6">
              <w:rPr>
                <w:rFonts w:ascii="Arial" w:hAnsi="Arial" w:cs="Arial"/>
                <w:bCs/>
                <w:color w:val="000000"/>
                <w:sz w:val="16"/>
                <w:szCs w:val="16"/>
                <w:lang w:val="es-ES" w:eastAsia="es-ES"/>
              </w:rPr>
              <w:t>-3.464.397</w:t>
            </w:r>
          </w:p>
        </w:tc>
        <w:tc>
          <w:tcPr>
            <w:tcW w:w="1056" w:type="dxa"/>
            <w:shd w:val="clear" w:color="auto" w:fill="A8CBEE" w:themeFill="accent2" w:themeFillTint="66"/>
            <w:noWrap/>
            <w:vAlign w:val="center"/>
          </w:tcPr>
          <w:p w:rsidR="00B831F8" w:rsidRPr="006955A6" w:rsidRDefault="003B5A84" w:rsidP="006420DA">
            <w:pPr>
              <w:spacing w:after="0"/>
              <w:ind w:firstLine="0"/>
              <w:jc w:val="right"/>
              <w:rPr>
                <w:rFonts w:ascii="Arial" w:hAnsi="Arial" w:cs="Arial"/>
                <w:bCs/>
                <w:color w:val="000000"/>
                <w:sz w:val="16"/>
                <w:szCs w:val="16"/>
                <w:lang w:val="es-ES" w:eastAsia="es-ES"/>
              </w:rPr>
            </w:pPr>
            <w:r w:rsidRPr="006955A6">
              <w:rPr>
                <w:rFonts w:ascii="Arial" w:hAnsi="Arial" w:cs="Arial"/>
                <w:bCs/>
                <w:color w:val="000000"/>
                <w:sz w:val="16"/>
                <w:szCs w:val="16"/>
                <w:lang w:val="es-ES" w:eastAsia="es-ES"/>
              </w:rPr>
              <w:t>-4.201.077</w:t>
            </w:r>
          </w:p>
        </w:tc>
      </w:tr>
    </w:tbl>
    <w:p w:rsidR="006420DA" w:rsidRPr="00730AE6" w:rsidRDefault="006420DA" w:rsidP="006420DA">
      <w:pPr>
        <w:spacing w:before="240" w:after="0"/>
        <w:ind w:firstLine="0"/>
        <w:jc w:val="center"/>
        <w:rPr>
          <w:sz w:val="24"/>
          <w:szCs w:val="24"/>
          <w:lang w:val="es-ES" w:eastAsia="es-ES"/>
        </w:rPr>
      </w:pPr>
    </w:p>
    <w:p w:rsidR="006420DA" w:rsidRPr="00730AE6" w:rsidRDefault="00066FA6" w:rsidP="00BC4F7A">
      <w:pPr>
        <w:pStyle w:val="atitulo1"/>
        <w:rPr>
          <w:rFonts w:ascii="Arial (W1)" w:hAnsi="Arial (W1)"/>
          <w:b w:val="0"/>
          <w:spacing w:val="-4"/>
        </w:rPr>
      </w:pPr>
      <w:r w:rsidRPr="00730AE6">
        <w:t xml:space="preserve"> </w:t>
      </w:r>
      <w:r w:rsidR="006420DA" w:rsidRPr="00730AE6">
        <w:rPr>
          <w:rFonts w:ascii="Arial (W1)" w:hAnsi="Arial (W1)"/>
          <w:spacing w:val="-4"/>
        </w:rPr>
        <w:br w:type="page"/>
      </w:r>
    </w:p>
    <w:p w:rsidR="00882BEB" w:rsidRPr="00730AE6" w:rsidRDefault="00074ECC" w:rsidP="00600704">
      <w:pPr>
        <w:pStyle w:val="atitulo1"/>
      </w:pPr>
      <w:bookmarkStart w:id="29" w:name="_Toc3967022"/>
      <w:r w:rsidRPr="00730AE6">
        <w:lastRenderedPageBreak/>
        <w:t>V</w:t>
      </w:r>
      <w:r w:rsidR="00613F68">
        <w:t>I</w:t>
      </w:r>
      <w:r w:rsidR="00882BEB" w:rsidRPr="00730AE6">
        <w:t xml:space="preserve">. </w:t>
      </w:r>
      <w:r w:rsidR="00035747" w:rsidRPr="00730AE6">
        <w:t xml:space="preserve">Conclusiones </w:t>
      </w:r>
      <w:r w:rsidR="003370A3" w:rsidRPr="00730AE6">
        <w:t>y recomendaciones</w:t>
      </w:r>
      <w:bookmarkEnd w:id="7"/>
      <w:bookmarkEnd w:id="8"/>
      <w:bookmarkEnd w:id="9"/>
      <w:bookmarkEnd w:id="29"/>
      <w:r w:rsidR="00882BEB" w:rsidRPr="00730AE6">
        <w:t xml:space="preserve"> </w:t>
      </w:r>
      <w:bookmarkEnd w:id="10"/>
    </w:p>
    <w:p w:rsidR="00C43DB0" w:rsidRPr="006955A6" w:rsidRDefault="00061DE3" w:rsidP="001B4AEA">
      <w:pPr>
        <w:pStyle w:val="texto"/>
        <w:tabs>
          <w:tab w:val="clear" w:pos="2835"/>
          <w:tab w:val="clear" w:pos="3969"/>
          <w:tab w:val="clear" w:pos="5103"/>
          <w:tab w:val="clear" w:pos="6237"/>
          <w:tab w:val="clear" w:pos="7371"/>
        </w:tabs>
        <w:rPr>
          <w:szCs w:val="26"/>
        </w:rPr>
      </w:pPr>
      <w:r w:rsidRPr="006955A6">
        <w:rPr>
          <w:szCs w:val="26"/>
        </w:rPr>
        <w:t>A</w:t>
      </w:r>
      <w:r w:rsidR="00FD1DD0" w:rsidRPr="006955A6">
        <w:rPr>
          <w:szCs w:val="26"/>
        </w:rPr>
        <w:t xml:space="preserve"> continuación se incluyen aquellas observaciones y c</w:t>
      </w:r>
      <w:r w:rsidRPr="006955A6">
        <w:rPr>
          <w:szCs w:val="26"/>
        </w:rPr>
        <w:t>onclusiones obtenid</w:t>
      </w:r>
      <w:r w:rsidR="00697C2E" w:rsidRPr="006955A6">
        <w:rPr>
          <w:szCs w:val="26"/>
        </w:rPr>
        <w:t xml:space="preserve">as del trabajo realizado, así como las recomendaciones emitidas </w:t>
      </w:r>
      <w:r w:rsidR="00F022CE" w:rsidRPr="006955A6">
        <w:rPr>
          <w:szCs w:val="26"/>
        </w:rPr>
        <w:t xml:space="preserve">por esta Cámara </w:t>
      </w:r>
      <w:r w:rsidR="00E55C5B" w:rsidRPr="006955A6">
        <w:rPr>
          <w:szCs w:val="26"/>
        </w:rPr>
        <w:t>al objeto de mejorar la gestión</w:t>
      </w:r>
      <w:r w:rsidR="00B4716E" w:rsidRPr="006955A6">
        <w:rPr>
          <w:szCs w:val="26"/>
        </w:rPr>
        <w:t xml:space="preserve"> económico-</w:t>
      </w:r>
      <w:r w:rsidR="006616A1" w:rsidRPr="006955A6">
        <w:rPr>
          <w:szCs w:val="26"/>
        </w:rPr>
        <w:t>presupuestaria</w:t>
      </w:r>
      <w:r w:rsidR="00F830C3" w:rsidRPr="006955A6">
        <w:rPr>
          <w:szCs w:val="26"/>
        </w:rPr>
        <w:t xml:space="preserve"> y administrativa</w:t>
      </w:r>
      <w:r w:rsidR="00E55C5B" w:rsidRPr="006955A6">
        <w:rPr>
          <w:szCs w:val="26"/>
        </w:rPr>
        <w:t xml:space="preserve"> de </w:t>
      </w:r>
      <w:r w:rsidR="003D1006" w:rsidRPr="006955A6">
        <w:rPr>
          <w:szCs w:val="26"/>
        </w:rPr>
        <w:t xml:space="preserve">la </w:t>
      </w:r>
      <w:r w:rsidR="00A32A9C" w:rsidRPr="006955A6">
        <w:rPr>
          <w:szCs w:val="26"/>
        </w:rPr>
        <w:t>Universidad</w:t>
      </w:r>
      <w:r w:rsidR="00E55C5B" w:rsidRPr="006955A6">
        <w:rPr>
          <w:szCs w:val="26"/>
        </w:rPr>
        <w:t>.</w:t>
      </w:r>
    </w:p>
    <w:p w:rsidR="00D03E5F" w:rsidRPr="00DD1A4A" w:rsidRDefault="00D03E5F" w:rsidP="0009411D">
      <w:pPr>
        <w:pStyle w:val="atitulo2"/>
        <w:spacing w:before="240"/>
        <w:rPr>
          <w:color w:val="auto"/>
        </w:rPr>
      </w:pPr>
      <w:bookmarkStart w:id="30" w:name="_Toc3967023"/>
      <w:r w:rsidRPr="00DD1A4A">
        <w:rPr>
          <w:color w:val="auto"/>
        </w:rPr>
        <w:t>V</w:t>
      </w:r>
      <w:r w:rsidR="00613F68">
        <w:rPr>
          <w:color w:val="auto"/>
        </w:rPr>
        <w:t>I</w:t>
      </w:r>
      <w:r w:rsidRPr="00DD1A4A">
        <w:rPr>
          <w:color w:val="auto"/>
        </w:rPr>
        <w:t>.</w:t>
      </w:r>
      <w:r w:rsidR="001F52CA" w:rsidRPr="00DD1A4A">
        <w:rPr>
          <w:color w:val="auto"/>
        </w:rPr>
        <w:t>1</w:t>
      </w:r>
      <w:r w:rsidRPr="00DD1A4A">
        <w:rPr>
          <w:color w:val="auto"/>
        </w:rPr>
        <w:t xml:space="preserve">. </w:t>
      </w:r>
      <w:r w:rsidR="00FD5CAF" w:rsidRPr="00DD1A4A">
        <w:rPr>
          <w:color w:val="auto"/>
        </w:rPr>
        <w:t xml:space="preserve">Presupuesto de la </w:t>
      </w:r>
      <w:r w:rsidR="00324EA4" w:rsidRPr="00DD1A4A">
        <w:rPr>
          <w:color w:val="auto"/>
        </w:rPr>
        <w:t>U</w:t>
      </w:r>
      <w:r w:rsidR="00FD5CAF" w:rsidRPr="00DD1A4A">
        <w:rPr>
          <w:color w:val="auto"/>
        </w:rPr>
        <w:t xml:space="preserve">niversidad </w:t>
      </w:r>
      <w:r w:rsidR="00324EA4" w:rsidRPr="00DD1A4A">
        <w:rPr>
          <w:color w:val="auto"/>
        </w:rPr>
        <w:t>P</w:t>
      </w:r>
      <w:r w:rsidR="00F32BD1" w:rsidRPr="00DD1A4A">
        <w:rPr>
          <w:color w:val="auto"/>
        </w:rPr>
        <w:t xml:space="preserve">ública de Navarra </w:t>
      </w:r>
      <w:r w:rsidR="00FD5CAF" w:rsidRPr="00DD1A4A">
        <w:rPr>
          <w:color w:val="auto"/>
        </w:rPr>
        <w:t>2017</w:t>
      </w:r>
      <w:r w:rsidRPr="00DD1A4A">
        <w:rPr>
          <w:color w:val="auto"/>
        </w:rPr>
        <w:t>.</w:t>
      </w:r>
      <w:bookmarkEnd w:id="30"/>
    </w:p>
    <w:p w:rsidR="00130F3E" w:rsidRPr="00730AE6" w:rsidRDefault="00BB2F69" w:rsidP="003C5916">
      <w:pPr>
        <w:pStyle w:val="texto"/>
        <w:tabs>
          <w:tab w:val="clear" w:pos="2835"/>
          <w:tab w:val="clear" w:pos="3969"/>
          <w:tab w:val="clear" w:pos="5103"/>
          <w:tab w:val="clear" w:pos="6237"/>
          <w:tab w:val="clear" w:pos="7371"/>
        </w:tabs>
        <w:rPr>
          <w:szCs w:val="26"/>
        </w:rPr>
      </w:pPr>
      <w:r w:rsidRPr="00730AE6">
        <w:rPr>
          <w:szCs w:val="26"/>
        </w:rPr>
        <w:t xml:space="preserve">El presupuesto inicial de la </w:t>
      </w:r>
      <w:r w:rsidR="00A32A9C">
        <w:rPr>
          <w:szCs w:val="26"/>
        </w:rPr>
        <w:t>Universidad</w:t>
      </w:r>
      <w:r w:rsidRPr="00730AE6">
        <w:rPr>
          <w:szCs w:val="26"/>
        </w:rPr>
        <w:t xml:space="preserve"> para 201</w:t>
      </w:r>
      <w:r w:rsidR="006D0CEA" w:rsidRPr="00730AE6">
        <w:rPr>
          <w:szCs w:val="26"/>
        </w:rPr>
        <w:t>7</w:t>
      </w:r>
      <w:r w:rsidRPr="00730AE6">
        <w:rPr>
          <w:szCs w:val="26"/>
        </w:rPr>
        <w:t xml:space="preserve"> fue aprobado por el Cons</w:t>
      </w:r>
      <w:r w:rsidRPr="00730AE6">
        <w:rPr>
          <w:szCs w:val="26"/>
        </w:rPr>
        <w:t>e</w:t>
      </w:r>
      <w:r w:rsidRPr="00730AE6">
        <w:rPr>
          <w:szCs w:val="26"/>
        </w:rPr>
        <w:t>jo Social el 2</w:t>
      </w:r>
      <w:r w:rsidR="001E133E" w:rsidRPr="00730AE6">
        <w:rPr>
          <w:szCs w:val="26"/>
        </w:rPr>
        <w:t>3</w:t>
      </w:r>
      <w:r w:rsidRPr="00730AE6">
        <w:rPr>
          <w:szCs w:val="26"/>
        </w:rPr>
        <w:t xml:space="preserve"> de diciembre de 201</w:t>
      </w:r>
      <w:r w:rsidR="001E133E" w:rsidRPr="00730AE6">
        <w:rPr>
          <w:szCs w:val="26"/>
        </w:rPr>
        <w:t>6</w:t>
      </w:r>
      <w:r w:rsidRPr="00730AE6">
        <w:rPr>
          <w:szCs w:val="26"/>
        </w:rPr>
        <w:t xml:space="preserve"> </w:t>
      </w:r>
      <w:r w:rsidR="00F32BD1">
        <w:rPr>
          <w:szCs w:val="26"/>
        </w:rPr>
        <w:t xml:space="preserve">con un </w:t>
      </w:r>
      <w:r w:rsidRPr="00730AE6">
        <w:rPr>
          <w:szCs w:val="26"/>
        </w:rPr>
        <w:t>importe</w:t>
      </w:r>
      <w:r w:rsidR="002C7BC0" w:rsidRPr="00730AE6">
        <w:rPr>
          <w:szCs w:val="26"/>
        </w:rPr>
        <w:t xml:space="preserve"> </w:t>
      </w:r>
      <w:r w:rsidR="00F32BD1">
        <w:rPr>
          <w:szCs w:val="26"/>
        </w:rPr>
        <w:t>de</w:t>
      </w:r>
      <w:r w:rsidRPr="00730AE6">
        <w:rPr>
          <w:szCs w:val="26"/>
        </w:rPr>
        <w:t xml:space="preserve"> </w:t>
      </w:r>
      <w:r w:rsidR="001E133E" w:rsidRPr="00730AE6">
        <w:rPr>
          <w:szCs w:val="26"/>
        </w:rPr>
        <w:t>70</w:t>
      </w:r>
      <w:r w:rsidRPr="00730AE6">
        <w:rPr>
          <w:szCs w:val="26"/>
        </w:rPr>
        <w:t>,4</w:t>
      </w:r>
      <w:r w:rsidR="001E133E" w:rsidRPr="00730AE6">
        <w:rPr>
          <w:szCs w:val="26"/>
        </w:rPr>
        <w:t>5</w:t>
      </w:r>
      <w:r w:rsidRPr="00730AE6">
        <w:rPr>
          <w:szCs w:val="26"/>
        </w:rPr>
        <w:t xml:space="preserve"> mi</w:t>
      </w:r>
      <w:r w:rsidR="0032786E">
        <w:rPr>
          <w:szCs w:val="26"/>
        </w:rPr>
        <w:t>llones de ingr</w:t>
      </w:r>
      <w:r w:rsidR="0032786E">
        <w:rPr>
          <w:szCs w:val="26"/>
        </w:rPr>
        <w:t>e</w:t>
      </w:r>
      <w:r w:rsidR="0032786E">
        <w:rPr>
          <w:szCs w:val="26"/>
        </w:rPr>
        <w:t xml:space="preserve">sos y gastos. </w:t>
      </w:r>
      <w:r w:rsidR="006A2B3B">
        <w:rPr>
          <w:szCs w:val="26"/>
        </w:rPr>
        <w:t>E</w:t>
      </w:r>
      <w:r w:rsidRPr="00730AE6">
        <w:rPr>
          <w:szCs w:val="26"/>
        </w:rPr>
        <w:t xml:space="preserve">ste presupuesto inicial </w:t>
      </w:r>
      <w:r w:rsidR="006A2B3B">
        <w:rPr>
          <w:szCs w:val="26"/>
        </w:rPr>
        <w:t>incluye</w:t>
      </w:r>
      <w:r w:rsidR="003C5916" w:rsidRPr="00730AE6">
        <w:rPr>
          <w:szCs w:val="26"/>
        </w:rPr>
        <w:t>:</w:t>
      </w:r>
      <w:r w:rsidRPr="00730AE6">
        <w:rPr>
          <w:szCs w:val="26"/>
        </w:rPr>
        <w:t xml:space="preserve"> </w:t>
      </w:r>
    </w:p>
    <w:p w:rsidR="00BB2F69" w:rsidRPr="00730AE6" w:rsidRDefault="00130F3E" w:rsidP="00130F3E">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Times New (W1)" w:hAnsi="Times New (W1)"/>
          <w:spacing w:val="0"/>
          <w:szCs w:val="26"/>
        </w:rPr>
      </w:pPr>
      <w:r w:rsidRPr="00730AE6">
        <w:rPr>
          <w:rFonts w:ascii="Times New (W1)" w:hAnsi="Times New (W1)"/>
          <w:spacing w:val="0"/>
          <w:szCs w:val="26"/>
        </w:rPr>
        <w:t>Una</w:t>
      </w:r>
      <w:r w:rsidR="00BB2F69" w:rsidRPr="00730AE6">
        <w:rPr>
          <w:rFonts w:ascii="Times New (W1)" w:hAnsi="Times New (W1)"/>
          <w:spacing w:val="0"/>
          <w:szCs w:val="26"/>
        </w:rPr>
        <w:t xml:space="preserve"> aportación del Gobierno de Navarra para la financiación básica</w:t>
      </w:r>
      <w:r w:rsidR="001215DC" w:rsidRPr="00730AE6">
        <w:rPr>
          <w:rFonts w:ascii="Times New (W1)" w:hAnsi="Times New (W1)"/>
          <w:spacing w:val="0"/>
          <w:szCs w:val="26"/>
        </w:rPr>
        <w:t xml:space="preserve"> </w:t>
      </w:r>
      <w:r w:rsidR="00D9764E" w:rsidRPr="00730AE6">
        <w:rPr>
          <w:rFonts w:ascii="Times New (W1)" w:hAnsi="Times New (W1)"/>
          <w:spacing w:val="0"/>
          <w:szCs w:val="26"/>
        </w:rPr>
        <w:t>de</w:t>
      </w:r>
      <w:r w:rsidR="00BB2F69" w:rsidRPr="00730AE6">
        <w:rPr>
          <w:rFonts w:ascii="Times New (W1)" w:hAnsi="Times New (W1)"/>
          <w:spacing w:val="0"/>
          <w:szCs w:val="26"/>
        </w:rPr>
        <w:t xml:space="preserve"> la </w:t>
      </w:r>
      <w:r w:rsidR="00A32A9C">
        <w:rPr>
          <w:rFonts w:ascii="Times New (W1)" w:hAnsi="Times New (W1)"/>
          <w:spacing w:val="0"/>
          <w:szCs w:val="26"/>
        </w:rPr>
        <w:t>Un</w:t>
      </w:r>
      <w:r w:rsidR="00A32A9C">
        <w:rPr>
          <w:rFonts w:ascii="Times New (W1)" w:hAnsi="Times New (W1)"/>
          <w:spacing w:val="0"/>
          <w:szCs w:val="26"/>
        </w:rPr>
        <w:t>i</w:t>
      </w:r>
      <w:r w:rsidR="00A32A9C">
        <w:rPr>
          <w:rFonts w:ascii="Times New (W1)" w:hAnsi="Times New (W1)"/>
          <w:spacing w:val="0"/>
          <w:szCs w:val="26"/>
        </w:rPr>
        <w:t>versidad</w:t>
      </w:r>
      <w:r w:rsidR="00BB2F69" w:rsidRPr="00730AE6">
        <w:rPr>
          <w:rFonts w:ascii="Times New (W1)" w:hAnsi="Times New (W1)"/>
          <w:spacing w:val="0"/>
          <w:szCs w:val="26"/>
        </w:rPr>
        <w:t xml:space="preserve"> por importe de </w:t>
      </w:r>
      <w:r w:rsidR="001E133E" w:rsidRPr="00730AE6">
        <w:rPr>
          <w:rFonts w:ascii="Times New (W1)" w:hAnsi="Times New (W1)"/>
          <w:spacing w:val="0"/>
          <w:szCs w:val="26"/>
        </w:rPr>
        <w:t>55,17</w:t>
      </w:r>
      <w:r w:rsidR="00BB2F69" w:rsidRPr="00730AE6">
        <w:rPr>
          <w:rFonts w:ascii="Times New (W1)" w:hAnsi="Times New (W1)"/>
          <w:spacing w:val="0"/>
          <w:szCs w:val="26"/>
        </w:rPr>
        <w:t xml:space="preserve"> millones</w:t>
      </w:r>
      <w:r w:rsidR="00D9764E" w:rsidRPr="00730AE6">
        <w:rPr>
          <w:rFonts w:ascii="Times New (W1)" w:hAnsi="Times New (W1)"/>
          <w:spacing w:val="0"/>
          <w:szCs w:val="26"/>
        </w:rPr>
        <w:t>.</w:t>
      </w:r>
    </w:p>
    <w:p w:rsidR="007F2175" w:rsidRPr="0015310C" w:rsidRDefault="001B1C8E" w:rsidP="005A63A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rPr>
          <w:szCs w:val="26"/>
        </w:rPr>
        <w:t>R</w:t>
      </w:r>
      <w:r w:rsidR="00130F3E" w:rsidRPr="00730AE6">
        <w:rPr>
          <w:szCs w:val="26"/>
        </w:rPr>
        <w:t xml:space="preserve">emanente de tesorería </w:t>
      </w:r>
      <w:r w:rsidR="003C5916" w:rsidRPr="00730AE6">
        <w:rPr>
          <w:szCs w:val="26"/>
        </w:rPr>
        <w:t>no afecto</w:t>
      </w:r>
      <w:r w:rsidR="005D73DA" w:rsidRPr="00730AE6">
        <w:rPr>
          <w:szCs w:val="26"/>
        </w:rPr>
        <w:t xml:space="preserve"> </w:t>
      </w:r>
      <w:r w:rsidR="0015310C">
        <w:rPr>
          <w:szCs w:val="26"/>
        </w:rPr>
        <w:t xml:space="preserve">de ejercicios anteriores </w:t>
      </w:r>
      <w:r w:rsidR="003C5916" w:rsidRPr="00730AE6">
        <w:rPr>
          <w:szCs w:val="26"/>
        </w:rPr>
        <w:t xml:space="preserve">por importe de </w:t>
      </w:r>
      <w:r w:rsidR="001E133E" w:rsidRPr="00730AE6">
        <w:rPr>
          <w:szCs w:val="26"/>
        </w:rPr>
        <w:t>1,</w:t>
      </w:r>
      <w:r w:rsidR="00974781">
        <w:rPr>
          <w:szCs w:val="26"/>
        </w:rPr>
        <w:t>66</w:t>
      </w:r>
      <w:r w:rsidR="00130F3E" w:rsidRPr="00730AE6">
        <w:rPr>
          <w:szCs w:val="26"/>
        </w:rPr>
        <w:t xml:space="preserve"> millones</w:t>
      </w:r>
      <w:r w:rsidR="0032786E">
        <w:rPr>
          <w:szCs w:val="26"/>
        </w:rPr>
        <w:t>.</w:t>
      </w:r>
      <w:r w:rsidR="008D23E0">
        <w:rPr>
          <w:szCs w:val="26"/>
        </w:rPr>
        <w:t xml:space="preserve"> </w:t>
      </w:r>
    </w:p>
    <w:p w:rsidR="00FD5CAF" w:rsidRPr="00FD5CAF" w:rsidRDefault="00FD5CAF" w:rsidP="00BC5BE8">
      <w:pPr>
        <w:pStyle w:val="atitulo3"/>
        <w:spacing w:after="120"/>
      </w:pPr>
      <w:r w:rsidRPr="00FD5CAF">
        <w:t>Modificaciones presupuestarias</w:t>
      </w:r>
    </w:p>
    <w:p w:rsidR="002C7BC0" w:rsidRPr="00730AE6" w:rsidRDefault="002C7BC0" w:rsidP="00F022CE">
      <w:pPr>
        <w:pStyle w:val="texto"/>
        <w:tabs>
          <w:tab w:val="clear" w:pos="2835"/>
          <w:tab w:val="clear" w:pos="3969"/>
          <w:tab w:val="clear" w:pos="5103"/>
          <w:tab w:val="clear" w:pos="6237"/>
          <w:tab w:val="clear" w:pos="7371"/>
        </w:tabs>
        <w:rPr>
          <w:szCs w:val="26"/>
        </w:rPr>
      </w:pPr>
      <w:r w:rsidRPr="00730AE6">
        <w:rPr>
          <w:szCs w:val="26"/>
        </w:rPr>
        <w:t xml:space="preserve">Los créditos iniciales experimentan modificaciones </w:t>
      </w:r>
      <w:r w:rsidR="00F84038">
        <w:rPr>
          <w:szCs w:val="26"/>
        </w:rPr>
        <w:t xml:space="preserve">presupuestarias </w:t>
      </w:r>
      <w:r w:rsidR="0015310C">
        <w:rPr>
          <w:szCs w:val="26"/>
        </w:rPr>
        <w:t xml:space="preserve">netas </w:t>
      </w:r>
      <w:r w:rsidR="00244BB0" w:rsidRPr="00730AE6">
        <w:rPr>
          <w:szCs w:val="26"/>
        </w:rPr>
        <w:t xml:space="preserve">por un total de </w:t>
      </w:r>
      <w:r w:rsidR="007B1BE4" w:rsidRPr="00730AE6">
        <w:rPr>
          <w:szCs w:val="26"/>
        </w:rPr>
        <w:t>16,94</w:t>
      </w:r>
      <w:r w:rsidR="00244BB0" w:rsidRPr="00730AE6">
        <w:rPr>
          <w:szCs w:val="26"/>
        </w:rPr>
        <w:t xml:space="preserve"> millones</w:t>
      </w:r>
      <w:r w:rsidR="004413D2" w:rsidRPr="00730AE6">
        <w:rPr>
          <w:szCs w:val="26"/>
        </w:rPr>
        <w:t>;</w:t>
      </w:r>
      <w:r w:rsidRPr="00730AE6">
        <w:rPr>
          <w:szCs w:val="26"/>
        </w:rPr>
        <w:t xml:space="preserve"> es decir, </w:t>
      </w:r>
      <w:r w:rsidR="00244BB0" w:rsidRPr="00730AE6">
        <w:rPr>
          <w:szCs w:val="26"/>
        </w:rPr>
        <w:t>un aumento del</w:t>
      </w:r>
      <w:r w:rsidR="007B1BE4" w:rsidRPr="00730AE6">
        <w:rPr>
          <w:szCs w:val="26"/>
        </w:rPr>
        <w:t xml:space="preserve"> 24</w:t>
      </w:r>
      <w:r w:rsidRPr="00730AE6">
        <w:rPr>
          <w:szCs w:val="26"/>
        </w:rPr>
        <w:t xml:space="preserve"> por ciento. Al respecto, señalamos:</w:t>
      </w:r>
    </w:p>
    <w:p w:rsidR="00F33D95" w:rsidRPr="005A63AB" w:rsidRDefault="002C7BC0" w:rsidP="005A63A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Times New (W1)" w:hAnsi="Times New (W1)"/>
          <w:spacing w:val="0"/>
          <w:szCs w:val="26"/>
        </w:rPr>
      </w:pPr>
      <w:r w:rsidRPr="005A63AB">
        <w:rPr>
          <w:rFonts w:ascii="Times New (W1)" w:hAnsi="Times New (W1)"/>
          <w:spacing w:val="0"/>
          <w:szCs w:val="26"/>
        </w:rPr>
        <w:t xml:space="preserve"> </w:t>
      </w:r>
      <w:r w:rsidR="00B04BC4" w:rsidRPr="005A63AB">
        <w:rPr>
          <w:rFonts w:ascii="Times New (W1)" w:hAnsi="Times New (W1)"/>
          <w:spacing w:val="0"/>
          <w:szCs w:val="26"/>
        </w:rPr>
        <w:t>En gastos, destaca el incremento de 8,35 millones en bienes corrientes y serv</w:t>
      </w:r>
      <w:r w:rsidR="00B04BC4" w:rsidRPr="005A63AB">
        <w:rPr>
          <w:rFonts w:ascii="Times New (W1)" w:hAnsi="Times New (W1)"/>
          <w:spacing w:val="0"/>
          <w:szCs w:val="26"/>
        </w:rPr>
        <w:t>i</w:t>
      </w:r>
      <w:r w:rsidR="00B04BC4" w:rsidRPr="005A63AB">
        <w:rPr>
          <w:rFonts w:ascii="Times New (W1)" w:hAnsi="Times New (W1)"/>
          <w:spacing w:val="0"/>
          <w:szCs w:val="26"/>
        </w:rPr>
        <w:t>cios –que supone un aumento del 72 por ciento del crédito inicial</w:t>
      </w:r>
      <w:r w:rsidR="001B4AEA" w:rsidRPr="005A63AB">
        <w:rPr>
          <w:rFonts w:ascii="Times New (W1)" w:hAnsi="Times New (W1)"/>
          <w:spacing w:val="0"/>
          <w:szCs w:val="26"/>
        </w:rPr>
        <w:t>–</w:t>
      </w:r>
      <w:r w:rsidR="00B04BC4" w:rsidRPr="005A63AB">
        <w:rPr>
          <w:rFonts w:ascii="Times New (W1)" w:hAnsi="Times New (W1)"/>
          <w:spacing w:val="0"/>
          <w:szCs w:val="26"/>
        </w:rPr>
        <w:t>, y el in</w:t>
      </w:r>
      <w:r w:rsidR="0015310C" w:rsidRPr="005A63AB">
        <w:rPr>
          <w:rFonts w:ascii="Times New (W1)" w:hAnsi="Times New (W1)"/>
          <w:spacing w:val="0"/>
          <w:szCs w:val="26"/>
        </w:rPr>
        <w:t>cremento de 5</w:t>
      </w:r>
      <w:r w:rsidR="00B04BC4" w:rsidRPr="005A63AB">
        <w:rPr>
          <w:rFonts w:ascii="Times New (W1)" w:hAnsi="Times New (W1)"/>
          <w:spacing w:val="0"/>
          <w:szCs w:val="26"/>
        </w:rPr>
        <w:t>,23 millones en personal –es decir, un aumento del 10 por ciento</w:t>
      </w:r>
      <w:r w:rsidR="001B4AEA" w:rsidRPr="005A63AB">
        <w:rPr>
          <w:rFonts w:ascii="Times New (W1)" w:hAnsi="Times New (W1)"/>
          <w:spacing w:val="0"/>
          <w:szCs w:val="26"/>
        </w:rPr>
        <w:t>–</w:t>
      </w:r>
      <w:r w:rsidR="00F33D95" w:rsidRPr="005A63AB">
        <w:rPr>
          <w:rFonts w:ascii="Times New (W1)" w:hAnsi="Times New (W1)"/>
          <w:spacing w:val="0"/>
          <w:szCs w:val="26"/>
        </w:rPr>
        <w:t>.</w:t>
      </w:r>
    </w:p>
    <w:p w:rsidR="002C7BC0" w:rsidRPr="005A63AB" w:rsidRDefault="002C7BC0" w:rsidP="005A63A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Times New (W1)" w:hAnsi="Times New (W1)"/>
          <w:spacing w:val="0"/>
          <w:szCs w:val="26"/>
        </w:rPr>
      </w:pPr>
      <w:r w:rsidRPr="005A63AB">
        <w:rPr>
          <w:rFonts w:ascii="Times New (W1)" w:hAnsi="Times New (W1)"/>
          <w:spacing w:val="0"/>
          <w:szCs w:val="26"/>
        </w:rPr>
        <w:t xml:space="preserve"> En ingresos, los mayores incrementos se observan en </w:t>
      </w:r>
      <w:r w:rsidR="004507F9" w:rsidRPr="005A63AB">
        <w:rPr>
          <w:rFonts w:ascii="Times New (W1)" w:hAnsi="Times New (W1)"/>
          <w:spacing w:val="0"/>
          <w:szCs w:val="26"/>
        </w:rPr>
        <w:t xml:space="preserve">transferencias corrientes </w:t>
      </w:r>
      <w:r w:rsidR="001761C3" w:rsidRPr="005A63AB">
        <w:rPr>
          <w:rFonts w:ascii="Times New (W1)" w:hAnsi="Times New (W1)"/>
          <w:spacing w:val="0"/>
          <w:szCs w:val="26"/>
        </w:rPr>
        <w:t xml:space="preserve">con </w:t>
      </w:r>
      <w:r w:rsidRPr="005A63AB">
        <w:rPr>
          <w:rFonts w:ascii="Times New (W1)" w:hAnsi="Times New (W1)"/>
          <w:spacing w:val="0"/>
          <w:szCs w:val="26"/>
        </w:rPr>
        <w:t>7,</w:t>
      </w:r>
      <w:r w:rsidR="004507F9" w:rsidRPr="005A63AB">
        <w:rPr>
          <w:rFonts w:ascii="Times New (W1)" w:hAnsi="Times New (W1)"/>
          <w:spacing w:val="0"/>
          <w:szCs w:val="26"/>
        </w:rPr>
        <w:t>03</w:t>
      </w:r>
      <w:r w:rsidRPr="005A63AB">
        <w:rPr>
          <w:rFonts w:ascii="Times New (W1)" w:hAnsi="Times New (W1)"/>
          <w:spacing w:val="0"/>
          <w:szCs w:val="26"/>
        </w:rPr>
        <w:t xml:space="preserve"> millones, </w:t>
      </w:r>
      <w:r w:rsidR="004507F9" w:rsidRPr="005A63AB">
        <w:rPr>
          <w:rFonts w:ascii="Times New (W1)" w:hAnsi="Times New (W1)"/>
          <w:spacing w:val="0"/>
          <w:szCs w:val="26"/>
        </w:rPr>
        <w:t>activos financieros</w:t>
      </w:r>
      <w:r w:rsidR="001761C3" w:rsidRPr="005A63AB">
        <w:rPr>
          <w:rFonts w:ascii="Times New (W1)" w:hAnsi="Times New (W1)"/>
          <w:spacing w:val="0"/>
          <w:szCs w:val="26"/>
        </w:rPr>
        <w:t xml:space="preserve"> con </w:t>
      </w:r>
      <w:r w:rsidR="004507F9" w:rsidRPr="005A63AB">
        <w:rPr>
          <w:rFonts w:ascii="Times New (W1)" w:hAnsi="Times New (W1)"/>
          <w:spacing w:val="0"/>
          <w:szCs w:val="26"/>
        </w:rPr>
        <w:t>6,50</w:t>
      </w:r>
      <w:r w:rsidRPr="005A63AB">
        <w:rPr>
          <w:rFonts w:ascii="Times New (W1)" w:hAnsi="Times New (W1)"/>
          <w:spacing w:val="0"/>
          <w:szCs w:val="26"/>
        </w:rPr>
        <w:t xml:space="preserve"> millones y tasas y precios público</w:t>
      </w:r>
      <w:r w:rsidR="002338F8" w:rsidRPr="005A63AB">
        <w:rPr>
          <w:rFonts w:ascii="Times New (W1)" w:hAnsi="Times New (W1)"/>
          <w:spacing w:val="0"/>
          <w:szCs w:val="26"/>
        </w:rPr>
        <w:t>s</w:t>
      </w:r>
      <w:r w:rsidR="001761C3" w:rsidRPr="005A63AB">
        <w:rPr>
          <w:rFonts w:ascii="Times New (W1)" w:hAnsi="Times New (W1)"/>
          <w:spacing w:val="0"/>
          <w:szCs w:val="26"/>
        </w:rPr>
        <w:t xml:space="preserve"> con 2,</w:t>
      </w:r>
      <w:r w:rsidR="004507F9" w:rsidRPr="005A63AB">
        <w:rPr>
          <w:rFonts w:ascii="Times New (W1)" w:hAnsi="Times New (W1)"/>
          <w:spacing w:val="0"/>
          <w:szCs w:val="26"/>
        </w:rPr>
        <w:t>43</w:t>
      </w:r>
      <w:r w:rsidR="001761C3" w:rsidRPr="005A63AB">
        <w:rPr>
          <w:rFonts w:ascii="Times New (W1)" w:hAnsi="Times New (W1)"/>
          <w:spacing w:val="0"/>
          <w:szCs w:val="26"/>
        </w:rPr>
        <w:t xml:space="preserve"> millones</w:t>
      </w:r>
      <w:r w:rsidR="00F33D95" w:rsidRPr="005A63AB">
        <w:rPr>
          <w:rFonts w:ascii="Times New (W1)" w:hAnsi="Times New (W1)"/>
          <w:spacing w:val="0"/>
          <w:szCs w:val="26"/>
        </w:rPr>
        <w:t>.</w:t>
      </w:r>
    </w:p>
    <w:p w:rsidR="002C7BC0" w:rsidRPr="005A63AB" w:rsidRDefault="002C7BC0" w:rsidP="005A63A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Times New (W1)" w:hAnsi="Times New (W1)"/>
          <w:spacing w:val="0"/>
          <w:szCs w:val="26"/>
        </w:rPr>
      </w:pPr>
      <w:r w:rsidRPr="005A63AB">
        <w:rPr>
          <w:rFonts w:ascii="Times New (W1)" w:hAnsi="Times New (W1)"/>
          <w:spacing w:val="0"/>
          <w:szCs w:val="26"/>
        </w:rPr>
        <w:t xml:space="preserve"> L</w:t>
      </w:r>
      <w:r w:rsidR="008850A2" w:rsidRPr="005A63AB">
        <w:rPr>
          <w:rFonts w:ascii="Times New (W1)" w:hAnsi="Times New (W1)"/>
          <w:spacing w:val="0"/>
          <w:szCs w:val="26"/>
        </w:rPr>
        <w:t>as</w:t>
      </w:r>
      <w:r w:rsidRPr="005A63AB">
        <w:rPr>
          <w:rFonts w:ascii="Times New (W1)" w:hAnsi="Times New (W1)"/>
          <w:spacing w:val="0"/>
          <w:szCs w:val="26"/>
        </w:rPr>
        <w:t xml:space="preserve"> modificaciones presupuestarias </w:t>
      </w:r>
      <w:r w:rsidR="008850A2" w:rsidRPr="005A63AB">
        <w:rPr>
          <w:rFonts w:ascii="Times New (W1)" w:hAnsi="Times New (W1)"/>
          <w:spacing w:val="0"/>
          <w:szCs w:val="26"/>
        </w:rPr>
        <w:t>aprobadas en 2017 son las siguientes, en miles</w:t>
      </w:r>
      <w:r w:rsidRPr="005A63AB">
        <w:rPr>
          <w:rFonts w:ascii="Times New (W1)" w:hAnsi="Times New (W1)"/>
          <w:spacing w:val="0"/>
          <w:szCs w:val="26"/>
        </w:rPr>
        <w:t xml:space="preserve"> de euros</w:t>
      </w:r>
      <w:r w:rsidR="008850A2" w:rsidRPr="005A63AB">
        <w:rPr>
          <w:rFonts w:ascii="Times New (W1)" w:hAnsi="Times New (W1)"/>
          <w:spacing w:val="0"/>
          <w:szCs w:val="26"/>
        </w:rPr>
        <w:t>:</w:t>
      </w:r>
    </w:p>
    <w:tbl>
      <w:tblPr>
        <w:tblW w:w="8835" w:type="dxa"/>
        <w:jc w:val="center"/>
        <w:tblLayout w:type="fixed"/>
        <w:tblLook w:val="01E0" w:firstRow="1" w:lastRow="1" w:firstColumn="1" w:lastColumn="1" w:noHBand="0" w:noVBand="0"/>
      </w:tblPr>
      <w:tblGrid>
        <w:gridCol w:w="6284"/>
        <w:gridCol w:w="2551"/>
      </w:tblGrid>
      <w:tr w:rsidR="006908A0" w:rsidRPr="00730AE6" w:rsidTr="0051140E">
        <w:trPr>
          <w:trHeight w:val="284"/>
          <w:jc w:val="center"/>
        </w:trPr>
        <w:tc>
          <w:tcPr>
            <w:tcW w:w="6284" w:type="dxa"/>
            <w:tcBorders>
              <w:top w:val="single" w:sz="4" w:space="0" w:color="auto"/>
              <w:bottom w:val="single" w:sz="4" w:space="0" w:color="auto"/>
            </w:tcBorders>
            <w:shd w:val="clear" w:color="auto" w:fill="A8CBEE" w:themeFill="accent2" w:themeFillTint="66"/>
            <w:vAlign w:val="center"/>
          </w:tcPr>
          <w:p w:rsidR="002C7BC0" w:rsidRPr="00730AE6" w:rsidRDefault="003C315E" w:rsidP="003C315E">
            <w:pPr>
              <w:spacing w:after="0"/>
              <w:ind w:left="50" w:firstLine="0"/>
              <w:jc w:val="left"/>
              <w:rPr>
                <w:rFonts w:ascii="Arial" w:hAnsi="Arial" w:cs="Arial"/>
                <w:bCs/>
                <w:sz w:val="18"/>
                <w:szCs w:val="18"/>
                <w:lang w:val="es-ES" w:eastAsia="es-ES"/>
              </w:rPr>
            </w:pPr>
            <w:r w:rsidRPr="00730AE6">
              <w:rPr>
                <w:rFonts w:ascii="Arial" w:hAnsi="Arial" w:cs="Arial"/>
                <w:bCs/>
                <w:sz w:val="18"/>
                <w:szCs w:val="18"/>
                <w:lang w:val="es-ES" w:eastAsia="es-ES"/>
              </w:rPr>
              <w:t>M</w:t>
            </w:r>
            <w:r w:rsidR="002C7BC0" w:rsidRPr="00730AE6">
              <w:rPr>
                <w:rFonts w:ascii="Arial" w:hAnsi="Arial" w:cs="Arial"/>
                <w:bCs/>
                <w:sz w:val="18"/>
                <w:szCs w:val="18"/>
                <w:lang w:val="es-ES" w:eastAsia="es-ES"/>
              </w:rPr>
              <w:t>odificaci</w:t>
            </w:r>
            <w:r w:rsidRPr="00730AE6">
              <w:rPr>
                <w:rFonts w:ascii="Arial" w:hAnsi="Arial" w:cs="Arial"/>
                <w:bCs/>
                <w:sz w:val="18"/>
                <w:szCs w:val="18"/>
                <w:lang w:val="es-ES" w:eastAsia="es-ES"/>
              </w:rPr>
              <w:t>ones</w:t>
            </w:r>
            <w:r w:rsidR="002C7BC0" w:rsidRPr="00730AE6">
              <w:rPr>
                <w:rFonts w:ascii="Arial" w:hAnsi="Arial" w:cs="Arial"/>
                <w:bCs/>
                <w:sz w:val="18"/>
                <w:szCs w:val="18"/>
                <w:lang w:val="es-ES" w:eastAsia="es-ES"/>
              </w:rPr>
              <w:t xml:space="preserve"> presupuestaria</w:t>
            </w:r>
            <w:r w:rsidRPr="00730AE6">
              <w:rPr>
                <w:rFonts w:ascii="Arial" w:hAnsi="Arial" w:cs="Arial"/>
                <w:bCs/>
                <w:sz w:val="18"/>
                <w:szCs w:val="18"/>
                <w:lang w:val="es-ES" w:eastAsia="es-ES"/>
              </w:rPr>
              <w:t>-Tipo</w:t>
            </w:r>
          </w:p>
        </w:tc>
        <w:tc>
          <w:tcPr>
            <w:tcW w:w="2551" w:type="dxa"/>
            <w:tcBorders>
              <w:top w:val="single" w:sz="4" w:space="0" w:color="auto"/>
              <w:bottom w:val="single" w:sz="4" w:space="0" w:color="auto"/>
            </w:tcBorders>
            <w:shd w:val="clear" w:color="auto" w:fill="A8CBEE" w:themeFill="accent2" w:themeFillTint="66"/>
            <w:vAlign w:val="center"/>
          </w:tcPr>
          <w:p w:rsidR="002C7BC0" w:rsidRPr="00730AE6" w:rsidRDefault="002C7BC0" w:rsidP="0051140E">
            <w:pPr>
              <w:spacing w:after="0"/>
              <w:ind w:left="50" w:firstLine="0"/>
              <w:jc w:val="right"/>
              <w:rPr>
                <w:rFonts w:ascii="Arial" w:hAnsi="Arial" w:cs="Arial"/>
                <w:bCs/>
                <w:sz w:val="18"/>
                <w:szCs w:val="18"/>
                <w:lang w:val="es-ES" w:eastAsia="es-ES"/>
              </w:rPr>
            </w:pPr>
            <w:r w:rsidRPr="00730AE6">
              <w:rPr>
                <w:rFonts w:ascii="Arial" w:hAnsi="Arial" w:cs="Arial"/>
                <w:bCs/>
                <w:sz w:val="18"/>
                <w:szCs w:val="18"/>
                <w:lang w:val="es-ES" w:eastAsia="es-ES"/>
              </w:rPr>
              <w:t>Importe</w:t>
            </w:r>
          </w:p>
        </w:tc>
      </w:tr>
      <w:tr w:rsidR="006908A0" w:rsidRPr="00730AE6" w:rsidTr="0051140E">
        <w:trPr>
          <w:trHeight w:val="284"/>
          <w:jc w:val="center"/>
        </w:trPr>
        <w:tc>
          <w:tcPr>
            <w:tcW w:w="6284" w:type="dxa"/>
            <w:tcBorders>
              <w:top w:val="single" w:sz="4" w:space="0" w:color="auto"/>
              <w:bottom w:val="single" w:sz="2" w:space="0" w:color="auto"/>
            </w:tcBorders>
            <w:vAlign w:val="center"/>
          </w:tcPr>
          <w:p w:rsidR="002C7BC0" w:rsidRPr="00730AE6" w:rsidRDefault="002C7BC0" w:rsidP="003C315E">
            <w:pPr>
              <w:spacing w:after="0"/>
              <w:ind w:firstLine="0"/>
              <w:jc w:val="left"/>
              <w:rPr>
                <w:rFonts w:ascii="Arial Narrow" w:hAnsi="Arial Narrow"/>
                <w:sz w:val="18"/>
                <w:szCs w:val="18"/>
                <w:lang w:val="es-ES" w:eastAsia="es-ES"/>
              </w:rPr>
            </w:pPr>
            <w:r w:rsidRPr="00730AE6">
              <w:rPr>
                <w:rFonts w:ascii="Arial Narrow" w:hAnsi="Arial Narrow"/>
                <w:sz w:val="18"/>
                <w:szCs w:val="18"/>
                <w:lang w:val="es-ES" w:eastAsia="es-ES"/>
              </w:rPr>
              <w:t>Ampliación de crédito</w:t>
            </w:r>
          </w:p>
        </w:tc>
        <w:tc>
          <w:tcPr>
            <w:tcW w:w="2551" w:type="dxa"/>
            <w:tcBorders>
              <w:top w:val="single" w:sz="4" w:space="0" w:color="auto"/>
              <w:bottom w:val="single" w:sz="2" w:space="0" w:color="auto"/>
            </w:tcBorders>
            <w:vAlign w:val="center"/>
          </w:tcPr>
          <w:p w:rsidR="002C7BC0" w:rsidRPr="00730AE6" w:rsidRDefault="00206991" w:rsidP="0051140E">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939</w:t>
            </w:r>
          </w:p>
        </w:tc>
      </w:tr>
      <w:tr w:rsidR="006908A0" w:rsidRPr="00730AE6" w:rsidTr="0051140E">
        <w:trPr>
          <w:trHeight w:val="284"/>
          <w:jc w:val="center"/>
        </w:trPr>
        <w:tc>
          <w:tcPr>
            <w:tcW w:w="6284" w:type="dxa"/>
            <w:tcBorders>
              <w:top w:val="single" w:sz="4" w:space="0" w:color="auto"/>
              <w:bottom w:val="single" w:sz="2" w:space="0" w:color="auto"/>
            </w:tcBorders>
            <w:vAlign w:val="center"/>
          </w:tcPr>
          <w:p w:rsidR="002C7BC0" w:rsidRPr="00730AE6" w:rsidRDefault="002C7BC0" w:rsidP="003C315E">
            <w:pPr>
              <w:spacing w:after="0"/>
              <w:ind w:firstLine="0"/>
              <w:jc w:val="left"/>
              <w:rPr>
                <w:rFonts w:ascii="Arial Narrow" w:hAnsi="Arial Narrow"/>
                <w:sz w:val="18"/>
                <w:szCs w:val="18"/>
                <w:lang w:val="es-ES" w:eastAsia="es-ES"/>
              </w:rPr>
            </w:pPr>
            <w:r w:rsidRPr="00730AE6">
              <w:rPr>
                <w:rFonts w:ascii="Arial Narrow" w:hAnsi="Arial Narrow"/>
                <w:sz w:val="18"/>
                <w:szCs w:val="18"/>
                <w:lang w:val="es-ES" w:eastAsia="es-ES"/>
              </w:rPr>
              <w:t>Incorporaciones de crédito</w:t>
            </w:r>
          </w:p>
        </w:tc>
        <w:tc>
          <w:tcPr>
            <w:tcW w:w="2551" w:type="dxa"/>
            <w:tcBorders>
              <w:top w:val="single" w:sz="4" w:space="0" w:color="auto"/>
              <w:bottom w:val="single" w:sz="2" w:space="0" w:color="auto"/>
            </w:tcBorders>
            <w:vAlign w:val="center"/>
          </w:tcPr>
          <w:p w:rsidR="002C7BC0" w:rsidRPr="00730AE6" w:rsidRDefault="00206991" w:rsidP="0051140E">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6.503</w:t>
            </w:r>
          </w:p>
        </w:tc>
      </w:tr>
      <w:tr w:rsidR="006908A0" w:rsidRPr="00730AE6" w:rsidTr="0051140E">
        <w:trPr>
          <w:trHeight w:val="284"/>
          <w:jc w:val="center"/>
        </w:trPr>
        <w:tc>
          <w:tcPr>
            <w:tcW w:w="6284" w:type="dxa"/>
            <w:tcBorders>
              <w:top w:val="single" w:sz="4" w:space="0" w:color="auto"/>
              <w:bottom w:val="single" w:sz="2" w:space="0" w:color="auto"/>
            </w:tcBorders>
            <w:vAlign w:val="center"/>
          </w:tcPr>
          <w:p w:rsidR="002C7BC0" w:rsidRPr="00730AE6" w:rsidRDefault="00995B7B" w:rsidP="003C315E">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Generaciones de crédito</w:t>
            </w:r>
          </w:p>
        </w:tc>
        <w:tc>
          <w:tcPr>
            <w:tcW w:w="2551" w:type="dxa"/>
            <w:tcBorders>
              <w:top w:val="single" w:sz="4" w:space="0" w:color="auto"/>
              <w:bottom w:val="single" w:sz="2" w:space="0" w:color="auto"/>
            </w:tcBorders>
            <w:vAlign w:val="center"/>
          </w:tcPr>
          <w:p w:rsidR="002C7BC0" w:rsidRPr="00730AE6" w:rsidRDefault="00206991" w:rsidP="0051140E">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9.498</w:t>
            </w:r>
          </w:p>
        </w:tc>
      </w:tr>
      <w:tr w:rsidR="006908A0" w:rsidRPr="00730AE6" w:rsidTr="0051140E">
        <w:trPr>
          <w:trHeight w:val="284"/>
          <w:jc w:val="center"/>
        </w:trPr>
        <w:tc>
          <w:tcPr>
            <w:tcW w:w="6284" w:type="dxa"/>
            <w:tcBorders>
              <w:top w:val="single" w:sz="2" w:space="0" w:color="auto"/>
              <w:bottom w:val="single" w:sz="2" w:space="0" w:color="auto"/>
            </w:tcBorders>
            <w:shd w:val="clear" w:color="auto" w:fill="A8CBEE" w:themeFill="accent2" w:themeFillTint="66"/>
            <w:vAlign w:val="center"/>
          </w:tcPr>
          <w:p w:rsidR="002C7BC0" w:rsidRPr="00730AE6" w:rsidRDefault="002C7BC0" w:rsidP="003C315E">
            <w:pPr>
              <w:spacing w:after="0"/>
              <w:ind w:firstLine="0"/>
              <w:jc w:val="left"/>
              <w:rPr>
                <w:rFonts w:ascii="Arial" w:hAnsi="Arial" w:cs="Arial"/>
                <w:sz w:val="18"/>
                <w:szCs w:val="18"/>
                <w:lang w:val="es-ES" w:eastAsia="es-ES"/>
              </w:rPr>
            </w:pPr>
            <w:r w:rsidRPr="00730AE6">
              <w:rPr>
                <w:rFonts w:ascii="Arial" w:hAnsi="Arial" w:cs="Arial"/>
                <w:sz w:val="18"/>
                <w:szCs w:val="18"/>
                <w:lang w:val="es-ES" w:eastAsia="es-ES"/>
              </w:rPr>
              <w:t xml:space="preserve">Total </w:t>
            </w:r>
          </w:p>
        </w:tc>
        <w:tc>
          <w:tcPr>
            <w:tcW w:w="2551" w:type="dxa"/>
            <w:tcBorders>
              <w:top w:val="single" w:sz="2" w:space="0" w:color="auto"/>
              <w:bottom w:val="single" w:sz="2" w:space="0" w:color="auto"/>
            </w:tcBorders>
            <w:shd w:val="clear" w:color="auto" w:fill="A8CBEE" w:themeFill="accent2" w:themeFillTint="66"/>
            <w:vAlign w:val="center"/>
          </w:tcPr>
          <w:p w:rsidR="002C7BC0" w:rsidRPr="00730AE6" w:rsidRDefault="00206991" w:rsidP="0051140E">
            <w:pPr>
              <w:spacing w:after="0"/>
              <w:ind w:firstLine="0"/>
              <w:jc w:val="right"/>
              <w:rPr>
                <w:rFonts w:ascii="Arial" w:hAnsi="Arial" w:cs="Arial"/>
                <w:sz w:val="18"/>
                <w:szCs w:val="18"/>
                <w:lang w:val="es-ES" w:eastAsia="es-ES"/>
              </w:rPr>
            </w:pPr>
            <w:r w:rsidRPr="00730AE6">
              <w:rPr>
                <w:rFonts w:ascii="Arial" w:hAnsi="Arial" w:cs="Arial"/>
                <w:sz w:val="18"/>
                <w:szCs w:val="18"/>
                <w:lang w:val="es-ES" w:eastAsia="es-ES"/>
              </w:rPr>
              <w:t>16.940</w:t>
            </w:r>
          </w:p>
        </w:tc>
      </w:tr>
    </w:tbl>
    <w:p w:rsidR="008850A2" w:rsidRDefault="008850A2" w:rsidP="006A697C">
      <w:pPr>
        <w:pStyle w:val="texto"/>
        <w:tabs>
          <w:tab w:val="clear" w:pos="2835"/>
          <w:tab w:val="clear" w:pos="3969"/>
          <w:tab w:val="clear" w:pos="5103"/>
          <w:tab w:val="clear" w:pos="6237"/>
          <w:tab w:val="clear" w:pos="7371"/>
        </w:tabs>
        <w:spacing w:before="240" w:after="120"/>
        <w:rPr>
          <w:szCs w:val="26"/>
        </w:rPr>
      </w:pPr>
      <w:r>
        <w:rPr>
          <w:szCs w:val="26"/>
        </w:rPr>
        <w:t>En el cuadro anterior no se incluyen las transferencias de crédito ya que estas operaciones no tienen efecto presupuestario sobre el importe total de créditos.</w:t>
      </w:r>
    </w:p>
    <w:p w:rsidR="000B674D" w:rsidRPr="001B1C8E" w:rsidRDefault="000B674D" w:rsidP="00BC5BE8">
      <w:pPr>
        <w:pStyle w:val="texto"/>
        <w:tabs>
          <w:tab w:val="clear" w:pos="2835"/>
          <w:tab w:val="clear" w:pos="3969"/>
          <w:tab w:val="clear" w:pos="5103"/>
          <w:tab w:val="clear" w:pos="6237"/>
          <w:tab w:val="clear" w:pos="7371"/>
        </w:tabs>
        <w:spacing w:before="120" w:after="240"/>
        <w:rPr>
          <w:szCs w:val="26"/>
        </w:rPr>
      </w:pPr>
      <w:r w:rsidRPr="001B1C8E">
        <w:rPr>
          <w:szCs w:val="26"/>
        </w:rPr>
        <w:t>La may</w:t>
      </w:r>
      <w:r w:rsidR="0032786E" w:rsidRPr="001B1C8E">
        <w:rPr>
          <w:szCs w:val="26"/>
        </w:rPr>
        <w:t xml:space="preserve">or parte de las modificaciones señaladas anteriormente </w:t>
      </w:r>
      <w:r w:rsidRPr="001B1C8E">
        <w:rPr>
          <w:szCs w:val="26"/>
        </w:rPr>
        <w:t>se deben a i</w:t>
      </w:r>
      <w:r w:rsidRPr="001B1C8E">
        <w:rPr>
          <w:szCs w:val="26"/>
        </w:rPr>
        <w:t>n</w:t>
      </w:r>
      <w:r w:rsidRPr="001B1C8E">
        <w:rPr>
          <w:szCs w:val="26"/>
        </w:rPr>
        <w:t xml:space="preserve">corporaciones de créditos afectos, no gastados a 31 de diciembre de 2016 y a ampliaciones y generaciones de crédito por reconocimiento de ingresos de </w:t>
      </w:r>
      <w:r w:rsidR="0057411C" w:rsidRPr="001B1C8E">
        <w:rPr>
          <w:szCs w:val="26"/>
        </w:rPr>
        <w:t>cará</w:t>
      </w:r>
      <w:r w:rsidR="0057411C" w:rsidRPr="001B1C8E">
        <w:rPr>
          <w:szCs w:val="26"/>
        </w:rPr>
        <w:t>c</w:t>
      </w:r>
      <w:r w:rsidR="0057411C" w:rsidRPr="001B1C8E">
        <w:rPr>
          <w:szCs w:val="26"/>
        </w:rPr>
        <w:lastRenderedPageBreak/>
        <w:t>ter finalista del año 2017, principalmente para contratos y proyectos de invest</w:t>
      </w:r>
      <w:r w:rsidR="0057411C" w:rsidRPr="001B1C8E">
        <w:rPr>
          <w:szCs w:val="26"/>
        </w:rPr>
        <w:t>i</w:t>
      </w:r>
      <w:r w:rsidR="0057411C" w:rsidRPr="001B1C8E">
        <w:rPr>
          <w:szCs w:val="26"/>
        </w:rPr>
        <w:t xml:space="preserve">gación y </w:t>
      </w:r>
      <w:r w:rsidR="00314597" w:rsidRPr="001B1C8E">
        <w:rPr>
          <w:szCs w:val="26"/>
        </w:rPr>
        <w:t xml:space="preserve">otros  gastos afectos como </w:t>
      </w:r>
      <w:r w:rsidR="0057411C" w:rsidRPr="001B1C8E">
        <w:rPr>
          <w:szCs w:val="26"/>
        </w:rPr>
        <w:t>becas de movilidad</w:t>
      </w:r>
      <w:r w:rsidR="00314597" w:rsidRPr="001B1C8E">
        <w:rPr>
          <w:szCs w:val="26"/>
        </w:rPr>
        <w:t>, cátedras. etc.</w:t>
      </w:r>
    </w:p>
    <w:p w:rsidR="002816BB" w:rsidRPr="002816BB" w:rsidRDefault="002816BB" w:rsidP="00BC5BE8">
      <w:pPr>
        <w:pStyle w:val="atitulo3"/>
        <w:spacing w:after="120"/>
      </w:pPr>
      <w:r w:rsidRPr="002816BB">
        <w:t>Liquidación presupuestaria</w:t>
      </w:r>
    </w:p>
    <w:p w:rsidR="00F33D95" w:rsidRDefault="00F33D95" w:rsidP="00A6733C">
      <w:pPr>
        <w:pStyle w:val="texto"/>
        <w:tabs>
          <w:tab w:val="clear" w:pos="2835"/>
          <w:tab w:val="clear" w:pos="3969"/>
          <w:tab w:val="clear" w:pos="5103"/>
          <w:tab w:val="clear" w:pos="6237"/>
          <w:tab w:val="clear" w:pos="7371"/>
        </w:tabs>
        <w:spacing w:before="120" w:after="120"/>
        <w:rPr>
          <w:szCs w:val="26"/>
        </w:rPr>
      </w:pPr>
      <w:r w:rsidRPr="00730AE6">
        <w:rPr>
          <w:szCs w:val="26"/>
        </w:rPr>
        <w:t>Los créditos definitivos ascienden a 87,39 millones</w:t>
      </w:r>
      <w:r>
        <w:rPr>
          <w:szCs w:val="26"/>
        </w:rPr>
        <w:t xml:space="preserve"> tras las modificaciones c</w:t>
      </w:r>
      <w:r>
        <w:rPr>
          <w:szCs w:val="26"/>
        </w:rPr>
        <w:t>i</w:t>
      </w:r>
      <w:r>
        <w:rPr>
          <w:szCs w:val="26"/>
        </w:rPr>
        <w:t>tadas en los párrafos anteriores.</w:t>
      </w:r>
    </w:p>
    <w:p w:rsidR="00F33D95" w:rsidRPr="00730AE6" w:rsidRDefault="00F33D95" w:rsidP="00A6733C">
      <w:pPr>
        <w:pStyle w:val="texto"/>
        <w:tabs>
          <w:tab w:val="clear" w:pos="2835"/>
          <w:tab w:val="clear" w:pos="3969"/>
          <w:tab w:val="clear" w:pos="5103"/>
          <w:tab w:val="clear" w:pos="6237"/>
          <w:tab w:val="clear" w:pos="7371"/>
        </w:tabs>
        <w:spacing w:before="120" w:after="120"/>
        <w:rPr>
          <w:szCs w:val="26"/>
        </w:rPr>
      </w:pPr>
      <w:r w:rsidRPr="00521EBC">
        <w:rPr>
          <w:szCs w:val="26"/>
        </w:rPr>
        <w:t>De es</w:t>
      </w:r>
      <w:r>
        <w:rPr>
          <w:szCs w:val="26"/>
        </w:rPr>
        <w:t>tos</w:t>
      </w:r>
      <w:r w:rsidRPr="00521EBC">
        <w:rPr>
          <w:szCs w:val="26"/>
        </w:rPr>
        <w:t xml:space="preserve"> crédito</w:t>
      </w:r>
      <w:r>
        <w:rPr>
          <w:szCs w:val="26"/>
        </w:rPr>
        <w:t>s definitivos</w:t>
      </w:r>
      <w:r w:rsidRPr="00521EBC">
        <w:rPr>
          <w:szCs w:val="26"/>
        </w:rPr>
        <w:t xml:space="preserve">, un importe de </w:t>
      </w:r>
      <w:r>
        <w:rPr>
          <w:szCs w:val="26"/>
        </w:rPr>
        <w:t>17,74</w:t>
      </w:r>
      <w:r w:rsidRPr="00521EBC">
        <w:rPr>
          <w:szCs w:val="26"/>
        </w:rPr>
        <w:t xml:space="preserve"> millones tiene la consider</w:t>
      </w:r>
      <w:r w:rsidRPr="00521EBC">
        <w:rPr>
          <w:szCs w:val="26"/>
        </w:rPr>
        <w:t>a</w:t>
      </w:r>
      <w:r w:rsidRPr="00521EBC">
        <w:rPr>
          <w:szCs w:val="26"/>
        </w:rPr>
        <w:t>ción</w:t>
      </w:r>
      <w:r>
        <w:rPr>
          <w:szCs w:val="26"/>
        </w:rPr>
        <w:t xml:space="preserve"> </w:t>
      </w:r>
      <w:r w:rsidRPr="00521EBC">
        <w:rPr>
          <w:szCs w:val="26"/>
        </w:rPr>
        <w:t>de afectado y el resto, 6</w:t>
      </w:r>
      <w:r>
        <w:rPr>
          <w:szCs w:val="26"/>
        </w:rPr>
        <w:t>9,</w:t>
      </w:r>
      <w:r w:rsidR="00A6733C">
        <w:rPr>
          <w:szCs w:val="26"/>
        </w:rPr>
        <w:t>65</w:t>
      </w:r>
      <w:r w:rsidRPr="00521EBC">
        <w:rPr>
          <w:szCs w:val="26"/>
        </w:rPr>
        <w:t xml:space="preserve"> millones, de no afectado.</w:t>
      </w:r>
    </w:p>
    <w:p w:rsidR="0051140E" w:rsidRPr="00BC5BE8" w:rsidRDefault="002C7BC0" w:rsidP="004B700E">
      <w:pPr>
        <w:pStyle w:val="texto"/>
        <w:tabs>
          <w:tab w:val="clear" w:pos="2835"/>
          <w:tab w:val="clear" w:pos="3969"/>
          <w:tab w:val="clear" w:pos="5103"/>
          <w:tab w:val="clear" w:pos="6237"/>
          <w:tab w:val="clear" w:pos="7371"/>
        </w:tabs>
        <w:rPr>
          <w:spacing w:val="2"/>
          <w:szCs w:val="26"/>
        </w:rPr>
      </w:pPr>
      <w:r w:rsidRPr="00BC5BE8">
        <w:rPr>
          <w:spacing w:val="2"/>
          <w:szCs w:val="26"/>
        </w:rPr>
        <w:t xml:space="preserve">Las obligaciones reconocidas suponen un importe de </w:t>
      </w:r>
      <w:r w:rsidR="006908A0" w:rsidRPr="00BC5BE8">
        <w:rPr>
          <w:spacing w:val="2"/>
          <w:szCs w:val="26"/>
        </w:rPr>
        <w:t>78,20</w:t>
      </w:r>
      <w:r w:rsidRPr="00BC5BE8">
        <w:rPr>
          <w:spacing w:val="2"/>
          <w:szCs w:val="26"/>
        </w:rPr>
        <w:t xml:space="preserve"> millones, con un gr</w:t>
      </w:r>
      <w:r w:rsidRPr="00BC5BE8">
        <w:rPr>
          <w:spacing w:val="2"/>
          <w:szCs w:val="26"/>
        </w:rPr>
        <w:t>a</w:t>
      </w:r>
      <w:r w:rsidRPr="00BC5BE8">
        <w:rPr>
          <w:spacing w:val="2"/>
          <w:szCs w:val="26"/>
        </w:rPr>
        <w:t>do de ejecución del 8</w:t>
      </w:r>
      <w:r w:rsidR="006908A0" w:rsidRPr="00BC5BE8">
        <w:rPr>
          <w:spacing w:val="2"/>
          <w:szCs w:val="26"/>
        </w:rPr>
        <w:t>9</w:t>
      </w:r>
      <w:r w:rsidRPr="00BC5BE8">
        <w:rPr>
          <w:spacing w:val="2"/>
          <w:szCs w:val="26"/>
        </w:rPr>
        <w:t xml:space="preserve"> por ciento. Destacamos el alto porcentaje de ejecución de </w:t>
      </w:r>
      <w:r w:rsidR="00CD5F75" w:rsidRPr="00BC5BE8">
        <w:rPr>
          <w:spacing w:val="2"/>
          <w:szCs w:val="26"/>
        </w:rPr>
        <w:t xml:space="preserve">gastos de </w:t>
      </w:r>
      <w:r w:rsidRPr="00BC5BE8">
        <w:rPr>
          <w:spacing w:val="2"/>
          <w:szCs w:val="26"/>
        </w:rPr>
        <w:t xml:space="preserve">personal </w:t>
      </w:r>
      <w:r w:rsidR="004C6745" w:rsidRPr="00BC5BE8">
        <w:rPr>
          <w:spacing w:val="2"/>
          <w:szCs w:val="26"/>
        </w:rPr>
        <w:t>–</w:t>
      </w:r>
      <w:r w:rsidRPr="00BC5BE8">
        <w:rPr>
          <w:spacing w:val="2"/>
          <w:szCs w:val="26"/>
        </w:rPr>
        <w:t>97 por ciento</w:t>
      </w:r>
      <w:r w:rsidR="004C6745" w:rsidRPr="00BC5BE8">
        <w:rPr>
          <w:spacing w:val="2"/>
          <w:szCs w:val="26"/>
        </w:rPr>
        <w:t xml:space="preserve">– </w:t>
      </w:r>
      <w:r w:rsidRPr="00BC5BE8">
        <w:rPr>
          <w:spacing w:val="2"/>
          <w:szCs w:val="26"/>
        </w:rPr>
        <w:t xml:space="preserve">y el </w:t>
      </w:r>
      <w:r w:rsidR="003C315E" w:rsidRPr="00BC5BE8">
        <w:rPr>
          <w:spacing w:val="2"/>
          <w:szCs w:val="26"/>
        </w:rPr>
        <w:t>reducido</w:t>
      </w:r>
      <w:r w:rsidRPr="00BC5BE8">
        <w:rPr>
          <w:spacing w:val="2"/>
          <w:szCs w:val="26"/>
        </w:rPr>
        <w:t xml:space="preserve"> en bienes corrientes y servicios </w:t>
      </w:r>
      <w:r w:rsidR="0051140E" w:rsidRPr="00BC5BE8">
        <w:rPr>
          <w:spacing w:val="2"/>
          <w:szCs w:val="26"/>
        </w:rPr>
        <w:t>–</w:t>
      </w:r>
      <w:r w:rsidRPr="00BC5BE8">
        <w:rPr>
          <w:spacing w:val="2"/>
          <w:szCs w:val="26"/>
        </w:rPr>
        <w:t>6</w:t>
      </w:r>
      <w:r w:rsidR="00F41616" w:rsidRPr="00BC5BE8">
        <w:rPr>
          <w:spacing w:val="2"/>
          <w:szCs w:val="26"/>
        </w:rPr>
        <w:t>9</w:t>
      </w:r>
      <w:r w:rsidRPr="00BC5BE8">
        <w:rPr>
          <w:spacing w:val="2"/>
          <w:szCs w:val="26"/>
        </w:rPr>
        <w:t xml:space="preserve"> por ciento</w:t>
      </w:r>
      <w:r w:rsidR="0051140E" w:rsidRPr="00BC5BE8">
        <w:rPr>
          <w:spacing w:val="2"/>
          <w:szCs w:val="26"/>
        </w:rPr>
        <w:t>–</w:t>
      </w:r>
      <w:r w:rsidRPr="00BC5BE8">
        <w:rPr>
          <w:spacing w:val="2"/>
          <w:szCs w:val="26"/>
        </w:rPr>
        <w:t>.</w:t>
      </w:r>
      <w:r w:rsidR="004B700E" w:rsidRPr="00BC5BE8">
        <w:rPr>
          <w:spacing w:val="2"/>
          <w:szCs w:val="26"/>
        </w:rPr>
        <w:t xml:space="preserve"> </w:t>
      </w:r>
      <w:r w:rsidR="00E32CB9" w:rsidRPr="00BC5BE8">
        <w:rPr>
          <w:spacing w:val="2"/>
          <w:szCs w:val="26"/>
        </w:rPr>
        <w:t>El 1</w:t>
      </w:r>
      <w:r w:rsidR="00F41616" w:rsidRPr="00BC5BE8">
        <w:rPr>
          <w:spacing w:val="2"/>
          <w:szCs w:val="26"/>
        </w:rPr>
        <w:t>2</w:t>
      </w:r>
      <w:r w:rsidR="00E32CB9" w:rsidRPr="00BC5BE8">
        <w:rPr>
          <w:spacing w:val="2"/>
          <w:szCs w:val="26"/>
        </w:rPr>
        <w:t xml:space="preserve"> por ciento de las obligaciones reconocidas en 201</w:t>
      </w:r>
      <w:r w:rsidR="00F41616" w:rsidRPr="00BC5BE8">
        <w:rPr>
          <w:spacing w:val="2"/>
          <w:szCs w:val="26"/>
        </w:rPr>
        <w:t>7</w:t>
      </w:r>
      <w:r w:rsidR="00E32CB9" w:rsidRPr="00BC5BE8">
        <w:rPr>
          <w:spacing w:val="2"/>
          <w:szCs w:val="26"/>
        </w:rPr>
        <w:t xml:space="preserve"> corre</w:t>
      </w:r>
      <w:r w:rsidR="00E32CB9" w:rsidRPr="00BC5BE8">
        <w:rPr>
          <w:spacing w:val="2"/>
          <w:szCs w:val="26"/>
        </w:rPr>
        <w:t>s</w:t>
      </w:r>
      <w:r w:rsidR="00E32CB9" w:rsidRPr="00BC5BE8">
        <w:rPr>
          <w:spacing w:val="2"/>
          <w:szCs w:val="26"/>
        </w:rPr>
        <w:t xml:space="preserve">ponde a gastos financiados con ingresos finalistas, es decir, </w:t>
      </w:r>
      <w:r w:rsidR="00F41616" w:rsidRPr="00BC5BE8">
        <w:rPr>
          <w:spacing w:val="2"/>
          <w:szCs w:val="26"/>
        </w:rPr>
        <w:t>9,31 millones de euros.</w:t>
      </w:r>
    </w:p>
    <w:p w:rsidR="00A670CD" w:rsidRPr="0022288A" w:rsidRDefault="00A670CD" w:rsidP="004B700E">
      <w:pPr>
        <w:pStyle w:val="texto"/>
        <w:tabs>
          <w:tab w:val="clear" w:pos="2835"/>
          <w:tab w:val="clear" w:pos="3969"/>
          <w:tab w:val="clear" w:pos="5103"/>
          <w:tab w:val="clear" w:pos="6237"/>
          <w:tab w:val="clear" w:pos="7371"/>
          <w:tab w:val="num" w:pos="300"/>
        </w:tabs>
        <w:rPr>
          <w:szCs w:val="26"/>
        </w:rPr>
      </w:pPr>
      <w:r w:rsidRPr="00730AE6">
        <w:rPr>
          <w:szCs w:val="26"/>
        </w:rPr>
        <w:t>Los derechos reconocidos suponen un total de 76,99 millones, con un grado de cumplimiento del 88 por ciento. Los capítulos que presentan un mayor po</w:t>
      </w:r>
      <w:r w:rsidRPr="00730AE6">
        <w:rPr>
          <w:szCs w:val="26"/>
        </w:rPr>
        <w:t>r</w:t>
      </w:r>
      <w:r w:rsidRPr="00730AE6">
        <w:rPr>
          <w:szCs w:val="26"/>
        </w:rPr>
        <w:t>centaje son tasas y precios públicos con un 96 por ciento y transferencias c</w:t>
      </w:r>
      <w:r w:rsidRPr="00730AE6">
        <w:rPr>
          <w:szCs w:val="26"/>
        </w:rPr>
        <w:t>o</w:t>
      </w:r>
      <w:r w:rsidRPr="00730AE6">
        <w:rPr>
          <w:szCs w:val="26"/>
        </w:rPr>
        <w:t xml:space="preserve">rrientes con </w:t>
      </w:r>
      <w:r>
        <w:rPr>
          <w:szCs w:val="26"/>
        </w:rPr>
        <w:t>un</w:t>
      </w:r>
      <w:r w:rsidRPr="00730AE6">
        <w:rPr>
          <w:szCs w:val="26"/>
        </w:rPr>
        <w:t xml:space="preserve"> 98 por ciento. </w:t>
      </w:r>
      <w:r w:rsidRPr="0022288A">
        <w:rPr>
          <w:szCs w:val="26"/>
        </w:rPr>
        <w:t xml:space="preserve">El </w:t>
      </w:r>
      <w:r w:rsidR="0022288A" w:rsidRPr="0022288A">
        <w:rPr>
          <w:szCs w:val="26"/>
        </w:rPr>
        <w:t>13</w:t>
      </w:r>
      <w:r w:rsidRPr="0022288A">
        <w:rPr>
          <w:szCs w:val="26"/>
        </w:rPr>
        <w:t xml:space="preserve"> por ciento de los derechos reconocidos en 2017 corresponde a ingresos finalistas, es decir, </w:t>
      </w:r>
      <w:r w:rsidR="0022288A" w:rsidRPr="0022288A">
        <w:rPr>
          <w:szCs w:val="26"/>
        </w:rPr>
        <w:t>9,67</w:t>
      </w:r>
      <w:r w:rsidRPr="0022288A">
        <w:rPr>
          <w:szCs w:val="26"/>
        </w:rPr>
        <w:t xml:space="preserve"> millones.</w:t>
      </w:r>
    </w:p>
    <w:p w:rsidR="009014ED" w:rsidRPr="009014ED" w:rsidRDefault="009014ED" w:rsidP="00A670CD">
      <w:pPr>
        <w:pStyle w:val="texto"/>
        <w:tabs>
          <w:tab w:val="clear" w:pos="2835"/>
          <w:tab w:val="clear" w:pos="3969"/>
          <w:tab w:val="clear" w:pos="5103"/>
          <w:tab w:val="clear" w:pos="6237"/>
          <w:tab w:val="clear" w:pos="7371"/>
          <w:tab w:val="num" w:pos="300"/>
          <w:tab w:val="num" w:pos="720"/>
        </w:tabs>
        <w:rPr>
          <w:szCs w:val="26"/>
        </w:rPr>
      </w:pPr>
      <w:r w:rsidRPr="009014ED">
        <w:rPr>
          <w:szCs w:val="26"/>
        </w:rPr>
        <w:t>Destacamos los siguientes aspectos:</w:t>
      </w:r>
    </w:p>
    <w:p w:rsidR="001F651C" w:rsidRDefault="00BE100A" w:rsidP="00BC5BE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180"/>
        <w:ind w:left="0" w:firstLine="289"/>
        <w:rPr>
          <w:szCs w:val="26"/>
        </w:rPr>
      </w:pPr>
      <w:r>
        <w:rPr>
          <w:szCs w:val="26"/>
        </w:rPr>
        <w:t>C</w:t>
      </w:r>
      <w:r w:rsidR="001F651C" w:rsidRPr="00730AE6">
        <w:rPr>
          <w:szCs w:val="26"/>
        </w:rPr>
        <w:t>ada 100 euros gastados por la Universidad en 2017 se han destinado y f</w:t>
      </w:r>
      <w:r w:rsidR="001F651C" w:rsidRPr="00730AE6">
        <w:rPr>
          <w:szCs w:val="26"/>
        </w:rPr>
        <w:t>i</w:t>
      </w:r>
      <w:r w:rsidR="001F651C" w:rsidRPr="00730AE6">
        <w:rPr>
          <w:szCs w:val="26"/>
        </w:rPr>
        <w:t>nanciado con:</w:t>
      </w:r>
    </w:p>
    <w:tbl>
      <w:tblPr>
        <w:tblW w:w="8901" w:type="dxa"/>
        <w:jc w:val="center"/>
        <w:tblCellMar>
          <w:left w:w="70" w:type="dxa"/>
          <w:right w:w="70" w:type="dxa"/>
        </w:tblCellMar>
        <w:tblLook w:val="0000" w:firstRow="0" w:lastRow="0" w:firstColumn="0" w:lastColumn="0" w:noHBand="0" w:noVBand="0"/>
      </w:tblPr>
      <w:tblGrid>
        <w:gridCol w:w="3608"/>
        <w:gridCol w:w="913"/>
        <w:gridCol w:w="3165"/>
        <w:gridCol w:w="1215"/>
      </w:tblGrid>
      <w:tr w:rsidR="001F651C" w:rsidRPr="00730AE6" w:rsidTr="00317F02">
        <w:trPr>
          <w:trHeight w:val="284"/>
          <w:jc w:val="center"/>
        </w:trPr>
        <w:tc>
          <w:tcPr>
            <w:tcW w:w="3608" w:type="dxa"/>
            <w:tcBorders>
              <w:top w:val="single" w:sz="4" w:space="0" w:color="auto"/>
              <w:bottom w:val="single" w:sz="4" w:space="0" w:color="auto"/>
            </w:tcBorders>
            <w:shd w:val="clear" w:color="auto" w:fill="A8CBEE" w:themeFill="accent2" w:themeFillTint="66"/>
            <w:noWrap/>
            <w:vAlign w:val="center"/>
          </w:tcPr>
          <w:p w:rsidR="001F651C" w:rsidRPr="00730AE6" w:rsidRDefault="001F651C" w:rsidP="00B77B93">
            <w:pPr>
              <w:spacing w:after="0"/>
              <w:ind w:left="50" w:firstLine="0"/>
              <w:jc w:val="left"/>
              <w:rPr>
                <w:rFonts w:ascii="Arial" w:hAnsi="Arial" w:cs="Arial"/>
                <w:bCs/>
                <w:color w:val="000000"/>
                <w:sz w:val="18"/>
                <w:szCs w:val="18"/>
                <w:lang w:val="es-ES" w:eastAsia="es-ES"/>
              </w:rPr>
            </w:pPr>
            <w:r w:rsidRPr="00730AE6">
              <w:rPr>
                <w:rFonts w:ascii="Arial" w:hAnsi="Arial" w:cs="Arial"/>
                <w:bCs/>
                <w:color w:val="000000"/>
                <w:sz w:val="18"/>
                <w:szCs w:val="18"/>
                <w:lang w:val="es-ES" w:eastAsia="es-ES"/>
              </w:rPr>
              <w:t>Naturaleza del Gasto</w:t>
            </w:r>
          </w:p>
        </w:tc>
        <w:tc>
          <w:tcPr>
            <w:tcW w:w="913" w:type="dxa"/>
            <w:tcBorders>
              <w:top w:val="single" w:sz="4" w:space="0" w:color="auto"/>
              <w:bottom w:val="single" w:sz="4" w:space="0" w:color="auto"/>
              <w:right w:val="single" w:sz="2" w:space="0" w:color="auto"/>
            </w:tcBorders>
            <w:shd w:val="clear" w:color="auto" w:fill="A8CBEE" w:themeFill="accent2" w:themeFillTint="66"/>
            <w:noWrap/>
            <w:vAlign w:val="center"/>
          </w:tcPr>
          <w:p w:rsidR="001F651C" w:rsidRPr="00730AE6" w:rsidRDefault="001F651C" w:rsidP="00B77B93">
            <w:pPr>
              <w:spacing w:after="0"/>
              <w:ind w:left="50" w:right="95" w:firstLine="0"/>
              <w:jc w:val="right"/>
              <w:rPr>
                <w:rFonts w:ascii="Arial" w:hAnsi="Arial" w:cs="Arial"/>
                <w:bCs/>
                <w:color w:val="000000"/>
                <w:sz w:val="18"/>
                <w:szCs w:val="18"/>
                <w:lang w:val="es-ES" w:eastAsia="es-ES"/>
              </w:rPr>
            </w:pPr>
            <w:r w:rsidRPr="00730AE6">
              <w:rPr>
                <w:rFonts w:ascii="Arial" w:hAnsi="Arial" w:cs="Arial"/>
                <w:bCs/>
                <w:color w:val="000000"/>
                <w:sz w:val="18"/>
                <w:szCs w:val="18"/>
                <w:lang w:val="es-ES" w:eastAsia="es-ES"/>
              </w:rPr>
              <w:t>Importe</w:t>
            </w:r>
          </w:p>
        </w:tc>
        <w:tc>
          <w:tcPr>
            <w:tcW w:w="3165" w:type="dxa"/>
            <w:tcBorders>
              <w:top w:val="single" w:sz="4" w:space="0" w:color="auto"/>
              <w:left w:val="single" w:sz="2" w:space="0" w:color="auto"/>
              <w:bottom w:val="single" w:sz="4" w:space="0" w:color="auto"/>
            </w:tcBorders>
            <w:shd w:val="clear" w:color="auto" w:fill="A8CBEE" w:themeFill="accent2" w:themeFillTint="66"/>
            <w:noWrap/>
            <w:vAlign w:val="center"/>
          </w:tcPr>
          <w:p w:rsidR="001F651C" w:rsidRPr="00730AE6" w:rsidRDefault="001F651C" w:rsidP="00B77B93">
            <w:pPr>
              <w:spacing w:after="0"/>
              <w:ind w:left="164" w:firstLine="0"/>
              <w:jc w:val="left"/>
              <w:rPr>
                <w:rFonts w:ascii="Arial" w:hAnsi="Arial" w:cs="Arial"/>
                <w:bCs/>
                <w:color w:val="000000"/>
                <w:sz w:val="18"/>
                <w:szCs w:val="18"/>
                <w:lang w:val="es-ES" w:eastAsia="es-ES"/>
              </w:rPr>
            </w:pPr>
            <w:r w:rsidRPr="00730AE6">
              <w:rPr>
                <w:rFonts w:ascii="Arial" w:hAnsi="Arial" w:cs="Arial"/>
                <w:bCs/>
                <w:color w:val="000000"/>
                <w:sz w:val="18"/>
                <w:szCs w:val="18"/>
                <w:lang w:val="es-ES" w:eastAsia="es-ES"/>
              </w:rPr>
              <w:t>Fuente de financiación</w:t>
            </w:r>
          </w:p>
        </w:tc>
        <w:tc>
          <w:tcPr>
            <w:tcW w:w="1215" w:type="dxa"/>
            <w:tcBorders>
              <w:top w:val="single" w:sz="4" w:space="0" w:color="auto"/>
              <w:bottom w:val="single" w:sz="4" w:space="0" w:color="auto"/>
            </w:tcBorders>
            <w:shd w:val="clear" w:color="auto" w:fill="A8CBEE" w:themeFill="accent2" w:themeFillTint="66"/>
            <w:noWrap/>
            <w:vAlign w:val="center"/>
          </w:tcPr>
          <w:p w:rsidR="001F651C" w:rsidRPr="00730AE6" w:rsidRDefault="001F651C" w:rsidP="00B77B93">
            <w:pPr>
              <w:spacing w:after="0"/>
              <w:ind w:left="50" w:firstLine="0"/>
              <w:jc w:val="right"/>
              <w:rPr>
                <w:rFonts w:ascii="Arial" w:hAnsi="Arial" w:cs="Arial"/>
                <w:bCs/>
                <w:color w:val="000000"/>
                <w:sz w:val="18"/>
                <w:szCs w:val="18"/>
                <w:lang w:val="es-ES" w:eastAsia="es-ES"/>
              </w:rPr>
            </w:pPr>
            <w:r w:rsidRPr="00730AE6">
              <w:rPr>
                <w:rFonts w:ascii="Arial" w:hAnsi="Arial" w:cs="Arial"/>
                <w:bCs/>
                <w:color w:val="000000"/>
                <w:sz w:val="18"/>
                <w:szCs w:val="18"/>
                <w:lang w:val="es-ES" w:eastAsia="es-ES"/>
              </w:rPr>
              <w:t>Importe</w:t>
            </w:r>
          </w:p>
        </w:tc>
      </w:tr>
      <w:tr w:rsidR="001F651C" w:rsidRPr="00730AE6" w:rsidTr="00317F02">
        <w:trPr>
          <w:trHeight w:val="284"/>
          <w:jc w:val="center"/>
        </w:trPr>
        <w:tc>
          <w:tcPr>
            <w:tcW w:w="3608" w:type="dxa"/>
            <w:tcBorders>
              <w:top w:val="single" w:sz="4" w:space="0" w:color="auto"/>
              <w:bottom w:val="single" w:sz="2" w:space="0" w:color="auto"/>
            </w:tcBorders>
            <w:shd w:val="clear" w:color="auto" w:fill="auto"/>
            <w:noWrap/>
            <w:vAlign w:val="center"/>
          </w:tcPr>
          <w:p w:rsidR="001F651C" w:rsidRPr="00730AE6" w:rsidRDefault="001F651C" w:rsidP="00B77B93">
            <w:pPr>
              <w:spacing w:after="0"/>
              <w:ind w:firstLine="0"/>
              <w:jc w:val="left"/>
              <w:rPr>
                <w:rFonts w:ascii="Arial Narrow" w:hAnsi="Arial Narrow"/>
                <w:lang w:val="es-ES" w:eastAsia="es-ES"/>
              </w:rPr>
            </w:pPr>
            <w:r w:rsidRPr="00730AE6">
              <w:rPr>
                <w:rFonts w:ascii="Arial Narrow" w:hAnsi="Arial Narrow"/>
                <w:lang w:val="es-ES" w:eastAsia="es-ES"/>
              </w:rPr>
              <w:t>Personal</w:t>
            </w:r>
          </w:p>
        </w:tc>
        <w:tc>
          <w:tcPr>
            <w:tcW w:w="913" w:type="dxa"/>
            <w:tcBorders>
              <w:top w:val="single" w:sz="4" w:space="0" w:color="auto"/>
              <w:bottom w:val="single" w:sz="2" w:space="0" w:color="auto"/>
              <w:right w:val="single" w:sz="2" w:space="0" w:color="auto"/>
            </w:tcBorders>
            <w:shd w:val="clear" w:color="auto" w:fill="auto"/>
            <w:noWrap/>
            <w:vAlign w:val="center"/>
          </w:tcPr>
          <w:p w:rsidR="001F651C" w:rsidRPr="00730AE6" w:rsidRDefault="001F651C" w:rsidP="00B77B93">
            <w:pPr>
              <w:spacing w:after="0"/>
              <w:ind w:right="95" w:firstLine="0"/>
              <w:jc w:val="right"/>
              <w:rPr>
                <w:rFonts w:ascii="Arial Narrow" w:hAnsi="Arial Narrow"/>
                <w:lang w:val="es-ES" w:eastAsia="es-ES"/>
              </w:rPr>
            </w:pPr>
            <w:r w:rsidRPr="00730AE6">
              <w:rPr>
                <w:rFonts w:ascii="Arial Narrow" w:hAnsi="Arial Narrow"/>
                <w:lang w:val="es-ES" w:eastAsia="es-ES"/>
              </w:rPr>
              <w:t>73</w:t>
            </w:r>
          </w:p>
        </w:tc>
        <w:tc>
          <w:tcPr>
            <w:tcW w:w="3165" w:type="dxa"/>
            <w:tcBorders>
              <w:top w:val="single" w:sz="4" w:space="0" w:color="auto"/>
              <w:left w:val="single" w:sz="2" w:space="0" w:color="auto"/>
              <w:bottom w:val="single" w:sz="2" w:space="0" w:color="auto"/>
            </w:tcBorders>
            <w:shd w:val="clear" w:color="auto" w:fill="auto"/>
            <w:noWrap/>
            <w:vAlign w:val="center"/>
          </w:tcPr>
          <w:p w:rsidR="001F651C" w:rsidRPr="00730AE6" w:rsidRDefault="001F651C" w:rsidP="00B77B93">
            <w:pPr>
              <w:spacing w:after="0"/>
              <w:ind w:left="164" w:firstLine="0"/>
              <w:jc w:val="left"/>
              <w:rPr>
                <w:rFonts w:ascii="Arial Narrow" w:hAnsi="Arial Narrow"/>
                <w:lang w:val="es-ES" w:eastAsia="es-ES"/>
              </w:rPr>
            </w:pPr>
            <w:r w:rsidRPr="00730AE6">
              <w:rPr>
                <w:rFonts w:ascii="Arial Narrow" w:hAnsi="Arial Narrow"/>
                <w:lang w:val="es-ES" w:eastAsia="es-ES"/>
              </w:rPr>
              <w:t>Tasas, precios públicos</w:t>
            </w:r>
          </w:p>
        </w:tc>
        <w:tc>
          <w:tcPr>
            <w:tcW w:w="1215" w:type="dxa"/>
            <w:tcBorders>
              <w:top w:val="single" w:sz="4" w:space="0" w:color="auto"/>
              <w:bottom w:val="single" w:sz="2" w:space="0" w:color="auto"/>
            </w:tcBorders>
            <w:shd w:val="clear" w:color="auto" w:fill="auto"/>
            <w:noWrap/>
            <w:vAlign w:val="center"/>
          </w:tcPr>
          <w:p w:rsidR="001F651C" w:rsidRPr="00730AE6" w:rsidRDefault="001F651C" w:rsidP="00B77B93">
            <w:pPr>
              <w:spacing w:after="0"/>
              <w:ind w:firstLine="0"/>
              <w:jc w:val="right"/>
              <w:rPr>
                <w:rFonts w:ascii="Arial Narrow" w:hAnsi="Arial Narrow"/>
                <w:lang w:val="es-ES" w:eastAsia="es-ES"/>
              </w:rPr>
            </w:pPr>
            <w:r w:rsidRPr="00730AE6">
              <w:rPr>
                <w:rFonts w:ascii="Arial Narrow" w:hAnsi="Arial Narrow"/>
                <w:lang w:val="es-ES" w:eastAsia="es-ES"/>
              </w:rPr>
              <w:t>19</w:t>
            </w:r>
          </w:p>
        </w:tc>
      </w:tr>
      <w:tr w:rsidR="001F651C" w:rsidRPr="00730AE6" w:rsidTr="00317F02">
        <w:trPr>
          <w:trHeight w:val="284"/>
          <w:jc w:val="center"/>
        </w:trPr>
        <w:tc>
          <w:tcPr>
            <w:tcW w:w="3608" w:type="dxa"/>
            <w:tcBorders>
              <w:top w:val="single" w:sz="2" w:space="0" w:color="auto"/>
              <w:bottom w:val="single" w:sz="2" w:space="0" w:color="auto"/>
            </w:tcBorders>
            <w:shd w:val="clear" w:color="auto" w:fill="auto"/>
            <w:noWrap/>
            <w:vAlign w:val="center"/>
          </w:tcPr>
          <w:p w:rsidR="001F651C" w:rsidRPr="00730AE6" w:rsidRDefault="001F651C" w:rsidP="00B77B93">
            <w:pPr>
              <w:spacing w:after="0"/>
              <w:ind w:firstLine="0"/>
              <w:jc w:val="left"/>
              <w:rPr>
                <w:rFonts w:ascii="Arial Narrow" w:hAnsi="Arial Narrow"/>
                <w:lang w:val="es-ES" w:eastAsia="es-ES"/>
              </w:rPr>
            </w:pPr>
            <w:r w:rsidRPr="00730AE6">
              <w:rPr>
                <w:rFonts w:ascii="Arial Narrow" w:hAnsi="Arial Narrow"/>
                <w:lang w:val="es-ES" w:eastAsia="es-ES"/>
              </w:rPr>
              <w:t>Bienes corrientes y servicios</w:t>
            </w:r>
          </w:p>
        </w:tc>
        <w:tc>
          <w:tcPr>
            <w:tcW w:w="913" w:type="dxa"/>
            <w:tcBorders>
              <w:top w:val="single" w:sz="2" w:space="0" w:color="auto"/>
              <w:bottom w:val="single" w:sz="2" w:space="0" w:color="auto"/>
              <w:right w:val="single" w:sz="2" w:space="0" w:color="auto"/>
            </w:tcBorders>
            <w:shd w:val="clear" w:color="auto" w:fill="auto"/>
            <w:noWrap/>
            <w:vAlign w:val="center"/>
          </w:tcPr>
          <w:p w:rsidR="001F651C" w:rsidRPr="00730AE6" w:rsidRDefault="001F651C" w:rsidP="00B77B93">
            <w:pPr>
              <w:spacing w:after="0"/>
              <w:ind w:right="95" w:firstLine="0"/>
              <w:jc w:val="right"/>
              <w:rPr>
                <w:rFonts w:ascii="Arial Narrow" w:hAnsi="Arial Narrow"/>
                <w:lang w:val="es-ES" w:eastAsia="es-ES"/>
              </w:rPr>
            </w:pPr>
            <w:r w:rsidRPr="00730AE6">
              <w:rPr>
                <w:rFonts w:ascii="Arial Narrow" w:hAnsi="Arial Narrow"/>
                <w:lang w:val="es-ES" w:eastAsia="es-ES"/>
              </w:rPr>
              <w:t>18</w:t>
            </w:r>
          </w:p>
        </w:tc>
        <w:tc>
          <w:tcPr>
            <w:tcW w:w="3165" w:type="dxa"/>
            <w:tcBorders>
              <w:top w:val="single" w:sz="2" w:space="0" w:color="auto"/>
              <w:left w:val="single" w:sz="2" w:space="0" w:color="auto"/>
              <w:bottom w:val="single" w:sz="2" w:space="0" w:color="auto"/>
            </w:tcBorders>
            <w:shd w:val="clear" w:color="auto" w:fill="auto"/>
            <w:noWrap/>
            <w:vAlign w:val="center"/>
          </w:tcPr>
          <w:p w:rsidR="001F651C" w:rsidRPr="00730AE6" w:rsidRDefault="001F651C" w:rsidP="00B77B93">
            <w:pPr>
              <w:spacing w:after="0"/>
              <w:ind w:left="164" w:firstLine="0"/>
              <w:jc w:val="left"/>
              <w:rPr>
                <w:rFonts w:ascii="Arial Narrow" w:hAnsi="Arial Narrow"/>
                <w:lang w:val="es-ES" w:eastAsia="es-ES"/>
              </w:rPr>
            </w:pPr>
            <w:r w:rsidRPr="00730AE6">
              <w:rPr>
                <w:rFonts w:ascii="Arial Narrow" w:hAnsi="Arial Narrow"/>
                <w:lang w:val="es-ES" w:eastAsia="es-ES"/>
              </w:rPr>
              <w:t>Ingresos por transferencias</w:t>
            </w:r>
          </w:p>
        </w:tc>
        <w:tc>
          <w:tcPr>
            <w:tcW w:w="1215" w:type="dxa"/>
            <w:tcBorders>
              <w:top w:val="single" w:sz="2" w:space="0" w:color="auto"/>
              <w:bottom w:val="single" w:sz="2" w:space="0" w:color="auto"/>
            </w:tcBorders>
            <w:shd w:val="clear" w:color="auto" w:fill="auto"/>
            <w:noWrap/>
            <w:vAlign w:val="center"/>
          </w:tcPr>
          <w:p w:rsidR="001F651C" w:rsidRPr="00730AE6" w:rsidRDefault="001F651C" w:rsidP="00B77B93">
            <w:pPr>
              <w:spacing w:after="0"/>
              <w:ind w:firstLine="0"/>
              <w:jc w:val="right"/>
              <w:rPr>
                <w:rFonts w:ascii="Arial Narrow" w:hAnsi="Arial Narrow"/>
                <w:lang w:val="es-ES" w:eastAsia="es-ES"/>
              </w:rPr>
            </w:pPr>
            <w:r w:rsidRPr="00730AE6">
              <w:rPr>
                <w:rFonts w:ascii="Arial Narrow" w:hAnsi="Arial Narrow"/>
                <w:lang w:val="es-ES" w:eastAsia="es-ES"/>
              </w:rPr>
              <w:t>80</w:t>
            </w:r>
          </w:p>
        </w:tc>
      </w:tr>
      <w:tr w:rsidR="001F651C" w:rsidRPr="00730AE6" w:rsidTr="00317F02">
        <w:trPr>
          <w:trHeight w:val="284"/>
          <w:jc w:val="center"/>
        </w:trPr>
        <w:tc>
          <w:tcPr>
            <w:tcW w:w="3608" w:type="dxa"/>
            <w:tcBorders>
              <w:top w:val="single" w:sz="2" w:space="0" w:color="auto"/>
              <w:bottom w:val="single" w:sz="2" w:space="0" w:color="auto"/>
            </w:tcBorders>
            <w:shd w:val="clear" w:color="auto" w:fill="auto"/>
            <w:noWrap/>
            <w:vAlign w:val="center"/>
          </w:tcPr>
          <w:p w:rsidR="001F651C" w:rsidRPr="00730AE6" w:rsidRDefault="001F651C" w:rsidP="00B77B93">
            <w:pPr>
              <w:spacing w:after="0"/>
              <w:ind w:firstLine="0"/>
              <w:jc w:val="left"/>
              <w:rPr>
                <w:rFonts w:ascii="Arial Narrow" w:hAnsi="Arial Narrow"/>
                <w:lang w:val="es-ES" w:eastAsia="es-ES"/>
              </w:rPr>
            </w:pPr>
            <w:r w:rsidRPr="00730AE6">
              <w:rPr>
                <w:rFonts w:ascii="Arial Narrow" w:hAnsi="Arial Narrow"/>
                <w:lang w:val="es-ES" w:eastAsia="es-ES"/>
              </w:rPr>
              <w:t>Gastos Transferencias</w:t>
            </w:r>
          </w:p>
        </w:tc>
        <w:tc>
          <w:tcPr>
            <w:tcW w:w="913" w:type="dxa"/>
            <w:tcBorders>
              <w:top w:val="single" w:sz="2" w:space="0" w:color="auto"/>
              <w:bottom w:val="single" w:sz="2" w:space="0" w:color="auto"/>
              <w:right w:val="single" w:sz="2" w:space="0" w:color="auto"/>
            </w:tcBorders>
            <w:shd w:val="clear" w:color="auto" w:fill="auto"/>
            <w:noWrap/>
            <w:vAlign w:val="center"/>
          </w:tcPr>
          <w:p w:rsidR="001F651C" w:rsidRPr="00730AE6" w:rsidRDefault="001F651C" w:rsidP="00B77B93">
            <w:pPr>
              <w:spacing w:after="0"/>
              <w:ind w:right="95" w:firstLine="0"/>
              <w:jc w:val="right"/>
              <w:rPr>
                <w:rFonts w:ascii="Arial Narrow" w:hAnsi="Arial Narrow"/>
                <w:lang w:val="es-ES" w:eastAsia="es-ES"/>
              </w:rPr>
            </w:pPr>
            <w:r w:rsidRPr="00730AE6">
              <w:rPr>
                <w:rFonts w:ascii="Arial Narrow" w:hAnsi="Arial Narrow"/>
                <w:lang w:val="es-ES" w:eastAsia="es-ES"/>
              </w:rPr>
              <w:t>3</w:t>
            </w:r>
          </w:p>
        </w:tc>
        <w:tc>
          <w:tcPr>
            <w:tcW w:w="3165" w:type="dxa"/>
            <w:tcBorders>
              <w:top w:val="single" w:sz="2" w:space="0" w:color="auto"/>
              <w:left w:val="single" w:sz="2" w:space="0" w:color="auto"/>
              <w:bottom w:val="single" w:sz="2" w:space="0" w:color="auto"/>
            </w:tcBorders>
            <w:shd w:val="clear" w:color="auto" w:fill="auto"/>
            <w:noWrap/>
            <w:vAlign w:val="center"/>
          </w:tcPr>
          <w:p w:rsidR="001F651C" w:rsidRPr="00730AE6" w:rsidRDefault="001F651C" w:rsidP="00B77B93">
            <w:pPr>
              <w:pStyle w:val="texto"/>
              <w:spacing w:after="0"/>
              <w:ind w:left="164" w:firstLine="0"/>
              <w:rPr>
                <w:rFonts w:ascii="GillSans Light" w:hAnsi="GillSans Light" w:cs="Arial"/>
                <w:b/>
                <w:sz w:val="20"/>
                <w:szCs w:val="20"/>
              </w:rPr>
            </w:pPr>
            <w:r w:rsidRPr="00730AE6">
              <w:rPr>
                <w:rFonts w:ascii="Arial Narrow" w:hAnsi="Arial Narrow"/>
                <w:sz w:val="20"/>
                <w:szCs w:val="20"/>
                <w:lang w:val="es-ES" w:eastAsia="es-ES"/>
              </w:rPr>
              <w:t>Pasivos financieros</w:t>
            </w:r>
          </w:p>
        </w:tc>
        <w:tc>
          <w:tcPr>
            <w:tcW w:w="1215" w:type="dxa"/>
            <w:tcBorders>
              <w:top w:val="single" w:sz="2" w:space="0" w:color="auto"/>
              <w:bottom w:val="single" w:sz="2" w:space="0" w:color="auto"/>
            </w:tcBorders>
            <w:shd w:val="clear" w:color="auto" w:fill="auto"/>
            <w:noWrap/>
            <w:vAlign w:val="center"/>
          </w:tcPr>
          <w:p w:rsidR="001F651C" w:rsidRPr="00730AE6" w:rsidRDefault="001F651C" w:rsidP="00B77B93">
            <w:pPr>
              <w:spacing w:after="0"/>
              <w:ind w:firstLine="0"/>
              <w:jc w:val="right"/>
              <w:rPr>
                <w:rFonts w:ascii="Arial Narrow" w:hAnsi="Arial Narrow"/>
                <w:lang w:val="es-ES" w:eastAsia="es-ES"/>
              </w:rPr>
            </w:pPr>
            <w:r w:rsidRPr="00730AE6">
              <w:rPr>
                <w:rFonts w:ascii="Arial Narrow" w:hAnsi="Arial Narrow"/>
                <w:lang w:val="es-ES" w:eastAsia="es-ES"/>
              </w:rPr>
              <w:t>1</w:t>
            </w:r>
          </w:p>
        </w:tc>
      </w:tr>
      <w:tr w:rsidR="001F651C" w:rsidRPr="00730AE6" w:rsidTr="00317F02">
        <w:trPr>
          <w:trHeight w:val="284"/>
          <w:jc w:val="center"/>
        </w:trPr>
        <w:tc>
          <w:tcPr>
            <w:tcW w:w="3608" w:type="dxa"/>
            <w:tcBorders>
              <w:top w:val="single" w:sz="2" w:space="0" w:color="auto"/>
              <w:bottom w:val="single" w:sz="4" w:space="0" w:color="auto"/>
            </w:tcBorders>
            <w:shd w:val="clear" w:color="auto" w:fill="auto"/>
            <w:noWrap/>
            <w:vAlign w:val="center"/>
          </w:tcPr>
          <w:p w:rsidR="001F651C" w:rsidRPr="00730AE6" w:rsidRDefault="001F651C" w:rsidP="00B77B93">
            <w:pPr>
              <w:spacing w:after="0"/>
              <w:ind w:firstLine="0"/>
              <w:jc w:val="left"/>
              <w:rPr>
                <w:rFonts w:ascii="Arial Narrow" w:hAnsi="Arial Narrow"/>
                <w:lang w:val="es-ES" w:eastAsia="es-ES"/>
              </w:rPr>
            </w:pPr>
            <w:r w:rsidRPr="00730AE6">
              <w:rPr>
                <w:rFonts w:ascii="Arial Narrow" w:hAnsi="Arial Narrow"/>
                <w:lang w:val="es-ES" w:eastAsia="es-ES"/>
              </w:rPr>
              <w:t>Inversiones reales</w:t>
            </w:r>
          </w:p>
        </w:tc>
        <w:tc>
          <w:tcPr>
            <w:tcW w:w="913" w:type="dxa"/>
            <w:tcBorders>
              <w:top w:val="single" w:sz="2" w:space="0" w:color="auto"/>
              <w:bottom w:val="single" w:sz="4" w:space="0" w:color="auto"/>
              <w:right w:val="single" w:sz="2" w:space="0" w:color="auto"/>
            </w:tcBorders>
            <w:shd w:val="clear" w:color="auto" w:fill="auto"/>
            <w:noWrap/>
            <w:vAlign w:val="center"/>
          </w:tcPr>
          <w:p w:rsidR="001F651C" w:rsidRPr="00730AE6" w:rsidRDefault="001F651C" w:rsidP="00B77B93">
            <w:pPr>
              <w:spacing w:after="0"/>
              <w:ind w:right="95" w:firstLine="0"/>
              <w:jc w:val="right"/>
              <w:rPr>
                <w:rFonts w:ascii="Arial Narrow" w:hAnsi="Arial Narrow"/>
                <w:lang w:val="es-ES" w:eastAsia="es-ES"/>
              </w:rPr>
            </w:pPr>
            <w:r w:rsidRPr="00730AE6">
              <w:rPr>
                <w:rFonts w:ascii="Arial Narrow" w:hAnsi="Arial Narrow"/>
                <w:lang w:val="es-ES" w:eastAsia="es-ES"/>
              </w:rPr>
              <w:t>6</w:t>
            </w:r>
          </w:p>
        </w:tc>
        <w:tc>
          <w:tcPr>
            <w:tcW w:w="3165" w:type="dxa"/>
            <w:tcBorders>
              <w:top w:val="single" w:sz="2" w:space="0" w:color="auto"/>
              <w:left w:val="single" w:sz="2" w:space="0" w:color="auto"/>
              <w:bottom w:val="single" w:sz="4" w:space="0" w:color="auto"/>
            </w:tcBorders>
            <w:shd w:val="clear" w:color="auto" w:fill="auto"/>
            <w:noWrap/>
            <w:vAlign w:val="center"/>
          </w:tcPr>
          <w:p w:rsidR="001F651C" w:rsidRPr="00730AE6" w:rsidRDefault="001F651C" w:rsidP="00B77B93">
            <w:pPr>
              <w:spacing w:after="0"/>
              <w:ind w:left="164" w:firstLine="0"/>
              <w:jc w:val="left"/>
              <w:rPr>
                <w:rFonts w:ascii="GillSans Light" w:hAnsi="GillSans Light" w:cs="Arial"/>
                <w:b/>
              </w:rPr>
            </w:pPr>
          </w:p>
        </w:tc>
        <w:tc>
          <w:tcPr>
            <w:tcW w:w="1215" w:type="dxa"/>
            <w:tcBorders>
              <w:top w:val="single" w:sz="2" w:space="0" w:color="auto"/>
              <w:bottom w:val="single" w:sz="4" w:space="0" w:color="auto"/>
            </w:tcBorders>
            <w:shd w:val="clear" w:color="auto" w:fill="auto"/>
            <w:noWrap/>
            <w:vAlign w:val="center"/>
          </w:tcPr>
          <w:p w:rsidR="001F651C" w:rsidRPr="00730AE6" w:rsidRDefault="001F651C" w:rsidP="00B77B93">
            <w:pPr>
              <w:spacing w:after="0"/>
              <w:ind w:firstLine="0"/>
              <w:jc w:val="right"/>
              <w:rPr>
                <w:rFonts w:ascii="Arial Narrow" w:hAnsi="Arial Narrow"/>
                <w:lang w:val="es-ES" w:eastAsia="es-ES"/>
              </w:rPr>
            </w:pPr>
          </w:p>
        </w:tc>
      </w:tr>
      <w:tr w:rsidR="001F651C" w:rsidRPr="00730AE6" w:rsidTr="00317F02">
        <w:trPr>
          <w:trHeight w:val="284"/>
          <w:jc w:val="center"/>
        </w:trPr>
        <w:tc>
          <w:tcPr>
            <w:tcW w:w="3608" w:type="dxa"/>
            <w:tcBorders>
              <w:top w:val="single" w:sz="4" w:space="0" w:color="auto"/>
              <w:bottom w:val="single" w:sz="4" w:space="0" w:color="auto"/>
            </w:tcBorders>
            <w:shd w:val="clear" w:color="auto" w:fill="A8CBEE" w:themeFill="accent2" w:themeFillTint="66"/>
            <w:noWrap/>
            <w:vAlign w:val="center"/>
          </w:tcPr>
          <w:p w:rsidR="001F651C" w:rsidRPr="00730AE6" w:rsidRDefault="001F651C" w:rsidP="00B77B93">
            <w:pPr>
              <w:pStyle w:val="texto"/>
              <w:spacing w:after="0"/>
              <w:ind w:firstLine="0"/>
              <w:rPr>
                <w:rFonts w:ascii="Arial" w:hAnsi="Arial" w:cs="Arial"/>
                <w:b/>
                <w:sz w:val="20"/>
              </w:rPr>
            </w:pPr>
            <w:r w:rsidRPr="00730AE6">
              <w:rPr>
                <w:rFonts w:ascii="Arial" w:hAnsi="Arial" w:cs="Arial"/>
                <w:b/>
                <w:sz w:val="20"/>
              </w:rPr>
              <w:t> </w:t>
            </w:r>
          </w:p>
        </w:tc>
        <w:tc>
          <w:tcPr>
            <w:tcW w:w="913" w:type="dxa"/>
            <w:tcBorders>
              <w:top w:val="single" w:sz="4" w:space="0" w:color="auto"/>
              <w:bottom w:val="single" w:sz="4" w:space="0" w:color="auto"/>
              <w:right w:val="single" w:sz="2" w:space="0" w:color="auto"/>
            </w:tcBorders>
            <w:shd w:val="clear" w:color="auto" w:fill="A8CBEE" w:themeFill="accent2" w:themeFillTint="66"/>
            <w:noWrap/>
            <w:vAlign w:val="center"/>
          </w:tcPr>
          <w:p w:rsidR="001F651C" w:rsidRPr="00730AE6" w:rsidRDefault="001F651C" w:rsidP="00BE100A">
            <w:pPr>
              <w:spacing w:after="0"/>
              <w:ind w:right="95" w:firstLine="0"/>
              <w:jc w:val="right"/>
              <w:rPr>
                <w:rFonts w:ascii="Arial" w:hAnsi="Arial" w:cs="Arial"/>
                <w:sz w:val="18"/>
                <w:szCs w:val="18"/>
                <w:lang w:val="es-ES" w:eastAsia="es-ES"/>
              </w:rPr>
            </w:pPr>
            <w:r w:rsidRPr="00730AE6">
              <w:rPr>
                <w:rFonts w:ascii="Arial" w:hAnsi="Arial" w:cs="Arial"/>
                <w:sz w:val="18"/>
                <w:szCs w:val="18"/>
                <w:lang w:val="es-ES" w:eastAsia="es-ES"/>
              </w:rPr>
              <w:t xml:space="preserve">100 </w:t>
            </w:r>
          </w:p>
        </w:tc>
        <w:tc>
          <w:tcPr>
            <w:tcW w:w="3165" w:type="dxa"/>
            <w:tcBorders>
              <w:top w:val="single" w:sz="4" w:space="0" w:color="auto"/>
              <w:left w:val="single" w:sz="2" w:space="0" w:color="auto"/>
              <w:bottom w:val="single" w:sz="4" w:space="0" w:color="auto"/>
            </w:tcBorders>
            <w:shd w:val="clear" w:color="auto" w:fill="A8CBEE" w:themeFill="accent2" w:themeFillTint="66"/>
            <w:noWrap/>
            <w:vAlign w:val="center"/>
          </w:tcPr>
          <w:p w:rsidR="001F651C" w:rsidRPr="00730AE6" w:rsidRDefault="001F651C" w:rsidP="00B77B93">
            <w:pPr>
              <w:pStyle w:val="texto"/>
              <w:spacing w:after="0"/>
              <w:ind w:left="164" w:firstLine="0"/>
              <w:rPr>
                <w:rFonts w:ascii="Arial" w:hAnsi="Arial" w:cs="Arial"/>
                <w:b/>
                <w:sz w:val="20"/>
              </w:rPr>
            </w:pPr>
            <w:r w:rsidRPr="00730AE6">
              <w:rPr>
                <w:rFonts w:ascii="Arial" w:hAnsi="Arial" w:cs="Arial"/>
                <w:b/>
                <w:sz w:val="20"/>
              </w:rPr>
              <w:t> </w:t>
            </w:r>
          </w:p>
        </w:tc>
        <w:tc>
          <w:tcPr>
            <w:tcW w:w="1215" w:type="dxa"/>
            <w:tcBorders>
              <w:top w:val="single" w:sz="4" w:space="0" w:color="auto"/>
              <w:bottom w:val="single" w:sz="4" w:space="0" w:color="auto"/>
            </w:tcBorders>
            <w:shd w:val="clear" w:color="auto" w:fill="A8CBEE" w:themeFill="accent2" w:themeFillTint="66"/>
            <w:noWrap/>
            <w:vAlign w:val="center"/>
          </w:tcPr>
          <w:p w:rsidR="001F651C" w:rsidRPr="00730AE6" w:rsidRDefault="001F651C" w:rsidP="00BE100A">
            <w:pPr>
              <w:spacing w:after="0"/>
              <w:ind w:firstLine="0"/>
              <w:jc w:val="right"/>
              <w:rPr>
                <w:rFonts w:ascii="Arial" w:hAnsi="Arial" w:cs="Arial"/>
                <w:sz w:val="18"/>
                <w:szCs w:val="18"/>
                <w:lang w:val="es-ES" w:eastAsia="es-ES"/>
              </w:rPr>
            </w:pPr>
            <w:r w:rsidRPr="00730AE6">
              <w:rPr>
                <w:rFonts w:ascii="Arial" w:hAnsi="Arial" w:cs="Arial"/>
                <w:sz w:val="18"/>
                <w:szCs w:val="18"/>
                <w:lang w:val="es-ES" w:eastAsia="es-ES"/>
              </w:rPr>
              <w:t xml:space="preserve">100 </w:t>
            </w:r>
          </w:p>
        </w:tc>
      </w:tr>
    </w:tbl>
    <w:p w:rsidR="009014ED" w:rsidRDefault="009014ED" w:rsidP="00ED0BB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240" w:after="0"/>
        <w:ind w:left="0" w:firstLine="289"/>
        <w:rPr>
          <w:szCs w:val="26"/>
        </w:rPr>
      </w:pPr>
      <w:r w:rsidRPr="00730AE6">
        <w:rPr>
          <w:szCs w:val="26"/>
        </w:rPr>
        <w:t xml:space="preserve">Políticas de gasto. En el cuadro siguiente se muestra, las políticas de gasto de la </w:t>
      </w:r>
      <w:r w:rsidR="00A32A9C">
        <w:rPr>
          <w:szCs w:val="26"/>
        </w:rPr>
        <w:t>Universidad</w:t>
      </w:r>
      <w:r w:rsidRPr="00730AE6">
        <w:rPr>
          <w:szCs w:val="26"/>
        </w:rPr>
        <w:t xml:space="preserve"> en 2017: </w:t>
      </w:r>
    </w:p>
    <w:p w:rsidR="006A5BD5" w:rsidRPr="00BC5BE8" w:rsidRDefault="006A5BD5" w:rsidP="004B700E">
      <w:pPr>
        <w:pStyle w:val="texto"/>
        <w:tabs>
          <w:tab w:val="clear" w:pos="2835"/>
          <w:tab w:val="clear" w:pos="3969"/>
          <w:tab w:val="clear" w:pos="5103"/>
          <w:tab w:val="clear" w:pos="6237"/>
          <w:tab w:val="clear" w:pos="7371"/>
          <w:tab w:val="left" w:pos="480"/>
          <w:tab w:val="num" w:pos="928"/>
          <w:tab w:val="num" w:pos="6597"/>
        </w:tabs>
        <w:spacing w:after="0"/>
        <w:ind w:left="568" w:firstLine="0"/>
        <w:jc w:val="right"/>
        <w:rPr>
          <w:rFonts w:ascii="Arial" w:hAnsi="Arial" w:cs="Arial"/>
          <w:sz w:val="18"/>
          <w:szCs w:val="18"/>
        </w:rPr>
      </w:pPr>
      <w:r w:rsidRPr="00BC5BE8">
        <w:rPr>
          <w:rFonts w:ascii="Arial" w:hAnsi="Arial" w:cs="Arial"/>
          <w:sz w:val="18"/>
          <w:szCs w:val="18"/>
        </w:rPr>
        <w:t>(</w:t>
      </w:r>
      <w:r w:rsidR="00A6733C" w:rsidRPr="00BC5BE8">
        <w:rPr>
          <w:rFonts w:ascii="Arial" w:hAnsi="Arial" w:cs="Arial"/>
          <w:sz w:val="18"/>
          <w:szCs w:val="18"/>
        </w:rPr>
        <w:t>En m</w:t>
      </w:r>
      <w:r w:rsidRPr="00BC5BE8">
        <w:rPr>
          <w:rFonts w:ascii="Arial" w:hAnsi="Arial" w:cs="Arial"/>
          <w:sz w:val="18"/>
          <w:szCs w:val="18"/>
        </w:rPr>
        <w:t>iles de euros)</w:t>
      </w:r>
    </w:p>
    <w:tbl>
      <w:tblPr>
        <w:tblW w:w="4989" w:type="pct"/>
        <w:jc w:val="center"/>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741"/>
        <w:gridCol w:w="2944"/>
        <w:gridCol w:w="1254"/>
        <w:gridCol w:w="25"/>
        <w:gridCol w:w="1227"/>
        <w:gridCol w:w="54"/>
        <w:gridCol w:w="1302"/>
        <w:gridCol w:w="103"/>
        <w:gridCol w:w="1283"/>
        <w:gridCol w:w="118"/>
      </w:tblGrid>
      <w:tr w:rsidR="00775BA2" w:rsidRPr="00730AE6" w:rsidTr="00BC5BE8">
        <w:trPr>
          <w:gridAfter w:val="1"/>
          <w:wAfter w:w="65" w:type="pct"/>
          <w:trHeight w:val="255"/>
          <w:jc w:val="center"/>
        </w:trPr>
        <w:tc>
          <w:tcPr>
            <w:tcW w:w="2035" w:type="pct"/>
            <w:gridSpan w:val="2"/>
            <w:shd w:val="clear" w:color="auto" w:fill="A8CBEE" w:themeFill="accent2" w:themeFillTint="66"/>
            <w:vAlign w:val="center"/>
          </w:tcPr>
          <w:p w:rsidR="009014ED" w:rsidRPr="00730AE6" w:rsidRDefault="009014ED" w:rsidP="009014ED">
            <w:pPr>
              <w:tabs>
                <w:tab w:val="left" w:pos="4540"/>
              </w:tabs>
              <w:spacing w:after="0"/>
              <w:ind w:right="836" w:firstLine="0"/>
              <w:rPr>
                <w:rFonts w:ascii="Arial" w:hAnsi="Arial" w:cs="Arial"/>
                <w:bCs/>
                <w:color w:val="000000"/>
                <w:sz w:val="18"/>
                <w:szCs w:val="18"/>
                <w:lang w:val="es-ES" w:eastAsia="es-ES"/>
              </w:rPr>
            </w:pPr>
            <w:r w:rsidRPr="00730AE6">
              <w:rPr>
                <w:rFonts w:ascii="Arial" w:hAnsi="Arial" w:cs="Arial"/>
                <w:bCs/>
                <w:color w:val="000000"/>
                <w:sz w:val="18"/>
                <w:szCs w:val="18"/>
                <w:lang w:val="es-ES" w:eastAsia="es-ES"/>
              </w:rPr>
              <w:t xml:space="preserve">Política de gasto </w:t>
            </w:r>
          </w:p>
        </w:tc>
        <w:tc>
          <w:tcPr>
            <w:tcW w:w="707" w:type="pct"/>
            <w:gridSpan w:val="2"/>
            <w:shd w:val="clear" w:color="auto" w:fill="A8CBEE" w:themeFill="accent2" w:themeFillTint="66"/>
            <w:vAlign w:val="center"/>
          </w:tcPr>
          <w:p w:rsidR="00BD4A3C" w:rsidRDefault="009014ED" w:rsidP="00BD4A3C">
            <w:pPr>
              <w:spacing w:after="0"/>
              <w:ind w:firstLine="0"/>
              <w:jc w:val="right"/>
              <w:rPr>
                <w:rFonts w:ascii="Arial" w:hAnsi="Arial" w:cs="Arial"/>
                <w:bCs/>
                <w:color w:val="000000"/>
                <w:sz w:val="18"/>
                <w:szCs w:val="18"/>
                <w:lang w:val="es-ES" w:eastAsia="es-ES"/>
              </w:rPr>
            </w:pPr>
            <w:r w:rsidRPr="00730AE6">
              <w:rPr>
                <w:rFonts w:ascii="Arial" w:hAnsi="Arial" w:cs="Arial"/>
                <w:bCs/>
                <w:color w:val="000000"/>
                <w:sz w:val="18"/>
                <w:szCs w:val="18"/>
                <w:lang w:val="es-ES" w:eastAsia="es-ES"/>
              </w:rPr>
              <w:t>Crédito</w:t>
            </w:r>
          </w:p>
          <w:p w:rsidR="009014ED" w:rsidRPr="00730AE6" w:rsidRDefault="009014ED" w:rsidP="00BD4A3C">
            <w:pPr>
              <w:spacing w:after="0"/>
              <w:ind w:firstLine="0"/>
              <w:jc w:val="right"/>
              <w:rPr>
                <w:rFonts w:ascii="Arial" w:hAnsi="Arial" w:cs="Arial"/>
                <w:bCs/>
                <w:color w:val="000000"/>
                <w:sz w:val="18"/>
                <w:szCs w:val="18"/>
                <w:lang w:val="es-ES" w:eastAsia="es-ES"/>
              </w:rPr>
            </w:pPr>
            <w:r w:rsidRPr="00730AE6">
              <w:rPr>
                <w:rFonts w:ascii="Arial" w:hAnsi="Arial" w:cs="Arial"/>
                <w:bCs/>
                <w:color w:val="000000"/>
                <w:sz w:val="18"/>
                <w:szCs w:val="18"/>
                <w:lang w:val="es-ES" w:eastAsia="es-ES"/>
              </w:rPr>
              <w:t xml:space="preserve"> inicial</w:t>
            </w:r>
          </w:p>
        </w:tc>
        <w:tc>
          <w:tcPr>
            <w:tcW w:w="708" w:type="pct"/>
            <w:gridSpan w:val="2"/>
            <w:shd w:val="clear" w:color="auto" w:fill="A8CBEE" w:themeFill="accent2" w:themeFillTint="66"/>
            <w:vAlign w:val="center"/>
          </w:tcPr>
          <w:p w:rsidR="00BD4A3C" w:rsidRDefault="009014ED" w:rsidP="004B700E">
            <w:pPr>
              <w:spacing w:after="0"/>
              <w:ind w:firstLine="0"/>
              <w:jc w:val="right"/>
              <w:rPr>
                <w:rFonts w:ascii="Arial" w:hAnsi="Arial" w:cs="Arial"/>
                <w:bCs/>
                <w:color w:val="000000"/>
                <w:sz w:val="18"/>
                <w:szCs w:val="18"/>
                <w:lang w:val="es-ES" w:eastAsia="es-ES"/>
              </w:rPr>
            </w:pPr>
            <w:r w:rsidRPr="00730AE6">
              <w:rPr>
                <w:rFonts w:ascii="Arial" w:hAnsi="Arial" w:cs="Arial"/>
                <w:bCs/>
                <w:color w:val="000000"/>
                <w:sz w:val="18"/>
                <w:szCs w:val="18"/>
                <w:lang w:val="es-ES" w:eastAsia="es-ES"/>
              </w:rPr>
              <w:t xml:space="preserve">Crédito </w:t>
            </w:r>
          </w:p>
          <w:p w:rsidR="009014ED" w:rsidRPr="00730AE6" w:rsidRDefault="009014ED" w:rsidP="004B700E">
            <w:pPr>
              <w:spacing w:after="0"/>
              <w:ind w:firstLine="0"/>
              <w:jc w:val="right"/>
              <w:rPr>
                <w:rFonts w:ascii="Arial" w:hAnsi="Arial" w:cs="Arial"/>
                <w:bCs/>
                <w:color w:val="000000"/>
                <w:sz w:val="18"/>
                <w:szCs w:val="18"/>
                <w:lang w:val="es-ES" w:eastAsia="es-ES"/>
              </w:rPr>
            </w:pPr>
            <w:r w:rsidRPr="00730AE6">
              <w:rPr>
                <w:rFonts w:ascii="Arial" w:hAnsi="Arial" w:cs="Arial"/>
                <w:bCs/>
                <w:color w:val="000000"/>
                <w:sz w:val="18"/>
                <w:szCs w:val="18"/>
                <w:lang w:val="es-ES" w:eastAsia="es-ES"/>
              </w:rPr>
              <w:t>definitivo</w:t>
            </w:r>
          </w:p>
        </w:tc>
        <w:tc>
          <w:tcPr>
            <w:tcW w:w="719" w:type="pct"/>
            <w:shd w:val="clear" w:color="auto" w:fill="A8CBEE" w:themeFill="accent2" w:themeFillTint="66"/>
            <w:vAlign w:val="center"/>
          </w:tcPr>
          <w:p w:rsidR="009014ED" w:rsidRPr="00730AE6" w:rsidRDefault="009014ED" w:rsidP="004B700E">
            <w:pPr>
              <w:spacing w:after="0"/>
              <w:ind w:right="353" w:firstLine="0"/>
              <w:jc w:val="right"/>
              <w:rPr>
                <w:rFonts w:ascii="Arial" w:hAnsi="Arial" w:cs="Arial"/>
                <w:bCs/>
                <w:color w:val="000000"/>
                <w:sz w:val="18"/>
                <w:szCs w:val="18"/>
                <w:lang w:val="es-ES" w:eastAsia="es-ES"/>
              </w:rPr>
            </w:pPr>
            <w:r w:rsidRPr="00730AE6">
              <w:rPr>
                <w:rFonts w:ascii="Arial" w:hAnsi="Arial" w:cs="Arial"/>
                <w:bCs/>
                <w:color w:val="000000"/>
                <w:sz w:val="18"/>
                <w:szCs w:val="18"/>
                <w:lang w:val="es-ES" w:eastAsia="es-ES"/>
              </w:rPr>
              <w:t>Ejecutado</w:t>
            </w:r>
          </w:p>
        </w:tc>
        <w:tc>
          <w:tcPr>
            <w:tcW w:w="766" w:type="pct"/>
            <w:gridSpan w:val="2"/>
            <w:shd w:val="clear" w:color="auto" w:fill="A8CBEE" w:themeFill="accent2" w:themeFillTint="66"/>
            <w:vAlign w:val="center"/>
          </w:tcPr>
          <w:p w:rsidR="009014ED" w:rsidRPr="00730AE6" w:rsidRDefault="00A6733C" w:rsidP="006A697C">
            <w:pPr>
              <w:tabs>
                <w:tab w:val="left" w:pos="901"/>
              </w:tabs>
              <w:spacing w:after="0"/>
              <w:ind w:right="156" w:firstLine="76"/>
              <w:jc w:val="right"/>
              <w:rPr>
                <w:rFonts w:ascii="Arial" w:hAnsi="Arial" w:cs="Arial"/>
                <w:bCs/>
                <w:color w:val="000000"/>
                <w:sz w:val="18"/>
                <w:szCs w:val="18"/>
                <w:lang w:val="es-ES" w:eastAsia="es-ES"/>
              </w:rPr>
            </w:pPr>
            <w:r>
              <w:rPr>
                <w:rFonts w:ascii="Arial" w:hAnsi="Arial" w:cs="Arial"/>
                <w:bCs/>
                <w:color w:val="000000"/>
                <w:sz w:val="18"/>
                <w:szCs w:val="18"/>
                <w:lang w:val="es-ES" w:eastAsia="es-ES"/>
              </w:rPr>
              <w:t>% Ejecución</w:t>
            </w:r>
          </w:p>
        </w:tc>
      </w:tr>
      <w:tr w:rsidR="00775BA2" w:rsidRPr="00730AE6" w:rsidTr="00BC5BE8">
        <w:trPr>
          <w:gridAfter w:val="1"/>
          <w:wAfter w:w="65" w:type="pct"/>
          <w:trHeight w:val="255"/>
          <w:jc w:val="center"/>
        </w:trPr>
        <w:tc>
          <w:tcPr>
            <w:tcW w:w="2035" w:type="pct"/>
            <w:gridSpan w:val="2"/>
            <w:tcBorders>
              <w:bottom w:val="single" w:sz="2" w:space="0" w:color="auto"/>
            </w:tcBorders>
            <w:noWrap/>
            <w:vAlign w:val="center"/>
          </w:tcPr>
          <w:p w:rsidR="009014ED" w:rsidRPr="00730AE6" w:rsidRDefault="009014ED" w:rsidP="00B77B93">
            <w:pPr>
              <w:spacing w:after="0"/>
              <w:ind w:firstLine="0"/>
              <w:jc w:val="left"/>
              <w:rPr>
                <w:rFonts w:ascii="Arial Narrow" w:hAnsi="Arial Narrow"/>
                <w:sz w:val="18"/>
                <w:szCs w:val="18"/>
                <w:lang w:val="es-ES" w:eastAsia="es-ES"/>
              </w:rPr>
            </w:pPr>
            <w:r w:rsidRPr="00730AE6">
              <w:rPr>
                <w:rFonts w:ascii="Arial Narrow" w:hAnsi="Arial Narrow"/>
                <w:sz w:val="18"/>
                <w:szCs w:val="18"/>
                <w:lang w:val="es-ES" w:eastAsia="es-ES"/>
              </w:rPr>
              <w:t>1 Gestión Docencia</w:t>
            </w:r>
          </w:p>
        </w:tc>
        <w:tc>
          <w:tcPr>
            <w:tcW w:w="707" w:type="pct"/>
            <w:gridSpan w:val="2"/>
            <w:tcBorders>
              <w:bottom w:val="single" w:sz="2" w:space="0" w:color="auto"/>
            </w:tcBorders>
            <w:vAlign w:val="center"/>
          </w:tcPr>
          <w:p w:rsidR="009014ED" w:rsidRPr="00730AE6" w:rsidRDefault="009014ED" w:rsidP="00BD4A3C">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3.119</w:t>
            </w:r>
          </w:p>
        </w:tc>
        <w:tc>
          <w:tcPr>
            <w:tcW w:w="708" w:type="pct"/>
            <w:gridSpan w:val="2"/>
            <w:tcBorders>
              <w:bottom w:val="single" w:sz="2" w:space="0" w:color="auto"/>
            </w:tcBorders>
            <w:noWrap/>
            <w:vAlign w:val="center"/>
          </w:tcPr>
          <w:p w:rsidR="009014ED" w:rsidRPr="00730AE6" w:rsidRDefault="009014ED" w:rsidP="004B700E">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4.525</w:t>
            </w:r>
          </w:p>
        </w:tc>
        <w:tc>
          <w:tcPr>
            <w:tcW w:w="719" w:type="pct"/>
            <w:tcBorders>
              <w:bottom w:val="single" w:sz="2" w:space="0" w:color="auto"/>
            </w:tcBorders>
            <w:vAlign w:val="center"/>
          </w:tcPr>
          <w:p w:rsidR="009014ED" w:rsidRPr="00730AE6" w:rsidRDefault="009014ED" w:rsidP="004B700E">
            <w:pPr>
              <w:spacing w:after="0"/>
              <w:ind w:right="353" w:firstLine="0"/>
              <w:jc w:val="right"/>
              <w:rPr>
                <w:rFonts w:ascii="Arial Narrow" w:hAnsi="Arial Narrow"/>
                <w:sz w:val="18"/>
                <w:szCs w:val="18"/>
                <w:lang w:val="es-ES" w:eastAsia="es-ES"/>
              </w:rPr>
            </w:pPr>
            <w:r w:rsidRPr="00730AE6">
              <w:rPr>
                <w:rFonts w:ascii="Arial Narrow" w:hAnsi="Arial Narrow"/>
                <w:sz w:val="18"/>
                <w:szCs w:val="18"/>
                <w:lang w:val="es-ES" w:eastAsia="es-ES"/>
              </w:rPr>
              <w:t>4.257</w:t>
            </w:r>
          </w:p>
        </w:tc>
        <w:tc>
          <w:tcPr>
            <w:tcW w:w="766" w:type="pct"/>
            <w:gridSpan w:val="2"/>
            <w:tcBorders>
              <w:bottom w:val="single" w:sz="2" w:space="0" w:color="auto"/>
            </w:tcBorders>
            <w:vAlign w:val="center"/>
          </w:tcPr>
          <w:p w:rsidR="009014ED" w:rsidRPr="00730AE6" w:rsidRDefault="009014ED" w:rsidP="006A697C">
            <w:pPr>
              <w:spacing w:after="0"/>
              <w:ind w:right="156" w:firstLine="76"/>
              <w:jc w:val="right"/>
              <w:rPr>
                <w:rFonts w:ascii="Arial Narrow" w:hAnsi="Arial Narrow"/>
                <w:sz w:val="18"/>
                <w:szCs w:val="18"/>
                <w:lang w:val="es-ES" w:eastAsia="es-ES"/>
              </w:rPr>
            </w:pPr>
            <w:r w:rsidRPr="00730AE6">
              <w:rPr>
                <w:rFonts w:ascii="Arial Narrow" w:hAnsi="Arial Narrow"/>
                <w:sz w:val="18"/>
                <w:szCs w:val="18"/>
                <w:lang w:val="es-ES" w:eastAsia="es-ES"/>
              </w:rPr>
              <w:t>5</w:t>
            </w:r>
          </w:p>
        </w:tc>
      </w:tr>
      <w:tr w:rsidR="00775BA2" w:rsidRPr="00730AE6" w:rsidTr="00BC5BE8">
        <w:trPr>
          <w:gridAfter w:val="1"/>
          <w:wAfter w:w="65" w:type="pct"/>
          <w:trHeight w:val="255"/>
          <w:jc w:val="center"/>
        </w:trPr>
        <w:tc>
          <w:tcPr>
            <w:tcW w:w="2035" w:type="pct"/>
            <w:gridSpan w:val="2"/>
            <w:tcBorders>
              <w:top w:val="single" w:sz="2" w:space="0" w:color="auto"/>
              <w:bottom w:val="single" w:sz="2" w:space="0" w:color="auto"/>
            </w:tcBorders>
            <w:noWrap/>
            <w:vAlign w:val="center"/>
          </w:tcPr>
          <w:p w:rsidR="009014ED" w:rsidRPr="00730AE6" w:rsidRDefault="009014ED" w:rsidP="00B77B93">
            <w:pPr>
              <w:spacing w:after="0"/>
              <w:ind w:firstLine="0"/>
              <w:jc w:val="left"/>
              <w:rPr>
                <w:rFonts w:ascii="Arial Narrow" w:hAnsi="Arial Narrow"/>
                <w:sz w:val="18"/>
                <w:szCs w:val="18"/>
                <w:lang w:val="es-ES" w:eastAsia="es-ES"/>
              </w:rPr>
            </w:pPr>
            <w:r w:rsidRPr="00730AE6">
              <w:rPr>
                <w:rFonts w:ascii="Arial Narrow" w:hAnsi="Arial Narrow"/>
                <w:sz w:val="18"/>
                <w:szCs w:val="18"/>
                <w:lang w:val="es-ES" w:eastAsia="es-ES"/>
              </w:rPr>
              <w:t>2 Desarrollo de la Docencia e Investigación</w:t>
            </w:r>
          </w:p>
        </w:tc>
        <w:tc>
          <w:tcPr>
            <w:tcW w:w="707" w:type="pct"/>
            <w:gridSpan w:val="2"/>
            <w:tcBorders>
              <w:top w:val="single" w:sz="2" w:space="0" w:color="auto"/>
              <w:bottom w:val="single" w:sz="2" w:space="0" w:color="auto"/>
            </w:tcBorders>
            <w:vAlign w:val="center"/>
          </w:tcPr>
          <w:p w:rsidR="009014ED" w:rsidRPr="00730AE6" w:rsidRDefault="009014ED" w:rsidP="00BD4A3C">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39.480</w:t>
            </w:r>
          </w:p>
        </w:tc>
        <w:tc>
          <w:tcPr>
            <w:tcW w:w="708" w:type="pct"/>
            <w:gridSpan w:val="2"/>
            <w:tcBorders>
              <w:top w:val="single" w:sz="2" w:space="0" w:color="auto"/>
              <w:bottom w:val="single" w:sz="2" w:space="0" w:color="auto"/>
            </w:tcBorders>
            <w:noWrap/>
            <w:vAlign w:val="center"/>
          </w:tcPr>
          <w:p w:rsidR="009014ED" w:rsidRPr="00730AE6" w:rsidRDefault="009014ED" w:rsidP="004B700E">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40.098</w:t>
            </w:r>
          </w:p>
        </w:tc>
        <w:tc>
          <w:tcPr>
            <w:tcW w:w="719" w:type="pct"/>
            <w:tcBorders>
              <w:top w:val="single" w:sz="2" w:space="0" w:color="auto"/>
              <w:bottom w:val="single" w:sz="2" w:space="0" w:color="auto"/>
            </w:tcBorders>
            <w:vAlign w:val="center"/>
          </w:tcPr>
          <w:p w:rsidR="009014ED" w:rsidRPr="00730AE6" w:rsidRDefault="009014ED" w:rsidP="004B700E">
            <w:pPr>
              <w:spacing w:after="0"/>
              <w:ind w:right="353" w:firstLine="0"/>
              <w:jc w:val="right"/>
              <w:rPr>
                <w:rFonts w:ascii="Arial Narrow" w:hAnsi="Arial Narrow"/>
                <w:sz w:val="18"/>
                <w:szCs w:val="18"/>
                <w:lang w:val="es-ES" w:eastAsia="es-ES"/>
              </w:rPr>
            </w:pPr>
            <w:r w:rsidRPr="00730AE6">
              <w:rPr>
                <w:rFonts w:ascii="Arial Narrow" w:hAnsi="Arial Narrow"/>
                <w:sz w:val="18"/>
                <w:szCs w:val="18"/>
                <w:lang w:val="es-ES" w:eastAsia="es-ES"/>
              </w:rPr>
              <w:t>39.662</w:t>
            </w:r>
          </w:p>
        </w:tc>
        <w:tc>
          <w:tcPr>
            <w:tcW w:w="766" w:type="pct"/>
            <w:gridSpan w:val="2"/>
            <w:tcBorders>
              <w:top w:val="single" w:sz="2" w:space="0" w:color="auto"/>
              <w:bottom w:val="single" w:sz="2" w:space="0" w:color="auto"/>
            </w:tcBorders>
            <w:vAlign w:val="center"/>
          </w:tcPr>
          <w:p w:rsidR="009014ED" w:rsidRPr="00730AE6" w:rsidRDefault="009014ED" w:rsidP="006A697C">
            <w:pPr>
              <w:spacing w:after="0"/>
              <w:ind w:right="156" w:firstLine="76"/>
              <w:jc w:val="right"/>
              <w:rPr>
                <w:rFonts w:ascii="Arial Narrow" w:hAnsi="Arial Narrow"/>
                <w:sz w:val="18"/>
                <w:szCs w:val="18"/>
                <w:lang w:val="es-ES" w:eastAsia="es-ES"/>
              </w:rPr>
            </w:pPr>
            <w:r w:rsidRPr="00730AE6">
              <w:rPr>
                <w:rFonts w:ascii="Arial Narrow" w:hAnsi="Arial Narrow"/>
                <w:sz w:val="18"/>
                <w:szCs w:val="18"/>
                <w:lang w:val="es-ES" w:eastAsia="es-ES"/>
              </w:rPr>
              <w:t>51</w:t>
            </w:r>
          </w:p>
        </w:tc>
      </w:tr>
      <w:tr w:rsidR="00775BA2" w:rsidRPr="00730AE6" w:rsidTr="00BC5BE8">
        <w:trPr>
          <w:gridAfter w:val="1"/>
          <w:wAfter w:w="65" w:type="pct"/>
          <w:trHeight w:val="255"/>
          <w:jc w:val="center"/>
        </w:trPr>
        <w:tc>
          <w:tcPr>
            <w:tcW w:w="2035" w:type="pct"/>
            <w:gridSpan w:val="2"/>
            <w:tcBorders>
              <w:top w:val="single" w:sz="2" w:space="0" w:color="auto"/>
              <w:bottom w:val="single" w:sz="2" w:space="0" w:color="auto"/>
            </w:tcBorders>
            <w:noWrap/>
            <w:vAlign w:val="center"/>
          </w:tcPr>
          <w:p w:rsidR="009014ED" w:rsidRPr="00730AE6" w:rsidRDefault="009014ED" w:rsidP="00B77B93">
            <w:pPr>
              <w:spacing w:after="0"/>
              <w:ind w:firstLine="0"/>
              <w:jc w:val="left"/>
              <w:rPr>
                <w:rFonts w:ascii="Arial Narrow" w:hAnsi="Arial Narrow"/>
                <w:sz w:val="18"/>
                <w:szCs w:val="18"/>
                <w:lang w:val="es-ES" w:eastAsia="es-ES"/>
              </w:rPr>
            </w:pPr>
            <w:r w:rsidRPr="00730AE6">
              <w:rPr>
                <w:rFonts w:ascii="Arial Narrow" w:hAnsi="Arial Narrow"/>
                <w:sz w:val="18"/>
                <w:szCs w:val="18"/>
                <w:lang w:val="es-ES" w:eastAsia="es-ES"/>
              </w:rPr>
              <w:t>3 Investigación Científica, Técnica y Aplicada</w:t>
            </w:r>
          </w:p>
        </w:tc>
        <w:tc>
          <w:tcPr>
            <w:tcW w:w="707" w:type="pct"/>
            <w:gridSpan w:val="2"/>
            <w:tcBorders>
              <w:top w:val="single" w:sz="2" w:space="0" w:color="auto"/>
              <w:bottom w:val="single" w:sz="2" w:space="0" w:color="auto"/>
            </w:tcBorders>
            <w:vAlign w:val="center"/>
          </w:tcPr>
          <w:p w:rsidR="009014ED" w:rsidRPr="00730AE6" w:rsidRDefault="009014ED" w:rsidP="00BD4A3C">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4.598</w:t>
            </w:r>
          </w:p>
        </w:tc>
        <w:tc>
          <w:tcPr>
            <w:tcW w:w="708" w:type="pct"/>
            <w:gridSpan w:val="2"/>
            <w:tcBorders>
              <w:top w:val="single" w:sz="2" w:space="0" w:color="auto"/>
              <w:bottom w:val="single" w:sz="2" w:space="0" w:color="auto"/>
            </w:tcBorders>
            <w:noWrap/>
            <w:vAlign w:val="center"/>
          </w:tcPr>
          <w:p w:rsidR="009014ED" w:rsidRPr="00730AE6" w:rsidRDefault="009014ED" w:rsidP="004B700E">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17.868</w:t>
            </w:r>
          </w:p>
        </w:tc>
        <w:tc>
          <w:tcPr>
            <w:tcW w:w="719" w:type="pct"/>
            <w:tcBorders>
              <w:top w:val="single" w:sz="2" w:space="0" w:color="auto"/>
              <w:bottom w:val="single" w:sz="2" w:space="0" w:color="auto"/>
            </w:tcBorders>
            <w:vAlign w:val="center"/>
          </w:tcPr>
          <w:p w:rsidR="009014ED" w:rsidRPr="00730AE6" w:rsidRDefault="009014ED" w:rsidP="004B700E">
            <w:pPr>
              <w:spacing w:after="0"/>
              <w:ind w:right="353" w:firstLine="0"/>
              <w:jc w:val="right"/>
              <w:rPr>
                <w:rFonts w:ascii="Arial Narrow" w:hAnsi="Arial Narrow"/>
                <w:sz w:val="18"/>
                <w:szCs w:val="18"/>
                <w:lang w:val="es-ES" w:eastAsia="es-ES"/>
              </w:rPr>
            </w:pPr>
            <w:r w:rsidRPr="00730AE6">
              <w:rPr>
                <w:rFonts w:ascii="Arial Narrow" w:hAnsi="Arial Narrow"/>
                <w:sz w:val="18"/>
                <w:szCs w:val="18"/>
                <w:lang w:val="es-ES" w:eastAsia="es-ES"/>
              </w:rPr>
              <w:t>10.587</w:t>
            </w:r>
          </w:p>
        </w:tc>
        <w:tc>
          <w:tcPr>
            <w:tcW w:w="766" w:type="pct"/>
            <w:gridSpan w:val="2"/>
            <w:tcBorders>
              <w:top w:val="single" w:sz="2" w:space="0" w:color="auto"/>
              <w:bottom w:val="single" w:sz="2" w:space="0" w:color="auto"/>
            </w:tcBorders>
            <w:vAlign w:val="center"/>
          </w:tcPr>
          <w:p w:rsidR="009014ED" w:rsidRPr="00730AE6" w:rsidRDefault="009014ED" w:rsidP="006A697C">
            <w:pPr>
              <w:spacing w:after="0"/>
              <w:ind w:right="156" w:firstLine="76"/>
              <w:jc w:val="right"/>
              <w:rPr>
                <w:rFonts w:ascii="Arial Narrow" w:hAnsi="Arial Narrow"/>
                <w:sz w:val="18"/>
                <w:szCs w:val="18"/>
                <w:lang w:val="es-ES" w:eastAsia="es-ES"/>
              </w:rPr>
            </w:pPr>
            <w:r w:rsidRPr="00730AE6">
              <w:rPr>
                <w:rFonts w:ascii="Arial Narrow" w:hAnsi="Arial Narrow"/>
                <w:sz w:val="18"/>
                <w:szCs w:val="18"/>
                <w:lang w:val="es-ES" w:eastAsia="es-ES"/>
              </w:rPr>
              <w:t>13</w:t>
            </w:r>
          </w:p>
        </w:tc>
      </w:tr>
      <w:tr w:rsidR="00775BA2" w:rsidRPr="00730AE6" w:rsidTr="00BC5BE8">
        <w:trPr>
          <w:gridAfter w:val="1"/>
          <w:wAfter w:w="65" w:type="pct"/>
          <w:trHeight w:val="255"/>
          <w:jc w:val="center"/>
        </w:trPr>
        <w:tc>
          <w:tcPr>
            <w:tcW w:w="2035" w:type="pct"/>
            <w:gridSpan w:val="2"/>
            <w:tcBorders>
              <w:top w:val="single" w:sz="2" w:space="0" w:color="auto"/>
              <w:bottom w:val="single" w:sz="2" w:space="0" w:color="auto"/>
            </w:tcBorders>
            <w:noWrap/>
            <w:vAlign w:val="center"/>
          </w:tcPr>
          <w:p w:rsidR="009014ED" w:rsidRPr="00730AE6" w:rsidRDefault="009014ED" w:rsidP="00B77B93">
            <w:pPr>
              <w:spacing w:after="0"/>
              <w:ind w:firstLine="0"/>
              <w:jc w:val="left"/>
              <w:rPr>
                <w:rFonts w:ascii="Arial Narrow" w:hAnsi="Arial Narrow"/>
                <w:sz w:val="18"/>
                <w:szCs w:val="18"/>
                <w:lang w:val="es-ES" w:eastAsia="es-ES"/>
              </w:rPr>
            </w:pPr>
            <w:r w:rsidRPr="00730AE6">
              <w:rPr>
                <w:rFonts w:ascii="Arial Narrow" w:hAnsi="Arial Narrow"/>
                <w:sz w:val="18"/>
                <w:szCs w:val="18"/>
                <w:lang w:val="es-ES" w:eastAsia="es-ES"/>
              </w:rPr>
              <w:t>4 Relaciones Exteriores</w:t>
            </w:r>
          </w:p>
        </w:tc>
        <w:tc>
          <w:tcPr>
            <w:tcW w:w="707" w:type="pct"/>
            <w:gridSpan w:val="2"/>
            <w:tcBorders>
              <w:top w:val="single" w:sz="2" w:space="0" w:color="auto"/>
              <w:bottom w:val="single" w:sz="2" w:space="0" w:color="auto"/>
            </w:tcBorders>
            <w:vAlign w:val="center"/>
          </w:tcPr>
          <w:p w:rsidR="009014ED" w:rsidRPr="00730AE6" w:rsidRDefault="009014ED" w:rsidP="00BD4A3C">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660</w:t>
            </w:r>
          </w:p>
        </w:tc>
        <w:tc>
          <w:tcPr>
            <w:tcW w:w="708" w:type="pct"/>
            <w:gridSpan w:val="2"/>
            <w:tcBorders>
              <w:top w:val="single" w:sz="2" w:space="0" w:color="auto"/>
              <w:bottom w:val="single" w:sz="2" w:space="0" w:color="auto"/>
            </w:tcBorders>
            <w:noWrap/>
            <w:vAlign w:val="center"/>
          </w:tcPr>
          <w:p w:rsidR="009014ED" w:rsidRPr="00730AE6" w:rsidRDefault="009014ED" w:rsidP="004B700E">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2.253</w:t>
            </w:r>
          </w:p>
        </w:tc>
        <w:tc>
          <w:tcPr>
            <w:tcW w:w="719" w:type="pct"/>
            <w:tcBorders>
              <w:top w:val="single" w:sz="2" w:space="0" w:color="auto"/>
              <w:bottom w:val="single" w:sz="2" w:space="0" w:color="auto"/>
            </w:tcBorders>
            <w:vAlign w:val="center"/>
          </w:tcPr>
          <w:p w:rsidR="009014ED" w:rsidRPr="00730AE6" w:rsidRDefault="009014ED" w:rsidP="004B700E">
            <w:pPr>
              <w:spacing w:after="0"/>
              <w:ind w:right="353" w:firstLine="0"/>
              <w:jc w:val="right"/>
              <w:rPr>
                <w:rFonts w:ascii="Arial Narrow" w:hAnsi="Arial Narrow"/>
                <w:sz w:val="18"/>
                <w:szCs w:val="18"/>
                <w:lang w:val="es-ES" w:eastAsia="es-ES"/>
              </w:rPr>
            </w:pPr>
            <w:r w:rsidRPr="00730AE6">
              <w:rPr>
                <w:rFonts w:ascii="Arial Narrow" w:hAnsi="Arial Narrow"/>
                <w:sz w:val="18"/>
                <w:szCs w:val="18"/>
                <w:lang w:val="es-ES" w:eastAsia="es-ES"/>
              </w:rPr>
              <w:t>1.492</w:t>
            </w:r>
          </w:p>
        </w:tc>
        <w:tc>
          <w:tcPr>
            <w:tcW w:w="766" w:type="pct"/>
            <w:gridSpan w:val="2"/>
            <w:tcBorders>
              <w:top w:val="single" w:sz="2" w:space="0" w:color="auto"/>
              <w:bottom w:val="single" w:sz="2" w:space="0" w:color="auto"/>
            </w:tcBorders>
            <w:vAlign w:val="center"/>
          </w:tcPr>
          <w:p w:rsidR="009014ED" w:rsidRPr="00730AE6" w:rsidRDefault="009014ED" w:rsidP="006A697C">
            <w:pPr>
              <w:spacing w:after="0"/>
              <w:ind w:right="156" w:firstLine="76"/>
              <w:jc w:val="right"/>
              <w:rPr>
                <w:rFonts w:ascii="Arial Narrow" w:hAnsi="Arial Narrow"/>
                <w:sz w:val="18"/>
                <w:szCs w:val="18"/>
                <w:lang w:val="es-ES" w:eastAsia="es-ES"/>
              </w:rPr>
            </w:pPr>
            <w:r w:rsidRPr="00730AE6">
              <w:rPr>
                <w:rFonts w:ascii="Arial Narrow" w:hAnsi="Arial Narrow"/>
                <w:sz w:val="18"/>
                <w:szCs w:val="18"/>
                <w:lang w:val="es-ES" w:eastAsia="es-ES"/>
              </w:rPr>
              <w:t>2</w:t>
            </w:r>
          </w:p>
        </w:tc>
      </w:tr>
      <w:tr w:rsidR="00775BA2" w:rsidRPr="00730AE6" w:rsidTr="00BC5BE8">
        <w:trPr>
          <w:gridAfter w:val="1"/>
          <w:wAfter w:w="65" w:type="pct"/>
          <w:trHeight w:val="255"/>
          <w:jc w:val="center"/>
        </w:trPr>
        <w:tc>
          <w:tcPr>
            <w:tcW w:w="2035" w:type="pct"/>
            <w:gridSpan w:val="2"/>
            <w:tcBorders>
              <w:top w:val="single" w:sz="2" w:space="0" w:color="auto"/>
              <w:bottom w:val="single" w:sz="2" w:space="0" w:color="auto"/>
            </w:tcBorders>
            <w:noWrap/>
            <w:vAlign w:val="center"/>
          </w:tcPr>
          <w:p w:rsidR="009014ED" w:rsidRPr="00730AE6" w:rsidRDefault="009014ED" w:rsidP="00B77B93">
            <w:pPr>
              <w:spacing w:after="0"/>
              <w:ind w:firstLine="0"/>
              <w:jc w:val="left"/>
              <w:rPr>
                <w:rFonts w:ascii="Arial Narrow" w:hAnsi="Arial Narrow"/>
                <w:sz w:val="18"/>
                <w:szCs w:val="18"/>
                <w:lang w:val="es-ES" w:eastAsia="es-ES"/>
              </w:rPr>
            </w:pPr>
            <w:r w:rsidRPr="00730AE6">
              <w:rPr>
                <w:rFonts w:ascii="Arial Narrow" w:hAnsi="Arial Narrow"/>
                <w:sz w:val="18"/>
                <w:szCs w:val="18"/>
                <w:lang w:val="es-ES" w:eastAsia="es-ES"/>
              </w:rPr>
              <w:t>5 Acción Social</w:t>
            </w:r>
          </w:p>
        </w:tc>
        <w:tc>
          <w:tcPr>
            <w:tcW w:w="707" w:type="pct"/>
            <w:gridSpan w:val="2"/>
            <w:tcBorders>
              <w:top w:val="single" w:sz="2" w:space="0" w:color="auto"/>
              <w:bottom w:val="single" w:sz="2" w:space="0" w:color="auto"/>
            </w:tcBorders>
            <w:vAlign w:val="center"/>
          </w:tcPr>
          <w:p w:rsidR="009014ED" w:rsidRPr="00730AE6" w:rsidRDefault="009014ED" w:rsidP="00BD4A3C">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497</w:t>
            </w:r>
          </w:p>
        </w:tc>
        <w:tc>
          <w:tcPr>
            <w:tcW w:w="708" w:type="pct"/>
            <w:gridSpan w:val="2"/>
            <w:tcBorders>
              <w:top w:val="single" w:sz="2" w:space="0" w:color="auto"/>
              <w:bottom w:val="single" w:sz="2" w:space="0" w:color="auto"/>
            </w:tcBorders>
            <w:noWrap/>
            <w:vAlign w:val="center"/>
          </w:tcPr>
          <w:p w:rsidR="009014ED" w:rsidRPr="00730AE6" w:rsidRDefault="009014ED" w:rsidP="004B700E">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516</w:t>
            </w:r>
          </w:p>
        </w:tc>
        <w:tc>
          <w:tcPr>
            <w:tcW w:w="719" w:type="pct"/>
            <w:tcBorders>
              <w:top w:val="single" w:sz="2" w:space="0" w:color="auto"/>
              <w:bottom w:val="single" w:sz="2" w:space="0" w:color="auto"/>
            </w:tcBorders>
            <w:vAlign w:val="center"/>
          </w:tcPr>
          <w:p w:rsidR="009014ED" w:rsidRPr="00730AE6" w:rsidRDefault="009014ED" w:rsidP="004B700E">
            <w:pPr>
              <w:spacing w:after="0"/>
              <w:ind w:right="353" w:firstLine="0"/>
              <w:jc w:val="right"/>
              <w:rPr>
                <w:rFonts w:ascii="Arial Narrow" w:hAnsi="Arial Narrow"/>
                <w:sz w:val="18"/>
                <w:szCs w:val="18"/>
                <w:lang w:val="es-ES" w:eastAsia="es-ES"/>
              </w:rPr>
            </w:pPr>
            <w:r w:rsidRPr="00730AE6">
              <w:rPr>
                <w:rFonts w:ascii="Arial Narrow" w:hAnsi="Arial Narrow"/>
                <w:sz w:val="18"/>
                <w:szCs w:val="18"/>
                <w:lang w:val="es-ES" w:eastAsia="es-ES"/>
              </w:rPr>
              <w:t>487</w:t>
            </w:r>
          </w:p>
        </w:tc>
        <w:tc>
          <w:tcPr>
            <w:tcW w:w="766" w:type="pct"/>
            <w:gridSpan w:val="2"/>
            <w:tcBorders>
              <w:top w:val="single" w:sz="2" w:space="0" w:color="auto"/>
              <w:bottom w:val="single" w:sz="2" w:space="0" w:color="auto"/>
            </w:tcBorders>
            <w:vAlign w:val="center"/>
          </w:tcPr>
          <w:p w:rsidR="009014ED" w:rsidRPr="00730AE6" w:rsidRDefault="009014ED" w:rsidP="006A697C">
            <w:pPr>
              <w:spacing w:after="0"/>
              <w:ind w:right="156" w:firstLine="76"/>
              <w:jc w:val="right"/>
              <w:rPr>
                <w:rFonts w:ascii="Arial Narrow" w:hAnsi="Arial Narrow"/>
                <w:sz w:val="18"/>
                <w:szCs w:val="18"/>
                <w:lang w:val="es-ES" w:eastAsia="es-ES"/>
              </w:rPr>
            </w:pPr>
            <w:r w:rsidRPr="00730AE6">
              <w:rPr>
                <w:rFonts w:ascii="Arial Narrow" w:hAnsi="Arial Narrow"/>
                <w:sz w:val="18"/>
                <w:szCs w:val="18"/>
                <w:lang w:val="es-ES" w:eastAsia="es-ES"/>
              </w:rPr>
              <w:t>1</w:t>
            </w:r>
          </w:p>
        </w:tc>
      </w:tr>
      <w:tr w:rsidR="00775BA2" w:rsidRPr="00730AE6" w:rsidTr="00BC5BE8">
        <w:trPr>
          <w:gridAfter w:val="1"/>
          <w:wAfter w:w="65" w:type="pct"/>
          <w:trHeight w:val="255"/>
          <w:jc w:val="center"/>
        </w:trPr>
        <w:tc>
          <w:tcPr>
            <w:tcW w:w="2035" w:type="pct"/>
            <w:gridSpan w:val="2"/>
            <w:tcBorders>
              <w:top w:val="single" w:sz="2" w:space="0" w:color="auto"/>
              <w:bottom w:val="single" w:sz="2" w:space="0" w:color="auto"/>
            </w:tcBorders>
            <w:noWrap/>
            <w:vAlign w:val="center"/>
          </w:tcPr>
          <w:p w:rsidR="009014ED" w:rsidRPr="00730AE6" w:rsidRDefault="009014ED" w:rsidP="00B77B93">
            <w:pPr>
              <w:spacing w:after="0"/>
              <w:ind w:firstLine="0"/>
              <w:jc w:val="left"/>
              <w:rPr>
                <w:rFonts w:ascii="Arial Narrow" w:hAnsi="Arial Narrow"/>
                <w:sz w:val="18"/>
                <w:szCs w:val="18"/>
                <w:lang w:val="es-ES" w:eastAsia="es-ES"/>
              </w:rPr>
            </w:pPr>
            <w:r w:rsidRPr="00730AE6">
              <w:rPr>
                <w:rFonts w:ascii="Arial Narrow" w:hAnsi="Arial Narrow"/>
                <w:sz w:val="18"/>
                <w:szCs w:val="18"/>
                <w:lang w:val="es-ES" w:eastAsia="es-ES"/>
              </w:rPr>
              <w:t xml:space="preserve">6 Extensión Universitaria </w:t>
            </w:r>
          </w:p>
        </w:tc>
        <w:tc>
          <w:tcPr>
            <w:tcW w:w="707" w:type="pct"/>
            <w:gridSpan w:val="2"/>
            <w:tcBorders>
              <w:top w:val="single" w:sz="2" w:space="0" w:color="auto"/>
              <w:bottom w:val="single" w:sz="2" w:space="0" w:color="auto"/>
            </w:tcBorders>
            <w:vAlign w:val="center"/>
          </w:tcPr>
          <w:p w:rsidR="009014ED" w:rsidRPr="00730AE6" w:rsidRDefault="009014ED" w:rsidP="00BD4A3C">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1.539</w:t>
            </w:r>
          </w:p>
        </w:tc>
        <w:tc>
          <w:tcPr>
            <w:tcW w:w="708" w:type="pct"/>
            <w:gridSpan w:val="2"/>
            <w:tcBorders>
              <w:top w:val="single" w:sz="2" w:space="0" w:color="auto"/>
              <w:bottom w:val="single" w:sz="2" w:space="0" w:color="auto"/>
            </w:tcBorders>
            <w:noWrap/>
            <w:vAlign w:val="center"/>
          </w:tcPr>
          <w:p w:rsidR="009014ED" w:rsidRPr="00730AE6" w:rsidRDefault="009014ED" w:rsidP="004B700E">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1.708</w:t>
            </w:r>
          </w:p>
        </w:tc>
        <w:tc>
          <w:tcPr>
            <w:tcW w:w="719" w:type="pct"/>
            <w:tcBorders>
              <w:top w:val="single" w:sz="2" w:space="0" w:color="auto"/>
              <w:bottom w:val="single" w:sz="2" w:space="0" w:color="auto"/>
            </w:tcBorders>
            <w:vAlign w:val="center"/>
          </w:tcPr>
          <w:p w:rsidR="009014ED" w:rsidRPr="00730AE6" w:rsidRDefault="009014ED" w:rsidP="004B700E">
            <w:pPr>
              <w:spacing w:after="0"/>
              <w:ind w:right="353" w:firstLine="0"/>
              <w:jc w:val="right"/>
              <w:rPr>
                <w:rFonts w:ascii="Arial Narrow" w:hAnsi="Arial Narrow"/>
                <w:sz w:val="18"/>
                <w:szCs w:val="18"/>
                <w:lang w:val="es-ES" w:eastAsia="es-ES"/>
              </w:rPr>
            </w:pPr>
            <w:r w:rsidRPr="00730AE6">
              <w:rPr>
                <w:rFonts w:ascii="Arial Narrow" w:hAnsi="Arial Narrow"/>
                <w:sz w:val="18"/>
                <w:szCs w:val="18"/>
                <w:lang w:val="es-ES" w:eastAsia="es-ES"/>
              </w:rPr>
              <w:t>1.678</w:t>
            </w:r>
          </w:p>
        </w:tc>
        <w:tc>
          <w:tcPr>
            <w:tcW w:w="766" w:type="pct"/>
            <w:gridSpan w:val="2"/>
            <w:tcBorders>
              <w:top w:val="single" w:sz="2" w:space="0" w:color="auto"/>
              <w:bottom w:val="single" w:sz="2" w:space="0" w:color="auto"/>
            </w:tcBorders>
            <w:vAlign w:val="center"/>
          </w:tcPr>
          <w:p w:rsidR="009014ED" w:rsidRPr="00730AE6" w:rsidRDefault="009014ED" w:rsidP="006A697C">
            <w:pPr>
              <w:spacing w:after="0"/>
              <w:ind w:right="156" w:firstLine="76"/>
              <w:jc w:val="right"/>
              <w:rPr>
                <w:rFonts w:ascii="Arial Narrow" w:hAnsi="Arial Narrow"/>
                <w:sz w:val="18"/>
                <w:szCs w:val="18"/>
                <w:lang w:val="es-ES" w:eastAsia="es-ES"/>
              </w:rPr>
            </w:pPr>
            <w:r w:rsidRPr="00730AE6">
              <w:rPr>
                <w:rFonts w:ascii="Arial Narrow" w:hAnsi="Arial Narrow"/>
                <w:sz w:val="18"/>
                <w:szCs w:val="18"/>
                <w:lang w:val="es-ES" w:eastAsia="es-ES"/>
              </w:rPr>
              <w:t>2</w:t>
            </w:r>
          </w:p>
        </w:tc>
      </w:tr>
      <w:tr w:rsidR="00775BA2" w:rsidRPr="00730AE6" w:rsidTr="00BC5BE8">
        <w:trPr>
          <w:trHeight w:val="255"/>
          <w:jc w:val="center"/>
        </w:trPr>
        <w:tc>
          <w:tcPr>
            <w:tcW w:w="2035" w:type="pct"/>
            <w:gridSpan w:val="2"/>
            <w:tcBorders>
              <w:top w:val="single" w:sz="2" w:space="0" w:color="auto"/>
            </w:tcBorders>
            <w:noWrap/>
            <w:vAlign w:val="center"/>
          </w:tcPr>
          <w:p w:rsidR="009014ED" w:rsidRPr="00730AE6" w:rsidRDefault="009014ED" w:rsidP="00B77B93">
            <w:pPr>
              <w:spacing w:after="0"/>
              <w:ind w:firstLine="0"/>
              <w:jc w:val="left"/>
              <w:rPr>
                <w:rFonts w:ascii="Arial Narrow" w:hAnsi="Arial Narrow"/>
                <w:sz w:val="18"/>
                <w:szCs w:val="18"/>
                <w:lang w:val="es-ES" w:eastAsia="es-ES"/>
              </w:rPr>
            </w:pPr>
            <w:r w:rsidRPr="00730AE6">
              <w:rPr>
                <w:rFonts w:ascii="Arial Narrow" w:hAnsi="Arial Narrow"/>
                <w:sz w:val="18"/>
                <w:szCs w:val="18"/>
                <w:lang w:val="es-ES" w:eastAsia="es-ES"/>
              </w:rPr>
              <w:t>7 Actividades de Carácter General</w:t>
            </w:r>
          </w:p>
        </w:tc>
        <w:tc>
          <w:tcPr>
            <w:tcW w:w="707" w:type="pct"/>
            <w:gridSpan w:val="2"/>
            <w:tcBorders>
              <w:top w:val="single" w:sz="2" w:space="0" w:color="auto"/>
            </w:tcBorders>
            <w:vAlign w:val="center"/>
          </w:tcPr>
          <w:p w:rsidR="009014ED" w:rsidRPr="00730AE6" w:rsidRDefault="009014ED" w:rsidP="00BD4A3C">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20.554</w:t>
            </w:r>
          </w:p>
        </w:tc>
        <w:tc>
          <w:tcPr>
            <w:tcW w:w="708" w:type="pct"/>
            <w:gridSpan w:val="2"/>
            <w:tcBorders>
              <w:top w:val="single" w:sz="2" w:space="0" w:color="auto"/>
            </w:tcBorders>
            <w:noWrap/>
            <w:vAlign w:val="center"/>
          </w:tcPr>
          <w:p w:rsidR="009014ED" w:rsidRPr="00730AE6" w:rsidRDefault="009014ED" w:rsidP="004B700E">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20.419</w:t>
            </w:r>
          </w:p>
        </w:tc>
        <w:tc>
          <w:tcPr>
            <w:tcW w:w="719" w:type="pct"/>
            <w:tcBorders>
              <w:top w:val="single" w:sz="2" w:space="0" w:color="auto"/>
            </w:tcBorders>
            <w:vAlign w:val="center"/>
          </w:tcPr>
          <w:p w:rsidR="009014ED" w:rsidRPr="00730AE6" w:rsidRDefault="009014ED" w:rsidP="004B700E">
            <w:pPr>
              <w:spacing w:after="0"/>
              <w:ind w:right="353" w:firstLine="0"/>
              <w:jc w:val="right"/>
              <w:rPr>
                <w:rFonts w:ascii="Arial Narrow" w:hAnsi="Arial Narrow"/>
                <w:sz w:val="18"/>
                <w:szCs w:val="18"/>
                <w:lang w:val="es-ES" w:eastAsia="es-ES"/>
              </w:rPr>
            </w:pPr>
            <w:r w:rsidRPr="00730AE6">
              <w:rPr>
                <w:rFonts w:ascii="Arial Narrow" w:hAnsi="Arial Narrow"/>
                <w:sz w:val="18"/>
                <w:szCs w:val="18"/>
                <w:lang w:val="es-ES" w:eastAsia="es-ES"/>
              </w:rPr>
              <w:t>20.037</w:t>
            </w:r>
          </w:p>
        </w:tc>
        <w:tc>
          <w:tcPr>
            <w:tcW w:w="831" w:type="pct"/>
            <w:gridSpan w:val="3"/>
            <w:tcBorders>
              <w:top w:val="single" w:sz="2" w:space="0" w:color="auto"/>
            </w:tcBorders>
            <w:vAlign w:val="center"/>
          </w:tcPr>
          <w:p w:rsidR="009014ED" w:rsidRPr="00730AE6" w:rsidRDefault="009014ED" w:rsidP="006A697C">
            <w:pPr>
              <w:spacing w:after="0"/>
              <w:ind w:right="274" w:firstLine="76"/>
              <w:jc w:val="right"/>
              <w:rPr>
                <w:rFonts w:ascii="Arial Narrow" w:hAnsi="Arial Narrow"/>
                <w:sz w:val="18"/>
                <w:szCs w:val="18"/>
                <w:lang w:val="es-ES" w:eastAsia="es-ES"/>
              </w:rPr>
            </w:pPr>
            <w:r w:rsidRPr="00730AE6">
              <w:rPr>
                <w:rFonts w:ascii="Arial Narrow" w:hAnsi="Arial Narrow"/>
                <w:sz w:val="18"/>
                <w:szCs w:val="18"/>
                <w:lang w:val="es-ES" w:eastAsia="es-ES"/>
              </w:rPr>
              <w:t>26</w:t>
            </w:r>
          </w:p>
        </w:tc>
      </w:tr>
      <w:tr w:rsidR="00775BA2" w:rsidRPr="00730AE6" w:rsidTr="00BC5BE8">
        <w:trPr>
          <w:trHeight w:val="255"/>
          <w:jc w:val="center"/>
        </w:trPr>
        <w:tc>
          <w:tcPr>
            <w:tcW w:w="409" w:type="pct"/>
            <w:shd w:val="clear" w:color="auto" w:fill="A8CBEE" w:themeFill="accent2" w:themeFillTint="66"/>
            <w:noWrap/>
            <w:vAlign w:val="center"/>
          </w:tcPr>
          <w:p w:rsidR="009014ED" w:rsidRPr="00730AE6" w:rsidRDefault="009014ED" w:rsidP="00B77B93">
            <w:pPr>
              <w:spacing w:after="0"/>
              <w:ind w:left="50" w:firstLine="0"/>
              <w:jc w:val="left"/>
              <w:rPr>
                <w:rFonts w:ascii="Arial" w:hAnsi="Arial" w:cs="Arial"/>
                <w:bCs/>
                <w:sz w:val="18"/>
                <w:szCs w:val="18"/>
                <w:lang w:val="es-ES" w:eastAsia="es-ES"/>
              </w:rPr>
            </w:pPr>
            <w:r w:rsidRPr="00730AE6">
              <w:rPr>
                <w:rFonts w:ascii="Arial" w:hAnsi="Arial" w:cs="Arial"/>
                <w:bCs/>
                <w:sz w:val="18"/>
                <w:szCs w:val="18"/>
                <w:lang w:val="es-ES" w:eastAsia="es-ES"/>
              </w:rPr>
              <w:t>Total</w:t>
            </w:r>
          </w:p>
        </w:tc>
        <w:tc>
          <w:tcPr>
            <w:tcW w:w="1626" w:type="pct"/>
            <w:shd w:val="clear" w:color="auto" w:fill="A8CBEE" w:themeFill="accent2" w:themeFillTint="66"/>
            <w:noWrap/>
            <w:vAlign w:val="center"/>
          </w:tcPr>
          <w:p w:rsidR="009014ED" w:rsidRPr="00730AE6" w:rsidRDefault="009014ED" w:rsidP="00B77B93">
            <w:pPr>
              <w:spacing w:after="0"/>
              <w:ind w:firstLine="0"/>
              <w:rPr>
                <w:rFonts w:ascii="Arial" w:hAnsi="Arial" w:cs="Arial"/>
                <w:bCs/>
                <w:sz w:val="18"/>
                <w:szCs w:val="18"/>
                <w:lang w:val="es-ES" w:eastAsia="es-ES"/>
              </w:rPr>
            </w:pPr>
          </w:p>
        </w:tc>
        <w:tc>
          <w:tcPr>
            <w:tcW w:w="693" w:type="pct"/>
            <w:shd w:val="clear" w:color="auto" w:fill="A8CBEE" w:themeFill="accent2" w:themeFillTint="66"/>
            <w:vAlign w:val="center"/>
          </w:tcPr>
          <w:p w:rsidR="009014ED" w:rsidRPr="00730AE6" w:rsidRDefault="009014ED" w:rsidP="00BD4A3C">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70.447</w:t>
            </w:r>
          </w:p>
        </w:tc>
        <w:tc>
          <w:tcPr>
            <w:tcW w:w="692" w:type="pct"/>
            <w:gridSpan w:val="2"/>
            <w:shd w:val="clear" w:color="auto" w:fill="A8CBEE" w:themeFill="accent2" w:themeFillTint="66"/>
            <w:noWrap/>
            <w:vAlign w:val="center"/>
          </w:tcPr>
          <w:p w:rsidR="009014ED" w:rsidRPr="00730AE6" w:rsidRDefault="009014ED" w:rsidP="004B700E">
            <w:pPr>
              <w:spacing w:after="0"/>
              <w:ind w:firstLine="0"/>
              <w:jc w:val="right"/>
              <w:rPr>
                <w:rFonts w:ascii="Arial" w:hAnsi="Arial" w:cs="Arial"/>
                <w:bCs/>
                <w:sz w:val="18"/>
                <w:szCs w:val="18"/>
                <w:lang w:val="es-ES" w:eastAsia="es-ES"/>
              </w:rPr>
            </w:pPr>
            <w:r w:rsidRPr="00730AE6">
              <w:rPr>
                <w:rFonts w:ascii="Arial" w:hAnsi="Arial" w:cs="Arial"/>
                <w:bCs/>
                <w:sz w:val="18"/>
                <w:szCs w:val="18"/>
                <w:lang w:val="es-ES" w:eastAsia="es-ES"/>
              </w:rPr>
              <w:t>87.387</w:t>
            </w:r>
          </w:p>
        </w:tc>
        <w:tc>
          <w:tcPr>
            <w:tcW w:w="806" w:type="pct"/>
            <w:gridSpan w:val="3"/>
            <w:shd w:val="clear" w:color="auto" w:fill="A8CBEE" w:themeFill="accent2" w:themeFillTint="66"/>
            <w:vAlign w:val="center"/>
          </w:tcPr>
          <w:p w:rsidR="009014ED" w:rsidRPr="00730AE6" w:rsidRDefault="009014ED" w:rsidP="006A697C">
            <w:pPr>
              <w:spacing w:after="0"/>
              <w:ind w:right="353" w:firstLine="0"/>
              <w:jc w:val="right"/>
              <w:rPr>
                <w:rFonts w:ascii="Arial" w:hAnsi="Arial" w:cs="Arial"/>
                <w:bCs/>
                <w:sz w:val="18"/>
                <w:szCs w:val="18"/>
                <w:lang w:val="es-ES" w:eastAsia="es-ES"/>
              </w:rPr>
            </w:pPr>
            <w:r w:rsidRPr="00730AE6">
              <w:rPr>
                <w:rFonts w:ascii="Arial" w:hAnsi="Arial" w:cs="Arial"/>
                <w:bCs/>
                <w:sz w:val="18"/>
                <w:szCs w:val="18"/>
                <w:lang w:val="es-ES" w:eastAsia="es-ES"/>
              </w:rPr>
              <w:t>78.200</w:t>
            </w:r>
          </w:p>
        </w:tc>
        <w:tc>
          <w:tcPr>
            <w:tcW w:w="774" w:type="pct"/>
            <w:gridSpan w:val="2"/>
            <w:shd w:val="clear" w:color="auto" w:fill="A8CBEE" w:themeFill="accent2" w:themeFillTint="66"/>
            <w:vAlign w:val="center"/>
          </w:tcPr>
          <w:p w:rsidR="009014ED" w:rsidRPr="00730AE6" w:rsidRDefault="009014ED" w:rsidP="006A697C">
            <w:pPr>
              <w:spacing w:after="0"/>
              <w:ind w:right="274" w:firstLine="76"/>
              <w:jc w:val="right"/>
              <w:rPr>
                <w:rFonts w:ascii="Arial" w:hAnsi="Arial" w:cs="Arial"/>
                <w:bCs/>
                <w:sz w:val="18"/>
                <w:szCs w:val="18"/>
                <w:lang w:val="es-ES" w:eastAsia="es-ES"/>
              </w:rPr>
            </w:pPr>
            <w:r w:rsidRPr="00730AE6">
              <w:rPr>
                <w:rFonts w:ascii="Arial" w:hAnsi="Arial" w:cs="Arial"/>
                <w:bCs/>
                <w:sz w:val="18"/>
                <w:szCs w:val="18"/>
                <w:lang w:val="es-ES" w:eastAsia="es-ES"/>
              </w:rPr>
              <w:t>100</w:t>
            </w:r>
          </w:p>
        </w:tc>
      </w:tr>
    </w:tbl>
    <w:p w:rsidR="009014ED" w:rsidRDefault="00AC3918" w:rsidP="009014ED">
      <w:pPr>
        <w:pStyle w:val="texto"/>
        <w:tabs>
          <w:tab w:val="clear" w:pos="2835"/>
          <w:tab w:val="clear" w:pos="3969"/>
          <w:tab w:val="clear" w:pos="5103"/>
          <w:tab w:val="clear" w:pos="6237"/>
          <w:tab w:val="clear" w:pos="7371"/>
        </w:tabs>
        <w:spacing w:before="240"/>
        <w:rPr>
          <w:szCs w:val="26"/>
        </w:rPr>
      </w:pPr>
      <w:r>
        <w:rPr>
          <w:szCs w:val="26"/>
        </w:rPr>
        <w:lastRenderedPageBreak/>
        <w:t>E</w:t>
      </w:r>
      <w:r w:rsidR="009014ED" w:rsidRPr="00730AE6">
        <w:rPr>
          <w:szCs w:val="26"/>
        </w:rPr>
        <w:t xml:space="preserve">l gasto de la </w:t>
      </w:r>
      <w:r w:rsidR="00A32A9C">
        <w:rPr>
          <w:szCs w:val="26"/>
        </w:rPr>
        <w:t>Universidad</w:t>
      </w:r>
      <w:r w:rsidR="009014ED" w:rsidRPr="00730AE6">
        <w:rPr>
          <w:szCs w:val="26"/>
        </w:rPr>
        <w:t xml:space="preserve"> en 2017 se concentra en desarrollo de la docencia e investigación –51 por ciento–, actividades de carácter general –26 por ciento–, y en investigación científica</w:t>
      </w:r>
      <w:r w:rsidR="00830E2D">
        <w:rPr>
          <w:szCs w:val="26"/>
        </w:rPr>
        <w:t>, técnica y aplicada,</w:t>
      </w:r>
      <w:r w:rsidR="009014ED" w:rsidRPr="00730AE6">
        <w:rPr>
          <w:szCs w:val="26"/>
        </w:rPr>
        <w:t xml:space="preserve"> –13 por ciento–.</w:t>
      </w:r>
    </w:p>
    <w:p w:rsidR="00303AA4" w:rsidRDefault="00303AA4" w:rsidP="0081205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0"/>
        <w:ind w:left="0" w:firstLine="289"/>
        <w:rPr>
          <w:szCs w:val="26"/>
        </w:rPr>
      </w:pPr>
      <w:r>
        <w:rPr>
          <w:szCs w:val="26"/>
        </w:rPr>
        <w:t>Comparación de un conjunto de indicadores relacionados con la liquidación presupuestaria de los años 2016 y 2017:</w:t>
      </w:r>
    </w:p>
    <w:p w:rsidR="006A5BD5" w:rsidRPr="00BC5BE8" w:rsidRDefault="006A5BD5" w:rsidP="00812055">
      <w:pPr>
        <w:pStyle w:val="texto"/>
        <w:tabs>
          <w:tab w:val="clear" w:pos="2835"/>
          <w:tab w:val="clear" w:pos="3969"/>
          <w:tab w:val="clear" w:pos="5103"/>
          <w:tab w:val="clear" w:pos="6237"/>
          <w:tab w:val="clear" w:pos="7371"/>
          <w:tab w:val="left" w:pos="480"/>
          <w:tab w:val="num" w:pos="928"/>
          <w:tab w:val="num" w:pos="6597"/>
        </w:tabs>
        <w:spacing w:after="0"/>
        <w:ind w:left="568" w:firstLine="0"/>
        <w:jc w:val="right"/>
        <w:rPr>
          <w:rFonts w:ascii="Arial" w:hAnsi="Arial" w:cs="Arial"/>
          <w:sz w:val="18"/>
          <w:szCs w:val="18"/>
        </w:rPr>
      </w:pPr>
      <w:r w:rsidRPr="00BC5BE8">
        <w:rPr>
          <w:rFonts w:ascii="Arial" w:hAnsi="Arial" w:cs="Arial"/>
          <w:sz w:val="18"/>
          <w:szCs w:val="18"/>
        </w:rPr>
        <w:t>(</w:t>
      </w:r>
      <w:r w:rsidR="000C7BF6" w:rsidRPr="00BC5BE8">
        <w:rPr>
          <w:rFonts w:ascii="Arial" w:hAnsi="Arial" w:cs="Arial"/>
          <w:sz w:val="18"/>
          <w:szCs w:val="18"/>
        </w:rPr>
        <w:t>En m</w:t>
      </w:r>
      <w:r w:rsidRPr="00BC5BE8">
        <w:rPr>
          <w:rFonts w:ascii="Arial" w:hAnsi="Arial" w:cs="Arial"/>
          <w:sz w:val="18"/>
          <w:szCs w:val="18"/>
        </w:rPr>
        <w:t>iles de euros)</w:t>
      </w:r>
    </w:p>
    <w:tbl>
      <w:tblPr>
        <w:tblW w:w="8791" w:type="dxa"/>
        <w:jc w:val="center"/>
        <w:tblInd w:w="3" w:type="dxa"/>
        <w:tblCellMar>
          <w:left w:w="70" w:type="dxa"/>
          <w:right w:w="70" w:type="dxa"/>
        </w:tblCellMar>
        <w:tblLook w:val="04A0" w:firstRow="1" w:lastRow="0" w:firstColumn="1" w:lastColumn="0" w:noHBand="0" w:noVBand="1"/>
      </w:tblPr>
      <w:tblGrid>
        <w:gridCol w:w="5327"/>
        <w:gridCol w:w="1390"/>
        <w:gridCol w:w="904"/>
        <w:gridCol w:w="1170"/>
      </w:tblGrid>
      <w:tr w:rsidR="00303AA4" w:rsidRPr="00730AE6" w:rsidTr="00BC5BE8">
        <w:trPr>
          <w:trHeight w:val="255"/>
          <w:jc w:val="center"/>
        </w:trPr>
        <w:tc>
          <w:tcPr>
            <w:tcW w:w="5327" w:type="dxa"/>
            <w:tcBorders>
              <w:top w:val="single" w:sz="4" w:space="0" w:color="auto"/>
              <w:left w:val="nil"/>
              <w:bottom w:val="single" w:sz="2" w:space="0" w:color="auto"/>
              <w:right w:val="nil"/>
            </w:tcBorders>
            <w:shd w:val="clear" w:color="auto" w:fill="A0C3E3" w:themeFill="accent1" w:themeFillTint="99"/>
            <w:noWrap/>
            <w:vAlign w:val="center"/>
            <w:hideMark/>
          </w:tcPr>
          <w:p w:rsidR="00303AA4" w:rsidRPr="00730AE6" w:rsidRDefault="00303AA4" w:rsidP="00B77B93">
            <w:pPr>
              <w:spacing w:after="0"/>
              <w:ind w:left="50" w:firstLine="0"/>
              <w:jc w:val="left"/>
              <w:rPr>
                <w:rFonts w:ascii="Arial" w:hAnsi="Arial" w:cs="Arial"/>
                <w:bCs/>
                <w:color w:val="000000"/>
                <w:sz w:val="18"/>
                <w:szCs w:val="18"/>
                <w:lang w:val="es-ES" w:eastAsia="es-ES"/>
              </w:rPr>
            </w:pPr>
            <w:r w:rsidRPr="00730AE6">
              <w:rPr>
                <w:rFonts w:ascii="Arial" w:hAnsi="Arial" w:cs="Arial"/>
                <w:bCs/>
                <w:color w:val="000000"/>
                <w:sz w:val="18"/>
                <w:szCs w:val="18"/>
                <w:lang w:val="es-ES" w:eastAsia="es-ES"/>
              </w:rPr>
              <w:t xml:space="preserve">Indicadores </w:t>
            </w:r>
          </w:p>
        </w:tc>
        <w:tc>
          <w:tcPr>
            <w:tcW w:w="1390" w:type="dxa"/>
            <w:tcBorders>
              <w:top w:val="single" w:sz="4" w:space="0" w:color="auto"/>
              <w:left w:val="nil"/>
              <w:bottom w:val="single" w:sz="2" w:space="0" w:color="auto"/>
              <w:right w:val="nil"/>
            </w:tcBorders>
            <w:shd w:val="clear" w:color="auto" w:fill="A0C3E3" w:themeFill="accent1" w:themeFillTint="99"/>
            <w:noWrap/>
            <w:vAlign w:val="center"/>
          </w:tcPr>
          <w:p w:rsidR="00303AA4" w:rsidRPr="00730AE6" w:rsidRDefault="00303AA4" w:rsidP="00B77B93">
            <w:pPr>
              <w:spacing w:after="0"/>
              <w:ind w:left="50" w:firstLine="0"/>
              <w:jc w:val="right"/>
              <w:rPr>
                <w:rFonts w:ascii="Arial" w:hAnsi="Arial" w:cs="Arial"/>
                <w:bCs/>
                <w:color w:val="000000"/>
                <w:sz w:val="18"/>
                <w:szCs w:val="18"/>
                <w:lang w:val="es-ES" w:eastAsia="es-ES"/>
              </w:rPr>
            </w:pPr>
            <w:r w:rsidRPr="00730AE6">
              <w:rPr>
                <w:rFonts w:ascii="Arial" w:hAnsi="Arial" w:cs="Arial"/>
                <w:bCs/>
                <w:color w:val="000000"/>
                <w:sz w:val="18"/>
                <w:szCs w:val="18"/>
                <w:lang w:val="es-ES" w:eastAsia="es-ES"/>
              </w:rPr>
              <w:t>2016</w:t>
            </w:r>
            <w:r w:rsidR="008E5693">
              <w:rPr>
                <w:rFonts w:ascii="Arial" w:hAnsi="Arial" w:cs="Arial"/>
                <w:bCs/>
                <w:color w:val="000000"/>
                <w:sz w:val="18"/>
                <w:szCs w:val="18"/>
                <w:lang w:val="es-ES" w:eastAsia="es-ES"/>
              </w:rPr>
              <w:t>*</w:t>
            </w:r>
          </w:p>
        </w:tc>
        <w:tc>
          <w:tcPr>
            <w:tcW w:w="904" w:type="dxa"/>
            <w:tcBorders>
              <w:top w:val="single" w:sz="4" w:space="0" w:color="auto"/>
              <w:left w:val="nil"/>
              <w:bottom w:val="single" w:sz="2" w:space="0" w:color="auto"/>
              <w:right w:val="nil"/>
            </w:tcBorders>
            <w:shd w:val="clear" w:color="auto" w:fill="A0C3E3" w:themeFill="accent1" w:themeFillTint="99"/>
            <w:noWrap/>
            <w:vAlign w:val="center"/>
          </w:tcPr>
          <w:p w:rsidR="00303AA4" w:rsidRPr="00730AE6" w:rsidRDefault="00303AA4" w:rsidP="00B77B93">
            <w:pPr>
              <w:spacing w:after="0"/>
              <w:ind w:left="50" w:firstLine="0"/>
              <w:jc w:val="right"/>
              <w:rPr>
                <w:rFonts w:ascii="Arial" w:hAnsi="Arial" w:cs="Arial"/>
                <w:bCs/>
                <w:color w:val="000000"/>
                <w:sz w:val="18"/>
                <w:szCs w:val="18"/>
                <w:lang w:val="es-ES" w:eastAsia="es-ES"/>
              </w:rPr>
            </w:pPr>
            <w:r w:rsidRPr="00730AE6">
              <w:rPr>
                <w:rFonts w:ascii="Arial" w:hAnsi="Arial" w:cs="Arial"/>
                <w:bCs/>
                <w:color w:val="000000"/>
                <w:sz w:val="18"/>
                <w:szCs w:val="18"/>
                <w:lang w:val="es-ES" w:eastAsia="es-ES"/>
              </w:rPr>
              <w:t>2017</w:t>
            </w:r>
          </w:p>
        </w:tc>
        <w:tc>
          <w:tcPr>
            <w:tcW w:w="1170" w:type="dxa"/>
            <w:tcBorders>
              <w:top w:val="single" w:sz="4" w:space="0" w:color="auto"/>
              <w:left w:val="nil"/>
              <w:bottom w:val="single" w:sz="2" w:space="0" w:color="auto"/>
              <w:right w:val="nil"/>
            </w:tcBorders>
            <w:shd w:val="clear" w:color="auto" w:fill="A0C3E3" w:themeFill="accent1" w:themeFillTint="99"/>
            <w:vAlign w:val="center"/>
            <w:hideMark/>
          </w:tcPr>
          <w:p w:rsidR="00303AA4" w:rsidRPr="00730AE6" w:rsidRDefault="00303AA4" w:rsidP="00B77B93">
            <w:pPr>
              <w:spacing w:after="0"/>
              <w:ind w:left="50" w:firstLine="0"/>
              <w:jc w:val="right"/>
              <w:rPr>
                <w:rFonts w:ascii="Arial" w:hAnsi="Arial" w:cs="Arial"/>
                <w:bCs/>
                <w:color w:val="000000"/>
                <w:sz w:val="18"/>
                <w:szCs w:val="18"/>
                <w:lang w:val="es-ES" w:eastAsia="es-ES"/>
              </w:rPr>
            </w:pPr>
            <w:r w:rsidRPr="00730AE6">
              <w:rPr>
                <w:rFonts w:ascii="Arial" w:hAnsi="Arial" w:cs="Arial"/>
                <w:bCs/>
                <w:color w:val="000000"/>
                <w:sz w:val="18"/>
                <w:szCs w:val="18"/>
                <w:lang w:val="es-ES" w:eastAsia="es-ES"/>
              </w:rPr>
              <w:t>%Variación 2017/16</w:t>
            </w:r>
          </w:p>
        </w:tc>
      </w:tr>
      <w:tr w:rsidR="001B6B4F" w:rsidRPr="00730AE6" w:rsidTr="00BC5BE8">
        <w:trPr>
          <w:trHeight w:val="255"/>
          <w:jc w:val="center"/>
        </w:trPr>
        <w:tc>
          <w:tcPr>
            <w:tcW w:w="5327" w:type="dxa"/>
            <w:tcBorders>
              <w:top w:val="single" w:sz="2" w:space="0" w:color="auto"/>
              <w:left w:val="nil"/>
              <w:bottom w:val="single" w:sz="2" w:space="0" w:color="auto"/>
              <w:right w:val="nil"/>
            </w:tcBorders>
            <w:shd w:val="clear" w:color="auto" w:fill="auto"/>
            <w:noWrap/>
            <w:vAlign w:val="center"/>
          </w:tcPr>
          <w:p w:rsidR="001B6B4F" w:rsidRDefault="001B6B4F" w:rsidP="0052565A">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Presupuesto inicial</w:t>
            </w:r>
          </w:p>
        </w:tc>
        <w:tc>
          <w:tcPr>
            <w:tcW w:w="1390" w:type="dxa"/>
            <w:tcBorders>
              <w:top w:val="single" w:sz="2" w:space="0" w:color="auto"/>
              <w:left w:val="nil"/>
              <w:bottom w:val="single" w:sz="2" w:space="0" w:color="auto"/>
              <w:right w:val="nil"/>
            </w:tcBorders>
            <w:shd w:val="clear" w:color="auto" w:fill="auto"/>
            <w:noWrap/>
            <w:vAlign w:val="center"/>
          </w:tcPr>
          <w:p w:rsidR="001B6B4F" w:rsidRPr="00730AE6" w:rsidRDefault="00E92B07" w:rsidP="00B77B93">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66.725</w:t>
            </w:r>
          </w:p>
        </w:tc>
        <w:tc>
          <w:tcPr>
            <w:tcW w:w="904" w:type="dxa"/>
            <w:tcBorders>
              <w:top w:val="single" w:sz="2" w:space="0" w:color="auto"/>
              <w:left w:val="nil"/>
              <w:bottom w:val="single" w:sz="2" w:space="0" w:color="auto"/>
              <w:right w:val="nil"/>
            </w:tcBorders>
            <w:shd w:val="clear" w:color="auto" w:fill="auto"/>
            <w:noWrap/>
            <w:vAlign w:val="center"/>
          </w:tcPr>
          <w:p w:rsidR="001B6B4F" w:rsidRPr="00730AE6" w:rsidRDefault="00E92B07" w:rsidP="00B77B93">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70.447</w:t>
            </w:r>
          </w:p>
        </w:tc>
        <w:tc>
          <w:tcPr>
            <w:tcW w:w="1170" w:type="dxa"/>
            <w:tcBorders>
              <w:top w:val="single" w:sz="2" w:space="0" w:color="auto"/>
              <w:left w:val="nil"/>
              <w:bottom w:val="single" w:sz="2" w:space="0" w:color="auto"/>
              <w:right w:val="nil"/>
            </w:tcBorders>
            <w:shd w:val="clear" w:color="auto" w:fill="auto"/>
            <w:noWrap/>
            <w:vAlign w:val="center"/>
          </w:tcPr>
          <w:p w:rsidR="001B6B4F" w:rsidRPr="00730AE6" w:rsidRDefault="00E92B07" w:rsidP="00B77B93">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6</w:t>
            </w:r>
          </w:p>
        </w:tc>
      </w:tr>
      <w:tr w:rsidR="00303AA4" w:rsidRPr="00730AE6" w:rsidTr="00BC5BE8">
        <w:trPr>
          <w:trHeight w:val="255"/>
          <w:jc w:val="center"/>
        </w:trPr>
        <w:tc>
          <w:tcPr>
            <w:tcW w:w="5327" w:type="dxa"/>
            <w:tcBorders>
              <w:top w:val="single" w:sz="2" w:space="0" w:color="auto"/>
              <w:left w:val="nil"/>
              <w:bottom w:val="single" w:sz="2" w:space="0" w:color="auto"/>
              <w:right w:val="nil"/>
            </w:tcBorders>
            <w:shd w:val="clear" w:color="auto" w:fill="auto"/>
            <w:noWrap/>
            <w:vAlign w:val="center"/>
            <w:hideMark/>
          </w:tcPr>
          <w:p w:rsidR="00303AA4" w:rsidRPr="00730AE6" w:rsidRDefault="0052565A" w:rsidP="0052565A">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Gasto total</w:t>
            </w:r>
          </w:p>
        </w:tc>
        <w:tc>
          <w:tcPr>
            <w:tcW w:w="1390"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75.316</w:t>
            </w:r>
          </w:p>
        </w:tc>
        <w:tc>
          <w:tcPr>
            <w:tcW w:w="904"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78.200</w:t>
            </w:r>
          </w:p>
        </w:tc>
        <w:tc>
          <w:tcPr>
            <w:tcW w:w="1170"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4</w:t>
            </w:r>
          </w:p>
        </w:tc>
      </w:tr>
      <w:tr w:rsidR="00303AA4" w:rsidRPr="00730AE6" w:rsidTr="00BC5BE8">
        <w:trPr>
          <w:trHeight w:val="255"/>
          <w:jc w:val="center"/>
        </w:trPr>
        <w:tc>
          <w:tcPr>
            <w:tcW w:w="5327" w:type="dxa"/>
            <w:tcBorders>
              <w:top w:val="single" w:sz="2" w:space="0" w:color="auto"/>
              <w:left w:val="nil"/>
              <w:bottom w:val="single" w:sz="2" w:space="0" w:color="auto"/>
              <w:right w:val="nil"/>
            </w:tcBorders>
            <w:shd w:val="clear" w:color="auto" w:fill="auto"/>
            <w:noWrap/>
            <w:vAlign w:val="center"/>
            <w:hideMark/>
          </w:tcPr>
          <w:p w:rsidR="00303AA4" w:rsidRPr="00730AE6" w:rsidRDefault="00303AA4" w:rsidP="00B77B93">
            <w:pPr>
              <w:spacing w:after="0"/>
              <w:ind w:firstLine="0"/>
              <w:jc w:val="left"/>
              <w:rPr>
                <w:rFonts w:ascii="Arial Narrow" w:hAnsi="Arial Narrow"/>
                <w:sz w:val="18"/>
                <w:szCs w:val="18"/>
                <w:lang w:val="es-ES" w:eastAsia="es-ES"/>
              </w:rPr>
            </w:pPr>
            <w:r w:rsidRPr="00730AE6">
              <w:rPr>
                <w:rFonts w:ascii="Arial Narrow" w:hAnsi="Arial Narrow"/>
                <w:sz w:val="18"/>
                <w:szCs w:val="18"/>
                <w:lang w:val="es-ES" w:eastAsia="es-ES"/>
              </w:rPr>
              <w:t>Gastos corrientes  (</w:t>
            </w:r>
            <w:r>
              <w:rPr>
                <w:rFonts w:ascii="Arial Narrow" w:hAnsi="Arial Narrow"/>
                <w:sz w:val="18"/>
                <w:szCs w:val="18"/>
                <w:lang w:val="es-ES" w:eastAsia="es-ES"/>
              </w:rPr>
              <w:t>cap.</w:t>
            </w:r>
            <w:r w:rsidRPr="00730AE6">
              <w:rPr>
                <w:rFonts w:ascii="Arial Narrow" w:hAnsi="Arial Narrow"/>
                <w:sz w:val="18"/>
                <w:szCs w:val="18"/>
                <w:lang w:val="es-ES" w:eastAsia="es-ES"/>
              </w:rPr>
              <w:t>1 a 4)</w:t>
            </w:r>
          </w:p>
        </w:tc>
        <w:tc>
          <w:tcPr>
            <w:tcW w:w="1390" w:type="dxa"/>
            <w:tcBorders>
              <w:top w:val="single" w:sz="2" w:space="0" w:color="auto"/>
              <w:left w:val="nil"/>
              <w:bottom w:val="single" w:sz="2" w:space="0" w:color="auto"/>
              <w:right w:val="nil"/>
            </w:tcBorders>
            <w:shd w:val="clear" w:color="auto" w:fill="auto"/>
            <w:noWrap/>
            <w:vAlign w:val="center"/>
          </w:tcPr>
          <w:p w:rsidR="00303AA4" w:rsidRPr="00730AE6" w:rsidRDefault="00303AA4" w:rsidP="006F4ED0">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68.</w:t>
            </w:r>
            <w:r w:rsidR="006F4ED0">
              <w:rPr>
                <w:rFonts w:ascii="Arial Narrow" w:hAnsi="Arial Narrow"/>
                <w:sz w:val="18"/>
                <w:szCs w:val="18"/>
                <w:lang w:val="es-ES" w:eastAsia="es-ES"/>
              </w:rPr>
              <w:t>514</w:t>
            </w:r>
          </w:p>
        </w:tc>
        <w:tc>
          <w:tcPr>
            <w:tcW w:w="904"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73.376</w:t>
            </w:r>
          </w:p>
        </w:tc>
        <w:tc>
          <w:tcPr>
            <w:tcW w:w="1170"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7</w:t>
            </w:r>
          </w:p>
        </w:tc>
      </w:tr>
      <w:tr w:rsidR="00303AA4" w:rsidRPr="00730AE6" w:rsidTr="00BC5BE8">
        <w:trPr>
          <w:trHeight w:val="255"/>
          <w:jc w:val="center"/>
        </w:trPr>
        <w:tc>
          <w:tcPr>
            <w:tcW w:w="5327" w:type="dxa"/>
            <w:tcBorders>
              <w:top w:val="single" w:sz="2" w:space="0" w:color="auto"/>
              <w:left w:val="nil"/>
              <w:bottom w:val="single" w:sz="2" w:space="0" w:color="auto"/>
              <w:right w:val="nil"/>
            </w:tcBorders>
            <w:shd w:val="clear" w:color="auto" w:fill="auto"/>
            <w:noWrap/>
            <w:vAlign w:val="center"/>
            <w:hideMark/>
          </w:tcPr>
          <w:p w:rsidR="00303AA4" w:rsidRPr="00730AE6" w:rsidRDefault="00303AA4" w:rsidP="00B77B93">
            <w:pPr>
              <w:spacing w:after="0"/>
              <w:ind w:firstLine="0"/>
              <w:jc w:val="left"/>
              <w:rPr>
                <w:rFonts w:ascii="Arial Narrow" w:hAnsi="Arial Narrow"/>
                <w:sz w:val="18"/>
                <w:szCs w:val="18"/>
                <w:lang w:val="es-ES" w:eastAsia="es-ES"/>
              </w:rPr>
            </w:pPr>
            <w:r w:rsidRPr="00730AE6">
              <w:rPr>
                <w:rFonts w:ascii="Arial Narrow" w:hAnsi="Arial Narrow"/>
                <w:sz w:val="18"/>
                <w:szCs w:val="18"/>
                <w:lang w:val="es-ES" w:eastAsia="es-ES"/>
              </w:rPr>
              <w:t>Gastos de funcionamiento (</w:t>
            </w:r>
            <w:r>
              <w:rPr>
                <w:rFonts w:ascii="Arial Narrow" w:hAnsi="Arial Narrow"/>
                <w:sz w:val="18"/>
                <w:szCs w:val="18"/>
                <w:lang w:val="es-ES" w:eastAsia="es-ES"/>
              </w:rPr>
              <w:t>cap.</w:t>
            </w:r>
            <w:r w:rsidR="004D649B">
              <w:rPr>
                <w:rFonts w:ascii="Arial Narrow" w:hAnsi="Arial Narrow"/>
                <w:sz w:val="18"/>
                <w:szCs w:val="18"/>
                <w:lang w:val="es-ES" w:eastAsia="es-ES"/>
              </w:rPr>
              <w:t xml:space="preserve"> </w:t>
            </w:r>
            <w:r w:rsidRPr="00730AE6">
              <w:rPr>
                <w:rFonts w:ascii="Arial Narrow" w:hAnsi="Arial Narrow"/>
                <w:sz w:val="18"/>
                <w:szCs w:val="18"/>
                <w:lang w:val="es-ES" w:eastAsia="es-ES"/>
              </w:rPr>
              <w:t>1, 2 y 4)</w:t>
            </w:r>
          </w:p>
        </w:tc>
        <w:tc>
          <w:tcPr>
            <w:tcW w:w="1390" w:type="dxa"/>
            <w:tcBorders>
              <w:top w:val="single" w:sz="2" w:space="0" w:color="auto"/>
              <w:left w:val="nil"/>
              <w:bottom w:val="single" w:sz="2" w:space="0" w:color="auto"/>
              <w:right w:val="nil"/>
            </w:tcBorders>
            <w:shd w:val="clear" w:color="auto" w:fill="auto"/>
            <w:noWrap/>
            <w:vAlign w:val="center"/>
          </w:tcPr>
          <w:p w:rsidR="00303AA4" w:rsidRPr="00730AE6" w:rsidRDefault="00303AA4" w:rsidP="006F4ED0">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68.4</w:t>
            </w:r>
            <w:r w:rsidR="006F4ED0">
              <w:rPr>
                <w:rFonts w:ascii="Arial Narrow" w:hAnsi="Arial Narrow"/>
                <w:sz w:val="18"/>
                <w:szCs w:val="18"/>
                <w:lang w:val="es-ES" w:eastAsia="es-ES"/>
              </w:rPr>
              <w:t>75</w:t>
            </w:r>
          </w:p>
        </w:tc>
        <w:tc>
          <w:tcPr>
            <w:tcW w:w="904"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73.345</w:t>
            </w:r>
          </w:p>
        </w:tc>
        <w:tc>
          <w:tcPr>
            <w:tcW w:w="1170"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7</w:t>
            </w:r>
          </w:p>
        </w:tc>
      </w:tr>
      <w:tr w:rsidR="00303AA4" w:rsidRPr="00730AE6" w:rsidTr="00BC5BE8">
        <w:trPr>
          <w:trHeight w:val="255"/>
          <w:jc w:val="center"/>
        </w:trPr>
        <w:tc>
          <w:tcPr>
            <w:tcW w:w="5327" w:type="dxa"/>
            <w:tcBorders>
              <w:top w:val="single" w:sz="2" w:space="0" w:color="auto"/>
              <w:left w:val="nil"/>
              <w:bottom w:val="single" w:sz="2" w:space="0" w:color="auto"/>
              <w:right w:val="nil"/>
            </w:tcBorders>
            <w:shd w:val="clear" w:color="auto" w:fill="auto"/>
            <w:noWrap/>
            <w:vAlign w:val="center"/>
            <w:hideMark/>
          </w:tcPr>
          <w:p w:rsidR="00303AA4" w:rsidRPr="00730AE6" w:rsidRDefault="00303AA4" w:rsidP="004B74A3">
            <w:pPr>
              <w:spacing w:after="0"/>
              <w:ind w:firstLine="0"/>
              <w:jc w:val="left"/>
              <w:rPr>
                <w:rFonts w:ascii="Arial Narrow" w:hAnsi="Arial Narrow"/>
                <w:sz w:val="18"/>
                <w:szCs w:val="18"/>
                <w:lang w:val="es-ES" w:eastAsia="es-ES"/>
              </w:rPr>
            </w:pPr>
            <w:r w:rsidRPr="00730AE6">
              <w:rPr>
                <w:rFonts w:ascii="Arial Narrow" w:hAnsi="Arial Narrow"/>
                <w:sz w:val="18"/>
                <w:szCs w:val="18"/>
                <w:lang w:val="es-ES" w:eastAsia="es-ES"/>
              </w:rPr>
              <w:t xml:space="preserve">Gastos </w:t>
            </w:r>
            <w:r w:rsidR="004B74A3">
              <w:rPr>
                <w:rFonts w:ascii="Arial Narrow" w:hAnsi="Arial Narrow"/>
                <w:sz w:val="18"/>
                <w:szCs w:val="18"/>
                <w:lang w:val="es-ES" w:eastAsia="es-ES"/>
              </w:rPr>
              <w:t>de capital</w:t>
            </w:r>
            <w:r w:rsidRPr="00730AE6">
              <w:rPr>
                <w:rFonts w:ascii="Arial Narrow" w:hAnsi="Arial Narrow"/>
                <w:sz w:val="18"/>
                <w:szCs w:val="18"/>
                <w:lang w:val="es-ES" w:eastAsia="es-ES"/>
              </w:rPr>
              <w:t xml:space="preserve"> (</w:t>
            </w:r>
            <w:r w:rsidR="004D649B">
              <w:rPr>
                <w:rFonts w:ascii="Arial Narrow" w:hAnsi="Arial Narrow"/>
                <w:sz w:val="18"/>
                <w:szCs w:val="18"/>
                <w:lang w:val="es-ES" w:eastAsia="es-ES"/>
              </w:rPr>
              <w:t xml:space="preserve">cap. </w:t>
            </w:r>
            <w:r w:rsidRPr="00730AE6">
              <w:rPr>
                <w:rFonts w:ascii="Arial Narrow" w:hAnsi="Arial Narrow"/>
                <w:sz w:val="18"/>
                <w:szCs w:val="18"/>
                <w:lang w:val="es-ES" w:eastAsia="es-ES"/>
              </w:rPr>
              <w:t>6 y 7)</w:t>
            </w:r>
          </w:p>
        </w:tc>
        <w:tc>
          <w:tcPr>
            <w:tcW w:w="1390"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4.969</w:t>
            </w:r>
          </w:p>
        </w:tc>
        <w:tc>
          <w:tcPr>
            <w:tcW w:w="904"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4.807</w:t>
            </w:r>
          </w:p>
        </w:tc>
        <w:tc>
          <w:tcPr>
            <w:tcW w:w="1170"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-3</w:t>
            </w:r>
          </w:p>
        </w:tc>
      </w:tr>
      <w:tr w:rsidR="00303AA4" w:rsidRPr="00730AE6" w:rsidTr="00BC5BE8">
        <w:trPr>
          <w:trHeight w:val="255"/>
          <w:jc w:val="center"/>
        </w:trPr>
        <w:tc>
          <w:tcPr>
            <w:tcW w:w="5327" w:type="dxa"/>
            <w:tcBorders>
              <w:top w:val="single" w:sz="2" w:space="0" w:color="auto"/>
              <w:left w:val="nil"/>
              <w:bottom w:val="single" w:sz="2" w:space="0" w:color="auto"/>
              <w:right w:val="nil"/>
            </w:tcBorders>
            <w:shd w:val="clear" w:color="auto" w:fill="auto"/>
            <w:noWrap/>
            <w:vAlign w:val="center"/>
            <w:hideMark/>
          </w:tcPr>
          <w:p w:rsidR="00303AA4" w:rsidRPr="00730AE6" w:rsidRDefault="00303AA4" w:rsidP="00B77B93">
            <w:pPr>
              <w:spacing w:after="0"/>
              <w:ind w:firstLine="0"/>
              <w:jc w:val="left"/>
              <w:rPr>
                <w:rFonts w:ascii="Arial Narrow" w:hAnsi="Arial Narrow"/>
                <w:sz w:val="18"/>
                <w:szCs w:val="18"/>
                <w:lang w:val="es-ES" w:eastAsia="es-ES"/>
              </w:rPr>
            </w:pPr>
            <w:r w:rsidRPr="00730AE6">
              <w:rPr>
                <w:rFonts w:ascii="Arial Narrow" w:hAnsi="Arial Narrow"/>
                <w:sz w:val="18"/>
                <w:szCs w:val="18"/>
                <w:lang w:val="es-ES" w:eastAsia="es-ES"/>
              </w:rPr>
              <w:t>Gastos operaciones financieras (</w:t>
            </w:r>
            <w:r w:rsidR="004D649B">
              <w:rPr>
                <w:rFonts w:ascii="Arial Narrow" w:hAnsi="Arial Narrow"/>
                <w:sz w:val="18"/>
                <w:szCs w:val="18"/>
                <w:lang w:val="es-ES" w:eastAsia="es-ES"/>
              </w:rPr>
              <w:t xml:space="preserve">cap. </w:t>
            </w:r>
            <w:r w:rsidRPr="00730AE6">
              <w:rPr>
                <w:rFonts w:ascii="Arial Narrow" w:hAnsi="Arial Narrow"/>
                <w:sz w:val="18"/>
                <w:szCs w:val="18"/>
                <w:lang w:val="es-ES" w:eastAsia="es-ES"/>
              </w:rPr>
              <w:t>8 y 9)</w:t>
            </w:r>
          </w:p>
        </w:tc>
        <w:tc>
          <w:tcPr>
            <w:tcW w:w="1390"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1.832</w:t>
            </w:r>
          </w:p>
        </w:tc>
        <w:tc>
          <w:tcPr>
            <w:tcW w:w="904"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18</w:t>
            </w:r>
          </w:p>
        </w:tc>
        <w:tc>
          <w:tcPr>
            <w:tcW w:w="1170" w:type="dxa"/>
            <w:tcBorders>
              <w:top w:val="single" w:sz="2" w:space="0" w:color="auto"/>
              <w:left w:val="nil"/>
              <w:bottom w:val="single" w:sz="2" w:space="0" w:color="auto"/>
              <w:right w:val="nil"/>
            </w:tcBorders>
            <w:shd w:val="clear" w:color="auto" w:fill="auto"/>
            <w:noWrap/>
            <w:vAlign w:val="center"/>
          </w:tcPr>
          <w:p w:rsidR="00303AA4" w:rsidRPr="00730AE6" w:rsidRDefault="006F4ED0" w:rsidP="00B77B93">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-99</w:t>
            </w:r>
          </w:p>
        </w:tc>
      </w:tr>
      <w:tr w:rsidR="00303AA4" w:rsidRPr="00730AE6" w:rsidTr="00BC5BE8">
        <w:trPr>
          <w:trHeight w:val="255"/>
          <w:jc w:val="center"/>
        </w:trPr>
        <w:tc>
          <w:tcPr>
            <w:tcW w:w="5327" w:type="dxa"/>
            <w:tcBorders>
              <w:top w:val="single" w:sz="2" w:space="0" w:color="auto"/>
              <w:left w:val="nil"/>
              <w:bottom w:val="single" w:sz="2" w:space="0" w:color="auto"/>
              <w:right w:val="nil"/>
            </w:tcBorders>
            <w:shd w:val="clear" w:color="auto" w:fill="auto"/>
            <w:noWrap/>
            <w:vAlign w:val="center"/>
            <w:hideMark/>
          </w:tcPr>
          <w:p w:rsidR="00303AA4" w:rsidRPr="00730AE6" w:rsidRDefault="0052565A" w:rsidP="00B77B93">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Ingreso total</w:t>
            </w:r>
          </w:p>
        </w:tc>
        <w:tc>
          <w:tcPr>
            <w:tcW w:w="1390"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73.330</w:t>
            </w:r>
          </w:p>
        </w:tc>
        <w:tc>
          <w:tcPr>
            <w:tcW w:w="904"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76.988</w:t>
            </w:r>
          </w:p>
        </w:tc>
        <w:tc>
          <w:tcPr>
            <w:tcW w:w="1170"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5</w:t>
            </w:r>
          </w:p>
        </w:tc>
      </w:tr>
      <w:tr w:rsidR="00303AA4" w:rsidRPr="00730AE6" w:rsidTr="00BC5BE8">
        <w:trPr>
          <w:trHeight w:val="255"/>
          <w:jc w:val="center"/>
        </w:trPr>
        <w:tc>
          <w:tcPr>
            <w:tcW w:w="5327" w:type="dxa"/>
            <w:tcBorders>
              <w:top w:val="single" w:sz="2" w:space="0" w:color="auto"/>
              <w:left w:val="nil"/>
              <w:bottom w:val="single" w:sz="2" w:space="0" w:color="auto"/>
              <w:right w:val="nil"/>
            </w:tcBorders>
            <w:shd w:val="clear" w:color="auto" w:fill="auto"/>
            <w:noWrap/>
            <w:vAlign w:val="center"/>
          </w:tcPr>
          <w:p w:rsidR="00303AA4" w:rsidRPr="00730AE6" w:rsidRDefault="00D55382" w:rsidP="00D55382">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 xml:space="preserve">Ingresos por tasas </w:t>
            </w:r>
            <w:r w:rsidR="00303AA4" w:rsidRPr="00730AE6">
              <w:rPr>
                <w:rFonts w:ascii="Arial Narrow" w:hAnsi="Arial Narrow"/>
                <w:sz w:val="18"/>
                <w:szCs w:val="18"/>
                <w:lang w:val="es-ES" w:eastAsia="es-ES"/>
              </w:rPr>
              <w:t>y otros (</w:t>
            </w:r>
            <w:r w:rsidR="004D649B">
              <w:rPr>
                <w:rFonts w:ascii="Arial Narrow" w:hAnsi="Arial Narrow"/>
                <w:sz w:val="18"/>
                <w:szCs w:val="18"/>
                <w:lang w:val="es-ES" w:eastAsia="es-ES"/>
              </w:rPr>
              <w:t xml:space="preserve">cap. </w:t>
            </w:r>
            <w:r w:rsidR="00303AA4" w:rsidRPr="00730AE6">
              <w:rPr>
                <w:rFonts w:ascii="Arial Narrow" w:hAnsi="Arial Narrow"/>
                <w:sz w:val="18"/>
                <w:szCs w:val="18"/>
                <w:lang w:val="es-ES" w:eastAsia="es-ES"/>
              </w:rPr>
              <w:t>3)</w:t>
            </w:r>
          </w:p>
        </w:tc>
        <w:tc>
          <w:tcPr>
            <w:tcW w:w="1390"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16.145</w:t>
            </w:r>
          </w:p>
        </w:tc>
        <w:tc>
          <w:tcPr>
            <w:tcW w:w="904"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14.709</w:t>
            </w:r>
          </w:p>
        </w:tc>
        <w:tc>
          <w:tcPr>
            <w:tcW w:w="1170"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-9</w:t>
            </w:r>
          </w:p>
        </w:tc>
      </w:tr>
      <w:tr w:rsidR="00303AA4" w:rsidRPr="00730AE6" w:rsidTr="00BC5BE8">
        <w:trPr>
          <w:trHeight w:val="255"/>
          <w:jc w:val="center"/>
        </w:trPr>
        <w:tc>
          <w:tcPr>
            <w:tcW w:w="5327" w:type="dxa"/>
            <w:tcBorders>
              <w:top w:val="single" w:sz="2" w:space="0" w:color="auto"/>
              <w:left w:val="nil"/>
              <w:bottom w:val="single" w:sz="2" w:space="0" w:color="auto"/>
              <w:right w:val="nil"/>
            </w:tcBorders>
            <w:shd w:val="clear" w:color="auto" w:fill="auto"/>
            <w:noWrap/>
            <w:vAlign w:val="center"/>
          </w:tcPr>
          <w:p w:rsidR="00303AA4" w:rsidRPr="00730AE6" w:rsidRDefault="0052565A" w:rsidP="00B77B93">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 xml:space="preserve">Porcentaje </w:t>
            </w:r>
            <w:r w:rsidR="00303AA4" w:rsidRPr="00730AE6">
              <w:rPr>
                <w:rFonts w:ascii="Arial Narrow" w:hAnsi="Arial Narrow"/>
                <w:sz w:val="18"/>
                <w:szCs w:val="18"/>
                <w:lang w:val="es-ES" w:eastAsia="es-ES"/>
              </w:rPr>
              <w:t>ingresos por tasas sobre gastos corrientes</w:t>
            </w:r>
          </w:p>
        </w:tc>
        <w:tc>
          <w:tcPr>
            <w:tcW w:w="1390"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24</w:t>
            </w:r>
          </w:p>
        </w:tc>
        <w:tc>
          <w:tcPr>
            <w:tcW w:w="904"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20</w:t>
            </w:r>
          </w:p>
        </w:tc>
        <w:tc>
          <w:tcPr>
            <w:tcW w:w="1170" w:type="dxa"/>
            <w:tcBorders>
              <w:top w:val="single" w:sz="2" w:space="0" w:color="auto"/>
              <w:left w:val="nil"/>
              <w:bottom w:val="single" w:sz="2" w:space="0" w:color="auto"/>
              <w:right w:val="nil"/>
            </w:tcBorders>
            <w:shd w:val="clear" w:color="auto" w:fill="auto"/>
            <w:noWrap/>
            <w:vAlign w:val="center"/>
          </w:tcPr>
          <w:p w:rsidR="00303AA4" w:rsidRPr="00730AE6" w:rsidRDefault="0052565A" w:rsidP="00B77B93">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w:t>
            </w:r>
          </w:p>
        </w:tc>
      </w:tr>
      <w:tr w:rsidR="00303AA4" w:rsidRPr="00730AE6" w:rsidTr="00BC5BE8">
        <w:trPr>
          <w:trHeight w:val="255"/>
          <w:jc w:val="center"/>
        </w:trPr>
        <w:tc>
          <w:tcPr>
            <w:tcW w:w="5327" w:type="dxa"/>
            <w:tcBorders>
              <w:top w:val="single" w:sz="2" w:space="0" w:color="auto"/>
              <w:left w:val="nil"/>
              <w:bottom w:val="single" w:sz="2" w:space="0" w:color="auto"/>
              <w:right w:val="nil"/>
            </w:tcBorders>
            <w:shd w:val="clear" w:color="auto" w:fill="auto"/>
            <w:noWrap/>
            <w:vAlign w:val="center"/>
            <w:hideMark/>
          </w:tcPr>
          <w:p w:rsidR="00303AA4" w:rsidRPr="00730AE6" w:rsidRDefault="00303AA4" w:rsidP="00B77B93">
            <w:pPr>
              <w:spacing w:after="0"/>
              <w:ind w:firstLine="0"/>
              <w:jc w:val="left"/>
              <w:rPr>
                <w:rFonts w:ascii="Arial Narrow" w:hAnsi="Arial Narrow"/>
                <w:sz w:val="18"/>
                <w:szCs w:val="18"/>
                <w:lang w:val="es-ES" w:eastAsia="es-ES"/>
              </w:rPr>
            </w:pPr>
            <w:r w:rsidRPr="00730AE6">
              <w:rPr>
                <w:rFonts w:ascii="Arial Narrow" w:hAnsi="Arial Narrow"/>
                <w:sz w:val="18"/>
                <w:szCs w:val="18"/>
                <w:lang w:val="es-ES" w:eastAsia="es-ES"/>
              </w:rPr>
              <w:t>Ingresos corrientes (</w:t>
            </w:r>
            <w:r w:rsidR="004D649B">
              <w:rPr>
                <w:rFonts w:ascii="Arial Narrow" w:hAnsi="Arial Narrow"/>
                <w:sz w:val="18"/>
                <w:szCs w:val="18"/>
                <w:lang w:val="es-ES" w:eastAsia="es-ES"/>
              </w:rPr>
              <w:t xml:space="preserve">cap. </w:t>
            </w:r>
            <w:r w:rsidRPr="00730AE6">
              <w:rPr>
                <w:rFonts w:ascii="Arial Narrow" w:hAnsi="Arial Narrow"/>
                <w:sz w:val="18"/>
                <w:szCs w:val="18"/>
                <w:lang w:val="es-ES" w:eastAsia="es-ES"/>
              </w:rPr>
              <w:t>3 a 5)</w:t>
            </w:r>
          </w:p>
        </w:tc>
        <w:tc>
          <w:tcPr>
            <w:tcW w:w="1390"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72.694</w:t>
            </w:r>
          </w:p>
        </w:tc>
        <w:tc>
          <w:tcPr>
            <w:tcW w:w="904"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75.311</w:t>
            </w:r>
          </w:p>
        </w:tc>
        <w:tc>
          <w:tcPr>
            <w:tcW w:w="1170"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4</w:t>
            </w:r>
          </w:p>
        </w:tc>
      </w:tr>
      <w:tr w:rsidR="003A7974" w:rsidRPr="00730AE6" w:rsidTr="00BC5BE8">
        <w:trPr>
          <w:trHeight w:val="255"/>
          <w:jc w:val="center"/>
        </w:trPr>
        <w:tc>
          <w:tcPr>
            <w:tcW w:w="5327" w:type="dxa"/>
            <w:tcBorders>
              <w:top w:val="single" w:sz="2" w:space="0" w:color="auto"/>
              <w:left w:val="nil"/>
              <w:bottom w:val="single" w:sz="2" w:space="0" w:color="auto"/>
              <w:right w:val="nil"/>
            </w:tcBorders>
            <w:shd w:val="clear" w:color="auto" w:fill="auto"/>
            <w:noWrap/>
            <w:vAlign w:val="center"/>
          </w:tcPr>
          <w:p w:rsidR="003A7974" w:rsidRDefault="003A7974" w:rsidP="00B77B93">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Ingresos por transferencias</w:t>
            </w:r>
          </w:p>
        </w:tc>
        <w:tc>
          <w:tcPr>
            <w:tcW w:w="1390" w:type="dxa"/>
            <w:tcBorders>
              <w:top w:val="single" w:sz="2" w:space="0" w:color="auto"/>
              <w:left w:val="nil"/>
              <w:bottom w:val="single" w:sz="2" w:space="0" w:color="auto"/>
              <w:right w:val="nil"/>
            </w:tcBorders>
            <w:shd w:val="clear" w:color="auto" w:fill="auto"/>
            <w:noWrap/>
            <w:vAlign w:val="center"/>
          </w:tcPr>
          <w:p w:rsidR="003A7974" w:rsidRPr="00730AE6" w:rsidRDefault="001869A5" w:rsidP="008C6152">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5</w:t>
            </w:r>
            <w:r w:rsidR="008C6152">
              <w:rPr>
                <w:rFonts w:ascii="Arial Narrow" w:hAnsi="Arial Narrow"/>
                <w:sz w:val="18"/>
                <w:szCs w:val="18"/>
                <w:lang w:val="es-ES" w:eastAsia="es-ES"/>
              </w:rPr>
              <w:t>6.388</w:t>
            </w:r>
          </w:p>
        </w:tc>
        <w:tc>
          <w:tcPr>
            <w:tcW w:w="904" w:type="dxa"/>
            <w:tcBorders>
              <w:top w:val="single" w:sz="2" w:space="0" w:color="auto"/>
              <w:left w:val="nil"/>
              <w:bottom w:val="single" w:sz="2" w:space="0" w:color="auto"/>
              <w:right w:val="nil"/>
            </w:tcBorders>
            <w:shd w:val="clear" w:color="auto" w:fill="auto"/>
            <w:noWrap/>
            <w:vAlign w:val="center"/>
          </w:tcPr>
          <w:p w:rsidR="003A7974" w:rsidRPr="00730AE6" w:rsidRDefault="008C6152" w:rsidP="00B77B93">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61.174</w:t>
            </w:r>
          </w:p>
        </w:tc>
        <w:tc>
          <w:tcPr>
            <w:tcW w:w="1170" w:type="dxa"/>
            <w:tcBorders>
              <w:top w:val="single" w:sz="2" w:space="0" w:color="auto"/>
              <w:left w:val="nil"/>
              <w:bottom w:val="single" w:sz="2" w:space="0" w:color="auto"/>
              <w:right w:val="nil"/>
            </w:tcBorders>
            <w:shd w:val="clear" w:color="auto" w:fill="auto"/>
            <w:noWrap/>
            <w:vAlign w:val="center"/>
          </w:tcPr>
          <w:p w:rsidR="003A7974" w:rsidRDefault="008C6152" w:rsidP="00B77B93">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8</w:t>
            </w:r>
          </w:p>
        </w:tc>
      </w:tr>
      <w:tr w:rsidR="00303AA4" w:rsidRPr="00730AE6" w:rsidTr="00BC5BE8">
        <w:trPr>
          <w:trHeight w:val="255"/>
          <w:jc w:val="center"/>
        </w:trPr>
        <w:tc>
          <w:tcPr>
            <w:tcW w:w="5327" w:type="dxa"/>
            <w:tcBorders>
              <w:top w:val="single" w:sz="2" w:space="0" w:color="auto"/>
              <w:left w:val="nil"/>
              <w:bottom w:val="single" w:sz="2" w:space="0" w:color="auto"/>
              <w:right w:val="nil"/>
            </w:tcBorders>
            <w:shd w:val="clear" w:color="auto" w:fill="auto"/>
            <w:noWrap/>
            <w:vAlign w:val="center"/>
            <w:hideMark/>
          </w:tcPr>
          <w:p w:rsidR="00303AA4" w:rsidRPr="00730AE6" w:rsidRDefault="0052565A" w:rsidP="00B77B93">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 xml:space="preserve">Porcentaje </w:t>
            </w:r>
            <w:r w:rsidR="00303AA4" w:rsidRPr="00730AE6">
              <w:rPr>
                <w:rFonts w:ascii="Arial Narrow" w:hAnsi="Arial Narrow"/>
                <w:sz w:val="18"/>
                <w:szCs w:val="18"/>
                <w:lang w:val="es-ES" w:eastAsia="es-ES"/>
              </w:rPr>
              <w:t xml:space="preserve"> ingresos por transferencias sobre el total de ingresos</w:t>
            </w:r>
          </w:p>
        </w:tc>
        <w:tc>
          <w:tcPr>
            <w:tcW w:w="1390" w:type="dxa"/>
            <w:tcBorders>
              <w:top w:val="single" w:sz="2" w:space="0" w:color="auto"/>
              <w:left w:val="nil"/>
              <w:bottom w:val="single" w:sz="2" w:space="0" w:color="auto"/>
              <w:right w:val="nil"/>
            </w:tcBorders>
            <w:shd w:val="clear" w:color="auto" w:fill="auto"/>
            <w:noWrap/>
            <w:vAlign w:val="center"/>
          </w:tcPr>
          <w:p w:rsidR="00303AA4" w:rsidRPr="00730AE6" w:rsidRDefault="001869A5" w:rsidP="00B77B93">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71</w:t>
            </w:r>
          </w:p>
        </w:tc>
        <w:tc>
          <w:tcPr>
            <w:tcW w:w="904" w:type="dxa"/>
            <w:tcBorders>
              <w:top w:val="single" w:sz="2" w:space="0" w:color="auto"/>
              <w:left w:val="nil"/>
              <w:bottom w:val="single" w:sz="2" w:space="0" w:color="auto"/>
              <w:right w:val="nil"/>
            </w:tcBorders>
            <w:shd w:val="clear" w:color="auto" w:fill="auto"/>
            <w:noWrap/>
            <w:vAlign w:val="center"/>
          </w:tcPr>
          <w:p w:rsidR="00303AA4" w:rsidRPr="00730AE6" w:rsidRDefault="001869A5" w:rsidP="00B77B93">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74</w:t>
            </w:r>
          </w:p>
        </w:tc>
        <w:tc>
          <w:tcPr>
            <w:tcW w:w="1170" w:type="dxa"/>
            <w:tcBorders>
              <w:top w:val="single" w:sz="2" w:space="0" w:color="auto"/>
              <w:left w:val="nil"/>
              <w:bottom w:val="single" w:sz="2" w:space="0" w:color="auto"/>
              <w:right w:val="nil"/>
            </w:tcBorders>
            <w:shd w:val="clear" w:color="auto" w:fill="auto"/>
            <w:noWrap/>
            <w:vAlign w:val="center"/>
          </w:tcPr>
          <w:p w:rsidR="00303AA4" w:rsidRPr="00730AE6" w:rsidRDefault="0052565A" w:rsidP="00B77B93">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w:t>
            </w:r>
          </w:p>
        </w:tc>
      </w:tr>
      <w:tr w:rsidR="00303AA4" w:rsidRPr="00730AE6" w:rsidTr="00BC5BE8">
        <w:trPr>
          <w:trHeight w:val="255"/>
          <w:jc w:val="center"/>
        </w:trPr>
        <w:tc>
          <w:tcPr>
            <w:tcW w:w="5327" w:type="dxa"/>
            <w:tcBorders>
              <w:top w:val="single" w:sz="2" w:space="0" w:color="auto"/>
              <w:left w:val="nil"/>
              <w:bottom w:val="single" w:sz="2" w:space="0" w:color="auto"/>
              <w:right w:val="nil"/>
            </w:tcBorders>
            <w:shd w:val="clear" w:color="auto" w:fill="auto"/>
            <w:noWrap/>
            <w:vAlign w:val="center"/>
            <w:hideMark/>
          </w:tcPr>
          <w:p w:rsidR="00303AA4" w:rsidRPr="00730AE6" w:rsidRDefault="00303AA4" w:rsidP="00B77B93">
            <w:pPr>
              <w:spacing w:after="0"/>
              <w:ind w:firstLine="0"/>
              <w:jc w:val="left"/>
              <w:rPr>
                <w:rFonts w:ascii="Arial Narrow" w:hAnsi="Arial Narrow"/>
                <w:sz w:val="18"/>
                <w:szCs w:val="18"/>
                <w:lang w:val="es-ES" w:eastAsia="es-ES"/>
              </w:rPr>
            </w:pPr>
            <w:r w:rsidRPr="00730AE6">
              <w:rPr>
                <w:rFonts w:ascii="Arial Narrow" w:hAnsi="Arial Narrow"/>
                <w:sz w:val="18"/>
                <w:szCs w:val="18"/>
                <w:lang w:val="es-ES" w:eastAsia="es-ES"/>
              </w:rPr>
              <w:t>Ingresos operaciones financieras (</w:t>
            </w:r>
            <w:r w:rsidR="004D649B">
              <w:rPr>
                <w:rFonts w:ascii="Arial Narrow" w:hAnsi="Arial Narrow"/>
                <w:sz w:val="18"/>
                <w:szCs w:val="18"/>
                <w:lang w:val="es-ES" w:eastAsia="es-ES"/>
              </w:rPr>
              <w:t xml:space="preserve">cap. </w:t>
            </w:r>
            <w:r w:rsidRPr="00730AE6">
              <w:rPr>
                <w:rFonts w:ascii="Arial Narrow" w:hAnsi="Arial Narrow"/>
                <w:sz w:val="18"/>
                <w:szCs w:val="18"/>
                <w:lang w:val="es-ES" w:eastAsia="es-ES"/>
              </w:rPr>
              <w:t>8 y 9)</w:t>
            </w:r>
          </w:p>
        </w:tc>
        <w:tc>
          <w:tcPr>
            <w:tcW w:w="1390"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618</w:t>
            </w:r>
          </w:p>
        </w:tc>
        <w:tc>
          <w:tcPr>
            <w:tcW w:w="904"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971</w:t>
            </w:r>
          </w:p>
        </w:tc>
        <w:tc>
          <w:tcPr>
            <w:tcW w:w="1170" w:type="dxa"/>
            <w:tcBorders>
              <w:top w:val="single" w:sz="2" w:space="0" w:color="auto"/>
              <w:left w:val="nil"/>
              <w:bottom w:val="single" w:sz="2" w:space="0" w:color="auto"/>
              <w:right w:val="nil"/>
            </w:tcBorders>
            <w:shd w:val="clear" w:color="auto" w:fill="auto"/>
            <w:noWrap/>
            <w:vAlign w:val="center"/>
          </w:tcPr>
          <w:p w:rsidR="00303AA4" w:rsidRPr="00730AE6" w:rsidRDefault="00303AA4" w:rsidP="00B77B93">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57</w:t>
            </w:r>
          </w:p>
        </w:tc>
      </w:tr>
      <w:tr w:rsidR="00A718CD" w:rsidRPr="00622D89" w:rsidTr="00BC5BE8">
        <w:trPr>
          <w:trHeight w:val="255"/>
          <w:jc w:val="center"/>
        </w:trPr>
        <w:tc>
          <w:tcPr>
            <w:tcW w:w="5327" w:type="dxa"/>
            <w:tcBorders>
              <w:top w:val="single" w:sz="2" w:space="0" w:color="auto"/>
              <w:left w:val="nil"/>
              <w:bottom w:val="single" w:sz="2" w:space="0" w:color="auto"/>
              <w:right w:val="nil"/>
            </w:tcBorders>
            <w:shd w:val="clear" w:color="auto" w:fill="auto"/>
            <w:noWrap/>
            <w:vAlign w:val="center"/>
          </w:tcPr>
          <w:p w:rsidR="00A718CD" w:rsidRPr="00622D89" w:rsidRDefault="00A718CD" w:rsidP="00B77B93">
            <w:pPr>
              <w:spacing w:after="0"/>
              <w:ind w:firstLine="0"/>
              <w:jc w:val="left"/>
              <w:rPr>
                <w:rFonts w:ascii="Arial Narrow" w:hAnsi="Arial Narrow"/>
                <w:sz w:val="18"/>
                <w:szCs w:val="18"/>
                <w:lang w:val="es-ES" w:eastAsia="es-ES"/>
              </w:rPr>
            </w:pPr>
            <w:r w:rsidRPr="00622D89">
              <w:rPr>
                <w:rFonts w:ascii="Arial Narrow" w:hAnsi="Arial Narrow"/>
                <w:sz w:val="18"/>
                <w:szCs w:val="18"/>
                <w:lang w:val="es-ES" w:eastAsia="es-ES"/>
              </w:rPr>
              <w:t>Compromisos de gastos presupuestarios ejercicios futuros</w:t>
            </w:r>
          </w:p>
        </w:tc>
        <w:tc>
          <w:tcPr>
            <w:tcW w:w="1390" w:type="dxa"/>
            <w:tcBorders>
              <w:top w:val="single" w:sz="2" w:space="0" w:color="auto"/>
              <w:left w:val="nil"/>
              <w:bottom w:val="single" w:sz="2" w:space="0" w:color="auto"/>
              <w:right w:val="nil"/>
            </w:tcBorders>
            <w:shd w:val="clear" w:color="auto" w:fill="auto"/>
            <w:noWrap/>
            <w:vAlign w:val="center"/>
          </w:tcPr>
          <w:p w:rsidR="00A718CD" w:rsidRPr="00622D89" w:rsidRDefault="009207DF" w:rsidP="00B77B93">
            <w:pPr>
              <w:spacing w:after="0"/>
              <w:ind w:firstLine="0"/>
              <w:jc w:val="right"/>
              <w:rPr>
                <w:rFonts w:ascii="Arial Narrow" w:hAnsi="Arial Narrow"/>
                <w:sz w:val="18"/>
                <w:szCs w:val="18"/>
                <w:lang w:val="es-ES" w:eastAsia="es-ES"/>
              </w:rPr>
            </w:pPr>
            <w:r w:rsidRPr="00622D89">
              <w:rPr>
                <w:rFonts w:ascii="Arial Narrow" w:hAnsi="Arial Narrow"/>
                <w:sz w:val="18"/>
                <w:szCs w:val="18"/>
                <w:lang w:val="es-ES" w:eastAsia="es-ES"/>
              </w:rPr>
              <w:t>5.903</w:t>
            </w:r>
          </w:p>
        </w:tc>
        <w:tc>
          <w:tcPr>
            <w:tcW w:w="904" w:type="dxa"/>
            <w:tcBorders>
              <w:top w:val="single" w:sz="2" w:space="0" w:color="auto"/>
              <w:left w:val="nil"/>
              <w:bottom w:val="single" w:sz="2" w:space="0" w:color="auto"/>
              <w:right w:val="nil"/>
            </w:tcBorders>
            <w:shd w:val="clear" w:color="auto" w:fill="auto"/>
            <w:noWrap/>
            <w:vAlign w:val="center"/>
          </w:tcPr>
          <w:p w:rsidR="00A718CD" w:rsidRPr="00622D89" w:rsidRDefault="009207DF" w:rsidP="00B77B93">
            <w:pPr>
              <w:spacing w:after="0"/>
              <w:ind w:firstLine="0"/>
              <w:jc w:val="right"/>
              <w:rPr>
                <w:rFonts w:ascii="Arial Narrow" w:hAnsi="Arial Narrow"/>
                <w:sz w:val="18"/>
                <w:szCs w:val="18"/>
                <w:lang w:val="es-ES" w:eastAsia="es-ES"/>
              </w:rPr>
            </w:pPr>
            <w:r w:rsidRPr="00622D89">
              <w:rPr>
                <w:rFonts w:ascii="Arial Narrow" w:hAnsi="Arial Narrow"/>
                <w:sz w:val="18"/>
                <w:szCs w:val="18"/>
                <w:lang w:val="es-ES" w:eastAsia="es-ES"/>
              </w:rPr>
              <w:t>4.856</w:t>
            </w:r>
          </w:p>
        </w:tc>
        <w:tc>
          <w:tcPr>
            <w:tcW w:w="1170" w:type="dxa"/>
            <w:tcBorders>
              <w:top w:val="single" w:sz="2" w:space="0" w:color="auto"/>
              <w:left w:val="nil"/>
              <w:bottom w:val="single" w:sz="2" w:space="0" w:color="auto"/>
              <w:right w:val="nil"/>
            </w:tcBorders>
            <w:shd w:val="clear" w:color="auto" w:fill="auto"/>
            <w:noWrap/>
            <w:vAlign w:val="center"/>
          </w:tcPr>
          <w:p w:rsidR="00A718CD" w:rsidRPr="00622D89" w:rsidRDefault="009B27F9" w:rsidP="00B77B93">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w:t>
            </w:r>
            <w:r w:rsidR="009207DF" w:rsidRPr="00622D89">
              <w:rPr>
                <w:rFonts w:ascii="Arial Narrow" w:hAnsi="Arial Narrow"/>
                <w:sz w:val="18"/>
                <w:szCs w:val="18"/>
                <w:lang w:val="es-ES" w:eastAsia="es-ES"/>
              </w:rPr>
              <w:t>18</w:t>
            </w:r>
          </w:p>
        </w:tc>
      </w:tr>
    </w:tbl>
    <w:p w:rsidR="008E5693" w:rsidRPr="00BC5BE8" w:rsidRDefault="008E5693" w:rsidP="005F01DB">
      <w:pPr>
        <w:pStyle w:val="texto"/>
        <w:tabs>
          <w:tab w:val="clear" w:pos="2835"/>
          <w:tab w:val="clear" w:pos="3969"/>
          <w:tab w:val="clear" w:pos="5103"/>
          <w:tab w:val="clear" w:pos="6237"/>
          <w:tab w:val="clear" w:pos="7371"/>
          <w:tab w:val="num" w:pos="300"/>
          <w:tab w:val="num" w:pos="720"/>
        </w:tabs>
        <w:spacing w:before="60"/>
        <w:ind w:left="142" w:firstLine="0"/>
        <w:rPr>
          <w:rFonts w:ascii="Arial" w:hAnsi="Arial" w:cs="Arial"/>
          <w:sz w:val="14"/>
          <w:szCs w:val="14"/>
        </w:rPr>
      </w:pPr>
      <w:r w:rsidRPr="00BC5BE8">
        <w:rPr>
          <w:rFonts w:ascii="Arial" w:hAnsi="Arial" w:cs="Arial"/>
          <w:sz w:val="14"/>
          <w:szCs w:val="14"/>
        </w:rPr>
        <w:t>*Ejercicio no auditado</w:t>
      </w:r>
    </w:p>
    <w:p w:rsidR="00FD749B" w:rsidRPr="00730AE6" w:rsidRDefault="00FD749B" w:rsidP="00EA3952">
      <w:pPr>
        <w:pStyle w:val="texto"/>
        <w:tabs>
          <w:tab w:val="clear" w:pos="2835"/>
          <w:tab w:val="clear" w:pos="3969"/>
          <w:tab w:val="clear" w:pos="5103"/>
          <w:tab w:val="clear" w:pos="6237"/>
          <w:tab w:val="clear" w:pos="7371"/>
          <w:tab w:val="num" w:pos="300"/>
          <w:tab w:val="num" w:pos="720"/>
        </w:tabs>
        <w:spacing w:before="240"/>
        <w:rPr>
          <w:szCs w:val="26"/>
        </w:rPr>
      </w:pPr>
      <w:r w:rsidRPr="00730AE6">
        <w:rPr>
          <w:szCs w:val="26"/>
        </w:rPr>
        <w:t xml:space="preserve">De su análisis </w:t>
      </w:r>
      <w:r w:rsidR="00F3763C">
        <w:rPr>
          <w:szCs w:val="26"/>
        </w:rPr>
        <w:t>señal</w:t>
      </w:r>
      <w:r w:rsidRPr="00730AE6">
        <w:rPr>
          <w:szCs w:val="26"/>
        </w:rPr>
        <w:t>amos los siguientes aspectos:</w:t>
      </w:r>
    </w:p>
    <w:p w:rsidR="000C7BF6" w:rsidRDefault="00FD749B" w:rsidP="00FD749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0C7BF6">
        <w:rPr>
          <w:szCs w:val="26"/>
        </w:rPr>
        <w:t>El presupuesto inicial de 2017 es superior en un seis por ciento al del ejerc</w:t>
      </w:r>
      <w:r w:rsidRPr="000C7BF6">
        <w:rPr>
          <w:szCs w:val="26"/>
        </w:rPr>
        <w:t>i</w:t>
      </w:r>
      <w:r w:rsidRPr="000C7BF6">
        <w:rPr>
          <w:szCs w:val="26"/>
        </w:rPr>
        <w:t>cio anterior.</w:t>
      </w:r>
      <w:r w:rsidR="000C7BF6">
        <w:rPr>
          <w:szCs w:val="26"/>
        </w:rPr>
        <w:t xml:space="preserve"> </w:t>
      </w:r>
    </w:p>
    <w:p w:rsidR="00FD749B" w:rsidRPr="000C7BF6" w:rsidRDefault="00947213" w:rsidP="00290CF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90"/>
        <w:rPr>
          <w:szCs w:val="26"/>
        </w:rPr>
      </w:pPr>
      <w:r w:rsidRPr="000C7BF6">
        <w:rPr>
          <w:szCs w:val="26"/>
        </w:rPr>
        <w:t>Los gastos totales de 2017 se han incrementado en un cuatro por ciento</w:t>
      </w:r>
      <w:r w:rsidR="000C7BF6">
        <w:rPr>
          <w:szCs w:val="26"/>
        </w:rPr>
        <w:t>, fundamentalmente por el aumento de gastos de personal en 3,84 millones</w:t>
      </w:r>
      <w:r w:rsidRPr="000C7BF6">
        <w:rPr>
          <w:szCs w:val="26"/>
        </w:rPr>
        <w:t xml:space="preserve"> y los ingresos totales en un cinco por cien</w:t>
      </w:r>
      <w:r w:rsidR="000C7BF6">
        <w:rPr>
          <w:szCs w:val="26"/>
        </w:rPr>
        <w:t>to, por el aumento de las transferencias c</w:t>
      </w:r>
      <w:r w:rsidR="000C7BF6">
        <w:rPr>
          <w:szCs w:val="26"/>
        </w:rPr>
        <w:t>o</w:t>
      </w:r>
      <w:r w:rsidR="000C7BF6">
        <w:rPr>
          <w:szCs w:val="26"/>
        </w:rPr>
        <w:t>rrientes en 4,1 millones.</w:t>
      </w:r>
    </w:p>
    <w:p w:rsidR="00FD749B" w:rsidRPr="00BC5BE8" w:rsidRDefault="00AD3AC5" w:rsidP="00290CF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90"/>
        <w:rPr>
          <w:spacing w:val="4"/>
          <w:szCs w:val="26"/>
        </w:rPr>
      </w:pPr>
      <w:r w:rsidRPr="00BC5BE8">
        <w:rPr>
          <w:spacing w:val="4"/>
          <w:szCs w:val="26"/>
        </w:rPr>
        <w:t xml:space="preserve">Los gastos en operaciones financieras se han reducido un </w:t>
      </w:r>
      <w:r w:rsidR="006F4ED0" w:rsidRPr="00BC5BE8">
        <w:rPr>
          <w:spacing w:val="4"/>
          <w:szCs w:val="26"/>
        </w:rPr>
        <w:t>99</w:t>
      </w:r>
      <w:r w:rsidRPr="00BC5BE8">
        <w:rPr>
          <w:spacing w:val="4"/>
          <w:szCs w:val="26"/>
        </w:rPr>
        <w:t xml:space="preserve"> por ciento, de 1,83 millones a 18.000 euros; esta reducción está originada por la amortización anticipada que se efectuó en 2016 de dos préstamos por importe de 1,56 millones.</w:t>
      </w:r>
    </w:p>
    <w:p w:rsidR="00AD3AC5" w:rsidRPr="00BC5BE8" w:rsidRDefault="00AD3AC5" w:rsidP="00290CF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90"/>
        <w:rPr>
          <w:spacing w:val="-4"/>
          <w:szCs w:val="26"/>
        </w:rPr>
      </w:pPr>
      <w:r w:rsidRPr="00BC5BE8">
        <w:rPr>
          <w:spacing w:val="-4"/>
          <w:szCs w:val="26"/>
        </w:rPr>
        <w:t xml:space="preserve">Los ingresos corrientes han aumentado </w:t>
      </w:r>
      <w:r w:rsidR="00F02F64" w:rsidRPr="00BC5BE8">
        <w:rPr>
          <w:spacing w:val="-4"/>
          <w:szCs w:val="26"/>
        </w:rPr>
        <w:t xml:space="preserve">respecto a los de 2016 </w:t>
      </w:r>
      <w:r w:rsidRPr="00BC5BE8">
        <w:rPr>
          <w:spacing w:val="-4"/>
          <w:szCs w:val="26"/>
        </w:rPr>
        <w:t>un cuatro por ciento.</w:t>
      </w:r>
    </w:p>
    <w:p w:rsidR="00020DCD" w:rsidRPr="00730AE6" w:rsidRDefault="00020DCD" w:rsidP="00290CF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szCs w:val="26"/>
        </w:rPr>
      </w:pPr>
      <w:r>
        <w:rPr>
          <w:szCs w:val="26"/>
        </w:rPr>
        <w:t xml:space="preserve">Los ingresos por tasas disminuyen un </w:t>
      </w:r>
      <w:r w:rsidR="00AD3AC5">
        <w:rPr>
          <w:szCs w:val="26"/>
        </w:rPr>
        <w:t xml:space="preserve">nueve </w:t>
      </w:r>
      <w:r>
        <w:rPr>
          <w:szCs w:val="26"/>
        </w:rPr>
        <w:t xml:space="preserve">por ciento y financian el 20 por ciento de los gastos corrientes. Asimismo, esta fuente de financiación supone el 19 por ciento sobre el total de ingresos de la </w:t>
      </w:r>
      <w:r w:rsidR="009D7DD5">
        <w:rPr>
          <w:szCs w:val="26"/>
        </w:rPr>
        <w:t>Universidad</w:t>
      </w:r>
      <w:r>
        <w:rPr>
          <w:szCs w:val="26"/>
        </w:rPr>
        <w:t>.</w:t>
      </w:r>
    </w:p>
    <w:p w:rsidR="00D55382" w:rsidRDefault="00D55382" w:rsidP="00290CF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szCs w:val="26"/>
        </w:rPr>
      </w:pPr>
      <w:r>
        <w:rPr>
          <w:szCs w:val="26"/>
        </w:rPr>
        <w:t>Los ingresos por transferencias</w:t>
      </w:r>
      <w:r w:rsidR="00BC5BE8">
        <w:rPr>
          <w:szCs w:val="26"/>
        </w:rPr>
        <w:t xml:space="preserve">, </w:t>
      </w:r>
      <w:r>
        <w:rPr>
          <w:szCs w:val="26"/>
        </w:rPr>
        <w:t>61,17 millones, representan el 7</w:t>
      </w:r>
      <w:r w:rsidR="006F4ED0">
        <w:rPr>
          <w:szCs w:val="26"/>
        </w:rPr>
        <w:t>9</w:t>
      </w:r>
      <w:r>
        <w:rPr>
          <w:szCs w:val="26"/>
        </w:rPr>
        <w:t xml:space="preserve"> por ciento del total de ingresos. </w:t>
      </w:r>
      <w:r w:rsidR="00A83E5B">
        <w:rPr>
          <w:szCs w:val="26"/>
        </w:rPr>
        <w:t xml:space="preserve">Dentro de estos ingresos por transferencias, </w:t>
      </w:r>
      <w:r w:rsidR="0000117B">
        <w:rPr>
          <w:szCs w:val="26"/>
        </w:rPr>
        <w:t>destacan</w:t>
      </w:r>
      <w:r w:rsidR="00A83E5B">
        <w:rPr>
          <w:szCs w:val="26"/>
        </w:rPr>
        <w:t xml:space="preserve"> los procedentes del convenio de financiación con el Gobierno de Navarra por un i</w:t>
      </w:r>
      <w:r w:rsidR="00A83E5B">
        <w:rPr>
          <w:szCs w:val="26"/>
        </w:rPr>
        <w:t>m</w:t>
      </w:r>
      <w:r w:rsidR="00A83E5B">
        <w:rPr>
          <w:szCs w:val="26"/>
        </w:rPr>
        <w:t>porte de 5</w:t>
      </w:r>
      <w:r w:rsidR="009B27F9">
        <w:rPr>
          <w:szCs w:val="26"/>
        </w:rPr>
        <w:t>5</w:t>
      </w:r>
      <w:r w:rsidR="00A83E5B">
        <w:rPr>
          <w:szCs w:val="26"/>
        </w:rPr>
        <w:t>,</w:t>
      </w:r>
      <w:r w:rsidR="009B27F9">
        <w:rPr>
          <w:szCs w:val="26"/>
        </w:rPr>
        <w:t>1</w:t>
      </w:r>
      <w:r w:rsidR="00A83E5B">
        <w:rPr>
          <w:szCs w:val="26"/>
        </w:rPr>
        <w:t>7 millones de euros.</w:t>
      </w:r>
    </w:p>
    <w:p w:rsidR="00303AA4" w:rsidRPr="00DD1A4A" w:rsidRDefault="00C03927" w:rsidP="007E13AD">
      <w:pPr>
        <w:pStyle w:val="atitulo2"/>
        <w:spacing w:before="240" w:after="120"/>
        <w:rPr>
          <w:color w:val="auto"/>
        </w:rPr>
      </w:pPr>
      <w:bookmarkStart w:id="31" w:name="_Toc3967024"/>
      <w:r w:rsidRPr="00DD1A4A">
        <w:rPr>
          <w:color w:val="auto"/>
        </w:rPr>
        <w:lastRenderedPageBreak/>
        <w:t>V</w:t>
      </w:r>
      <w:r w:rsidR="00613F68">
        <w:rPr>
          <w:color w:val="auto"/>
        </w:rPr>
        <w:t>I</w:t>
      </w:r>
      <w:r w:rsidRPr="00DD1A4A">
        <w:rPr>
          <w:color w:val="auto"/>
        </w:rPr>
        <w:t>.</w:t>
      </w:r>
      <w:r w:rsidR="00597E19" w:rsidRPr="00DD1A4A">
        <w:rPr>
          <w:color w:val="auto"/>
        </w:rPr>
        <w:t>2</w:t>
      </w:r>
      <w:r w:rsidR="0054484F" w:rsidRPr="00DD1A4A">
        <w:rPr>
          <w:color w:val="auto"/>
        </w:rPr>
        <w:t>.</w:t>
      </w:r>
      <w:r w:rsidRPr="00DD1A4A">
        <w:rPr>
          <w:color w:val="auto"/>
        </w:rPr>
        <w:t xml:space="preserve"> Situación económico-financiera de la Universidad Pública de Nav</w:t>
      </w:r>
      <w:r w:rsidRPr="00DD1A4A">
        <w:rPr>
          <w:color w:val="auto"/>
        </w:rPr>
        <w:t>a</w:t>
      </w:r>
      <w:r w:rsidRPr="00DD1A4A">
        <w:rPr>
          <w:color w:val="auto"/>
        </w:rPr>
        <w:t>rra a 31 de diciembre de 2017</w:t>
      </w:r>
      <w:bookmarkEnd w:id="31"/>
    </w:p>
    <w:p w:rsidR="00FF1FE7" w:rsidRDefault="00FF1FE7" w:rsidP="007E13AD">
      <w:pPr>
        <w:pStyle w:val="texto"/>
        <w:tabs>
          <w:tab w:val="clear" w:pos="2835"/>
          <w:tab w:val="clear" w:pos="3969"/>
          <w:tab w:val="clear" w:pos="5103"/>
          <w:tab w:val="clear" w:pos="6237"/>
          <w:tab w:val="clear" w:pos="7371"/>
          <w:tab w:val="num" w:pos="300"/>
          <w:tab w:val="num" w:pos="720"/>
        </w:tabs>
        <w:spacing w:after="0"/>
        <w:rPr>
          <w:szCs w:val="26"/>
        </w:rPr>
      </w:pPr>
      <w:r>
        <w:rPr>
          <w:szCs w:val="26"/>
        </w:rPr>
        <w:t xml:space="preserve">En el cuadro siguiente se muestra la evolución de un conjunto de indicadores relacionados con la situación económico-financiera de la </w:t>
      </w:r>
      <w:r w:rsidR="00A32A9C">
        <w:rPr>
          <w:szCs w:val="26"/>
        </w:rPr>
        <w:t>Universidad</w:t>
      </w:r>
      <w:r>
        <w:rPr>
          <w:szCs w:val="26"/>
        </w:rPr>
        <w:t xml:space="preserve"> en 2016 y 2017:</w:t>
      </w:r>
    </w:p>
    <w:p w:rsidR="006A5BD5" w:rsidRPr="006955A6" w:rsidRDefault="0000117B" w:rsidP="007E13AD">
      <w:pPr>
        <w:pStyle w:val="texto"/>
        <w:tabs>
          <w:tab w:val="clear" w:pos="2835"/>
          <w:tab w:val="clear" w:pos="3969"/>
          <w:tab w:val="clear" w:pos="5103"/>
          <w:tab w:val="clear" w:pos="6237"/>
          <w:tab w:val="clear" w:pos="7371"/>
          <w:tab w:val="left" w:pos="480"/>
          <w:tab w:val="num" w:pos="928"/>
          <w:tab w:val="num" w:pos="6597"/>
        </w:tabs>
        <w:spacing w:after="0"/>
        <w:ind w:left="568" w:firstLine="0"/>
        <w:jc w:val="right"/>
        <w:rPr>
          <w:rFonts w:ascii="Arial" w:hAnsi="Arial" w:cs="Arial"/>
          <w:sz w:val="18"/>
          <w:szCs w:val="18"/>
        </w:rPr>
      </w:pPr>
      <w:r w:rsidRPr="006955A6">
        <w:rPr>
          <w:rFonts w:ascii="Arial" w:hAnsi="Arial" w:cs="Arial"/>
          <w:sz w:val="18"/>
          <w:szCs w:val="18"/>
        </w:rPr>
        <w:t>(En miles de euros)</w:t>
      </w:r>
    </w:p>
    <w:tbl>
      <w:tblPr>
        <w:tblW w:w="8897" w:type="dxa"/>
        <w:jc w:val="center"/>
        <w:tblInd w:w="3" w:type="dxa"/>
        <w:tblCellMar>
          <w:left w:w="70" w:type="dxa"/>
          <w:right w:w="70" w:type="dxa"/>
        </w:tblCellMar>
        <w:tblLook w:val="04A0" w:firstRow="1" w:lastRow="0" w:firstColumn="1" w:lastColumn="0" w:noHBand="0" w:noVBand="1"/>
      </w:tblPr>
      <w:tblGrid>
        <w:gridCol w:w="5327"/>
        <w:gridCol w:w="1390"/>
        <w:gridCol w:w="1010"/>
        <w:gridCol w:w="1170"/>
      </w:tblGrid>
      <w:tr w:rsidR="00494029" w:rsidRPr="00730AE6" w:rsidTr="005F01DB">
        <w:trPr>
          <w:trHeight w:val="284"/>
          <w:jc w:val="center"/>
        </w:trPr>
        <w:tc>
          <w:tcPr>
            <w:tcW w:w="5327" w:type="dxa"/>
            <w:tcBorders>
              <w:top w:val="single" w:sz="2" w:space="0" w:color="auto"/>
              <w:left w:val="nil"/>
              <w:bottom w:val="single" w:sz="2" w:space="0" w:color="auto"/>
              <w:right w:val="nil"/>
            </w:tcBorders>
            <w:shd w:val="clear" w:color="auto" w:fill="A0C3E3" w:themeFill="accent1" w:themeFillTint="99"/>
            <w:noWrap/>
            <w:vAlign w:val="center"/>
            <w:hideMark/>
          </w:tcPr>
          <w:p w:rsidR="00494029" w:rsidRPr="00494029" w:rsidRDefault="00494029" w:rsidP="00B66BCB">
            <w:pPr>
              <w:spacing w:after="0"/>
              <w:ind w:left="50" w:firstLine="0"/>
              <w:jc w:val="left"/>
              <w:rPr>
                <w:rFonts w:ascii="Arial" w:hAnsi="Arial" w:cs="Arial"/>
                <w:bCs/>
                <w:color w:val="000000"/>
                <w:sz w:val="18"/>
                <w:szCs w:val="18"/>
                <w:lang w:val="es-ES" w:eastAsia="es-ES"/>
              </w:rPr>
            </w:pPr>
            <w:r w:rsidRPr="00494029">
              <w:rPr>
                <w:rFonts w:ascii="Arial" w:hAnsi="Arial" w:cs="Arial"/>
                <w:bCs/>
                <w:color w:val="000000"/>
                <w:sz w:val="18"/>
                <w:szCs w:val="18"/>
                <w:lang w:val="es-ES" w:eastAsia="es-ES"/>
              </w:rPr>
              <w:t>Indicadores</w:t>
            </w:r>
          </w:p>
        </w:tc>
        <w:tc>
          <w:tcPr>
            <w:tcW w:w="1390" w:type="dxa"/>
            <w:tcBorders>
              <w:top w:val="single" w:sz="2" w:space="0" w:color="auto"/>
              <w:left w:val="nil"/>
              <w:bottom w:val="single" w:sz="2" w:space="0" w:color="auto"/>
              <w:right w:val="nil"/>
            </w:tcBorders>
            <w:shd w:val="clear" w:color="auto" w:fill="A0C3E3" w:themeFill="accent1" w:themeFillTint="99"/>
            <w:noWrap/>
            <w:vAlign w:val="center"/>
          </w:tcPr>
          <w:p w:rsidR="00494029" w:rsidRPr="00494029" w:rsidRDefault="00494029" w:rsidP="00494029">
            <w:pPr>
              <w:spacing w:after="0"/>
              <w:ind w:left="50" w:firstLine="0"/>
              <w:jc w:val="right"/>
              <w:rPr>
                <w:rFonts w:ascii="Arial" w:hAnsi="Arial" w:cs="Arial"/>
                <w:bCs/>
                <w:color w:val="000000"/>
                <w:sz w:val="18"/>
                <w:szCs w:val="18"/>
                <w:lang w:val="es-ES" w:eastAsia="es-ES"/>
              </w:rPr>
            </w:pPr>
            <w:r w:rsidRPr="00494029">
              <w:rPr>
                <w:rFonts w:ascii="Arial" w:hAnsi="Arial" w:cs="Arial"/>
                <w:bCs/>
                <w:color w:val="000000"/>
                <w:sz w:val="18"/>
                <w:szCs w:val="18"/>
                <w:lang w:val="es-ES" w:eastAsia="es-ES"/>
              </w:rPr>
              <w:t>2016</w:t>
            </w:r>
            <w:r w:rsidR="006B29E1">
              <w:rPr>
                <w:rFonts w:ascii="Arial" w:hAnsi="Arial" w:cs="Arial"/>
                <w:bCs/>
                <w:color w:val="000000"/>
                <w:sz w:val="18"/>
                <w:szCs w:val="18"/>
                <w:lang w:val="es-ES" w:eastAsia="es-ES"/>
              </w:rPr>
              <w:t>*</w:t>
            </w:r>
          </w:p>
        </w:tc>
        <w:tc>
          <w:tcPr>
            <w:tcW w:w="1010" w:type="dxa"/>
            <w:tcBorders>
              <w:top w:val="single" w:sz="2" w:space="0" w:color="auto"/>
              <w:left w:val="nil"/>
              <w:bottom w:val="single" w:sz="2" w:space="0" w:color="auto"/>
              <w:right w:val="nil"/>
            </w:tcBorders>
            <w:shd w:val="clear" w:color="auto" w:fill="A0C3E3" w:themeFill="accent1" w:themeFillTint="99"/>
            <w:noWrap/>
            <w:vAlign w:val="center"/>
          </w:tcPr>
          <w:p w:rsidR="00494029" w:rsidRPr="00494029" w:rsidRDefault="00494029" w:rsidP="00494029">
            <w:pPr>
              <w:spacing w:after="0"/>
              <w:ind w:left="50" w:firstLine="0"/>
              <w:jc w:val="right"/>
              <w:rPr>
                <w:rFonts w:ascii="Arial" w:hAnsi="Arial" w:cs="Arial"/>
                <w:bCs/>
                <w:color w:val="000000"/>
                <w:sz w:val="18"/>
                <w:szCs w:val="18"/>
                <w:lang w:val="es-ES" w:eastAsia="es-ES"/>
              </w:rPr>
            </w:pPr>
            <w:r w:rsidRPr="00494029">
              <w:rPr>
                <w:rFonts w:ascii="Arial" w:hAnsi="Arial" w:cs="Arial"/>
                <w:bCs/>
                <w:color w:val="000000"/>
                <w:sz w:val="18"/>
                <w:szCs w:val="18"/>
                <w:lang w:val="es-ES" w:eastAsia="es-ES"/>
              </w:rPr>
              <w:t>2017</w:t>
            </w:r>
          </w:p>
        </w:tc>
        <w:tc>
          <w:tcPr>
            <w:tcW w:w="1170" w:type="dxa"/>
            <w:tcBorders>
              <w:top w:val="single" w:sz="2" w:space="0" w:color="auto"/>
              <w:left w:val="nil"/>
              <w:bottom w:val="single" w:sz="2" w:space="0" w:color="auto"/>
              <w:right w:val="nil"/>
            </w:tcBorders>
            <w:shd w:val="clear" w:color="auto" w:fill="A0C3E3" w:themeFill="accent1" w:themeFillTint="99"/>
            <w:noWrap/>
            <w:vAlign w:val="center"/>
          </w:tcPr>
          <w:p w:rsidR="00494029" w:rsidRPr="00494029" w:rsidRDefault="00494029" w:rsidP="00494029">
            <w:pPr>
              <w:spacing w:after="0"/>
              <w:ind w:left="50" w:firstLine="0"/>
              <w:jc w:val="right"/>
              <w:rPr>
                <w:rFonts w:ascii="Arial" w:hAnsi="Arial" w:cs="Arial"/>
                <w:bCs/>
                <w:color w:val="000000"/>
                <w:sz w:val="18"/>
                <w:szCs w:val="18"/>
                <w:lang w:val="es-ES" w:eastAsia="es-ES"/>
              </w:rPr>
            </w:pPr>
            <w:r w:rsidRPr="00494029">
              <w:rPr>
                <w:rFonts w:ascii="Arial" w:hAnsi="Arial" w:cs="Arial"/>
                <w:bCs/>
                <w:color w:val="000000"/>
                <w:sz w:val="18"/>
                <w:szCs w:val="18"/>
                <w:lang w:val="es-ES" w:eastAsia="es-ES"/>
              </w:rPr>
              <w:t>%Variación 2017/16</w:t>
            </w:r>
          </w:p>
        </w:tc>
      </w:tr>
      <w:tr w:rsidR="0000117B" w:rsidRPr="00775BA2" w:rsidTr="00BE2A78">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00117B" w:rsidRPr="00775BA2" w:rsidRDefault="0000117B" w:rsidP="00BE2A78">
            <w:pPr>
              <w:spacing w:after="0"/>
              <w:ind w:firstLine="0"/>
              <w:jc w:val="left"/>
              <w:rPr>
                <w:rFonts w:ascii="Arial Narrow" w:hAnsi="Arial Narrow"/>
                <w:lang w:val="es-ES" w:eastAsia="es-ES"/>
              </w:rPr>
            </w:pPr>
            <w:r w:rsidRPr="00775BA2">
              <w:rPr>
                <w:rFonts w:ascii="Arial Narrow" w:hAnsi="Arial Narrow"/>
                <w:lang w:val="es-ES" w:eastAsia="es-ES"/>
              </w:rPr>
              <w:t>Resultado Presupuestario ajustado</w:t>
            </w:r>
          </w:p>
        </w:tc>
        <w:tc>
          <w:tcPr>
            <w:tcW w:w="139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lang w:val="es-ES" w:eastAsia="es-ES"/>
              </w:rPr>
            </w:pPr>
            <w:r w:rsidRPr="00775BA2">
              <w:rPr>
                <w:rFonts w:ascii="Arial Narrow" w:hAnsi="Arial Narrow"/>
                <w:lang w:val="es-ES" w:eastAsia="es-ES"/>
              </w:rPr>
              <w:t>56</w:t>
            </w:r>
          </w:p>
        </w:tc>
        <w:tc>
          <w:tcPr>
            <w:tcW w:w="101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lang w:val="es-ES" w:eastAsia="es-ES"/>
              </w:rPr>
            </w:pPr>
            <w:r w:rsidRPr="00775BA2">
              <w:rPr>
                <w:rFonts w:ascii="Arial Narrow" w:hAnsi="Arial Narrow"/>
                <w:lang w:val="es-ES" w:eastAsia="es-ES"/>
              </w:rPr>
              <w:t>411</w:t>
            </w:r>
          </w:p>
        </w:tc>
        <w:tc>
          <w:tcPr>
            <w:tcW w:w="117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lang w:val="es-ES" w:eastAsia="es-ES"/>
              </w:rPr>
            </w:pPr>
            <w:r w:rsidRPr="00775BA2">
              <w:rPr>
                <w:rFonts w:ascii="Arial Narrow" w:hAnsi="Arial Narrow"/>
                <w:lang w:val="es-ES" w:eastAsia="es-ES"/>
              </w:rPr>
              <w:t>634</w:t>
            </w:r>
          </w:p>
        </w:tc>
      </w:tr>
      <w:tr w:rsidR="00C444D0" w:rsidRPr="00775BA2" w:rsidTr="005F01DB">
        <w:trPr>
          <w:trHeight w:val="284"/>
          <w:jc w:val="center"/>
        </w:trPr>
        <w:tc>
          <w:tcPr>
            <w:tcW w:w="5327" w:type="dxa"/>
            <w:tcBorders>
              <w:top w:val="single" w:sz="2" w:space="0" w:color="auto"/>
              <w:left w:val="nil"/>
              <w:bottom w:val="single" w:sz="2" w:space="0" w:color="auto"/>
              <w:right w:val="nil"/>
            </w:tcBorders>
            <w:shd w:val="clear" w:color="auto" w:fill="auto"/>
            <w:noWrap/>
            <w:vAlign w:val="center"/>
          </w:tcPr>
          <w:p w:rsidR="00C444D0" w:rsidRPr="00775BA2" w:rsidRDefault="00C444D0" w:rsidP="00C444D0">
            <w:pPr>
              <w:spacing w:after="0"/>
              <w:ind w:firstLine="0"/>
              <w:jc w:val="left"/>
              <w:rPr>
                <w:rFonts w:ascii="Arial Narrow" w:hAnsi="Arial Narrow"/>
                <w:lang w:val="es-ES" w:eastAsia="es-ES"/>
              </w:rPr>
            </w:pPr>
            <w:r w:rsidRPr="00775BA2">
              <w:rPr>
                <w:rFonts w:ascii="Arial Narrow" w:hAnsi="Arial Narrow"/>
                <w:lang w:val="es-ES" w:eastAsia="es-ES"/>
              </w:rPr>
              <w:t xml:space="preserve">Saldo Presupuestario no Financiero </w:t>
            </w:r>
          </w:p>
        </w:tc>
        <w:tc>
          <w:tcPr>
            <w:tcW w:w="1390" w:type="dxa"/>
            <w:tcBorders>
              <w:top w:val="single" w:sz="2" w:space="0" w:color="auto"/>
              <w:left w:val="nil"/>
              <w:bottom w:val="single" w:sz="2" w:space="0" w:color="auto"/>
              <w:right w:val="nil"/>
            </w:tcBorders>
            <w:shd w:val="clear" w:color="auto" w:fill="auto"/>
            <w:noWrap/>
            <w:vAlign w:val="center"/>
          </w:tcPr>
          <w:p w:rsidR="00C444D0" w:rsidRPr="00775BA2" w:rsidRDefault="00C444D0" w:rsidP="00C444D0">
            <w:pPr>
              <w:spacing w:after="0"/>
              <w:ind w:firstLine="0"/>
              <w:jc w:val="right"/>
              <w:rPr>
                <w:rFonts w:ascii="Arial Narrow" w:hAnsi="Arial Narrow"/>
                <w:lang w:val="es-ES" w:eastAsia="es-ES"/>
              </w:rPr>
            </w:pPr>
            <w:r w:rsidRPr="00775BA2">
              <w:rPr>
                <w:rFonts w:ascii="Arial Narrow" w:hAnsi="Arial Narrow"/>
                <w:lang w:val="es-ES" w:eastAsia="es-ES"/>
              </w:rPr>
              <w:t>-772</w:t>
            </w:r>
          </w:p>
        </w:tc>
        <w:tc>
          <w:tcPr>
            <w:tcW w:w="1010" w:type="dxa"/>
            <w:tcBorders>
              <w:top w:val="single" w:sz="2" w:space="0" w:color="auto"/>
              <w:left w:val="nil"/>
              <w:bottom w:val="single" w:sz="2" w:space="0" w:color="auto"/>
              <w:right w:val="nil"/>
            </w:tcBorders>
            <w:shd w:val="clear" w:color="auto" w:fill="auto"/>
            <w:noWrap/>
            <w:vAlign w:val="center"/>
          </w:tcPr>
          <w:p w:rsidR="00C444D0" w:rsidRPr="00775BA2" w:rsidRDefault="00C444D0" w:rsidP="00C444D0">
            <w:pPr>
              <w:spacing w:after="0"/>
              <w:ind w:firstLine="0"/>
              <w:jc w:val="right"/>
              <w:rPr>
                <w:rFonts w:ascii="Arial Narrow" w:hAnsi="Arial Narrow"/>
                <w:lang w:val="es-ES" w:eastAsia="es-ES"/>
              </w:rPr>
            </w:pPr>
            <w:r w:rsidRPr="00775BA2">
              <w:rPr>
                <w:rFonts w:ascii="Arial Narrow" w:hAnsi="Arial Narrow"/>
                <w:lang w:val="es-ES" w:eastAsia="es-ES"/>
              </w:rPr>
              <w:t>-2.165</w:t>
            </w:r>
          </w:p>
        </w:tc>
        <w:tc>
          <w:tcPr>
            <w:tcW w:w="1170" w:type="dxa"/>
            <w:tcBorders>
              <w:top w:val="single" w:sz="2" w:space="0" w:color="auto"/>
              <w:left w:val="nil"/>
              <w:bottom w:val="single" w:sz="2" w:space="0" w:color="auto"/>
              <w:right w:val="nil"/>
            </w:tcBorders>
            <w:shd w:val="clear" w:color="auto" w:fill="auto"/>
            <w:noWrap/>
            <w:vAlign w:val="center"/>
          </w:tcPr>
          <w:p w:rsidR="00C444D0" w:rsidRPr="00775BA2" w:rsidRDefault="00C444D0" w:rsidP="00C444D0">
            <w:pPr>
              <w:spacing w:after="0"/>
              <w:ind w:firstLine="0"/>
              <w:jc w:val="right"/>
              <w:rPr>
                <w:rFonts w:ascii="Arial Narrow" w:hAnsi="Arial Narrow"/>
                <w:lang w:val="es-ES" w:eastAsia="es-ES"/>
              </w:rPr>
            </w:pPr>
            <w:r w:rsidRPr="00775BA2">
              <w:rPr>
                <w:rFonts w:ascii="Arial Narrow" w:hAnsi="Arial Narrow"/>
                <w:lang w:val="es-ES" w:eastAsia="es-ES"/>
              </w:rPr>
              <w:t>-180</w:t>
            </w:r>
          </w:p>
        </w:tc>
      </w:tr>
      <w:tr w:rsidR="0000117B" w:rsidRPr="00775BA2" w:rsidTr="00BE2A78">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00117B" w:rsidRPr="00775BA2" w:rsidRDefault="0000117B" w:rsidP="00BE2A78">
            <w:pPr>
              <w:spacing w:after="0"/>
              <w:ind w:firstLine="0"/>
              <w:jc w:val="left"/>
              <w:rPr>
                <w:rFonts w:ascii="Arial Narrow" w:hAnsi="Arial Narrow"/>
                <w:lang w:val="es-ES" w:eastAsia="es-ES"/>
              </w:rPr>
            </w:pPr>
            <w:r w:rsidRPr="00775BA2">
              <w:rPr>
                <w:rFonts w:ascii="Arial Narrow" w:hAnsi="Arial Narrow"/>
                <w:lang w:val="es-ES" w:eastAsia="es-ES"/>
              </w:rPr>
              <w:t>Ahorro bruto</w:t>
            </w:r>
          </w:p>
        </w:tc>
        <w:tc>
          <w:tcPr>
            <w:tcW w:w="139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lang w:val="es-ES" w:eastAsia="es-ES"/>
              </w:rPr>
            </w:pPr>
            <w:r w:rsidRPr="00775BA2">
              <w:rPr>
                <w:rFonts w:ascii="Arial Narrow" w:hAnsi="Arial Narrow"/>
                <w:lang w:val="es-ES" w:eastAsia="es-ES"/>
              </w:rPr>
              <w:t>4.219</w:t>
            </w:r>
          </w:p>
        </w:tc>
        <w:tc>
          <w:tcPr>
            <w:tcW w:w="101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lang w:val="es-ES" w:eastAsia="es-ES"/>
              </w:rPr>
            </w:pPr>
            <w:r w:rsidRPr="00775BA2">
              <w:rPr>
                <w:rFonts w:ascii="Arial Narrow" w:hAnsi="Arial Narrow"/>
                <w:lang w:val="es-ES" w:eastAsia="es-ES"/>
              </w:rPr>
              <w:t>1.966</w:t>
            </w:r>
          </w:p>
        </w:tc>
        <w:tc>
          <w:tcPr>
            <w:tcW w:w="117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lang w:val="es-ES" w:eastAsia="es-ES"/>
              </w:rPr>
            </w:pPr>
            <w:r w:rsidRPr="00775BA2">
              <w:rPr>
                <w:rFonts w:ascii="Arial Narrow" w:hAnsi="Arial Narrow"/>
                <w:lang w:val="es-ES" w:eastAsia="es-ES"/>
              </w:rPr>
              <w:t>-53</w:t>
            </w:r>
          </w:p>
        </w:tc>
      </w:tr>
      <w:tr w:rsidR="0000117B" w:rsidRPr="00775BA2" w:rsidTr="00BE2A78">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00117B" w:rsidRPr="00775BA2" w:rsidRDefault="0000117B" w:rsidP="00BE2A78">
            <w:pPr>
              <w:spacing w:after="0"/>
              <w:ind w:firstLine="0"/>
              <w:jc w:val="left"/>
              <w:rPr>
                <w:rFonts w:ascii="Arial Narrow" w:hAnsi="Arial Narrow"/>
                <w:lang w:val="es-ES" w:eastAsia="es-ES"/>
              </w:rPr>
            </w:pPr>
            <w:r w:rsidRPr="00775BA2">
              <w:rPr>
                <w:rFonts w:ascii="Arial Narrow" w:hAnsi="Arial Narrow"/>
                <w:lang w:val="es-ES" w:eastAsia="es-ES"/>
              </w:rPr>
              <w:t>Carga financiera (cap. 3 y 9 de gastos)</w:t>
            </w:r>
          </w:p>
        </w:tc>
        <w:tc>
          <w:tcPr>
            <w:tcW w:w="139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lang w:val="es-ES" w:eastAsia="es-ES"/>
              </w:rPr>
            </w:pPr>
            <w:r w:rsidRPr="00775BA2">
              <w:rPr>
                <w:rFonts w:ascii="Arial Narrow" w:hAnsi="Arial Narrow"/>
                <w:lang w:val="es-ES" w:eastAsia="es-ES"/>
              </w:rPr>
              <w:t>1.870</w:t>
            </w:r>
          </w:p>
        </w:tc>
        <w:tc>
          <w:tcPr>
            <w:tcW w:w="101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lang w:val="es-ES" w:eastAsia="es-ES"/>
              </w:rPr>
            </w:pPr>
            <w:r w:rsidRPr="00775BA2">
              <w:rPr>
                <w:rFonts w:ascii="Arial Narrow" w:hAnsi="Arial Narrow"/>
                <w:lang w:val="es-ES" w:eastAsia="es-ES"/>
              </w:rPr>
              <w:t>43</w:t>
            </w:r>
          </w:p>
        </w:tc>
        <w:tc>
          <w:tcPr>
            <w:tcW w:w="117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lang w:val="es-ES" w:eastAsia="es-ES"/>
              </w:rPr>
            </w:pPr>
            <w:r w:rsidRPr="00775BA2">
              <w:rPr>
                <w:rFonts w:ascii="Arial Narrow" w:hAnsi="Arial Narrow"/>
                <w:lang w:val="es-ES" w:eastAsia="es-ES"/>
              </w:rPr>
              <w:t>-98</w:t>
            </w:r>
          </w:p>
        </w:tc>
      </w:tr>
      <w:tr w:rsidR="0000117B" w:rsidRPr="00775BA2" w:rsidTr="00BE2A78">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00117B" w:rsidRPr="00775BA2" w:rsidRDefault="0000117B" w:rsidP="00BE2A78">
            <w:pPr>
              <w:spacing w:after="0"/>
              <w:ind w:firstLine="0"/>
              <w:jc w:val="left"/>
              <w:rPr>
                <w:rFonts w:ascii="Arial Narrow" w:hAnsi="Arial Narrow"/>
                <w:lang w:val="es-ES" w:eastAsia="es-ES"/>
              </w:rPr>
            </w:pPr>
            <w:r w:rsidRPr="00775BA2">
              <w:rPr>
                <w:rFonts w:ascii="Arial Narrow" w:hAnsi="Arial Narrow"/>
                <w:lang w:val="es-ES" w:eastAsia="es-ES"/>
              </w:rPr>
              <w:t>Ahorro neto</w:t>
            </w:r>
          </w:p>
        </w:tc>
        <w:tc>
          <w:tcPr>
            <w:tcW w:w="139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lang w:val="es-ES" w:eastAsia="es-ES"/>
              </w:rPr>
            </w:pPr>
            <w:r w:rsidRPr="00775BA2">
              <w:rPr>
                <w:rFonts w:ascii="Arial Narrow" w:hAnsi="Arial Narrow"/>
                <w:lang w:val="es-ES" w:eastAsia="es-ES"/>
              </w:rPr>
              <w:t>2.349</w:t>
            </w:r>
          </w:p>
        </w:tc>
        <w:tc>
          <w:tcPr>
            <w:tcW w:w="101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lang w:val="es-ES" w:eastAsia="es-ES"/>
              </w:rPr>
            </w:pPr>
            <w:r w:rsidRPr="00775BA2">
              <w:rPr>
                <w:rFonts w:ascii="Arial Narrow" w:hAnsi="Arial Narrow"/>
                <w:lang w:val="es-ES" w:eastAsia="es-ES"/>
              </w:rPr>
              <w:t>1.924</w:t>
            </w:r>
          </w:p>
        </w:tc>
        <w:tc>
          <w:tcPr>
            <w:tcW w:w="117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lang w:val="es-ES" w:eastAsia="es-ES"/>
              </w:rPr>
            </w:pPr>
            <w:r w:rsidRPr="00775BA2">
              <w:rPr>
                <w:rFonts w:ascii="Arial Narrow" w:hAnsi="Arial Narrow"/>
                <w:lang w:val="es-ES" w:eastAsia="es-ES"/>
              </w:rPr>
              <w:t>-18</w:t>
            </w:r>
          </w:p>
        </w:tc>
      </w:tr>
      <w:tr w:rsidR="0000117B" w:rsidRPr="00775BA2" w:rsidTr="00BE2A78">
        <w:trPr>
          <w:trHeight w:val="284"/>
          <w:jc w:val="center"/>
        </w:trPr>
        <w:tc>
          <w:tcPr>
            <w:tcW w:w="5327"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left"/>
              <w:rPr>
                <w:rFonts w:ascii="Arial Narrow" w:hAnsi="Arial Narrow"/>
                <w:lang w:val="es-ES" w:eastAsia="es-ES"/>
              </w:rPr>
            </w:pPr>
            <w:r w:rsidRPr="00775BA2">
              <w:rPr>
                <w:rFonts w:ascii="Arial Narrow" w:hAnsi="Arial Narrow"/>
                <w:lang w:val="es-ES" w:eastAsia="es-ES"/>
              </w:rPr>
              <w:t>Remanente de Tesorería total</w:t>
            </w:r>
          </w:p>
        </w:tc>
        <w:tc>
          <w:tcPr>
            <w:tcW w:w="139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lang w:val="es-ES" w:eastAsia="es-ES"/>
              </w:rPr>
            </w:pPr>
            <w:r w:rsidRPr="00775BA2">
              <w:rPr>
                <w:rFonts w:ascii="Arial Narrow" w:hAnsi="Arial Narrow"/>
                <w:lang w:val="es-ES" w:eastAsia="es-ES"/>
              </w:rPr>
              <w:t>12.454</w:t>
            </w:r>
          </w:p>
        </w:tc>
        <w:tc>
          <w:tcPr>
            <w:tcW w:w="101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lang w:val="es-ES" w:eastAsia="es-ES"/>
              </w:rPr>
            </w:pPr>
            <w:r w:rsidRPr="00775BA2">
              <w:rPr>
                <w:rFonts w:ascii="Arial Narrow" w:hAnsi="Arial Narrow"/>
                <w:lang w:val="es-ES" w:eastAsia="es-ES"/>
              </w:rPr>
              <w:t>10.863</w:t>
            </w:r>
          </w:p>
        </w:tc>
        <w:tc>
          <w:tcPr>
            <w:tcW w:w="117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lang w:val="es-ES" w:eastAsia="es-ES"/>
              </w:rPr>
            </w:pPr>
            <w:r w:rsidRPr="00775BA2">
              <w:rPr>
                <w:rFonts w:ascii="Arial Narrow" w:hAnsi="Arial Narrow"/>
                <w:lang w:val="es-ES" w:eastAsia="es-ES"/>
              </w:rPr>
              <w:t>-13</w:t>
            </w:r>
          </w:p>
        </w:tc>
      </w:tr>
      <w:tr w:rsidR="0000117B" w:rsidRPr="00775BA2" w:rsidTr="00BE2A78">
        <w:trPr>
          <w:trHeight w:val="284"/>
          <w:jc w:val="center"/>
        </w:trPr>
        <w:tc>
          <w:tcPr>
            <w:tcW w:w="5327"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left"/>
              <w:rPr>
                <w:rFonts w:ascii="Arial Narrow" w:hAnsi="Arial Narrow"/>
                <w:lang w:val="es-ES" w:eastAsia="es-ES"/>
              </w:rPr>
            </w:pPr>
            <w:r w:rsidRPr="00775BA2">
              <w:rPr>
                <w:rFonts w:ascii="Arial Narrow" w:hAnsi="Arial Narrow"/>
                <w:lang w:val="es-ES" w:eastAsia="es-ES"/>
              </w:rPr>
              <w:t>Remanente de Tesorería afectado</w:t>
            </w:r>
          </w:p>
        </w:tc>
        <w:tc>
          <w:tcPr>
            <w:tcW w:w="139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lang w:val="es-ES" w:eastAsia="es-ES"/>
              </w:rPr>
            </w:pPr>
            <w:r w:rsidRPr="00775BA2">
              <w:rPr>
                <w:rFonts w:ascii="Arial Narrow" w:hAnsi="Arial Narrow"/>
                <w:lang w:val="es-ES" w:eastAsia="es-ES"/>
              </w:rPr>
              <w:t>6.503</w:t>
            </w:r>
          </w:p>
        </w:tc>
        <w:tc>
          <w:tcPr>
            <w:tcW w:w="101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lang w:val="es-ES" w:eastAsia="es-ES"/>
              </w:rPr>
            </w:pPr>
            <w:r w:rsidRPr="00775BA2">
              <w:rPr>
                <w:rFonts w:ascii="Arial Narrow" w:hAnsi="Arial Narrow"/>
                <w:lang w:val="es-ES" w:eastAsia="es-ES"/>
              </w:rPr>
              <w:t>6.458</w:t>
            </w:r>
          </w:p>
        </w:tc>
        <w:tc>
          <w:tcPr>
            <w:tcW w:w="117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lang w:val="es-ES" w:eastAsia="es-ES"/>
              </w:rPr>
            </w:pPr>
            <w:r w:rsidRPr="00775BA2">
              <w:rPr>
                <w:rFonts w:ascii="Arial Narrow" w:hAnsi="Arial Narrow"/>
                <w:lang w:val="es-ES" w:eastAsia="es-ES"/>
              </w:rPr>
              <w:t>-1</w:t>
            </w:r>
          </w:p>
        </w:tc>
      </w:tr>
      <w:tr w:rsidR="0000117B" w:rsidRPr="00775BA2" w:rsidTr="00BE2A78">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00117B" w:rsidRPr="00775BA2" w:rsidRDefault="0000117B" w:rsidP="00BE2A78">
            <w:pPr>
              <w:spacing w:after="0"/>
              <w:ind w:firstLine="0"/>
              <w:jc w:val="left"/>
              <w:rPr>
                <w:rFonts w:ascii="Arial Narrow" w:hAnsi="Arial Narrow"/>
                <w:lang w:val="es-ES" w:eastAsia="es-ES"/>
              </w:rPr>
            </w:pPr>
            <w:r w:rsidRPr="00775BA2">
              <w:rPr>
                <w:rFonts w:ascii="Arial Narrow" w:hAnsi="Arial Narrow"/>
                <w:lang w:val="es-ES" w:eastAsia="es-ES"/>
              </w:rPr>
              <w:t>Remanente de Tesorería no afectado o para gastos generales</w:t>
            </w:r>
          </w:p>
        </w:tc>
        <w:tc>
          <w:tcPr>
            <w:tcW w:w="139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lang w:val="es-ES" w:eastAsia="es-ES"/>
              </w:rPr>
            </w:pPr>
            <w:r w:rsidRPr="00775BA2">
              <w:rPr>
                <w:rFonts w:ascii="Arial Narrow" w:hAnsi="Arial Narrow"/>
                <w:lang w:val="es-ES" w:eastAsia="es-ES"/>
              </w:rPr>
              <w:t>5.951</w:t>
            </w:r>
          </w:p>
        </w:tc>
        <w:tc>
          <w:tcPr>
            <w:tcW w:w="101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lang w:val="es-ES" w:eastAsia="es-ES"/>
              </w:rPr>
            </w:pPr>
            <w:r w:rsidRPr="00775BA2">
              <w:rPr>
                <w:rFonts w:ascii="Arial Narrow" w:hAnsi="Arial Narrow"/>
                <w:lang w:val="es-ES" w:eastAsia="es-ES"/>
              </w:rPr>
              <w:t>4.405</w:t>
            </w:r>
          </w:p>
        </w:tc>
        <w:tc>
          <w:tcPr>
            <w:tcW w:w="1170" w:type="dxa"/>
            <w:tcBorders>
              <w:top w:val="single" w:sz="2" w:space="0" w:color="auto"/>
              <w:left w:val="nil"/>
              <w:bottom w:val="single" w:sz="2" w:space="0" w:color="auto"/>
              <w:right w:val="nil"/>
            </w:tcBorders>
            <w:shd w:val="clear" w:color="auto" w:fill="auto"/>
            <w:noWrap/>
            <w:vAlign w:val="center"/>
          </w:tcPr>
          <w:p w:rsidR="0000117B" w:rsidRPr="00775BA2" w:rsidRDefault="0000117B" w:rsidP="00BE2A78">
            <w:pPr>
              <w:spacing w:after="0"/>
              <w:ind w:firstLine="0"/>
              <w:jc w:val="right"/>
              <w:rPr>
                <w:rFonts w:ascii="Arial Narrow" w:hAnsi="Arial Narrow"/>
                <w:lang w:val="es-ES" w:eastAsia="es-ES"/>
              </w:rPr>
            </w:pPr>
            <w:r w:rsidRPr="00775BA2">
              <w:rPr>
                <w:rFonts w:ascii="Arial Narrow" w:hAnsi="Arial Narrow"/>
                <w:lang w:val="es-ES" w:eastAsia="es-ES"/>
              </w:rPr>
              <w:t>-26</w:t>
            </w:r>
          </w:p>
        </w:tc>
      </w:tr>
      <w:tr w:rsidR="00C444D0" w:rsidRPr="00775BA2" w:rsidTr="00D54429">
        <w:trPr>
          <w:trHeight w:val="284"/>
          <w:jc w:val="center"/>
        </w:trPr>
        <w:tc>
          <w:tcPr>
            <w:tcW w:w="5327" w:type="dxa"/>
            <w:tcBorders>
              <w:top w:val="single" w:sz="2" w:space="0" w:color="auto"/>
              <w:left w:val="nil"/>
              <w:bottom w:val="single" w:sz="2" w:space="0" w:color="auto"/>
              <w:right w:val="nil"/>
            </w:tcBorders>
            <w:shd w:val="clear" w:color="auto" w:fill="auto"/>
            <w:noWrap/>
            <w:vAlign w:val="center"/>
          </w:tcPr>
          <w:p w:rsidR="00C444D0" w:rsidRPr="00775BA2" w:rsidRDefault="00C444D0" w:rsidP="00B77B93">
            <w:pPr>
              <w:spacing w:after="0"/>
              <w:ind w:firstLine="0"/>
              <w:jc w:val="left"/>
              <w:rPr>
                <w:rFonts w:ascii="Arial Narrow" w:hAnsi="Arial Narrow"/>
                <w:lang w:val="es-ES" w:eastAsia="es-ES"/>
              </w:rPr>
            </w:pPr>
            <w:r w:rsidRPr="00775BA2">
              <w:rPr>
                <w:rFonts w:ascii="Arial Narrow" w:hAnsi="Arial Narrow"/>
                <w:lang w:val="es-ES" w:eastAsia="es-ES"/>
              </w:rPr>
              <w:t>Fondos propios</w:t>
            </w:r>
          </w:p>
        </w:tc>
        <w:tc>
          <w:tcPr>
            <w:tcW w:w="1390" w:type="dxa"/>
            <w:tcBorders>
              <w:top w:val="single" w:sz="2" w:space="0" w:color="auto"/>
              <w:left w:val="nil"/>
              <w:bottom w:val="single" w:sz="2" w:space="0" w:color="auto"/>
              <w:right w:val="nil"/>
            </w:tcBorders>
            <w:shd w:val="clear" w:color="auto" w:fill="auto"/>
            <w:noWrap/>
            <w:vAlign w:val="center"/>
          </w:tcPr>
          <w:p w:rsidR="00C444D0" w:rsidRPr="00775BA2" w:rsidRDefault="001473F7" w:rsidP="00B77B93">
            <w:pPr>
              <w:spacing w:after="0"/>
              <w:ind w:firstLine="0"/>
              <w:jc w:val="right"/>
              <w:rPr>
                <w:rFonts w:ascii="Arial Narrow" w:hAnsi="Arial Narrow"/>
                <w:lang w:val="es-ES" w:eastAsia="es-ES"/>
              </w:rPr>
            </w:pPr>
            <w:r w:rsidRPr="00775BA2">
              <w:rPr>
                <w:rFonts w:ascii="Arial Narrow" w:hAnsi="Arial Narrow"/>
                <w:lang w:val="es-ES" w:eastAsia="es-ES"/>
              </w:rPr>
              <w:t>136.820</w:t>
            </w:r>
          </w:p>
        </w:tc>
        <w:tc>
          <w:tcPr>
            <w:tcW w:w="1010" w:type="dxa"/>
            <w:tcBorders>
              <w:top w:val="single" w:sz="2" w:space="0" w:color="auto"/>
              <w:left w:val="nil"/>
              <w:bottom w:val="single" w:sz="2" w:space="0" w:color="auto"/>
              <w:right w:val="nil"/>
            </w:tcBorders>
            <w:shd w:val="clear" w:color="auto" w:fill="auto"/>
            <w:noWrap/>
            <w:vAlign w:val="center"/>
          </w:tcPr>
          <w:p w:rsidR="00C444D0" w:rsidRPr="00775BA2" w:rsidRDefault="001473F7" w:rsidP="00B77B93">
            <w:pPr>
              <w:spacing w:after="0"/>
              <w:ind w:firstLine="0"/>
              <w:jc w:val="right"/>
              <w:rPr>
                <w:rFonts w:ascii="Arial Narrow" w:hAnsi="Arial Narrow"/>
                <w:lang w:val="es-ES" w:eastAsia="es-ES"/>
              </w:rPr>
            </w:pPr>
            <w:r w:rsidRPr="00775BA2">
              <w:rPr>
                <w:rFonts w:ascii="Arial Narrow" w:hAnsi="Arial Narrow"/>
                <w:lang w:val="es-ES" w:eastAsia="es-ES"/>
              </w:rPr>
              <w:t>132.536</w:t>
            </w:r>
          </w:p>
        </w:tc>
        <w:tc>
          <w:tcPr>
            <w:tcW w:w="1170" w:type="dxa"/>
            <w:tcBorders>
              <w:top w:val="single" w:sz="2" w:space="0" w:color="auto"/>
              <w:left w:val="nil"/>
              <w:bottom w:val="single" w:sz="2" w:space="0" w:color="auto"/>
              <w:right w:val="nil"/>
            </w:tcBorders>
            <w:shd w:val="clear" w:color="auto" w:fill="auto"/>
            <w:noWrap/>
            <w:vAlign w:val="center"/>
          </w:tcPr>
          <w:p w:rsidR="00C444D0" w:rsidRPr="00775BA2" w:rsidRDefault="001473F7" w:rsidP="00B77B93">
            <w:pPr>
              <w:spacing w:after="0"/>
              <w:ind w:firstLine="0"/>
              <w:jc w:val="right"/>
              <w:rPr>
                <w:rFonts w:ascii="Arial Narrow" w:hAnsi="Arial Narrow"/>
                <w:lang w:val="es-ES" w:eastAsia="es-ES"/>
              </w:rPr>
            </w:pPr>
            <w:r w:rsidRPr="00775BA2">
              <w:rPr>
                <w:rFonts w:ascii="Arial Narrow" w:hAnsi="Arial Narrow"/>
                <w:lang w:val="es-ES" w:eastAsia="es-ES"/>
              </w:rPr>
              <w:t>-3</w:t>
            </w:r>
          </w:p>
        </w:tc>
      </w:tr>
      <w:tr w:rsidR="00494029" w:rsidRPr="00775BA2" w:rsidTr="00D54429">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494029" w:rsidRPr="00775BA2" w:rsidRDefault="00494029" w:rsidP="00B77B93">
            <w:pPr>
              <w:spacing w:after="0"/>
              <w:ind w:firstLine="0"/>
              <w:jc w:val="left"/>
              <w:rPr>
                <w:rFonts w:ascii="Arial Narrow" w:hAnsi="Arial Narrow"/>
                <w:lang w:val="es-ES" w:eastAsia="es-ES"/>
              </w:rPr>
            </w:pPr>
            <w:r w:rsidRPr="00775BA2">
              <w:rPr>
                <w:rFonts w:ascii="Arial Narrow" w:hAnsi="Arial Narrow"/>
                <w:lang w:val="es-ES" w:eastAsia="es-ES"/>
              </w:rPr>
              <w:t>Endeudamiento financiero (largo y corto plazo)</w:t>
            </w:r>
          </w:p>
        </w:tc>
        <w:tc>
          <w:tcPr>
            <w:tcW w:w="1390" w:type="dxa"/>
            <w:tcBorders>
              <w:top w:val="single" w:sz="2" w:space="0" w:color="auto"/>
              <w:left w:val="nil"/>
              <w:bottom w:val="single" w:sz="2" w:space="0" w:color="auto"/>
              <w:right w:val="nil"/>
            </w:tcBorders>
            <w:shd w:val="clear" w:color="auto" w:fill="auto"/>
            <w:noWrap/>
            <w:vAlign w:val="center"/>
          </w:tcPr>
          <w:p w:rsidR="00494029" w:rsidRPr="00775BA2" w:rsidRDefault="00494029" w:rsidP="00B77B93">
            <w:pPr>
              <w:spacing w:after="0"/>
              <w:ind w:firstLine="0"/>
              <w:jc w:val="right"/>
              <w:rPr>
                <w:rFonts w:ascii="Arial Narrow" w:hAnsi="Arial Narrow"/>
                <w:lang w:val="es-ES" w:eastAsia="es-ES"/>
              </w:rPr>
            </w:pPr>
            <w:r w:rsidRPr="00775BA2">
              <w:rPr>
                <w:rFonts w:ascii="Arial Narrow" w:hAnsi="Arial Narrow"/>
                <w:lang w:val="es-ES" w:eastAsia="es-ES"/>
              </w:rPr>
              <w:t>2.304</w:t>
            </w:r>
          </w:p>
        </w:tc>
        <w:tc>
          <w:tcPr>
            <w:tcW w:w="1010" w:type="dxa"/>
            <w:tcBorders>
              <w:top w:val="single" w:sz="2" w:space="0" w:color="auto"/>
              <w:left w:val="nil"/>
              <w:bottom w:val="single" w:sz="2" w:space="0" w:color="auto"/>
              <w:right w:val="nil"/>
            </w:tcBorders>
            <w:shd w:val="clear" w:color="auto" w:fill="auto"/>
            <w:noWrap/>
            <w:vAlign w:val="center"/>
          </w:tcPr>
          <w:p w:rsidR="00494029" w:rsidRPr="00775BA2" w:rsidRDefault="00494029" w:rsidP="00B77B93">
            <w:pPr>
              <w:spacing w:after="0"/>
              <w:ind w:firstLine="0"/>
              <w:jc w:val="right"/>
              <w:rPr>
                <w:rFonts w:ascii="Arial Narrow" w:hAnsi="Arial Narrow"/>
                <w:lang w:val="es-ES" w:eastAsia="es-ES"/>
              </w:rPr>
            </w:pPr>
            <w:r w:rsidRPr="00775BA2">
              <w:rPr>
                <w:rFonts w:ascii="Arial Narrow" w:hAnsi="Arial Narrow"/>
                <w:lang w:val="es-ES" w:eastAsia="es-ES"/>
              </w:rPr>
              <w:t>3.263</w:t>
            </w:r>
          </w:p>
        </w:tc>
        <w:tc>
          <w:tcPr>
            <w:tcW w:w="1170" w:type="dxa"/>
            <w:tcBorders>
              <w:top w:val="single" w:sz="2" w:space="0" w:color="auto"/>
              <w:left w:val="nil"/>
              <w:bottom w:val="single" w:sz="2" w:space="0" w:color="auto"/>
              <w:right w:val="nil"/>
            </w:tcBorders>
            <w:shd w:val="clear" w:color="auto" w:fill="auto"/>
            <w:noWrap/>
            <w:vAlign w:val="center"/>
          </w:tcPr>
          <w:p w:rsidR="00494029" w:rsidRPr="00775BA2" w:rsidRDefault="00494029" w:rsidP="00B77B93">
            <w:pPr>
              <w:spacing w:after="0"/>
              <w:ind w:firstLine="0"/>
              <w:jc w:val="right"/>
              <w:rPr>
                <w:rFonts w:ascii="Arial Narrow" w:hAnsi="Arial Narrow"/>
                <w:lang w:val="es-ES" w:eastAsia="es-ES"/>
              </w:rPr>
            </w:pPr>
            <w:r w:rsidRPr="00775BA2">
              <w:rPr>
                <w:rFonts w:ascii="Arial Narrow" w:hAnsi="Arial Narrow"/>
                <w:lang w:val="es-ES" w:eastAsia="es-ES"/>
              </w:rPr>
              <w:t>42</w:t>
            </w:r>
          </w:p>
        </w:tc>
      </w:tr>
      <w:tr w:rsidR="00494029" w:rsidRPr="00775BA2" w:rsidTr="00D54429">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494029" w:rsidRPr="00775BA2" w:rsidRDefault="005023C4" w:rsidP="005023C4">
            <w:pPr>
              <w:spacing w:after="0"/>
              <w:ind w:firstLine="0"/>
              <w:jc w:val="left"/>
              <w:rPr>
                <w:rFonts w:ascii="Arial Narrow" w:hAnsi="Arial Narrow"/>
                <w:lang w:val="es-ES" w:eastAsia="es-ES"/>
              </w:rPr>
            </w:pPr>
            <w:r w:rsidRPr="00775BA2">
              <w:rPr>
                <w:rFonts w:ascii="Arial Narrow" w:hAnsi="Arial Narrow"/>
                <w:lang w:val="es-ES" w:eastAsia="es-ES"/>
              </w:rPr>
              <w:t>Porcentaje de la deuda sobre los in</w:t>
            </w:r>
            <w:r w:rsidR="00494029" w:rsidRPr="00775BA2">
              <w:rPr>
                <w:rFonts w:ascii="Arial Narrow" w:hAnsi="Arial Narrow"/>
                <w:lang w:val="es-ES" w:eastAsia="es-ES"/>
              </w:rPr>
              <w:t>gresos corrientes</w:t>
            </w:r>
          </w:p>
        </w:tc>
        <w:tc>
          <w:tcPr>
            <w:tcW w:w="1390" w:type="dxa"/>
            <w:tcBorders>
              <w:top w:val="single" w:sz="2" w:space="0" w:color="auto"/>
              <w:left w:val="nil"/>
              <w:bottom w:val="single" w:sz="2" w:space="0" w:color="auto"/>
              <w:right w:val="nil"/>
            </w:tcBorders>
            <w:shd w:val="clear" w:color="auto" w:fill="auto"/>
            <w:noWrap/>
            <w:vAlign w:val="center"/>
          </w:tcPr>
          <w:p w:rsidR="00494029" w:rsidRPr="00775BA2" w:rsidRDefault="00494029" w:rsidP="00B77B93">
            <w:pPr>
              <w:spacing w:after="0"/>
              <w:ind w:firstLine="0"/>
              <w:jc w:val="right"/>
              <w:rPr>
                <w:rFonts w:ascii="Arial Narrow" w:hAnsi="Arial Narrow"/>
                <w:lang w:val="es-ES" w:eastAsia="es-ES"/>
              </w:rPr>
            </w:pPr>
            <w:r w:rsidRPr="00775BA2">
              <w:rPr>
                <w:rFonts w:ascii="Arial Narrow" w:hAnsi="Arial Narrow"/>
                <w:lang w:val="es-ES" w:eastAsia="es-ES"/>
              </w:rPr>
              <w:t>3</w:t>
            </w:r>
          </w:p>
        </w:tc>
        <w:tc>
          <w:tcPr>
            <w:tcW w:w="1010" w:type="dxa"/>
            <w:tcBorders>
              <w:top w:val="single" w:sz="2" w:space="0" w:color="auto"/>
              <w:left w:val="nil"/>
              <w:bottom w:val="single" w:sz="2" w:space="0" w:color="auto"/>
              <w:right w:val="nil"/>
            </w:tcBorders>
            <w:shd w:val="clear" w:color="auto" w:fill="auto"/>
            <w:noWrap/>
            <w:vAlign w:val="center"/>
          </w:tcPr>
          <w:p w:rsidR="00494029" w:rsidRPr="00775BA2" w:rsidRDefault="00494029" w:rsidP="00B77B93">
            <w:pPr>
              <w:spacing w:after="0"/>
              <w:ind w:firstLine="0"/>
              <w:jc w:val="right"/>
              <w:rPr>
                <w:rFonts w:ascii="Arial Narrow" w:hAnsi="Arial Narrow"/>
                <w:lang w:val="es-ES" w:eastAsia="es-ES"/>
              </w:rPr>
            </w:pPr>
            <w:r w:rsidRPr="00775BA2">
              <w:rPr>
                <w:rFonts w:ascii="Arial Narrow" w:hAnsi="Arial Narrow"/>
                <w:lang w:val="es-ES" w:eastAsia="es-ES"/>
              </w:rPr>
              <w:t>4</w:t>
            </w:r>
          </w:p>
        </w:tc>
        <w:tc>
          <w:tcPr>
            <w:tcW w:w="1170" w:type="dxa"/>
            <w:tcBorders>
              <w:top w:val="single" w:sz="2" w:space="0" w:color="auto"/>
              <w:left w:val="nil"/>
              <w:bottom w:val="single" w:sz="2" w:space="0" w:color="auto"/>
              <w:right w:val="nil"/>
            </w:tcBorders>
            <w:shd w:val="clear" w:color="auto" w:fill="auto"/>
            <w:noWrap/>
            <w:vAlign w:val="center"/>
          </w:tcPr>
          <w:p w:rsidR="00494029" w:rsidRPr="00775BA2" w:rsidRDefault="00494029" w:rsidP="00B77B93">
            <w:pPr>
              <w:spacing w:after="0"/>
              <w:ind w:firstLine="0"/>
              <w:jc w:val="right"/>
              <w:rPr>
                <w:rFonts w:ascii="Arial Narrow" w:hAnsi="Arial Narrow"/>
                <w:lang w:val="es-ES" w:eastAsia="es-ES"/>
              </w:rPr>
            </w:pPr>
          </w:p>
        </w:tc>
      </w:tr>
      <w:tr w:rsidR="00494029" w:rsidRPr="00775BA2" w:rsidTr="00D54429">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494029" w:rsidRPr="00775BA2" w:rsidRDefault="00494029" w:rsidP="00B77B93">
            <w:pPr>
              <w:spacing w:after="0"/>
              <w:ind w:firstLine="0"/>
              <w:jc w:val="left"/>
              <w:rPr>
                <w:rFonts w:ascii="Arial Narrow" w:hAnsi="Arial Narrow"/>
                <w:lang w:val="es-ES" w:eastAsia="es-ES"/>
              </w:rPr>
            </w:pPr>
            <w:r w:rsidRPr="00775BA2">
              <w:rPr>
                <w:rFonts w:ascii="Arial Narrow" w:hAnsi="Arial Narrow"/>
                <w:lang w:val="es-ES" w:eastAsia="es-ES"/>
              </w:rPr>
              <w:t>Tesorería</w:t>
            </w:r>
          </w:p>
        </w:tc>
        <w:tc>
          <w:tcPr>
            <w:tcW w:w="1390" w:type="dxa"/>
            <w:tcBorders>
              <w:top w:val="single" w:sz="2" w:space="0" w:color="auto"/>
              <w:left w:val="nil"/>
              <w:bottom w:val="single" w:sz="2" w:space="0" w:color="auto"/>
              <w:right w:val="nil"/>
            </w:tcBorders>
            <w:shd w:val="clear" w:color="auto" w:fill="auto"/>
            <w:noWrap/>
            <w:vAlign w:val="center"/>
          </w:tcPr>
          <w:p w:rsidR="00494029" w:rsidRPr="00775BA2" w:rsidRDefault="00494029" w:rsidP="00B77B93">
            <w:pPr>
              <w:spacing w:after="0"/>
              <w:ind w:firstLine="0"/>
              <w:jc w:val="right"/>
              <w:rPr>
                <w:rFonts w:ascii="Arial Narrow" w:hAnsi="Arial Narrow"/>
                <w:lang w:val="es-ES" w:eastAsia="es-ES"/>
              </w:rPr>
            </w:pPr>
            <w:r w:rsidRPr="00775BA2">
              <w:rPr>
                <w:rFonts w:ascii="Arial Narrow" w:hAnsi="Arial Narrow"/>
                <w:lang w:val="es-ES" w:eastAsia="es-ES"/>
              </w:rPr>
              <w:t>7.461</w:t>
            </w:r>
          </w:p>
        </w:tc>
        <w:tc>
          <w:tcPr>
            <w:tcW w:w="1010" w:type="dxa"/>
            <w:tcBorders>
              <w:top w:val="single" w:sz="2" w:space="0" w:color="auto"/>
              <w:left w:val="nil"/>
              <w:bottom w:val="single" w:sz="2" w:space="0" w:color="auto"/>
              <w:right w:val="nil"/>
            </w:tcBorders>
            <w:shd w:val="clear" w:color="auto" w:fill="auto"/>
            <w:noWrap/>
            <w:vAlign w:val="center"/>
          </w:tcPr>
          <w:p w:rsidR="00494029" w:rsidRPr="00775BA2" w:rsidRDefault="00494029" w:rsidP="00B77B93">
            <w:pPr>
              <w:spacing w:after="0"/>
              <w:ind w:firstLine="0"/>
              <w:jc w:val="right"/>
              <w:rPr>
                <w:rFonts w:ascii="Arial Narrow" w:hAnsi="Arial Narrow"/>
                <w:lang w:val="es-ES" w:eastAsia="es-ES"/>
              </w:rPr>
            </w:pPr>
            <w:r w:rsidRPr="00775BA2">
              <w:rPr>
                <w:rFonts w:ascii="Arial Narrow" w:hAnsi="Arial Narrow"/>
                <w:lang w:val="es-ES" w:eastAsia="es-ES"/>
              </w:rPr>
              <w:t>7.717</w:t>
            </w:r>
          </w:p>
        </w:tc>
        <w:tc>
          <w:tcPr>
            <w:tcW w:w="1170" w:type="dxa"/>
            <w:tcBorders>
              <w:top w:val="single" w:sz="2" w:space="0" w:color="auto"/>
              <w:left w:val="nil"/>
              <w:bottom w:val="single" w:sz="2" w:space="0" w:color="auto"/>
              <w:right w:val="nil"/>
            </w:tcBorders>
            <w:shd w:val="clear" w:color="auto" w:fill="auto"/>
            <w:noWrap/>
            <w:vAlign w:val="center"/>
          </w:tcPr>
          <w:p w:rsidR="00494029" w:rsidRPr="00775BA2" w:rsidRDefault="00494029" w:rsidP="00B77B93">
            <w:pPr>
              <w:spacing w:after="0"/>
              <w:ind w:firstLine="0"/>
              <w:jc w:val="right"/>
              <w:rPr>
                <w:rFonts w:ascii="Arial Narrow" w:hAnsi="Arial Narrow"/>
                <w:lang w:val="es-ES" w:eastAsia="es-ES"/>
              </w:rPr>
            </w:pPr>
            <w:r w:rsidRPr="00775BA2">
              <w:rPr>
                <w:rFonts w:ascii="Arial Narrow" w:hAnsi="Arial Narrow"/>
                <w:lang w:val="es-ES" w:eastAsia="es-ES"/>
              </w:rPr>
              <w:t>3</w:t>
            </w:r>
          </w:p>
        </w:tc>
      </w:tr>
      <w:tr w:rsidR="00494029" w:rsidRPr="00775BA2" w:rsidTr="00D54429">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494029" w:rsidRPr="00775BA2" w:rsidRDefault="00494029" w:rsidP="00B77B93">
            <w:pPr>
              <w:spacing w:after="0"/>
              <w:ind w:firstLine="0"/>
              <w:jc w:val="left"/>
              <w:rPr>
                <w:rFonts w:ascii="Arial Narrow" w:hAnsi="Arial Narrow"/>
                <w:lang w:val="es-ES" w:eastAsia="es-ES"/>
              </w:rPr>
            </w:pPr>
            <w:r w:rsidRPr="00775BA2">
              <w:rPr>
                <w:rFonts w:ascii="Arial Narrow" w:hAnsi="Arial Narrow"/>
                <w:lang w:val="es-ES" w:eastAsia="es-ES"/>
              </w:rPr>
              <w:t>Inversiones financieras temporales</w:t>
            </w:r>
          </w:p>
        </w:tc>
        <w:tc>
          <w:tcPr>
            <w:tcW w:w="1390" w:type="dxa"/>
            <w:tcBorders>
              <w:top w:val="single" w:sz="2" w:space="0" w:color="auto"/>
              <w:left w:val="nil"/>
              <w:bottom w:val="single" w:sz="2" w:space="0" w:color="auto"/>
              <w:right w:val="nil"/>
            </w:tcBorders>
            <w:shd w:val="clear" w:color="auto" w:fill="auto"/>
            <w:noWrap/>
            <w:vAlign w:val="center"/>
          </w:tcPr>
          <w:p w:rsidR="00494029" w:rsidRPr="00775BA2" w:rsidRDefault="00494029" w:rsidP="00B77B93">
            <w:pPr>
              <w:spacing w:after="0"/>
              <w:ind w:firstLine="0"/>
              <w:jc w:val="right"/>
              <w:rPr>
                <w:rFonts w:ascii="Arial Narrow" w:hAnsi="Arial Narrow"/>
                <w:lang w:val="es-ES" w:eastAsia="es-ES"/>
              </w:rPr>
            </w:pPr>
            <w:r w:rsidRPr="00775BA2">
              <w:rPr>
                <w:rFonts w:ascii="Arial Narrow" w:hAnsi="Arial Narrow"/>
                <w:lang w:val="es-ES" w:eastAsia="es-ES"/>
              </w:rPr>
              <w:t>8.500</w:t>
            </w:r>
          </w:p>
        </w:tc>
        <w:tc>
          <w:tcPr>
            <w:tcW w:w="1010" w:type="dxa"/>
            <w:tcBorders>
              <w:top w:val="single" w:sz="2" w:space="0" w:color="auto"/>
              <w:left w:val="nil"/>
              <w:bottom w:val="single" w:sz="2" w:space="0" w:color="auto"/>
              <w:right w:val="nil"/>
            </w:tcBorders>
            <w:shd w:val="clear" w:color="auto" w:fill="auto"/>
            <w:noWrap/>
            <w:vAlign w:val="center"/>
          </w:tcPr>
          <w:p w:rsidR="00494029" w:rsidRPr="00775BA2" w:rsidRDefault="00494029" w:rsidP="00B77B93">
            <w:pPr>
              <w:spacing w:after="0"/>
              <w:ind w:firstLine="0"/>
              <w:jc w:val="right"/>
              <w:rPr>
                <w:rFonts w:ascii="Arial Narrow" w:hAnsi="Arial Narrow"/>
                <w:lang w:val="es-ES" w:eastAsia="es-ES"/>
              </w:rPr>
            </w:pPr>
            <w:r w:rsidRPr="00775BA2">
              <w:rPr>
                <w:rFonts w:ascii="Arial Narrow" w:hAnsi="Arial Narrow"/>
                <w:lang w:val="es-ES" w:eastAsia="es-ES"/>
              </w:rPr>
              <w:t>7.000</w:t>
            </w:r>
          </w:p>
        </w:tc>
        <w:tc>
          <w:tcPr>
            <w:tcW w:w="1170" w:type="dxa"/>
            <w:tcBorders>
              <w:top w:val="single" w:sz="2" w:space="0" w:color="auto"/>
              <w:left w:val="nil"/>
              <w:bottom w:val="single" w:sz="2" w:space="0" w:color="auto"/>
              <w:right w:val="nil"/>
            </w:tcBorders>
            <w:shd w:val="clear" w:color="auto" w:fill="auto"/>
            <w:noWrap/>
            <w:vAlign w:val="center"/>
          </w:tcPr>
          <w:p w:rsidR="00494029" w:rsidRPr="00775BA2" w:rsidRDefault="00494029" w:rsidP="00B77B93">
            <w:pPr>
              <w:spacing w:after="0"/>
              <w:ind w:firstLine="0"/>
              <w:jc w:val="right"/>
              <w:rPr>
                <w:rFonts w:ascii="Arial Narrow" w:hAnsi="Arial Narrow"/>
                <w:lang w:val="es-ES" w:eastAsia="es-ES"/>
              </w:rPr>
            </w:pPr>
            <w:r w:rsidRPr="00775BA2">
              <w:rPr>
                <w:rFonts w:ascii="Arial Narrow" w:hAnsi="Arial Narrow"/>
                <w:lang w:val="es-ES" w:eastAsia="es-ES"/>
              </w:rPr>
              <w:t>-18</w:t>
            </w:r>
          </w:p>
        </w:tc>
      </w:tr>
    </w:tbl>
    <w:p w:rsidR="006B29E1" w:rsidRPr="00BC5BE8" w:rsidRDefault="006B29E1" w:rsidP="009A1153">
      <w:pPr>
        <w:pStyle w:val="texto"/>
        <w:tabs>
          <w:tab w:val="clear" w:pos="2835"/>
          <w:tab w:val="clear" w:pos="3969"/>
          <w:tab w:val="clear" w:pos="5103"/>
          <w:tab w:val="clear" w:pos="6237"/>
          <w:tab w:val="clear" w:pos="7371"/>
          <w:tab w:val="left" w:pos="480"/>
          <w:tab w:val="num" w:pos="928"/>
          <w:tab w:val="num" w:pos="6597"/>
        </w:tabs>
        <w:spacing w:before="60"/>
        <w:ind w:firstLine="0"/>
        <w:rPr>
          <w:rFonts w:ascii="Arial" w:hAnsi="Arial" w:cs="Arial"/>
          <w:sz w:val="14"/>
          <w:szCs w:val="14"/>
        </w:rPr>
      </w:pPr>
      <w:r w:rsidRPr="00BC5BE8">
        <w:rPr>
          <w:rFonts w:ascii="Arial" w:hAnsi="Arial" w:cs="Arial"/>
          <w:sz w:val="14"/>
          <w:szCs w:val="14"/>
        </w:rPr>
        <w:t>*Ejercicio no auditado</w:t>
      </w:r>
    </w:p>
    <w:p w:rsidR="00CB3447" w:rsidRDefault="00CB3447" w:rsidP="00290CF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szCs w:val="26"/>
        </w:rPr>
      </w:pPr>
      <w:r>
        <w:rPr>
          <w:szCs w:val="26"/>
        </w:rPr>
        <w:t xml:space="preserve">El resultado presupuestario ajustado se incrementa en un 634 por ciento, con un importe de 0,41 millones en el ejercicio analizado. </w:t>
      </w:r>
    </w:p>
    <w:p w:rsidR="00281277" w:rsidRDefault="00C444D0" w:rsidP="00290CF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szCs w:val="26"/>
        </w:rPr>
      </w:pPr>
      <w:r w:rsidRPr="00730AE6">
        <w:rPr>
          <w:szCs w:val="26"/>
        </w:rPr>
        <w:t xml:space="preserve">El saldo presupuestario no financiero ha empeorado en 2017, al pasar de un déficit </w:t>
      </w:r>
      <w:r w:rsidR="006B31B0">
        <w:rPr>
          <w:szCs w:val="26"/>
        </w:rPr>
        <w:t xml:space="preserve">de 0,78 millones </w:t>
      </w:r>
      <w:r w:rsidRPr="00730AE6">
        <w:rPr>
          <w:szCs w:val="26"/>
        </w:rPr>
        <w:t xml:space="preserve">en 2016 a un déficit </w:t>
      </w:r>
      <w:r w:rsidR="006B31B0">
        <w:rPr>
          <w:szCs w:val="26"/>
        </w:rPr>
        <w:t xml:space="preserve">de </w:t>
      </w:r>
      <w:r w:rsidR="006B31B0" w:rsidRPr="00730AE6">
        <w:rPr>
          <w:szCs w:val="26"/>
        </w:rPr>
        <w:t xml:space="preserve">2,17 millones </w:t>
      </w:r>
      <w:r w:rsidRPr="00730AE6">
        <w:rPr>
          <w:szCs w:val="26"/>
        </w:rPr>
        <w:t>en 2017; esta v</w:t>
      </w:r>
      <w:r w:rsidRPr="00730AE6">
        <w:rPr>
          <w:szCs w:val="26"/>
        </w:rPr>
        <w:t>a</w:t>
      </w:r>
      <w:r w:rsidRPr="00730AE6">
        <w:rPr>
          <w:szCs w:val="26"/>
        </w:rPr>
        <w:t>riación se explica por el diferente porcentaje de aumento de gastos e ingresos no financieros, 6,4 p</w:t>
      </w:r>
      <w:r w:rsidR="006F4ED0">
        <w:rPr>
          <w:szCs w:val="26"/>
        </w:rPr>
        <w:t>or ciento de gastos frente a 4,5</w:t>
      </w:r>
      <w:r w:rsidRPr="00730AE6">
        <w:rPr>
          <w:szCs w:val="26"/>
        </w:rPr>
        <w:t xml:space="preserve"> por ciento de ingresos.</w:t>
      </w:r>
      <w:r w:rsidR="00281277">
        <w:rPr>
          <w:color w:val="FF0000"/>
          <w:szCs w:val="26"/>
        </w:rPr>
        <w:t xml:space="preserve"> </w:t>
      </w:r>
    </w:p>
    <w:p w:rsidR="00CB3447" w:rsidRDefault="00CB3447" w:rsidP="00290CF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90"/>
        <w:rPr>
          <w:szCs w:val="26"/>
        </w:rPr>
      </w:pPr>
      <w:r w:rsidRPr="00730AE6">
        <w:rPr>
          <w:szCs w:val="26"/>
        </w:rPr>
        <w:t>Los ahorros bruto</w:t>
      </w:r>
      <w:r>
        <w:rPr>
          <w:rStyle w:val="Refdenotaalpie"/>
          <w:szCs w:val="26"/>
        </w:rPr>
        <w:footnoteReference w:id="6"/>
      </w:r>
      <w:r w:rsidRPr="00730AE6">
        <w:rPr>
          <w:szCs w:val="26"/>
        </w:rPr>
        <w:t xml:space="preserve"> y neto</w:t>
      </w:r>
      <w:r>
        <w:rPr>
          <w:rStyle w:val="Refdenotaalpie"/>
          <w:szCs w:val="26"/>
        </w:rPr>
        <w:footnoteReference w:id="7"/>
      </w:r>
      <w:r w:rsidRPr="00730AE6">
        <w:rPr>
          <w:szCs w:val="26"/>
        </w:rPr>
        <w:t xml:space="preserve"> han disminuido un 53 por ciento y un 18 por cie</w:t>
      </w:r>
      <w:r w:rsidRPr="00730AE6">
        <w:rPr>
          <w:szCs w:val="26"/>
        </w:rPr>
        <w:t>n</w:t>
      </w:r>
      <w:r w:rsidRPr="00730AE6">
        <w:rPr>
          <w:szCs w:val="26"/>
        </w:rPr>
        <w:t>to respecto a 2016, debido al incremento de ga</w:t>
      </w:r>
      <w:r>
        <w:rPr>
          <w:szCs w:val="26"/>
        </w:rPr>
        <w:t>s</w:t>
      </w:r>
      <w:r w:rsidRPr="00730AE6">
        <w:rPr>
          <w:szCs w:val="26"/>
        </w:rPr>
        <w:t xml:space="preserve">tos corrientes en el año 2017 y al aumento de pasivos financieros por la amortización </w:t>
      </w:r>
      <w:r>
        <w:rPr>
          <w:szCs w:val="26"/>
        </w:rPr>
        <w:t xml:space="preserve">anticipada </w:t>
      </w:r>
      <w:r w:rsidRPr="00730AE6">
        <w:rPr>
          <w:szCs w:val="26"/>
        </w:rPr>
        <w:t xml:space="preserve">de préstamos </w:t>
      </w:r>
      <w:r>
        <w:rPr>
          <w:szCs w:val="26"/>
        </w:rPr>
        <w:t>por importe de 1,6 millones</w:t>
      </w:r>
      <w:r w:rsidRPr="00730AE6">
        <w:rPr>
          <w:szCs w:val="26"/>
        </w:rPr>
        <w:t>.</w:t>
      </w:r>
    </w:p>
    <w:p w:rsidR="007E5901" w:rsidRDefault="00C444D0" w:rsidP="00290CF6">
      <w:pPr>
        <w:pStyle w:val="texto"/>
        <w:numPr>
          <w:ilvl w:val="0"/>
          <w:numId w:val="1"/>
        </w:numPr>
        <w:tabs>
          <w:tab w:val="clear" w:pos="928"/>
          <w:tab w:val="clear" w:pos="2835"/>
          <w:tab w:val="clear" w:pos="3969"/>
          <w:tab w:val="clear" w:pos="5103"/>
          <w:tab w:val="clear" w:pos="6237"/>
          <w:tab w:val="clear" w:pos="7371"/>
          <w:tab w:val="num" w:pos="300"/>
          <w:tab w:val="left" w:pos="480"/>
          <w:tab w:val="num" w:pos="720"/>
          <w:tab w:val="num" w:pos="6597"/>
        </w:tabs>
        <w:spacing w:before="120" w:after="120"/>
        <w:ind w:left="0" w:firstLine="289"/>
        <w:rPr>
          <w:szCs w:val="26"/>
        </w:rPr>
      </w:pPr>
      <w:r w:rsidRPr="00721479">
        <w:rPr>
          <w:szCs w:val="26"/>
        </w:rPr>
        <w:t>El remanente de tesorería total ha disminuido en un 13 por ciento, esto es, en 1,59 millones, alcanzando en 2017 un importe de 10,86 millones</w:t>
      </w:r>
      <w:r w:rsidR="00B61EE0" w:rsidRPr="00721479">
        <w:rPr>
          <w:szCs w:val="26"/>
        </w:rPr>
        <w:t xml:space="preserve">; </w:t>
      </w:r>
      <w:r w:rsidRPr="00721479">
        <w:rPr>
          <w:szCs w:val="26"/>
        </w:rPr>
        <w:t>el no afe</w:t>
      </w:r>
      <w:r w:rsidRPr="00721479">
        <w:rPr>
          <w:szCs w:val="26"/>
        </w:rPr>
        <w:t>c</w:t>
      </w:r>
      <w:r w:rsidRPr="00721479">
        <w:rPr>
          <w:szCs w:val="26"/>
        </w:rPr>
        <w:t>tado o para gas</w:t>
      </w:r>
      <w:r w:rsidR="00B61EE0" w:rsidRPr="00721479">
        <w:rPr>
          <w:szCs w:val="26"/>
        </w:rPr>
        <w:t xml:space="preserve">tos generales presenta una reducción del </w:t>
      </w:r>
      <w:r w:rsidRPr="00721479">
        <w:rPr>
          <w:szCs w:val="26"/>
        </w:rPr>
        <w:t>26 por ciento</w:t>
      </w:r>
      <w:r w:rsidR="00B61EE0" w:rsidRPr="00721479">
        <w:rPr>
          <w:szCs w:val="26"/>
        </w:rPr>
        <w:t>, lo que s</w:t>
      </w:r>
      <w:r w:rsidR="00B61EE0" w:rsidRPr="00721479">
        <w:rPr>
          <w:szCs w:val="26"/>
        </w:rPr>
        <w:t>u</w:t>
      </w:r>
      <w:r w:rsidR="00B61EE0" w:rsidRPr="00721479">
        <w:rPr>
          <w:szCs w:val="26"/>
        </w:rPr>
        <w:t>pone una menor cuantía de 1,55 millones.</w:t>
      </w:r>
      <w:r w:rsidR="00721479" w:rsidRPr="00721479">
        <w:rPr>
          <w:szCs w:val="26"/>
        </w:rPr>
        <w:t xml:space="preserve"> </w:t>
      </w:r>
    </w:p>
    <w:p w:rsidR="00721479" w:rsidRPr="00721479" w:rsidRDefault="00721479" w:rsidP="00290CF6">
      <w:pPr>
        <w:pStyle w:val="texto"/>
        <w:numPr>
          <w:ilvl w:val="0"/>
          <w:numId w:val="1"/>
        </w:numPr>
        <w:tabs>
          <w:tab w:val="clear" w:pos="928"/>
          <w:tab w:val="clear" w:pos="2835"/>
          <w:tab w:val="clear" w:pos="3969"/>
          <w:tab w:val="clear" w:pos="5103"/>
          <w:tab w:val="clear" w:pos="6237"/>
          <w:tab w:val="clear" w:pos="7371"/>
          <w:tab w:val="num" w:pos="300"/>
          <w:tab w:val="left" w:pos="480"/>
          <w:tab w:val="num" w:pos="720"/>
          <w:tab w:val="num" w:pos="6597"/>
        </w:tabs>
        <w:spacing w:before="120" w:after="120"/>
        <w:ind w:left="0" w:firstLine="289"/>
        <w:rPr>
          <w:szCs w:val="26"/>
        </w:rPr>
      </w:pPr>
      <w:r w:rsidRPr="00721479">
        <w:rPr>
          <w:szCs w:val="26"/>
        </w:rPr>
        <w:t>El remanente de tesorería afecto</w:t>
      </w:r>
      <w:r w:rsidR="007E5901">
        <w:rPr>
          <w:szCs w:val="26"/>
        </w:rPr>
        <w:t>, 6,46 millones,</w:t>
      </w:r>
      <w:r w:rsidRPr="00721479">
        <w:rPr>
          <w:szCs w:val="26"/>
        </w:rPr>
        <w:t xml:space="preserve"> se destina, fundamenta</w:t>
      </w:r>
      <w:r w:rsidRPr="00721479">
        <w:rPr>
          <w:szCs w:val="26"/>
        </w:rPr>
        <w:t>l</w:t>
      </w:r>
      <w:r w:rsidRPr="00721479">
        <w:rPr>
          <w:szCs w:val="26"/>
        </w:rPr>
        <w:t>mente, a la financiación de gastos de proyectos de investigación.</w:t>
      </w:r>
      <w:r w:rsidR="00391906">
        <w:rPr>
          <w:szCs w:val="26"/>
        </w:rPr>
        <w:t xml:space="preserve"> El importe total </w:t>
      </w:r>
      <w:r w:rsidR="00CB3447">
        <w:rPr>
          <w:szCs w:val="26"/>
        </w:rPr>
        <w:t xml:space="preserve">de este remanente </w:t>
      </w:r>
      <w:r w:rsidR="00391906">
        <w:rPr>
          <w:szCs w:val="26"/>
        </w:rPr>
        <w:t>se ha incorporado al presupuesto de 2018.</w:t>
      </w:r>
    </w:p>
    <w:p w:rsidR="00BE7391" w:rsidRDefault="00BE7391" w:rsidP="00290CF6">
      <w:pPr>
        <w:pStyle w:val="texto"/>
        <w:tabs>
          <w:tab w:val="clear" w:pos="2835"/>
          <w:tab w:val="clear" w:pos="3969"/>
          <w:tab w:val="clear" w:pos="5103"/>
          <w:tab w:val="clear" w:pos="6237"/>
          <w:tab w:val="clear" w:pos="7371"/>
          <w:tab w:val="num" w:pos="300"/>
          <w:tab w:val="num" w:pos="720"/>
        </w:tabs>
        <w:spacing w:before="120" w:after="120"/>
        <w:rPr>
          <w:szCs w:val="26"/>
        </w:rPr>
      </w:pPr>
      <w:r w:rsidRPr="00730AE6">
        <w:rPr>
          <w:szCs w:val="26"/>
        </w:rPr>
        <w:lastRenderedPageBreak/>
        <w:t xml:space="preserve">En el cuadro siguiente mostramos la evolución </w:t>
      </w:r>
      <w:r w:rsidR="00580B6E">
        <w:rPr>
          <w:szCs w:val="26"/>
        </w:rPr>
        <w:t xml:space="preserve">del remanente de tesorería </w:t>
      </w:r>
      <w:r w:rsidRPr="00730AE6">
        <w:rPr>
          <w:szCs w:val="26"/>
        </w:rPr>
        <w:t>desde 2013:</w:t>
      </w:r>
    </w:p>
    <w:p w:rsidR="00BE7391" w:rsidRPr="00BC5BE8" w:rsidRDefault="00BE7391" w:rsidP="00C63CE6">
      <w:pPr>
        <w:pStyle w:val="texto"/>
        <w:tabs>
          <w:tab w:val="clear" w:pos="2835"/>
          <w:tab w:val="clear" w:pos="3969"/>
          <w:tab w:val="clear" w:pos="5103"/>
          <w:tab w:val="clear" w:pos="6237"/>
          <w:tab w:val="clear" w:pos="7371"/>
          <w:tab w:val="left" w:pos="480"/>
          <w:tab w:val="num" w:pos="6597"/>
        </w:tabs>
        <w:spacing w:after="0"/>
        <w:ind w:left="568" w:firstLine="0"/>
        <w:jc w:val="right"/>
        <w:rPr>
          <w:rFonts w:ascii="Arial" w:hAnsi="Arial" w:cs="Arial"/>
          <w:sz w:val="18"/>
          <w:szCs w:val="18"/>
        </w:rPr>
      </w:pPr>
      <w:r w:rsidRPr="00BC5BE8">
        <w:rPr>
          <w:rFonts w:ascii="Arial" w:hAnsi="Arial" w:cs="Arial"/>
          <w:sz w:val="18"/>
          <w:szCs w:val="18"/>
        </w:rPr>
        <w:t>(En miles de euros)</w:t>
      </w:r>
    </w:p>
    <w:tbl>
      <w:tblPr>
        <w:tblW w:w="8931" w:type="dxa"/>
        <w:tblInd w:w="70" w:type="dxa"/>
        <w:tblLayout w:type="fixed"/>
        <w:tblCellMar>
          <w:left w:w="70" w:type="dxa"/>
          <w:right w:w="70" w:type="dxa"/>
        </w:tblCellMar>
        <w:tblLook w:val="0000" w:firstRow="0" w:lastRow="0" w:firstColumn="0" w:lastColumn="0" w:noHBand="0" w:noVBand="0"/>
      </w:tblPr>
      <w:tblGrid>
        <w:gridCol w:w="3686"/>
        <w:gridCol w:w="1020"/>
        <w:gridCol w:w="1021"/>
        <w:gridCol w:w="1020"/>
        <w:gridCol w:w="1021"/>
        <w:gridCol w:w="1163"/>
      </w:tblGrid>
      <w:tr w:rsidR="00BE7391" w:rsidRPr="00730AE6" w:rsidTr="005F01DB">
        <w:trPr>
          <w:trHeight w:hRule="exact" w:val="279"/>
        </w:trPr>
        <w:tc>
          <w:tcPr>
            <w:tcW w:w="3686" w:type="dxa"/>
            <w:tcBorders>
              <w:top w:val="single" w:sz="4" w:space="0" w:color="auto"/>
              <w:bottom w:val="single" w:sz="4" w:space="0" w:color="auto"/>
            </w:tcBorders>
            <w:shd w:val="clear" w:color="auto" w:fill="A0C3E3" w:themeFill="accent1" w:themeFillTint="99"/>
            <w:noWrap/>
            <w:vAlign w:val="center"/>
          </w:tcPr>
          <w:p w:rsidR="00BE7391" w:rsidRPr="00730AE6" w:rsidRDefault="00BE7391" w:rsidP="0066125F">
            <w:pPr>
              <w:spacing w:after="0"/>
              <w:ind w:firstLine="0"/>
              <w:jc w:val="left"/>
              <w:rPr>
                <w:rFonts w:ascii="Arial" w:hAnsi="Arial" w:cs="Arial"/>
                <w:color w:val="000000"/>
                <w:sz w:val="18"/>
                <w:szCs w:val="18"/>
                <w:lang w:val="es-ES" w:eastAsia="es-ES"/>
              </w:rPr>
            </w:pPr>
            <w:r w:rsidRPr="00730AE6">
              <w:rPr>
                <w:rFonts w:ascii="Arial" w:hAnsi="Arial" w:cs="Arial"/>
                <w:color w:val="000000"/>
                <w:sz w:val="18"/>
                <w:szCs w:val="18"/>
                <w:lang w:val="es-ES" w:eastAsia="es-ES"/>
              </w:rPr>
              <w:t>Remanente de Tesore</w:t>
            </w:r>
            <w:r w:rsidRPr="00730AE6">
              <w:rPr>
                <w:rFonts w:ascii="Arial" w:hAnsi="Arial" w:cs="Arial"/>
                <w:color w:val="000000"/>
                <w:sz w:val="18"/>
                <w:szCs w:val="18"/>
                <w:shd w:val="clear" w:color="auto" w:fill="A8CBEE" w:themeFill="accent2" w:themeFillTint="66"/>
                <w:lang w:val="es-ES" w:eastAsia="es-ES"/>
              </w:rPr>
              <w:t>r</w:t>
            </w:r>
            <w:r w:rsidRPr="00730AE6">
              <w:rPr>
                <w:rFonts w:ascii="Arial" w:hAnsi="Arial" w:cs="Arial"/>
                <w:color w:val="000000"/>
                <w:sz w:val="18"/>
                <w:szCs w:val="18"/>
                <w:lang w:val="es-ES" w:eastAsia="es-ES"/>
              </w:rPr>
              <w:t>ía</w:t>
            </w:r>
          </w:p>
        </w:tc>
        <w:tc>
          <w:tcPr>
            <w:tcW w:w="1020" w:type="dxa"/>
            <w:tcBorders>
              <w:top w:val="single" w:sz="4" w:space="0" w:color="auto"/>
              <w:bottom w:val="single" w:sz="4" w:space="0" w:color="auto"/>
            </w:tcBorders>
            <w:shd w:val="clear" w:color="auto" w:fill="A0C3E3" w:themeFill="accent1" w:themeFillTint="99"/>
            <w:vAlign w:val="center"/>
          </w:tcPr>
          <w:p w:rsidR="00BE7391" w:rsidRPr="00730AE6" w:rsidRDefault="00BE7391" w:rsidP="0066125F">
            <w:pPr>
              <w:spacing w:after="0"/>
              <w:ind w:firstLine="0"/>
              <w:jc w:val="right"/>
              <w:rPr>
                <w:rFonts w:ascii="Arial" w:hAnsi="Arial" w:cs="Arial"/>
                <w:color w:val="000000"/>
                <w:sz w:val="18"/>
                <w:szCs w:val="18"/>
                <w:lang w:val="es-ES" w:eastAsia="es-ES"/>
              </w:rPr>
            </w:pPr>
            <w:r w:rsidRPr="00730AE6">
              <w:rPr>
                <w:rFonts w:ascii="Arial" w:hAnsi="Arial" w:cs="Arial"/>
                <w:color w:val="000000"/>
                <w:sz w:val="18"/>
                <w:szCs w:val="18"/>
                <w:lang w:val="es-ES" w:eastAsia="es-ES"/>
              </w:rPr>
              <w:t>2013</w:t>
            </w:r>
          </w:p>
        </w:tc>
        <w:tc>
          <w:tcPr>
            <w:tcW w:w="1021" w:type="dxa"/>
            <w:tcBorders>
              <w:top w:val="single" w:sz="4" w:space="0" w:color="auto"/>
              <w:bottom w:val="single" w:sz="4" w:space="0" w:color="auto"/>
            </w:tcBorders>
            <w:shd w:val="clear" w:color="auto" w:fill="A0C3E3" w:themeFill="accent1" w:themeFillTint="99"/>
            <w:vAlign w:val="center"/>
          </w:tcPr>
          <w:p w:rsidR="00BE7391" w:rsidRPr="00730AE6" w:rsidRDefault="00BE7391" w:rsidP="0066125F">
            <w:pPr>
              <w:spacing w:after="0"/>
              <w:ind w:firstLine="0"/>
              <w:jc w:val="right"/>
              <w:rPr>
                <w:rFonts w:ascii="Arial" w:hAnsi="Arial" w:cs="Arial"/>
                <w:color w:val="000000"/>
                <w:sz w:val="18"/>
                <w:szCs w:val="18"/>
                <w:lang w:val="es-ES" w:eastAsia="es-ES"/>
              </w:rPr>
            </w:pPr>
            <w:r w:rsidRPr="00730AE6">
              <w:rPr>
                <w:rFonts w:ascii="Arial" w:hAnsi="Arial" w:cs="Arial"/>
                <w:color w:val="000000"/>
                <w:sz w:val="18"/>
                <w:szCs w:val="18"/>
                <w:lang w:val="es-ES" w:eastAsia="es-ES"/>
              </w:rPr>
              <w:t>2014</w:t>
            </w:r>
          </w:p>
        </w:tc>
        <w:tc>
          <w:tcPr>
            <w:tcW w:w="1020" w:type="dxa"/>
            <w:tcBorders>
              <w:top w:val="single" w:sz="4" w:space="0" w:color="auto"/>
              <w:bottom w:val="single" w:sz="4" w:space="0" w:color="auto"/>
            </w:tcBorders>
            <w:shd w:val="clear" w:color="auto" w:fill="A0C3E3" w:themeFill="accent1" w:themeFillTint="99"/>
            <w:noWrap/>
            <w:vAlign w:val="center"/>
          </w:tcPr>
          <w:p w:rsidR="00BE7391" w:rsidRPr="00730AE6" w:rsidRDefault="00BE7391" w:rsidP="0066125F">
            <w:pPr>
              <w:spacing w:after="0"/>
              <w:ind w:firstLine="0"/>
              <w:jc w:val="right"/>
              <w:rPr>
                <w:rFonts w:ascii="Arial" w:hAnsi="Arial" w:cs="Arial"/>
                <w:color w:val="000000"/>
                <w:sz w:val="18"/>
                <w:szCs w:val="18"/>
                <w:lang w:val="es-ES" w:eastAsia="es-ES"/>
              </w:rPr>
            </w:pPr>
            <w:r w:rsidRPr="00730AE6">
              <w:rPr>
                <w:rFonts w:ascii="Arial" w:hAnsi="Arial" w:cs="Arial"/>
                <w:color w:val="000000"/>
                <w:sz w:val="18"/>
                <w:szCs w:val="18"/>
                <w:lang w:val="es-ES" w:eastAsia="es-ES"/>
              </w:rPr>
              <w:t>2015</w:t>
            </w:r>
          </w:p>
        </w:tc>
        <w:tc>
          <w:tcPr>
            <w:tcW w:w="1021" w:type="dxa"/>
            <w:tcBorders>
              <w:top w:val="single" w:sz="4" w:space="0" w:color="auto"/>
              <w:bottom w:val="single" w:sz="4" w:space="0" w:color="auto"/>
            </w:tcBorders>
            <w:shd w:val="clear" w:color="auto" w:fill="A0C3E3" w:themeFill="accent1" w:themeFillTint="99"/>
            <w:vAlign w:val="center"/>
          </w:tcPr>
          <w:p w:rsidR="00BE7391" w:rsidRPr="00730AE6" w:rsidRDefault="00BE7391" w:rsidP="0066125F">
            <w:pPr>
              <w:spacing w:after="0"/>
              <w:ind w:firstLine="0"/>
              <w:jc w:val="right"/>
              <w:rPr>
                <w:rFonts w:ascii="Arial" w:hAnsi="Arial" w:cs="Arial"/>
                <w:color w:val="000000"/>
                <w:sz w:val="18"/>
                <w:szCs w:val="18"/>
                <w:lang w:val="es-ES" w:eastAsia="es-ES"/>
              </w:rPr>
            </w:pPr>
            <w:r w:rsidRPr="00730AE6">
              <w:rPr>
                <w:rFonts w:ascii="Arial" w:hAnsi="Arial" w:cs="Arial"/>
                <w:color w:val="000000"/>
                <w:sz w:val="18"/>
                <w:szCs w:val="18"/>
                <w:lang w:val="es-ES" w:eastAsia="es-ES"/>
              </w:rPr>
              <w:t>2016</w:t>
            </w:r>
          </w:p>
        </w:tc>
        <w:tc>
          <w:tcPr>
            <w:tcW w:w="1163" w:type="dxa"/>
            <w:tcBorders>
              <w:top w:val="single" w:sz="4" w:space="0" w:color="auto"/>
              <w:bottom w:val="single" w:sz="4" w:space="0" w:color="auto"/>
            </w:tcBorders>
            <w:shd w:val="clear" w:color="auto" w:fill="A0C3E3" w:themeFill="accent1" w:themeFillTint="99"/>
            <w:vAlign w:val="center"/>
          </w:tcPr>
          <w:p w:rsidR="00BE7391" w:rsidRPr="00730AE6" w:rsidRDefault="00BE7391" w:rsidP="0066125F">
            <w:pPr>
              <w:spacing w:after="0"/>
              <w:ind w:firstLine="0"/>
              <w:jc w:val="right"/>
              <w:rPr>
                <w:rFonts w:ascii="Arial" w:hAnsi="Arial" w:cs="Arial"/>
                <w:color w:val="000000"/>
                <w:sz w:val="18"/>
                <w:szCs w:val="18"/>
                <w:lang w:val="es-ES" w:eastAsia="es-ES"/>
              </w:rPr>
            </w:pPr>
            <w:r w:rsidRPr="00730AE6">
              <w:rPr>
                <w:rFonts w:ascii="Arial" w:hAnsi="Arial" w:cs="Arial"/>
                <w:color w:val="000000"/>
                <w:sz w:val="18"/>
                <w:szCs w:val="18"/>
                <w:lang w:val="es-ES" w:eastAsia="es-ES"/>
              </w:rPr>
              <w:t>2017</w:t>
            </w:r>
          </w:p>
        </w:tc>
      </w:tr>
      <w:tr w:rsidR="00BE7391" w:rsidRPr="00730AE6" w:rsidTr="005F01DB">
        <w:trPr>
          <w:trHeight w:hRule="exact" w:val="284"/>
        </w:trPr>
        <w:tc>
          <w:tcPr>
            <w:tcW w:w="3686" w:type="dxa"/>
            <w:tcBorders>
              <w:top w:val="single" w:sz="4" w:space="0" w:color="auto"/>
              <w:bottom w:val="single" w:sz="2" w:space="0" w:color="auto"/>
            </w:tcBorders>
            <w:shd w:val="clear" w:color="auto" w:fill="auto"/>
            <w:noWrap/>
            <w:vAlign w:val="center"/>
          </w:tcPr>
          <w:p w:rsidR="00BE7391" w:rsidRPr="00730AE6" w:rsidRDefault="00BE7391" w:rsidP="0066125F">
            <w:pPr>
              <w:pStyle w:val="texto"/>
              <w:spacing w:after="0"/>
              <w:ind w:firstLine="0"/>
              <w:rPr>
                <w:rFonts w:ascii="Arial Narrow" w:hAnsi="Arial Narrow"/>
                <w:sz w:val="18"/>
                <w:szCs w:val="18"/>
              </w:rPr>
            </w:pPr>
            <w:r w:rsidRPr="00730AE6">
              <w:rPr>
                <w:rFonts w:ascii="Arial Narrow" w:hAnsi="Arial Narrow"/>
                <w:sz w:val="18"/>
                <w:szCs w:val="18"/>
              </w:rPr>
              <w:t>Remanente Total</w:t>
            </w:r>
          </w:p>
        </w:tc>
        <w:tc>
          <w:tcPr>
            <w:tcW w:w="1020" w:type="dxa"/>
            <w:tcBorders>
              <w:top w:val="single" w:sz="4" w:space="0" w:color="auto"/>
              <w:bottom w:val="single" w:sz="2" w:space="0" w:color="auto"/>
            </w:tcBorders>
            <w:shd w:val="clear" w:color="auto" w:fill="auto"/>
            <w:vAlign w:val="center"/>
          </w:tcPr>
          <w:p w:rsidR="00BE7391" w:rsidRPr="00730AE6" w:rsidRDefault="00BE7391" w:rsidP="0066125F">
            <w:pPr>
              <w:pStyle w:val="texto"/>
              <w:spacing w:after="0"/>
              <w:ind w:firstLine="0"/>
              <w:jc w:val="right"/>
              <w:rPr>
                <w:rFonts w:ascii="Arial Narrow" w:hAnsi="Arial Narrow"/>
                <w:sz w:val="18"/>
                <w:szCs w:val="18"/>
              </w:rPr>
            </w:pPr>
            <w:r w:rsidRPr="00730AE6">
              <w:rPr>
                <w:rFonts w:ascii="Arial Narrow" w:hAnsi="Arial Narrow"/>
                <w:sz w:val="18"/>
                <w:szCs w:val="18"/>
              </w:rPr>
              <w:t>11.631</w:t>
            </w:r>
          </w:p>
        </w:tc>
        <w:tc>
          <w:tcPr>
            <w:tcW w:w="1021" w:type="dxa"/>
            <w:tcBorders>
              <w:top w:val="single" w:sz="4" w:space="0" w:color="auto"/>
              <w:bottom w:val="single" w:sz="2" w:space="0" w:color="auto"/>
            </w:tcBorders>
            <w:shd w:val="clear" w:color="auto" w:fill="auto"/>
            <w:vAlign w:val="center"/>
          </w:tcPr>
          <w:p w:rsidR="00BE7391" w:rsidRPr="00730AE6" w:rsidRDefault="00BE7391" w:rsidP="0066125F">
            <w:pPr>
              <w:pStyle w:val="texto"/>
              <w:spacing w:after="0"/>
              <w:ind w:firstLine="0"/>
              <w:jc w:val="right"/>
              <w:rPr>
                <w:rFonts w:ascii="Arial Narrow" w:hAnsi="Arial Narrow"/>
                <w:sz w:val="18"/>
                <w:szCs w:val="18"/>
              </w:rPr>
            </w:pPr>
            <w:r w:rsidRPr="00730AE6">
              <w:rPr>
                <w:rFonts w:ascii="Arial Narrow" w:hAnsi="Arial Narrow"/>
                <w:sz w:val="18"/>
                <w:szCs w:val="18"/>
              </w:rPr>
              <w:t>13.116</w:t>
            </w:r>
          </w:p>
        </w:tc>
        <w:tc>
          <w:tcPr>
            <w:tcW w:w="1020" w:type="dxa"/>
            <w:tcBorders>
              <w:top w:val="single" w:sz="4" w:space="0" w:color="auto"/>
              <w:bottom w:val="single" w:sz="2" w:space="0" w:color="auto"/>
            </w:tcBorders>
            <w:shd w:val="clear" w:color="auto" w:fill="auto"/>
            <w:vAlign w:val="center"/>
          </w:tcPr>
          <w:p w:rsidR="00BE7391" w:rsidRPr="00730AE6" w:rsidRDefault="00BE7391" w:rsidP="0066125F">
            <w:pPr>
              <w:pStyle w:val="texto"/>
              <w:spacing w:after="0"/>
              <w:ind w:firstLine="0"/>
              <w:jc w:val="right"/>
              <w:rPr>
                <w:rFonts w:ascii="Arial Narrow" w:hAnsi="Arial Narrow"/>
                <w:sz w:val="18"/>
                <w:szCs w:val="18"/>
              </w:rPr>
            </w:pPr>
            <w:r w:rsidRPr="00730AE6">
              <w:rPr>
                <w:rFonts w:ascii="Arial Narrow" w:hAnsi="Arial Narrow"/>
                <w:sz w:val="18"/>
                <w:szCs w:val="18"/>
              </w:rPr>
              <w:t>14.163</w:t>
            </w:r>
          </w:p>
        </w:tc>
        <w:tc>
          <w:tcPr>
            <w:tcW w:w="1021" w:type="dxa"/>
            <w:tcBorders>
              <w:top w:val="single" w:sz="4" w:space="0" w:color="auto"/>
              <w:bottom w:val="single" w:sz="2" w:space="0" w:color="auto"/>
            </w:tcBorders>
            <w:vAlign w:val="center"/>
          </w:tcPr>
          <w:p w:rsidR="00BE7391" w:rsidRPr="00730AE6" w:rsidRDefault="00BE7391" w:rsidP="0066125F">
            <w:pPr>
              <w:pStyle w:val="texto"/>
              <w:spacing w:after="0"/>
              <w:ind w:firstLine="0"/>
              <w:jc w:val="right"/>
              <w:rPr>
                <w:rFonts w:ascii="Arial Narrow" w:hAnsi="Arial Narrow"/>
                <w:sz w:val="18"/>
                <w:szCs w:val="18"/>
              </w:rPr>
            </w:pPr>
            <w:r w:rsidRPr="00730AE6">
              <w:rPr>
                <w:rFonts w:ascii="Arial Narrow" w:hAnsi="Arial Narrow"/>
                <w:sz w:val="18"/>
                <w:szCs w:val="18"/>
              </w:rPr>
              <w:t>12.454</w:t>
            </w:r>
          </w:p>
        </w:tc>
        <w:tc>
          <w:tcPr>
            <w:tcW w:w="1163" w:type="dxa"/>
            <w:tcBorders>
              <w:top w:val="single" w:sz="4" w:space="0" w:color="auto"/>
              <w:bottom w:val="single" w:sz="2" w:space="0" w:color="auto"/>
            </w:tcBorders>
            <w:vAlign w:val="center"/>
          </w:tcPr>
          <w:p w:rsidR="00BE7391" w:rsidRPr="00730AE6" w:rsidRDefault="00BE7391" w:rsidP="0066125F">
            <w:pPr>
              <w:pStyle w:val="texto"/>
              <w:spacing w:after="0"/>
              <w:ind w:firstLine="0"/>
              <w:jc w:val="right"/>
              <w:rPr>
                <w:rFonts w:ascii="Arial Narrow" w:hAnsi="Arial Narrow"/>
                <w:sz w:val="18"/>
                <w:szCs w:val="18"/>
              </w:rPr>
            </w:pPr>
            <w:r w:rsidRPr="00730AE6">
              <w:rPr>
                <w:rFonts w:ascii="Arial Narrow" w:hAnsi="Arial Narrow"/>
                <w:sz w:val="18"/>
                <w:szCs w:val="18"/>
              </w:rPr>
              <w:t>10.863</w:t>
            </w:r>
          </w:p>
        </w:tc>
      </w:tr>
      <w:tr w:rsidR="00BE7391" w:rsidRPr="00730AE6" w:rsidTr="008777F0">
        <w:trPr>
          <w:trHeight w:hRule="exact" w:val="284"/>
        </w:trPr>
        <w:tc>
          <w:tcPr>
            <w:tcW w:w="3686" w:type="dxa"/>
            <w:tcBorders>
              <w:top w:val="single" w:sz="2" w:space="0" w:color="auto"/>
              <w:bottom w:val="single" w:sz="2" w:space="0" w:color="auto"/>
            </w:tcBorders>
            <w:shd w:val="clear" w:color="auto" w:fill="auto"/>
            <w:noWrap/>
            <w:vAlign w:val="center"/>
          </w:tcPr>
          <w:p w:rsidR="00BE7391" w:rsidRPr="00730AE6" w:rsidRDefault="00BE7391" w:rsidP="0066125F">
            <w:pPr>
              <w:pStyle w:val="texto"/>
              <w:spacing w:after="0"/>
              <w:ind w:firstLine="0"/>
              <w:rPr>
                <w:rFonts w:ascii="Arial Narrow" w:hAnsi="Arial Narrow"/>
                <w:sz w:val="18"/>
                <w:szCs w:val="18"/>
              </w:rPr>
            </w:pPr>
            <w:r w:rsidRPr="00730AE6">
              <w:rPr>
                <w:rFonts w:ascii="Arial Narrow" w:hAnsi="Arial Narrow"/>
                <w:sz w:val="18"/>
                <w:szCs w:val="18"/>
              </w:rPr>
              <w:t xml:space="preserve">Remanente Afecto </w:t>
            </w:r>
          </w:p>
        </w:tc>
        <w:tc>
          <w:tcPr>
            <w:tcW w:w="1020" w:type="dxa"/>
            <w:tcBorders>
              <w:top w:val="single" w:sz="2" w:space="0" w:color="auto"/>
              <w:bottom w:val="single" w:sz="2" w:space="0" w:color="auto"/>
            </w:tcBorders>
            <w:shd w:val="clear" w:color="auto" w:fill="auto"/>
            <w:vAlign w:val="center"/>
          </w:tcPr>
          <w:p w:rsidR="00BE7391" w:rsidRPr="00730AE6" w:rsidRDefault="00BE7391" w:rsidP="0066125F">
            <w:pPr>
              <w:pStyle w:val="texto"/>
              <w:spacing w:after="0"/>
              <w:ind w:firstLine="0"/>
              <w:jc w:val="right"/>
              <w:rPr>
                <w:rFonts w:ascii="Arial Narrow" w:hAnsi="Arial Narrow"/>
                <w:sz w:val="18"/>
                <w:szCs w:val="18"/>
              </w:rPr>
            </w:pPr>
            <w:r w:rsidRPr="00730AE6">
              <w:rPr>
                <w:rFonts w:ascii="Arial Narrow" w:hAnsi="Arial Narrow"/>
                <w:sz w:val="18"/>
                <w:szCs w:val="18"/>
              </w:rPr>
              <w:t>7.709</w:t>
            </w:r>
          </w:p>
        </w:tc>
        <w:tc>
          <w:tcPr>
            <w:tcW w:w="1021" w:type="dxa"/>
            <w:tcBorders>
              <w:top w:val="single" w:sz="2" w:space="0" w:color="auto"/>
              <w:bottom w:val="single" w:sz="2" w:space="0" w:color="auto"/>
            </w:tcBorders>
            <w:shd w:val="clear" w:color="auto" w:fill="auto"/>
            <w:vAlign w:val="center"/>
          </w:tcPr>
          <w:p w:rsidR="00BE7391" w:rsidRPr="00730AE6" w:rsidRDefault="00BE7391" w:rsidP="0066125F">
            <w:pPr>
              <w:pStyle w:val="texto"/>
              <w:spacing w:after="0"/>
              <w:ind w:firstLine="0"/>
              <w:jc w:val="right"/>
              <w:rPr>
                <w:rFonts w:ascii="Arial Narrow" w:hAnsi="Arial Narrow"/>
                <w:sz w:val="18"/>
                <w:szCs w:val="18"/>
              </w:rPr>
            </w:pPr>
            <w:r w:rsidRPr="00730AE6">
              <w:rPr>
                <w:rFonts w:ascii="Arial Narrow" w:hAnsi="Arial Narrow"/>
                <w:sz w:val="18"/>
                <w:szCs w:val="18"/>
              </w:rPr>
              <w:t>6.835</w:t>
            </w:r>
          </w:p>
        </w:tc>
        <w:tc>
          <w:tcPr>
            <w:tcW w:w="1020" w:type="dxa"/>
            <w:tcBorders>
              <w:top w:val="single" w:sz="2" w:space="0" w:color="auto"/>
              <w:bottom w:val="single" w:sz="2" w:space="0" w:color="auto"/>
            </w:tcBorders>
            <w:shd w:val="clear" w:color="auto" w:fill="auto"/>
            <w:vAlign w:val="center"/>
          </w:tcPr>
          <w:p w:rsidR="00BE7391" w:rsidRPr="00730AE6" w:rsidRDefault="00BE7391" w:rsidP="0066125F">
            <w:pPr>
              <w:pStyle w:val="texto"/>
              <w:spacing w:after="0"/>
              <w:ind w:firstLine="0"/>
              <w:jc w:val="right"/>
              <w:rPr>
                <w:rFonts w:ascii="Arial Narrow" w:hAnsi="Arial Narrow"/>
                <w:sz w:val="18"/>
                <w:szCs w:val="18"/>
              </w:rPr>
            </w:pPr>
            <w:r w:rsidRPr="00730AE6">
              <w:rPr>
                <w:rFonts w:ascii="Arial Narrow" w:hAnsi="Arial Narrow"/>
                <w:sz w:val="18"/>
                <w:szCs w:val="18"/>
              </w:rPr>
              <w:t>6.471</w:t>
            </w:r>
          </w:p>
        </w:tc>
        <w:tc>
          <w:tcPr>
            <w:tcW w:w="1021" w:type="dxa"/>
            <w:tcBorders>
              <w:top w:val="single" w:sz="2" w:space="0" w:color="auto"/>
              <w:bottom w:val="single" w:sz="2" w:space="0" w:color="auto"/>
            </w:tcBorders>
            <w:vAlign w:val="center"/>
          </w:tcPr>
          <w:p w:rsidR="00BE7391" w:rsidRPr="00730AE6" w:rsidRDefault="00BE7391" w:rsidP="0066125F">
            <w:pPr>
              <w:pStyle w:val="texto"/>
              <w:spacing w:after="0"/>
              <w:ind w:firstLine="0"/>
              <w:jc w:val="right"/>
              <w:rPr>
                <w:rFonts w:ascii="Arial Narrow" w:hAnsi="Arial Narrow"/>
                <w:sz w:val="18"/>
                <w:szCs w:val="18"/>
              </w:rPr>
            </w:pPr>
            <w:r w:rsidRPr="00730AE6">
              <w:rPr>
                <w:rFonts w:ascii="Arial Narrow" w:hAnsi="Arial Narrow"/>
                <w:sz w:val="18"/>
                <w:szCs w:val="18"/>
              </w:rPr>
              <w:t>6.503</w:t>
            </w:r>
          </w:p>
        </w:tc>
        <w:tc>
          <w:tcPr>
            <w:tcW w:w="1163" w:type="dxa"/>
            <w:tcBorders>
              <w:top w:val="single" w:sz="2" w:space="0" w:color="auto"/>
              <w:bottom w:val="single" w:sz="2" w:space="0" w:color="auto"/>
            </w:tcBorders>
            <w:vAlign w:val="center"/>
          </w:tcPr>
          <w:p w:rsidR="00BE7391" w:rsidRPr="00730AE6" w:rsidRDefault="00BE7391" w:rsidP="0066125F">
            <w:pPr>
              <w:pStyle w:val="texto"/>
              <w:spacing w:after="0"/>
              <w:ind w:firstLine="0"/>
              <w:jc w:val="right"/>
              <w:rPr>
                <w:rFonts w:ascii="Arial Narrow" w:hAnsi="Arial Narrow"/>
                <w:sz w:val="18"/>
                <w:szCs w:val="18"/>
              </w:rPr>
            </w:pPr>
            <w:r w:rsidRPr="00730AE6">
              <w:rPr>
                <w:rFonts w:ascii="Arial Narrow" w:hAnsi="Arial Narrow"/>
                <w:sz w:val="18"/>
                <w:szCs w:val="18"/>
              </w:rPr>
              <w:t>6.458</w:t>
            </w:r>
          </w:p>
        </w:tc>
      </w:tr>
      <w:tr w:rsidR="00BE7391" w:rsidRPr="00730AE6" w:rsidTr="008777F0">
        <w:trPr>
          <w:trHeight w:hRule="exact" w:val="284"/>
        </w:trPr>
        <w:tc>
          <w:tcPr>
            <w:tcW w:w="3686" w:type="dxa"/>
            <w:tcBorders>
              <w:top w:val="single" w:sz="2" w:space="0" w:color="auto"/>
              <w:bottom w:val="single" w:sz="2" w:space="0" w:color="auto"/>
            </w:tcBorders>
            <w:shd w:val="clear" w:color="auto" w:fill="auto"/>
            <w:noWrap/>
            <w:vAlign w:val="center"/>
          </w:tcPr>
          <w:p w:rsidR="00BE7391" w:rsidRPr="00730AE6" w:rsidRDefault="00BE7391" w:rsidP="00D06413">
            <w:pPr>
              <w:pStyle w:val="texto"/>
              <w:spacing w:after="0"/>
              <w:ind w:firstLine="0"/>
              <w:rPr>
                <w:rFonts w:ascii="Arial Narrow" w:hAnsi="Arial Narrow"/>
                <w:sz w:val="18"/>
                <w:szCs w:val="18"/>
              </w:rPr>
            </w:pPr>
            <w:r w:rsidRPr="00730AE6">
              <w:rPr>
                <w:rFonts w:ascii="Arial Narrow" w:hAnsi="Arial Narrow"/>
                <w:sz w:val="18"/>
                <w:szCs w:val="18"/>
              </w:rPr>
              <w:t xml:space="preserve">Remanente </w:t>
            </w:r>
            <w:r w:rsidR="00D06413">
              <w:rPr>
                <w:rFonts w:ascii="Arial Narrow" w:hAnsi="Arial Narrow"/>
                <w:sz w:val="18"/>
                <w:szCs w:val="18"/>
              </w:rPr>
              <w:t>n</w:t>
            </w:r>
            <w:r w:rsidRPr="00730AE6">
              <w:rPr>
                <w:rFonts w:ascii="Arial Narrow" w:hAnsi="Arial Narrow"/>
                <w:sz w:val="18"/>
                <w:szCs w:val="18"/>
              </w:rPr>
              <w:t xml:space="preserve">o </w:t>
            </w:r>
            <w:r w:rsidR="00D06413">
              <w:rPr>
                <w:rFonts w:ascii="Arial Narrow" w:hAnsi="Arial Narrow"/>
                <w:sz w:val="18"/>
                <w:szCs w:val="18"/>
              </w:rPr>
              <w:t>a</w:t>
            </w:r>
            <w:r w:rsidRPr="00730AE6">
              <w:rPr>
                <w:rFonts w:ascii="Arial Narrow" w:hAnsi="Arial Narrow"/>
                <w:sz w:val="18"/>
                <w:szCs w:val="18"/>
              </w:rPr>
              <w:t>fecto o para gastos generales</w:t>
            </w:r>
          </w:p>
        </w:tc>
        <w:tc>
          <w:tcPr>
            <w:tcW w:w="1020" w:type="dxa"/>
            <w:tcBorders>
              <w:top w:val="single" w:sz="2" w:space="0" w:color="auto"/>
              <w:bottom w:val="single" w:sz="2" w:space="0" w:color="auto"/>
            </w:tcBorders>
            <w:shd w:val="clear" w:color="auto" w:fill="auto"/>
            <w:vAlign w:val="center"/>
          </w:tcPr>
          <w:p w:rsidR="00BE7391" w:rsidRPr="00730AE6" w:rsidRDefault="00BE7391" w:rsidP="0066125F">
            <w:pPr>
              <w:pStyle w:val="texto"/>
              <w:spacing w:after="0"/>
              <w:ind w:firstLine="0"/>
              <w:jc w:val="right"/>
              <w:rPr>
                <w:rFonts w:ascii="Arial Narrow" w:hAnsi="Arial Narrow"/>
                <w:sz w:val="18"/>
                <w:szCs w:val="18"/>
              </w:rPr>
            </w:pPr>
            <w:r w:rsidRPr="00730AE6">
              <w:rPr>
                <w:rFonts w:ascii="Arial Narrow" w:hAnsi="Arial Narrow"/>
                <w:sz w:val="18"/>
                <w:szCs w:val="18"/>
              </w:rPr>
              <w:t>3.922</w:t>
            </w:r>
          </w:p>
        </w:tc>
        <w:tc>
          <w:tcPr>
            <w:tcW w:w="1021" w:type="dxa"/>
            <w:tcBorders>
              <w:top w:val="single" w:sz="2" w:space="0" w:color="auto"/>
              <w:bottom w:val="single" w:sz="2" w:space="0" w:color="auto"/>
            </w:tcBorders>
            <w:shd w:val="clear" w:color="auto" w:fill="auto"/>
            <w:vAlign w:val="center"/>
          </w:tcPr>
          <w:p w:rsidR="00BE7391" w:rsidRPr="00730AE6" w:rsidRDefault="00BE7391" w:rsidP="0066125F">
            <w:pPr>
              <w:pStyle w:val="texto"/>
              <w:spacing w:after="0"/>
              <w:ind w:firstLine="0"/>
              <w:jc w:val="right"/>
              <w:rPr>
                <w:rFonts w:ascii="Arial Narrow" w:hAnsi="Arial Narrow"/>
                <w:sz w:val="18"/>
                <w:szCs w:val="18"/>
              </w:rPr>
            </w:pPr>
            <w:r w:rsidRPr="00730AE6">
              <w:rPr>
                <w:rFonts w:ascii="Arial Narrow" w:hAnsi="Arial Narrow"/>
                <w:sz w:val="18"/>
                <w:szCs w:val="18"/>
              </w:rPr>
              <w:t>6.281</w:t>
            </w:r>
          </w:p>
        </w:tc>
        <w:tc>
          <w:tcPr>
            <w:tcW w:w="1020" w:type="dxa"/>
            <w:tcBorders>
              <w:top w:val="single" w:sz="2" w:space="0" w:color="auto"/>
              <w:bottom w:val="single" w:sz="2" w:space="0" w:color="auto"/>
            </w:tcBorders>
            <w:shd w:val="clear" w:color="auto" w:fill="auto"/>
            <w:vAlign w:val="center"/>
          </w:tcPr>
          <w:p w:rsidR="00BE7391" w:rsidRPr="00730AE6" w:rsidRDefault="00BE7391" w:rsidP="0066125F">
            <w:pPr>
              <w:pStyle w:val="texto"/>
              <w:spacing w:after="0"/>
              <w:ind w:firstLine="0"/>
              <w:jc w:val="right"/>
              <w:rPr>
                <w:rFonts w:ascii="Arial Narrow" w:hAnsi="Arial Narrow"/>
                <w:sz w:val="18"/>
                <w:szCs w:val="18"/>
              </w:rPr>
            </w:pPr>
            <w:r w:rsidRPr="00730AE6">
              <w:rPr>
                <w:rFonts w:ascii="Arial Narrow" w:hAnsi="Arial Narrow"/>
                <w:sz w:val="18"/>
                <w:szCs w:val="18"/>
              </w:rPr>
              <w:t>7.692</w:t>
            </w:r>
          </w:p>
        </w:tc>
        <w:tc>
          <w:tcPr>
            <w:tcW w:w="1021" w:type="dxa"/>
            <w:tcBorders>
              <w:top w:val="single" w:sz="2" w:space="0" w:color="auto"/>
              <w:bottom w:val="single" w:sz="2" w:space="0" w:color="auto"/>
            </w:tcBorders>
            <w:vAlign w:val="center"/>
          </w:tcPr>
          <w:p w:rsidR="00BE7391" w:rsidRPr="00730AE6" w:rsidRDefault="00BE7391" w:rsidP="0066125F">
            <w:pPr>
              <w:pStyle w:val="texto"/>
              <w:spacing w:after="0"/>
              <w:ind w:firstLine="0"/>
              <w:jc w:val="right"/>
              <w:rPr>
                <w:rFonts w:ascii="Arial Narrow" w:hAnsi="Arial Narrow"/>
                <w:sz w:val="18"/>
                <w:szCs w:val="18"/>
              </w:rPr>
            </w:pPr>
            <w:r w:rsidRPr="00730AE6">
              <w:rPr>
                <w:rFonts w:ascii="Arial Narrow" w:hAnsi="Arial Narrow"/>
                <w:sz w:val="18"/>
                <w:szCs w:val="18"/>
              </w:rPr>
              <w:t>5.951</w:t>
            </w:r>
          </w:p>
        </w:tc>
        <w:tc>
          <w:tcPr>
            <w:tcW w:w="1163" w:type="dxa"/>
            <w:tcBorders>
              <w:top w:val="single" w:sz="2" w:space="0" w:color="auto"/>
              <w:bottom w:val="single" w:sz="2" w:space="0" w:color="auto"/>
            </w:tcBorders>
            <w:vAlign w:val="center"/>
          </w:tcPr>
          <w:p w:rsidR="00BE7391" w:rsidRPr="00730AE6" w:rsidRDefault="00BE7391" w:rsidP="0066125F">
            <w:pPr>
              <w:pStyle w:val="texto"/>
              <w:spacing w:after="0"/>
              <w:ind w:firstLine="0"/>
              <w:jc w:val="right"/>
              <w:rPr>
                <w:rFonts w:ascii="Arial Narrow" w:hAnsi="Arial Narrow"/>
                <w:sz w:val="18"/>
                <w:szCs w:val="18"/>
              </w:rPr>
            </w:pPr>
            <w:r w:rsidRPr="00730AE6">
              <w:rPr>
                <w:rFonts w:ascii="Arial Narrow" w:hAnsi="Arial Narrow"/>
                <w:sz w:val="18"/>
                <w:szCs w:val="18"/>
              </w:rPr>
              <w:t>4.405</w:t>
            </w:r>
          </w:p>
        </w:tc>
      </w:tr>
      <w:tr w:rsidR="00BE7391" w:rsidRPr="00730AE6" w:rsidTr="005F01DB">
        <w:trPr>
          <w:trHeight w:hRule="exact" w:val="284"/>
        </w:trPr>
        <w:tc>
          <w:tcPr>
            <w:tcW w:w="3686" w:type="dxa"/>
            <w:tcBorders>
              <w:top w:val="single" w:sz="2" w:space="0" w:color="auto"/>
              <w:bottom w:val="single" w:sz="2" w:space="0" w:color="auto"/>
            </w:tcBorders>
            <w:shd w:val="clear" w:color="auto" w:fill="auto"/>
            <w:noWrap/>
            <w:vAlign w:val="center"/>
          </w:tcPr>
          <w:p w:rsidR="00BE7391" w:rsidRPr="00730AE6" w:rsidRDefault="00BE7391" w:rsidP="0066125F">
            <w:pPr>
              <w:pStyle w:val="texto"/>
              <w:spacing w:after="0"/>
              <w:ind w:firstLine="0"/>
              <w:rPr>
                <w:rFonts w:ascii="Arial Narrow" w:hAnsi="Arial Narrow"/>
                <w:sz w:val="18"/>
                <w:szCs w:val="18"/>
              </w:rPr>
            </w:pPr>
            <w:r w:rsidRPr="00730AE6">
              <w:rPr>
                <w:rFonts w:ascii="Arial Narrow" w:hAnsi="Arial Narrow"/>
                <w:sz w:val="18"/>
                <w:szCs w:val="18"/>
              </w:rPr>
              <w:t>Financiación presupuesto año siguiente</w:t>
            </w:r>
          </w:p>
        </w:tc>
        <w:tc>
          <w:tcPr>
            <w:tcW w:w="1020" w:type="dxa"/>
            <w:tcBorders>
              <w:top w:val="single" w:sz="2" w:space="0" w:color="auto"/>
              <w:bottom w:val="single" w:sz="2" w:space="0" w:color="auto"/>
            </w:tcBorders>
            <w:shd w:val="clear" w:color="auto" w:fill="auto"/>
            <w:vAlign w:val="center"/>
          </w:tcPr>
          <w:p w:rsidR="00BE7391" w:rsidRPr="00730AE6" w:rsidRDefault="00BE7391" w:rsidP="0066125F">
            <w:pPr>
              <w:pStyle w:val="texto"/>
              <w:spacing w:after="0"/>
              <w:ind w:firstLine="0"/>
              <w:jc w:val="right"/>
              <w:rPr>
                <w:rFonts w:ascii="Arial Narrow" w:hAnsi="Arial Narrow"/>
                <w:sz w:val="18"/>
                <w:szCs w:val="18"/>
              </w:rPr>
            </w:pPr>
            <w:r w:rsidRPr="00730AE6">
              <w:rPr>
                <w:rFonts w:ascii="Arial Narrow" w:hAnsi="Arial Narrow"/>
                <w:sz w:val="18"/>
                <w:szCs w:val="18"/>
              </w:rPr>
              <w:t>-</w:t>
            </w:r>
          </w:p>
        </w:tc>
        <w:tc>
          <w:tcPr>
            <w:tcW w:w="1021" w:type="dxa"/>
            <w:tcBorders>
              <w:top w:val="single" w:sz="2" w:space="0" w:color="auto"/>
              <w:bottom w:val="single" w:sz="2" w:space="0" w:color="auto"/>
            </w:tcBorders>
            <w:shd w:val="clear" w:color="auto" w:fill="auto"/>
            <w:vAlign w:val="center"/>
          </w:tcPr>
          <w:p w:rsidR="00BE7391" w:rsidRPr="00730AE6" w:rsidRDefault="00BE7391" w:rsidP="0066125F">
            <w:pPr>
              <w:pStyle w:val="texto"/>
              <w:spacing w:after="0"/>
              <w:ind w:firstLine="0"/>
              <w:jc w:val="right"/>
              <w:rPr>
                <w:rFonts w:ascii="Arial Narrow" w:hAnsi="Arial Narrow"/>
                <w:sz w:val="18"/>
                <w:szCs w:val="18"/>
              </w:rPr>
            </w:pPr>
            <w:r w:rsidRPr="00730AE6">
              <w:rPr>
                <w:rFonts w:ascii="Arial Narrow" w:hAnsi="Arial Narrow"/>
                <w:sz w:val="18"/>
                <w:szCs w:val="18"/>
              </w:rPr>
              <w:t>608</w:t>
            </w:r>
          </w:p>
        </w:tc>
        <w:tc>
          <w:tcPr>
            <w:tcW w:w="1020" w:type="dxa"/>
            <w:tcBorders>
              <w:top w:val="single" w:sz="2" w:space="0" w:color="auto"/>
              <w:bottom w:val="single" w:sz="2" w:space="0" w:color="auto"/>
            </w:tcBorders>
            <w:shd w:val="clear" w:color="auto" w:fill="auto"/>
            <w:vAlign w:val="center"/>
          </w:tcPr>
          <w:p w:rsidR="00BE7391" w:rsidRPr="00730AE6" w:rsidRDefault="00BE7391" w:rsidP="0066125F">
            <w:pPr>
              <w:pStyle w:val="texto"/>
              <w:spacing w:after="0"/>
              <w:ind w:firstLine="0"/>
              <w:jc w:val="right"/>
              <w:rPr>
                <w:rFonts w:ascii="Arial Narrow" w:hAnsi="Arial Narrow"/>
                <w:sz w:val="18"/>
                <w:szCs w:val="18"/>
              </w:rPr>
            </w:pPr>
            <w:r w:rsidRPr="00730AE6">
              <w:rPr>
                <w:rFonts w:ascii="Arial Narrow" w:hAnsi="Arial Narrow"/>
                <w:sz w:val="18"/>
                <w:szCs w:val="18"/>
              </w:rPr>
              <w:t>948</w:t>
            </w:r>
          </w:p>
        </w:tc>
        <w:tc>
          <w:tcPr>
            <w:tcW w:w="1021" w:type="dxa"/>
            <w:tcBorders>
              <w:top w:val="single" w:sz="2" w:space="0" w:color="auto"/>
              <w:bottom w:val="single" w:sz="2" w:space="0" w:color="auto"/>
            </w:tcBorders>
            <w:vAlign w:val="center"/>
          </w:tcPr>
          <w:p w:rsidR="00BE7391" w:rsidRPr="00730AE6" w:rsidRDefault="00BE7391" w:rsidP="0066125F">
            <w:pPr>
              <w:pStyle w:val="texto"/>
              <w:spacing w:after="0"/>
              <w:ind w:firstLine="0"/>
              <w:jc w:val="right"/>
              <w:rPr>
                <w:rFonts w:ascii="Arial Narrow" w:hAnsi="Arial Narrow"/>
                <w:sz w:val="18"/>
                <w:szCs w:val="18"/>
              </w:rPr>
            </w:pPr>
            <w:r w:rsidRPr="00730AE6">
              <w:rPr>
                <w:rFonts w:ascii="Arial Narrow" w:hAnsi="Arial Narrow"/>
                <w:sz w:val="18"/>
                <w:szCs w:val="18"/>
              </w:rPr>
              <w:t>1.662</w:t>
            </w:r>
          </w:p>
        </w:tc>
        <w:tc>
          <w:tcPr>
            <w:tcW w:w="1163" w:type="dxa"/>
            <w:tcBorders>
              <w:top w:val="single" w:sz="2" w:space="0" w:color="auto"/>
              <w:bottom w:val="single" w:sz="2" w:space="0" w:color="auto"/>
            </w:tcBorders>
            <w:vAlign w:val="center"/>
          </w:tcPr>
          <w:p w:rsidR="00BE7391" w:rsidRPr="00730AE6" w:rsidRDefault="00BE7391" w:rsidP="0066125F">
            <w:pPr>
              <w:pStyle w:val="texto"/>
              <w:spacing w:after="0"/>
              <w:ind w:firstLine="0"/>
              <w:jc w:val="right"/>
              <w:rPr>
                <w:rFonts w:ascii="Arial Narrow" w:hAnsi="Arial Narrow"/>
                <w:sz w:val="18"/>
                <w:szCs w:val="18"/>
              </w:rPr>
            </w:pPr>
            <w:r w:rsidRPr="00730AE6">
              <w:rPr>
                <w:rFonts w:ascii="Arial Narrow" w:hAnsi="Arial Narrow"/>
                <w:sz w:val="18"/>
                <w:szCs w:val="18"/>
              </w:rPr>
              <w:t>1.847</w:t>
            </w:r>
          </w:p>
        </w:tc>
      </w:tr>
      <w:tr w:rsidR="00BE7391" w:rsidRPr="00730AE6" w:rsidTr="008777F0">
        <w:trPr>
          <w:trHeight w:hRule="exact" w:val="284"/>
        </w:trPr>
        <w:tc>
          <w:tcPr>
            <w:tcW w:w="3686" w:type="dxa"/>
            <w:tcBorders>
              <w:top w:val="single" w:sz="2" w:space="0" w:color="auto"/>
              <w:bottom w:val="single" w:sz="4" w:space="0" w:color="auto"/>
            </w:tcBorders>
            <w:shd w:val="clear" w:color="auto" w:fill="auto"/>
            <w:noWrap/>
            <w:vAlign w:val="center"/>
          </w:tcPr>
          <w:p w:rsidR="00BE7391" w:rsidRPr="00730AE6" w:rsidRDefault="00BE7391" w:rsidP="0066125F">
            <w:pPr>
              <w:pStyle w:val="texto"/>
              <w:spacing w:after="0"/>
              <w:ind w:firstLine="0"/>
              <w:rPr>
                <w:rFonts w:ascii="Arial Narrow" w:hAnsi="Arial Narrow"/>
                <w:sz w:val="18"/>
                <w:szCs w:val="18"/>
              </w:rPr>
            </w:pPr>
            <w:r w:rsidRPr="00730AE6">
              <w:rPr>
                <w:rFonts w:ascii="Arial Narrow" w:hAnsi="Arial Narrow"/>
                <w:sz w:val="18"/>
                <w:szCs w:val="18"/>
              </w:rPr>
              <w:t>Remanente tesorería líquido</w:t>
            </w:r>
          </w:p>
        </w:tc>
        <w:tc>
          <w:tcPr>
            <w:tcW w:w="1020" w:type="dxa"/>
            <w:tcBorders>
              <w:top w:val="single" w:sz="2" w:space="0" w:color="auto"/>
              <w:bottom w:val="single" w:sz="4" w:space="0" w:color="auto"/>
            </w:tcBorders>
            <w:shd w:val="clear" w:color="auto" w:fill="auto"/>
            <w:vAlign w:val="center"/>
          </w:tcPr>
          <w:p w:rsidR="00BE7391" w:rsidRPr="00730AE6" w:rsidRDefault="00BE7391" w:rsidP="0066125F">
            <w:pPr>
              <w:pStyle w:val="texto"/>
              <w:spacing w:after="0"/>
              <w:ind w:firstLine="0"/>
              <w:jc w:val="right"/>
              <w:rPr>
                <w:rFonts w:ascii="Arial Narrow" w:hAnsi="Arial Narrow"/>
                <w:sz w:val="18"/>
                <w:szCs w:val="18"/>
              </w:rPr>
            </w:pPr>
            <w:r w:rsidRPr="00730AE6">
              <w:rPr>
                <w:rFonts w:ascii="Arial Narrow" w:hAnsi="Arial Narrow"/>
                <w:sz w:val="18"/>
                <w:szCs w:val="18"/>
              </w:rPr>
              <w:t>3.922</w:t>
            </w:r>
          </w:p>
        </w:tc>
        <w:tc>
          <w:tcPr>
            <w:tcW w:w="1021" w:type="dxa"/>
            <w:tcBorders>
              <w:top w:val="single" w:sz="2" w:space="0" w:color="auto"/>
              <w:bottom w:val="single" w:sz="4" w:space="0" w:color="auto"/>
            </w:tcBorders>
            <w:shd w:val="clear" w:color="auto" w:fill="auto"/>
            <w:vAlign w:val="center"/>
          </w:tcPr>
          <w:p w:rsidR="00BE7391" w:rsidRPr="00730AE6" w:rsidRDefault="00BE7391" w:rsidP="0066125F">
            <w:pPr>
              <w:pStyle w:val="texto"/>
              <w:spacing w:after="0"/>
              <w:ind w:firstLine="0"/>
              <w:jc w:val="right"/>
              <w:rPr>
                <w:rFonts w:ascii="Arial Narrow" w:hAnsi="Arial Narrow"/>
                <w:sz w:val="18"/>
                <w:szCs w:val="18"/>
              </w:rPr>
            </w:pPr>
            <w:r w:rsidRPr="00730AE6">
              <w:rPr>
                <w:rFonts w:ascii="Arial Narrow" w:hAnsi="Arial Narrow"/>
                <w:sz w:val="18"/>
                <w:szCs w:val="18"/>
              </w:rPr>
              <w:t>5.673</w:t>
            </w:r>
          </w:p>
        </w:tc>
        <w:tc>
          <w:tcPr>
            <w:tcW w:w="1020" w:type="dxa"/>
            <w:tcBorders>
              <w:top w:val="single" w:sz="2" w:space="0" w:color="auto"/>
              <w:bottom w:val="single" w:sz="4" w:space="0" w:color="auto"/>
            </w:tcBorders>
            <w:shd w:val="clear" w:color="auto" w:fill="auto"/>
            <w:vAlign w:val="center"/>
          </w:tcPr>
          <w:p w:rsidR="00BE7391" w:rsidRPr="00730AE6" w:rsidRDefault="00BE7391" w:rsidP="0066125F">
            <w:pPr>
              <w:pStyle w:val="texto"/>
              <w:spacing w:after="0"/>
              <w:ind w:firstLine="0"/>
              <w:jc w:val="right"/>
              <w:rPr>
                <w:rFonts w:ascii="Arial Narrow" w:hAnsi="Arial Narrow"/>
                <w:sz w:val="18"/>
                <w:szCs w:val="18"/>
              </w:rPr>
            </w:pPr>
            <w:r w:rsidRPr="00730AE6">
              <w:rPr>
                <w:rFonts w:ascii="Arial Narrow" w:hAnsi="Arial Narrow"/>
                <w:sz w:val="18"/>
                <w:szCs w:val="18"/>
              </w:rPr>
              <w:t>6.744</w:t>
            </w:r>
          </w:p>
        </w:tc>
        <w:tc>
          <w:tcPr>
            <w:tcW w:w="1021" w:type="dxa"/>
            <w:tcBorders>
              <w:top w:val="single" w:sz="2" w:space="0" w:color="auto"/>
              <w:bottom w:val="single" w:sz="4" w:space="0" w:color="auto"/>
            </w:tcBorders>
            <w:vAlign w:val="center"/>
          </w:tcPr>
          <w:p w:rsidR="00BE7391" w:rsidRPr="00730AE6" w:rsidRDefault="00BE7391" w:rsidP="0066125F">
            <w:pPr>
              <w:pStyle w:val="texto"/>
              <w:spacing w:after="0"/>
              <w:ind w:firstLine="0"/>
              <w:jc w:val="right"/>
              <w:rPr>
                <w:rFonts w:ascii="Arial Narrow" w:hAnsi="Arial Narrow"/>
                <w:sz w:val="18"/>
                <w:szCs w:val="18"/>
              </w:rPr>
            </w:pPr>
            <w:r w:rsidRPr="00730AE6">
              <w:rPr>
                <w:rFonts w:ascii="Arial Narrow" w:hAnsi="Arial Narrow"/>
                <w:sz w:val="18"/>
                <w:szCs w:val="18"/>
              </w:rPr>
              <w:t>4.289</w:t>
            </w:r>
          </w:p>
        </w:tc>
        <w:tc>
          <w:tcPr>
            <w:tcW w:w="1163" w:type="dxa"/>
            <w:tcBorders>
              <w:top w:val="single" w:sz="2" w:space="0" w:color="auto"/>
              <w:bottom w:val="single" w:sz="4" w:space="0" w:color="auto"/>
            </w:tcBorders>
            <w:vAlign w:val="center"/>
          </w:tcPr>
          <w:p w:rsidR="00BE7391" w:rsidRPr="00730AE6" w:rsidRDefault="00BE7391" w:rsidP="0066125F">
            <w:pPr>
              <w:pStyle w:val="texto"/>
              <w:spacing w:after="0"/>
              <w:ind w:firstLine="0"/>
              <w:jc w:val="right"/>
              <w:rPr>
                <w:rFonts w:ascii="Arial Narrow" w:hAnsi="Arial Narrow"/>
                <w:sz w:val="18"/>
                <w:szCs w:val="18"/>
              </w:rPr>
            </w:pPr>
            <w:r w:rsidRPr="00730AE6">
              <w:rPr>
                <w:rFonts w:ascii="Arial Narrow" w:hAnsi="Arial Narrow"/>
                <w:sz w:val="18"/>
                <w:szCs w:val="18"/>
              </w:rPr>
              <w:t>2.558</w:t>
            </w:r>
          </w:p>
        </w:tc>
      </w:tr>
    </w:tbl>
    <w:p w:rsidR="004A4588" w:rsidRPr="004A4588" w:rsidRDefault="004A4588" w:rsidP="00290CF6">
      <w:pPr>
        <w:pStyle w:val="texto"/>
        <w:tabs>
          <w:tab w:val="num" w:pos="720"/>
        </w:tabs>
        <w:spacing w:before="120" w:after="120"/>
      </w:pPr>
      <w:r w:rsidRPr="004A4588">
        <w:t>La distribución por el Gobierno de Navarra del objetivo de estabilidad pres</w:t>
      </w:r>
      <w:r w:rsidRPr="004A4588">
        <w:t>u</w:t>
      </w:r>
      <w:r w:rsidRPr="004A4588">
        <w:t xml:space="preserve">puestaria para 2017 ha permitido que la Universidad pueda utilizar, como fuente de financiación en su presupuesto inicial, remanente de tesorería </w:t>
      </w:r>
      <w:r w:rsidR="00CB3447" w:rsidRPr="004A4588">
        <w:t>para gastos g</w:t>
      </w:r>
      <w:r w:rsidR="00CB3447" w:rsidRPr="004A4588">
        <w:t>e</w:t>
      </w:r>
      <w:r w:rsidR="00CB3447" w:rsidRPr="004A4588">
        <w:t xml:space="preserve">nerales </w:t>
      </w:r>
      <w:r w:rsidR="00CB3447">
        <w:t xml:space="preserve">del año 2016 </w:t>
      </w:r>
      <w:r w:rsidRPr="004A4588">
        <w:t>p</w:t>
      </w:r>
      <w:r w:rsidR="0000117B">
        <w:t>or importe de 1,66 millones</w:t>
      </w:r>
      <w:r w:rsidR="00CB3447">
        <w:t>.</w:t>
      </w:r>
    </w:p>
    <w:p w:rsidR="008A54E2" w:rsidRPr="008A54E2" w:rsidRDefault="008A54E2" w:rsidP="00290CF6">
      <w:pPr>
        <w:pStyle w:val="texto"/>
        <w:tabs>
          <w:tab w:val="num" w:pos="720"/>
        </w:tabs>
        <w:spacing w:before="120" w:after="120"/>
      </w:pPr>
      <w:r w:rsidRPr="008A54E2">
        <w:t xml:space="preserve">La carga financiera de la </w:t>
      </w:r>
      <w:r w:rsidR="00A32A9C">
        <w:t>Universidad</w:t>
      </w:r>
      <w:r w:rsidRPr="008A54E2">
        <w:t xml:space="preserve"> en el año 2017 y, en general, en años anteriores, es una magnitud poco relevante</w:t>
      </w:r>
      <w:r w:rsidR="00BC5BE8">
        <w:t>,</w:t>
      </w:r>
      <w:r w:rsidRPr="008A54E2">
        <w:t xml:space="preserve"> 4</w:t>
      </w:r>
      <w:r w:rsidR="009B27F9">
        <w:t>2</w:t>
      </w:r>
      <w:r w:rsidRPr="008A54E2">
        <w:t>.717 euros en 2017. Sin embargo, experimenta una importante disminución respecto al año 2016, debido princ</w:t>
      </w:r>
      <w:r w:rsidRPr="008A54E2">
        <w:t>i</w:t>
      </w:r>
      <w:r w:rsidRPr="008A54E2">
        <w:t xml:space="preserve">palmente a la amortización anticipada en dicho año de préstamos </w:t>
      </w:r>
      <w:r w:rsidR="000A1018">
        <w:t>comentada en el párrafo anterior.</w:t>
      </w:r>
    </w:p>
    <w:p w:rsidR="00494029" w:rsidRDefault="00494029" w:rsidP="00D54429">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ind w:left="0" w:firstLine="290"/>
        <w:rPr>
          <w:szCs w:val="26"/>
        </w:rPr>
      </w:pPr>
      <w:r w:rsidRPr="00B925DE">
        <w:rPr>
          <w:szCs w:val="26"/>
        </w:rPr>
        <w:t>En 201</w:t>
      </w:r>
      <w:r w:rsidR="0039166A" w:rsidRPr="00B925DE">
        <w:rPr>
          <w:szCs w:val="26"/>
        </w:rPr>
        <w:t>7</w:t>
      </w:r>
      <w:r w:rsidRPr="00B925DE">
        <w:rPr>
          <w:szCs w:val="26"/>
        </w:rPr>
        <w:t xml:space="preserve">, el endeudamiento financiero se ha </w:t>
      </w:r>
      <w:r w:rsidR="004C5328" w:rsidRPr="00B925DE">
        <w:rPr>
          <w:szCs w:val="26"/>
        </w:rPr>
        <w:t>incrementado</w:t>
      </w:r>
      <w:r w:rsidRPr="00B925DE">
        <w:rPr>
          <w:szCs w:val="26"/>
        </w:rPr>
        <w:t xml:space="preserve"> un </w:t>
      </w:r>
      <w:r w:rsidR="004C5328" w:rsidRPr="00B925DE">
        <w:rPr>
          <w:szCs w:val="26"/>
        </w:rPr>
        <w:t>42</w:t>
      </w:r>
      <w:r w:rsidRPr="00B925DE">
        <w:rPr>
          <w:szCs w:val="26"/>
        </w:rPr>
        <w:t xml:space="preserve"> por ciento, situándose en </w:t>
      </w:r>
      <w:r w:rsidR="004C5328" w:rsidRPr="00B925DE">
        <w:rPr>
          <w:szCs w:val="26"/>
        </w:rPr>
        <w:t>3,26</w:t>
      </w:r>
      <w:r w:rsidRPr="00B925DE">
        <w:rPr>
          <w:szCs w:val="26"/>
        </w:rPr>
        <w:t xml:space="preserve"> millones. Este importe representa escasamente el cuatro por ciento de los ingresos corrientes de la entidad.</w:t>
      </w:r>
      <w:r w:rsidR="00B925DE" w:rsidRPr="00B925DE">
        <w:rPr>
          <w:szCs w:val="26"/>
        </w:rPr>
        <w:t xml:space="preserve"> </w:t>
      </w:r>
      <w:r w:rsidR="00B925DE">
        <w:rPr>
          <w:szCs w:val="26"/>
        </w:rPr>
        <w:t xml:space="preserve">Como se observa en el siguiente detalle, el </w:t>
      </w:r>
      <w:r w:rsidRPr="00B925DE">
        <w:rPr>
          <w:szCs w:val="26"/>
        </w:rPr>
        <w:t xml:space="preserve">endeudamiento </w:t>
      </w:r>
      <w:r w:rsidR="0052537D">
        <w:rPr>
          <w:szCs w:val="26"/>
        </w:rPr>
        <w:t>procede de préstamos y anticipos reembolsables para financiar proyectos de investigación</w:t>
      </w:r>
      <w:r w:rsidR="003B24C7" w:rsidRPr="00B925DE">
        <w:rPr>
          <w:szCs w:val="26"/>
        </w:rPr>
        <w:t>:</w:t>
      </w:r>
      <w:r w:rsidRPr="00B925DE">
        <w:rPr>
          <w:szCs w:val="26"/>
        </w:rPr>
        <w:t xml:space="preserve"> </w:t>
      </w:r>
    </w:p>
    <w:p w:rsidR="006A5BD5" w:rsidRPr="006955A6" w:rsidRDefault="0000117B" w:rsidP="00EA3952">
      <w:pPr>
        <w:pStyle w:val="texto"/>
        <w:tabs>
          <w:tab w:val="clear" w:pos="2835"/>
          <w:tab w:val="clear" w:pos="3969"/>
          <w:tab w:val="clear" w:pos="5103"/>
          <w:tab w:val="clear" w:pos="6237"/>
          <w:tab w:val="clear" w:pos="7371"/>
          <w:tab w:val="left" w:pos="480"/>
          <w:tab w:val="num" w:pos="928"/>
          <w:tab w:val="num" w:pos="6597"/>
        </w:tabs>
        <w:spacing w:after="0"/>
        <w:ind w:left="568" w:firstLine="0"/>
        <w:jc w:val="right"/>
        <w:rPr>
          <w:rFonts w:ascii="Arial" w:hAnsi="Arial" w:cs="Arial"/>
          <w:sz w:val="18"/>
          <w:szCs w:val="18"/>
        </w:rPr>
      </w:pPr>
      <w:r w:rsidRPr="006955A6">
        <w:rPr>
          <w:rFonts w:ascii="Arial" w:hAnsi="Arial" w:cs="Arial"/>
          <w:sz w:val="18"/>
          <w:szCs w:val="18"/>
        </w:rPr>
        <w:t>(En miles de euros)</w:t>
      </w:r>
    </w:p>
    <w:tbl>
      <w:tblPr>
        <w:tblW w:w="9019" w:type="dxa"/>
        <w:jc w:val="center"/>
        <w:tblInd w:w="176" w:type="dxa"/>
        <w:tblLayout w:type="fixed"/>
        <w:tblLook w:val="01E0" w:firstRow="1" w:lastRow="1" w:firstColumn="1" w:lastColumn="1" w:noHBand="0" w:noVBand="0"/>
      </w:tblPr>
      <w:tblGrid>
        <w:gridCol w:w="4756"/>
        <w:gridCol w:w="1340"/>
        <w:gridCol w:w="1275"/>
        <w:gridCol w:w="1648"/>
      </w:tblGrid>
      <w:tr w:rsidR="00494029" w:rsidRPr="00730AE6" w:rsidTr="009A1153">
        <w:trPr>
          <w:trHeight w:val="284"/>
          <w:jc w:val="center"/>
        </w:trPr>
        <w:tc>
          <w:tcPr>
            <w:tcW w:w="4756" w:type="dxa"/>
            <w:tcBorders>
              <w:top w:val="single" w:sz="4" w:space="0" w:color="auto"/>
              <w:bottom w:val="single" w:sz="4" w:space="0" w:color="auto"/>
            </w:tcBorders>
            <w:shd w:val="clear" w:color="auto" w:fill="A0C3E3" w:themeFill="accent1" w:themeFillTint="99"/>
            <w:vAlign w:val="center"/>
          </w:tcPr>
          <w:p w:rsidR="00494029" w:rsidRPr="00730AE6" w:rsidRDefault="00494029" w:rsidP="005F01DB">
            <w:pPr>
              <w:spacing w:after="0"/>
              <w:ind w:firstLine="0"/>
              <w:jc w:val="left"/>
              <w:rPr>
                <w:rFonts w:ascii="Arial" w:hAnsi="Arial" w:cs="Arial"/>
                <w:color w:val="000000"/>
                <w:sz w:val="18"/>
                <w:szCs w:val="18"/>
                <w:lang w:val="es-ES" w:eastAsia="es-ES"/>
              </w:rPr>
            </w:pPr>
            <w:r w:rsidRPr="00730AE6">
              <w:rPr>
                <w:rFonts w:ascii="Arial" w:hAnsi="Arial" w:cs="Arial"/>
                <w:color w:val="000000"/>
                <w:sz w:val="18"/>
                <w:szCs w:val="18"/>
                <w:lang w:val="es-ES" w:eastAsia="es-ES"/>
              </w:rPr>
              <w:t>Préstamos (en miles de euros)</w:t>
            </w:r>
          </w:p>
        </w:tc>
        <w:tc>
          <w:tcPr>
            <w:tcW w:w="1340" w:type="dxa"/>
            <w:tcBorders>
              <w:top w:val="single" w:sz="4" w:space="0" w:color="auto"/>
              <w:bottom w:val="single" w:sz="4" w:space="0" w:color="auto"/>
            </w:tcBorders>
            <w:shd w:val="clear" w:color="auto" w:fill="A0C3E3" w:themeFill="accent1" w:themeFillTint="99"/>
            <w:vAlign w:val="center"/>
          </w:tcPr>
          <w:p w:rsidR="00494029" w:rsidRPr="00730AE6" w:rsidRDefault="00494029" w:rsidP="00B77B93">
            <w:pPr>
              <w:spacing w:after="0"/>
              <w:ind w:firstLine="0"/>
              <w:jc w:val="right"/>
              <w:rPr>
                <w:rFonts w:ascii="Arial" w:hAnsi="Arial" w:cs="Arial"/>
                <w:color w:val="000000"/>
                <w:sz w:val="18"/>
                <w:szCs w:val="18"/>
                <w:lang w:val="es-ES" w:eastAsia="es-ES"/>
              </w:rPr>
            </w:pPr>
            <w:r w:rsidRPr="00730AE6">
              <w:rPr>
                <w:rFonts w:ascii="Arial" w:hAnsi="Arial" w:cs="Arial"/>
                <w:color w:val="000000"/>
                <w:sz w:val="18"/>
                <w:szCs w:val="18"/>
                <w:lang w:val="es-ES" w:eastAsia="es-ES"/>
              </w:rPr>
              <w:t>Largo Plazo</w:t>
            </w:r>
          </w:p>
        </w:tc>
        <w:tc>
          <w:tcPr>
            <w:tcW w:w="1275" w:type="dxa"/>
            <w:tcBorders>
              <w:top w:val="single" w:sz="4" w:space="0" w:color="auto"/>
              <w:bottom w:val="single" w:sz="4" w:space="0" w:color="auto"/>
            </w:tcBorders>
            <w:shd w:val="clear" w:color="auto" w:fill="A0C3E3" w:themeFill="accent1" w:themeFillTint="99"/>
            <w:vAlign w:val="center"/>
          </w:tcPr>
          <w:p w:rsidR="00494029" w:rsidRPr="00730AE6" w:rsidRDefault="00494029" w:rsidP="00B77B93">
            <w:pPr>
              <w:spacing w:after="0"/>
              <w:ind w:firstLine="0"/>
              <w:jc w:val="right"/>
              <w:rPr>
                <w:rFonts w:ascii="Arial" w:hAnsi="Arial" w:cs="Arial"/>
                <w:color w:val="000000"/>
                <w:sz w:val="18"/>
                <w:szCs w:val="18"/>
                <w:lang w:val="es-ES" w:eastAsia="es-ES"/>
              </w:rPr>
            </w:pPr>
            <w:r w:rsidRPr="00730AE6">
              <w:rPr>
                <w:rFonts w:ascii="Arial" w:hAnsi="Arial" w:cs="Arial"/>
                <w:color w:val="000000"/>
                <w:sz w:val="18"/>
                <w:szCs w:val="18"/>
                <w:lang w:val="es-ES" w:eastAsia="es-ES"/>
              </w:rPr>
              <w:t>Corto plazo</w:t>
            </w:r>
          </w:p>
        </w:tc>
        <w:tc>
          <w:tcPr>
            <w:tcW w:w="1648" w:type="dxa"/>
            <w:tcBorders>
              <w:top w:val="single" w:sz="4" w:space="0" w:color="auto"/>
              <w:bottom w:val="single" w:sz="4" w:space="0" w:color="auto"/>
            </w:tcBorders>
            <w:shd w:val="clear" w:color="auto" w:fill="A0C3E3" w:themeFill="accent1" w:themeFillTint="99"/>
            <w:vAlign w:val="center"/>
          </w:tcPr>
          <w:p w:rsidR="00494029" w:rsidRPr="00730AE6" w:rsidRDefault="00494029" w:rsidP="00B77B93">
            <w:pPr>
              <w:spacing w:after="0"/>
              <w:ind w:firstLine="0"/>
              <w:jc w:val="right"/>
              <w:rPr>
                <w:rFonts w:ascii="Arial" w:hAnsi="Arial" w:cs="Arial"/>
                <w:color w:val="000000"/>
                <w:sz w:val="18"/>
                <w:szCs w:val="18"/>
                <w:lang w:val="es-ES" w:eastAsia="es-ES"/>
              </w:rPr>
            </w:pPr>
            <w:r w:rsidRPr="00730AE6">
              <w:rPr>
                <w:rFonts w:ascii="Arial" w:hAnsi="Arial" w:cs="Arial"/>
                <w:color w:val="000000"/>
                <w:sz w:val="18"/>
                <w:szCs w:val="18"/>
                <w:lang w:val="es-ES" w:eastAsia="es-ES"/>
              </w:rPr>
              <w:t>Total</w:t>
            </w:r>
          </w:p>
          <w:p w:rsidR="00494029" w:rsidRPr="00730AE6" w:rsidRDefault="00494029" w:rsidP="00B77B93">
            <w:pPr>
              <w:spacing w:after="0"/>
              <w:ind w:firstLine="0"/>
              <w:jc w:val="right"/>
              <w:rPr>
                <w:rFonts w:ascii="Arial" w:hAnsi="Arial" w:cs="Arial"/>
                <w:color w:val="000000"/>
                <w:sz w:val="18"/>
                <w:szCs w:val="18"/>
                <w:lang w:val="es-ES" w:eastAsia="es-ES"/>
              </w:rPr>
            </w:pPr>
            <w:r w:rsidRPr="00730AE6">
              <w:rPr>
                <w:rFonts w:ascii="Arial" w:hAnsi="Arial" w:cs="Arial"/>
                <w:color w:val="000000"/>
                <w:sz w:val="18"/>
                <w:szCs w:val="18"/>
                <w:lang w:val="es-ES" w:eastAsia="es-ES"/>
              </w:rPr>
              <w:t>endeudamiento</w:t>
            </w:r>
          </w:p>
        </w:tc>
      </w:tr>
      <w:tr w:rsidR="0030157B" w:rsidRPr="0030157B" w:rsidTr="009A1153">
        <w:trPr>
          <w:trHeight w:val="284"/>
          <w:jc w:val="center"/>
        </w:trPr>
        <w:tc>
          <w:tcPr>
            <w:tcW w:w="4756" w:type="dxa"/>
            <w:tcBorders>
              <w:top w:val="single" w:sz="4" w:space="0" w:color="auto"/>
              <w:bottom w:val="single" w:sz="2" w:space="0" w:color="auto"/>
            </w:tcBorders>
            <w:vAlign w:val="center"/>
          </w:tcPr>
          <w:p w:rsidR="00494029" w:rsidRPr="0030157B" w:rsidRDefault="00494029" w:rsidP="005F01DB">
            <w:pPr>
              <w:pStyle w:val="texto"/>
              <w:spacing w:after="0"/>
              <w:ind w:firstLine="0"/>
              <w:rPr>
                <w:rFonts w:ascii="Arial Narrow" w:hAnsi="Arial Narrow"/>
                <w:sz w:val="20"/>
                <w:szCs w:val="20"/>
              </w:rPr>
            </w:pPr>
            <w:r w:rsidRPr="0030157B">
              <w:rPr>
                <w:rFonts w:ascii="Arial Narrow" w:hAnsi="Arial Narrow"/>
                <w:sz w:val="20"/>
                <w:szCs w:val="20"/>
              </w:rPr>
              <w:t xml:space="preserve">FEDER </w:t>
            </w:r>
            <w:r w:rsidR="0052537D">
              <w:rPr>
                <w:rFonts w:ascii="Arial Narrow" w:hAnsi="Arial Narrow"/>
                <w:sz w:val="20"/>
                <w:szCs w:val="20"/>
              </w:rPr>
              <w:t xml:space="preserve">préstamos </w:t>
            </w:r>
            <w:r w:rsidRPr="0030157B">
              <w:rPr>
                <w:rFonts w:ascii="Arial Narrow" w:hAnsi="Arial Narrow"/>
                <w:sz w:val="20"/>
                <w:szCs w:val="20"/>
              </w:rPr>
              <w:t>proyectos de investigación</w:t>
            </w:r>
          </w:p>
        </w:tc>
        <w:tc>
          <w:tcPr>
            <w:tcW w:w="1340" w:type="dxa"/>
            <w:tcBorders>
              <w:top w:val="single" w:sz="4" w:space="0" w:color="auto"/>
              <w:bottom w:val="single" w:sz="2" w:space="0" w:color="auto"/>
            </w:tcBorders>
            <w:vAlign w:val="center"/>
          </w:tcPr>
          <w:p w:rsidR="00494029" w:rsidRPr="0030157B" w:rsidRDefault="00494029" w:rsidP="009640EF">
            <w:pPr>
              <w:pStyle w:val="texto"/>
              <w:spacing w:after="0"/>
              <w:ind w:firstLine="0"/>
              <w:jc w:val="right"/>
              <w:rPr>
                <w:rFonts w:ascii="Arial Narrow" w:hAnsi="Arial Narrow"/>
                <w:sz w:val="20"/>
                <w:szCs w:val="20"/>
              </w:rPr>
            </w:pPr>
            <w:r w:rsidRPr="0030157B">
              <w:rPr>
                <w:rFonts w:ascii="Arial Narrow" w:hAnsi="Arial Narrow"/>
                <w:sz w:val="20"/>
                <w:szCs w:val="20"/>
              </w:rPr>
              <w:t>1</w:t>
            </w:r>
            <w:r w:rsidR="009640EF">
              <w:rPr>
                <w:rFonts w:ascii="Arial Narrow" w:hAnsi="Arial Narrow"/>
                <w:sz w:val="20"/>
                <w:szCs w:val="20"/>
              </w:rPr>
              <w:t>32</w:t>
            </w:r>
          </w:p>
        </w:tc>
        <w:tc>
          <w:tcPr>
            <w:tcW w:w="1275" w:type="dxa"/>
            <w:tcBorders>
              <w:top w:val="single" w:sz="4" w:space="0" w:color="auto"/>
              <w:bottom w:val="single" w:sz="2" w:space="0" w:color="auto"/>
            </w:tcBorders>
            <w:vAlign w:val="center"/>
          </w:tcPr>
          <w:p w:rsidR="00494029" w:rsidRPr="0030157B" w:rsidRDefault="00494029" w:rsidP="00B77B93">
            <w:pPr>
              <w:pStyle w:val="texto"/>
              <w:spacing w:after="0"/>
              <w:ind w:firstLine="0"/>
              <w:jc w:val="right"/>
              <w:rPr>
                <w:rFonts w:ascii="Arial Narrow" w:hAnsi="Arial Narrow"/>
                <w:sz w:val="20"/>
                <w:szCs w:val="20"/>
              </w:rPr>
            </w:pPr>
            <w:r w:rsidRPr="0030157B">
              <w:rPr>
                <w:rFonts w:ascii="Arial Narrow" w:hAnsi="Arial Narrow"/>
                <w:sz w:val="20"/>
                <w:szCs w:val="20"/>
              </w:rPr>
              <w:t>12</w:t>
            </w:r>
          </w:p>
        </w:tc>
        <w:tc>
          <w:tcPr>
            <w:tcW w:w="1648" w:type="dxa"/>
            <w:tcBorders>
              <w:top w:val="single" w:sz="4" w:space="0" w:color="auto"/>
              <w:bottom w:val="single" w:sz="2" w:space="0" w:color="auto"/>
            </w:tcBorders>
            <w:vAlign w:val="center"/>
          </w:tcPr>
          <w:p w:rsidR="00494029" w:rsidRPr="0030157B" w:rsidRDefault="0030157B" w:rsidP="009640EF">
            <w:pPr>
              <w:pStyle w:val="texto"/>
              <w:spacing w:after="0"/>
              <w:ind w:firstLine="0"/>
              <w:jc w:val="right"/>
              <w:rPr>
                <w:rFonts w:ascii="Arial Narrow" w:hAnsi="Arial Narrow"/>
                <w:sz w:val="20"/>
                <w:szCs w:val="20"/>
              </w:rPr>
            </w:pPr>
            <w:r w:rsidRPr="0030157B">
              <w:rPr>
                <w:rFonts w:ascii="Arial Narrow" w:hAnsi="Arial Narrow"/>
                <w:sz w:val="20"/>
                <w:szCs w:val="20"/>
              </w:rPr>
              <w:t>1</w:t>
            </w:r>
            <w:r w:rsidR="009640EF">
              <w:rPr>
                <w:rFonts w:ascii="Arial Narrow" w:hAnsi="Arial Narrow"/>
                <w:sz w:val="20"/>
                <w:szCs w:val="20"/>
              </w:rPr>
              <w:t>44</w:t>
            </w:r>
          </w:p>
        </w:tc>
      </w:tr>
      <w:tr w:rsidR="009640EF" w:rsidRPr="009640EF" w:rsidTr="009A1153">
        <w:trPr>
          <w:trHeight w:val="284"/>
          <w:jc w:val="center"/>
        </w:trPr>
        <w:tc>
          <w:tcPr>
            <w:tcW w:w="4756" w:type="dxa"/>
            <w:tcBorders>
              <w:top w:val="single" w:sz="4" w:space="0" w:color="auto"/>
              <w:bottom w:val="single" w:sz="2" w:space="0" w:color="auto"/>
            </w:tcBorders>
            <w:vAlign w:val="center"/>
          </w:tcPr>
          <w:p w:rsidR="00494029" w:rsidRPr="009640EF" w:rsidRDefault="00494029" w:rsidP="005F01DB">
            <w:pPr>
              <w:pStyle w:val="texto"/>
              <w:tabs>
                <w:tab w:val="clear" w:pos="3969"/>
                <w:tab w:val="center" w:pos="3724"/>
              </w:tabs>
              <w:spacing w:after="0"/>
              <w:ind w:firstLine="0"/>
              <w:rPr>
                <w:rFonts w:ascii="Arial Narrow" w:hAnsi="Arial Narrow"/>
                <w:sz w:val="20"/>
                <w:szCs w:val="20"/>
              </w:rPr>
            </w:pPr>
            <w:r w:rsidRPr="009640EF">
              <w:rPr>
                <w:rFonts w:ascii="Arial Narrow" w:hAnsi="Arial Narrow"/>
                <w:sz w:val="20"/>
                <w:szCs w:val="20"/>
              </w:rPr>
              <w:t xml:space="preserve">FEDER anticipos </w:t>
            </w:r>
            <w:r w:rsidR="00B925DE" w:rsidRPr="009640EF">
              <w:rPr>
                <w:rFonts w:ascii="Arial Narrow" w:hAnsi="Arial Narrow"/>
                <w:sz w:val="20"/>
                <w:szCs w:val="20"/>
              </w:rPr>
              <w:t>reembolsable</w:t>
            </w:r>
            <w:r w:rsidR="00B925DE">
              <w:rPr>
                <w:rFonts w:ascii="Arial Narrow" w:hAnsi="Arial Narrow"/>
                <w:sz w:val="20"/>
                <w:szCs w:val="20"/>
              </w:rPr>
              <w:t>s</w:t>
            </w:r>
            <w:r w:rsidRPr="009640EF">
              <w:rPr>
                <w:rFonts w:ascii="Arial Narrow" w:hAnsi="Arial Narrow"/>
                <w:sz w:val="20"/>
                <w:szCs w:val="20"/>
              </w:rPr>
              <w:t xml:space="preserve"> proyectos </w:t>
            </w:r>
            <w:r w:rsidR="00B925DE" w:rsidRPr="009640EF">
              <w:rPr>
                <w:rFonts w:ascii="Arial Narrow" w:hAnsi="Arial Narrow"/>
                <w:sz w:val="20"/>
                <w:szCs w:val="20"/>
              </w:rPr>
              <w:t>investigación</w:t>
            </w:r>
          </w:p>
        </w:tc>
        <w:tc>
          <w:tcPr>
            <w:tcW w:w="1340" w:type="dxa"/>
            <w:tcBorders>
              <w:top w:val="single" w:sz="4" w:space="0" w:color="auto"/>
              <w:bottom w:val="single" w:sz="2" w:space="0" w:color="auto"/>
            </w:tcBorders>
            <w:vAlign w:val="center"/>
          </w:tcPr>
          <w:p w:rsidR="00494029" w:rsidRPr="009640EF" w:rsidRDefault="009640EF" w:rsidP="00B77B93">
            <w:pPr>
              <w:pStyle w:val="texto"/>
              <w:spacing w:after="0"/>
              <w:ind w:firstLine="0"/>
              <w:jc w:val="right"/>
              <w:rPr>
                <w:rFonts w:ascii="Arial Narrow" w:hAnsi="Arial Narrow"/>
                <w:sz w:val="20"/>
                <w:szCs w:val="20"/>
              </w:rPr>
            </w:pPr>
            <w:r>
              <w:rPr>
                <w:rFonts w:ascii="Arial Narrow" w:hAnsi="Arial Narrow"/>
                <w:sz w:val="20"/>
                <w:szCs w:val="20"/>
              </w:rPr>
              <w:t>3.120</w:t>
            </w:r>
          </w:p>
        </w:tc>
        <w:tc>
          <w:tcPr>
            <w:tcW w:w="1275" w:type="dxa"/>
            <w:tcBorders>
              <w:top w:val="single" w:sz="4" w:space="0" w:color="auto"/>
              <w:bottom w:val="single" w:sz="2" w:space="0" w:color="auto"/>
            </w:tcBorders>
            <w:vAlign w:val="center"/>
          </w:tcPr>
          <w:p w:rsidR="00494029" w:rsidRPr="009640EF" w:rsidRDefault="00494029" w:rsidP="00B77B93">
            <w:pPr>
              <w:pStyle w:val="texto"/>
              <w:spacing w:after="0"/>
              <w:ind w:firstLine="0"/>
              <w:jc w:val="right"/>
              <w:rPr>
                <w:rFonts w:ascii="Arial Narrow" w:hAnsi="Arial Narrow"/>
                <w:sz w:val="20"/>
                <w:szCs w:val="20"/>
              </w:rPr>
            </w:pPr>
            <w:r w:rsidRPr="009640EF">
              <w:rPr>
                <w:rFonts w:ascii="Arial Narrow" w:hAnsi="Arial Narrow"/>
                <w:sz w:val="20"/>
                <w:szCs w:val="20"/>
              </w:rPr>
              <w:t>-</w:t>
            </w:r>
          </w:p>
        </w:tc>
        <w:tc>
          <w:tcPr>
            <w:tcW w:w="1648" w:type="dxa"/>
            <w:tcBorders>
              <w:top w:val="single" w:sz="4" w:space="0" w:color="auto"/>
              <w:bottom w:val="single" w:sz="2" w:space="0" w:color="auto"/>
            </w:tcBorders>
            <w:vAlign w:val="center"/>
          </w:tcPr>
          <w:p w:rsidR="00494029" w:rsidRPr="009640EF" w:rsidRDefault="00B925DE" w:rsidP="00B77B93">
            <w:pPr>
              <w:pStyle w:val="texto"/>
              <w:spacing w:after="0"/>
              <w:ind w:firstLine="0"/>
              <w:jc w:val="right"/>
              <w:rPr>
                <w:rFonts w:ascii="Arial Narrow" w:hAnsi="Arial Narrow"/>
                <w:sz w:val="20"/>
                <w:szCs w:val="20"/>
              </w:rPr>
            </w:pPr>
            <w:r>
              <w:rPr>
                <w:rFonts w:ascii="Arial Narrow" w:hAnsi="Arial Narrow"/>
                <w:sz w:val="20"/>
                <w:szCs w:val="20"/>
              </w:rPr>
              <w:t>3.120</w:t>
            </w:r>
          </w:p>
        </w:tc>
      </w:tr>
      <w:tr w:rsidR="002875BB" w:rsidRPr="002875BB" w:rsidTr="009A1153">
        <w:trPr>
          <w:trHeight w:val="284"/>
          <w:jc w:val="center"/>
        </w:trPr>
        <w:tc>
          <w:tcPr>
            <w:tcW w:w="4756" w:type="dxa"/>
            <w:tcBorders>
              <w:top w:val="single" w:sz="4" w:space="0" w:color="auto"/>
              <w:bottom w:val="single" w:sz="4" w:space="0" w:color="auto"/>
            </w:tcBorders>
            <w:shd w:val="clear" w:color="auto" w:fill="A8CBEE" w:themeFill="accent2" w:themeFillTint="66"/>
            <w:vAlign w:val="center"/>
          </w:tcPr>
          <w:p w:rsidR="00494029" w:rsidRPr="002875BB" w:rsidRDefault="00494029" w:rsidP="005F01DB">
            <w:pPr>
              <w:pStyle w:val="texto"/>
              <w:spacing w:after="0"/>
              <w:ind w:firstLine="0"/>
              <w:rPr>
                <w:rFonts w:ascii="Arial" w:hAnsi="Arial" w:cs="Arial"/>
                <w:sz w:val="18"/>
                <w:szCs w:val="18"/>
              </w:rPr>
            </w:pPr>
            <w:r w:rsidRPr="002875BB">
              <w:rPr>
                <w:rFonts w:ascii="Arial" w:hAnsi="Arial" w:cs="Arial"/>
                <w:sz w:val="18"/>
                <w:szCs w:val="18"/>
              </w:rPr>
              <w:t>To</w:t>
            </w:r>
            <w:r w:rsidR="002875BB">
              <w:rPr>
                <w:rFonts w:ascii="Arial" w:hAnsi="Arial" w:cs="Arial"/>
                <w:sz w:val="18"/>
                <w:szCs w:val="18"/>
              </w:rPr>
              <w:t>tal deuda a 31 de diciembre 2017</w:t>
            </w:r>
          </w:p>
        </w:tc>
        <w:tc>
          <w:tcPr>
            <w:tcW w:w="1340" w:type="dxa"/>
            <w:tcBorders>
              <w:top w:val="single" w:sz="4" w:space="0" w:color="auto"/>
              <w:bottom w:val="single" w:sz="4" w:space="0" w:color="auto"/>
            </w:tcBorders>
            <w:shd w:val="clear" w:color="auto" w:fill="A8CBEE" w:themeFill="accent2" w:themeFillTint="66"/>
            <w:vAlign w:val="center"/>
          </w:tcPr>
          <w:p w:rsidR="00494029" w:rsidRPr="002875BB" w:rsidRDefault="002875BB" w:rsidP="009640EF">
            <w:pPr>
              <w:pStyle w:val="texto"/>
              <w:spacing w:after="0"/>
              <w:ind w:firstLine="0"/>
              <w:jc w:val="right"/>
              <w:rPr>
                <w:rFonts w:ascii="Arial" w:hAnsi="Arial" w:cs="Arial"/>
                <w:sz w:val="18"/>
                <w:szCs w:val="18"/>
              </w:rPr>
            </w:pPr>
            <w:r w:rsidRPr="002875BB">
              <w:rPr>
                <w:rFonts w:ascii="Arial" w:hAnsi="Arial" w:cs="Arial"/>
                <w:sz w:val="18"/>
                <w:szCs w:val="18"/>
              </w:rPr>
              <w:t>3.2</w:t>
            </w:r>
            <w:r w:rsidR="009640EF">
              <w:rPr>
                <w:rFonts w:ascii="Arial" w:hAnsi="Arial" w:cs="Arial"/>
                <w:sz w:val="18"/>
                <w:szCs w:val="18"/>
              </w:rPr>
              <w:t>52</w:t>
            </w:r>
          </w:p>
        </w:tc>
        <w:tc>
          <w:tcPr>
            <w:tcW w:w="1275" w:type="dxa"/>
            <w:tcBorders>
              <w:top w:val="single" w:sz="4" w:space="0" w:color="auto"/>
              <w:bottom w:val="single" w:sz="4" w:space="0" w:color="auto"/>
            </w:tcBorders>
            <w:shd w:val="clear" w:color="auto" w:fill="A8CBEE" w:themeFill="accent2" w:themeFillTint="66"/>
            <w:vAlign w:val="center"/>
          </w:tcPr>
          <w:p w:rsidR="00494029" w:rsidRPr="002875BB" w:rsidRDefault="002875BB" w:rsidP="00B77B93">
            <w:pPr>
              <w:pStyle w:val="texto"/>
              <w:spacing w:after="0"/>
              <w:ind w:firstLine="0"/>
              <w:jc w:val="right"/>
              <w:rPr>
                <w:rFonts w:ascii="Arial" w:hAnsi="Arial" w:cs="Arial"/>
                <w:sz w:val="18"/>
                <w:szCs w:val="18"/>
              </w:rPr>
            </w:pPr>
            <w:r w:rsidRPr="002875BB">
              <w:rPr>
                <w:rFonts w:ascii="Arial" w:hAnsi="Arial" w:cs="Arial"/>
                <w:sz w:val="18"/>
                <w:szCs w:val="18"/>
              </w:rPr>
              <w:t>12</w:t>
            </w:r>
          </w:p>
        </w:tc>
        <w:tc>
          <w:tcPr>
            <w:tcW w:w="1648" w:type="dxa"/>
            <w:tcBorders>
              <w:top w:val="single" w:sz="4" w:space="0" w:color="auto"/>
              <w:bottom w:val="single" w:sz="4" w:space="0" w:color="auto"/>
            </w:tcBorders>
            <w:shd w:val="clear" w:color="auto" w:fill="A8CBEE" w:themeFill="accent2" w:themeFillTint="66"/>
            <w:vAlign w:val="center"/>
          </w:tcPr>
          <w:p w:rsidR="00494029" w:rsidRPr="002875BB" w:rsidRDefault="002875BB" w:rsidP="009640EF">
            <w:pPr>
              <w:pStyle w:val="texto"/>
              <w:spacing w:after="0"/>
              <w:ind w:firstLine="0"/>
              <w:jc w:val="right"/>
              <w:rPr>
                <w:rFonts w:ascii="Arial" w:hAnsi="Arial" w:cs="Arial"/>
                <w:sz w:val="18"/>
                <w:szCs w:val="18"/>
              </w:rPr>
            </w:pPr>
            <w:r w:rsidRPr="002875BB">
              <w:rPr>
                <w:rFonts w:ascii="Arial" w:hAnsi="Arial" w:cs="Arial"/>
                <w:sz w:val="18"/>
                <w:szCs w:val="18"/>
              </w:rPr>
              <w:t>3.26</w:t>
            </w:r>
            <w:r w:rsidR="009640EF">
              <w:rPr>
                <w:rFonts w:ascii="Arial" w:hAnsi="Arial" w:cs="Arial"/>
                <w:sz w:val="18"/>
                <w:szCs w:val="18"/>
              </w:rPr>
              <w:t>4</w:t>
            </w:r>
          </w:p>
        </w:tc>
      </w:tr>
    </w:tbl>
    <w:p w:rsidR="00494029" w:rsidRPr="00730AE6" w:rsidRDefault="001A1A6F" w:rsidP="00EA395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240"/>
        <w:ind w:left="0" w:firstLine="290"/>
        <w:rPr>
          <w:szCs w:val="26"/>
        </w:rPr>
      </w:pPr>
      <w:r>
        <w:rPr>
          <w:szCs w:val="26"/>
        </w:rPr>
        <w:t>El saldo de tesorería en 2017</w:t>
      </w:r>
      <w:r w:rsidR="00494029" w:rsidRPr="00730AE6">
        <w:rPr>
          <w:szCs w:val="26"/>
        </w:rPr>
        <w:t xml:space="preserve"> ha </w:t>
      </w:r>
      <w:r>
        <w:rPr>
          <w:szCs w:val="26"/>
        </w:rPr>
        <w:t>aumentado</w:t>
      </w:r>
      <w:r w:rsidR="00494029" w:rsidRPr="00730AE6">
        <w:rPr>
          <w:szCs w:val="26"/>
        </w:rPr>
        <w:t xml:space="preserve"> frente al de 201</w:t>
      </w:r>
      <w:r>
        <w:rPr>
          <w:szCs w:val="26"/>
        </w:rPr>
        <w:t>6</w:t>
      </w:r>
      <w:r w:rsidR="00494029" w:rsidRPr="00730AE6">
        <w:rPr>
          <w:szCs w:val="26"/>
        </w:rPr>
        <w:t xml:space="preserve"> en un </w:t>
      </w:r>
      <w:r>
        <w:rPr>
          <w:szCs w:val="26"/>
        </w:rPr>
        <w:t>tres</w:t>
      </w:r>
      <w:r w:rsidR="00D82CAF">
        <w:rPr>
          <w:szCs w:val="26"/>
        </w:rPr>
        <w:t xml:space="preserve"> por ciento y</w:t>
      </w:r>
      <w:r w:rsidR="00494029" w:rsidRPr="00730AE6">
        <w:rPr>
          <w:szCs w:val="26"/>
        </w:rPr>
        <w:t xml:space="preserve"> las inversiones financieras temporales –imposiciones a corto plazo– han </w:t>
      </w:r>
      <w:r>
        <w:rPr>
          <w:szCs w:val="26"/>
        </w:rPr>
        <w:t>disminuido</w:t>
      </w:r>
      <w:r w:rsidR="00494029" w:rsidRPr="00730AE6">
        <w:rPr>
          <w:szCs w:val="26"/>
        </w:rPr>
        <w:t xml:space="preserve"> en un </w:t>
      </w:r>
      <w:r>
        <w:rPr>
          <w:szCs w:val="26"/>
        </w:rPr>
        <w:t>18</w:t>
      </w:r>
      <w:r w:rsidR="00494029" w:rsidRPr="00730AE6">
        <w:rPr>
          <w:szCs w:val="26"/>
        </w:rPr>
        <w:t xml:space="preserve"> por ciento</w:t>
      </w:r>
      <w:r w:rsidR="00A769A9">
        <w:rPr>
          <w:szCs w:val="26"/>
        </w:rPr>
        <w:t xml:space="preserve">, </w:t>
      </w:r>
      <w:r>
        <w:rPr>
          <w:szCs w:val="26"/>
        </w:rPr>
        <w:t>1,5 millones</w:t>
      </w:r>
      <w:r w:rsidR="00494029" w:rsidRPr="00730AE6">
        <w:rPr>
          <w:szCs w:val="26"/>
        </w:rPr>
        <w:t xml:space="preserve">. </w:t>
      </w:r>
    </w:p>
    <w:p w:rsidR="005245C0" w:rsidRDefault="00494029" w:rsidP="00233C06">
      <w:pPr>
        <w:pStyle w:val="texto"/>
        <w:tabs>
          <w:tab w:val="clear" w:pos="2835"/>
          <w:tab w:val="clear" w:pos="3969"/>
          <w:tab w:val="clear" w:pos="5103"/>
          <w:tab w:val="clear" w:pos="6237"/>
          <w:tab w:val="clear" w:pos="7371"/>
          <w:tab w:val="num" w:pos="300"/>
          <w:tab w:val="num" w:pos="720"/>
        </w:tabs>
        <w:spacing w:before="240" w:after="240"/>
        <w:rPr>
          <w:szCs w:val="26"/>
        </w:rPr>
      </w:pPr>
      <w:r w:rsidRPr="001A1912">
        <w:rPr>
          <w:b/>
          <w:szCs w:val="26"/>
        </w:rPr>
        <w:t xml:space="preserve">En </w:t>
      </w:r>
      <w:r w:rsidR="00A40151" w:rsidRPr="001A1912">
        <w:rPr>
          <w:b/>
          <w:szCs w:val="26"/>
        </w:rPr>
        <w:t>definitiva</w:t>
      </w:r>
      <w:r w:rsidRPr="001A1912">
        <w:rPr>
          <w:szCs w:val="26"/>
        </w:rPr>
        <w:t xml:space="preserve">, </w:t>
      </w:r>
      <w:r w:rsidR="002A22C9" w:rsidRPr="001A1912">
        <w:rPr>
          <w:szCs w:val="26"/>
        </w:rPr>
        <w:t xml:space="preserve">del análisis de </w:t>
      </w:r>
      <w:r w:rsidRPr="001A1912">
        <w:rPr>
          <w:szCs w:val="26"/>
        </w:rPr>
        <w:t xml:space="preserve">la situación </w:t>
      </w:r>
      <w:r w:rsidR="003B24C7" w:rsidRPr="001A1912">
        <w:rPr>
          <w:szCs w:val="26"/>
        </w:rPr>
        <w:t>económico-</w:t>
      </w:r>
      <w:r w:rsidRPr="001A1912">
        <w:rPr>
          <w:szCs w:val="26"/>
        </w:rPr>
        <w:t>financiera a 31 de d</w:t>
      </w:r>
      <w:r w:rsidRPr="001A1912">
        <w:rPr>
          <w:szCs w:val="26"/>
        </w:rPr>
        <w:t>i</w:t>
      </w:r>
      <w:r w:rsidRPr="001A1912">
        <w:rPr>
          <w:szCs w:val="26"/>
        </w:rPr>
        <w:t>ciembre de 2017</w:t>
      </w:r>
      <w:r w:rsidR="00622A35" w:rsidRPr="001A1912">
        <w:rPr>
          <w:szCs w:val="26"/>
        </w:rPr>
        <w:t>,</w:t>
      </w:r>
      <w:r w:rsidRPr="001A1912">
        <w:rPr>
          <w:szCs w:val="26"/>
        </w:rPr>
        <w:t xml:space="preserve"> </w:t>
      </w:r>
      <w:r w:rsidR="002A22C9" w:rsidRPr="001A1912">
        <w:rPr>
          <w:szCs w:val="26"/>
        </w:rPr>
        <w:t xml:space="preserve">concluimos </w:t>
      </w:r>
      <w:r w:rsidR="00622A35" w:rsidRPr="001A1912">
        <w:rPr>
          <w:szCs w:val="26"/>
        </w:rPr>
        <w:t xml:space="preserve">que la </w:t>
      </w:r>
      <w:r w:rsidR="009D7DD5">
        <w:rPr>
          <w:szCs w:val="26"/>
        </w:rPr>
        <w:t>Universidad</w:t>
      </w:r>
      <w:r w:rsidR="00622A35" w:rsidRPr="001A1912">
        <w:rPr>
          <w:szCs w:val="26"/>
        </w:rPr>
        <w:t xml:space="preserve"> muestra una situación econ</w:t>
      </w:r>
      <w:r w:rsidR="00622A35" w:rsidRPr="001A1912">
        <w:rPr>
          <w:szCs w:val="26"/>
        </w:rPr>
        <w:t>ó</w:t>
      </w:r>
      <w:r w:rsidR="00622A35" w:rsidRPr="001A1912">
        <w:rPr>
          <w:szCs w:val="26"/>
        </w:rPr>
        <w:t xml:space="preserve">mica saneada. </w:t>
      </w:r>
      <w:r w:rsidR="00107960">
        <w:rPr>
          <w:szCs w:val="26"/>
        </w:rPr>
        <w:t>D</w:t>
      </w:r>
      <w:r w:rsidR="00107960" w:rsidRPr="001A1912">
        <w:rPr>
          <w:szCs w:val="26"/>
        </w:rPr>
        <w:t xml:space="preserve">estacamos un remanente de tesorería </w:t>
      </w:r>
      <w:r w:rsidR="00107960">
        <w:rPr>
          <w:szCs w:val="26"/>
        </w:rPr>
        <w:t>para gastos generales</w:t>
      </w:r>
      <w:r w:rsidR="00107960" w:rsidRPr="001A1912">
        <w:rPr>
          <w:szCs w:val="26"/>
        </w:rPr>
        <w:t xml:space="preserve"> </w:t>
      </w:r>
      <w:r w:rsidR="00F369D6">
        <w:rPr>
          <w:szCs w:val="26"/>
        </w:rPr>
        <w:t xml:space="preserve">de </w:t>
      </w:r>
      <w:r w:rsidR="00B75D83">
        <w:rPr>
          <w:szCs w:val="26"/>
        </w:rPr>
        <w:t>4,41 millones de euros</w:t>
      </w:r>
      <w:r w:rsidR="00107960" w:rsidRPr="001A1912">
        <w:rPr>
          <w:szCs w:val="26"/>
        </w:rPr>
        <w:t xml:space="preserve">, un endeudamiento </w:t>
      </w:r>
      <w:r w:rsidR="00B75D83">
        <w:rPr>
          <w:szCs w:val="26"/>
        </w:rPr>
        <w:t xml:space="preserve">de 3,26 millones de euros </w:t>
      </w:r>
      <w:r w:rsidR="00107960" w:rsidRPr="001A1912">
        <w:rPr>
          <w:szCs w:val="26"/>
        </w:rPr>
        <w:t xml:space="preserve">y </w:t>
      </w:r>
      <w:r w:rsidR="00B75D83">
        <w:rPr>
          <w:szCs w:val="26"/>
        </w:rPr>
        <w:t xml:space="preserve">un saldo de </w:t>
      </w:r>
      <w:r w:rsidR="00107960" w:rsidRPr="001A1912">
        <w:rPr>
          <w:szCs w:val="26"/>
        </w:rPr>
        <w:t xml:space="preserve">tesorería </w:t>
      </w:r>
      <w:r w:rsidR="00B75D83">
        <w:rPr>
          <w:szCs w:val="26"/>
        </w:rPr>
        <w:t xml:space="preserve">de 7,72 millones de euros. </w:t>
      </w:r>
      <w:r w:rsidR="00622A35" w:rsidRPr="001A1912">
        <w:rPr>
          <w:szCs w:val="26"/>
        </w:rPr>
        <w:t xml:space="preserve">Sin embargo, </w:t>
      </w:r>
      <w:r w:rsidR="00963C6B">
        <w:rPr>
          <w:szCs w:val="26"/>
        </w:rPr>
        <w:t xml:space="preserve">algunos </w:t>
      </w:r>
      <w:r w:rsidR="002A22C9" w:rsidRPr="001A1912">
        <w:rPr>
          <w:szCs w:val="26"/>
        </w:rPr>
        <w:t xml:space="preserve">indicadores </w:t>
      </w:r>
      <w:r w:rsidR="00963C6B">
        <w:rPr>
          <w:szCs w:val="26"/>
        </w:rPr>
        <w:t>como el resultado presupuestario no financiero y el ahorro bruto y neto</w:t>
      </w:r>
      <w:r w:rsidR="002A22C9" w:rsidRPr="001A1912">
        <w:rPr>
          <w:szCs w:val="26"/>
        </w:rPr>
        <w:t xml:space="preserve"> han empeorado</w:t>
      </w:r>
      <w:r w:rsidR="00622A35" w:rsidRPr="001A1912">
        <w:rPr>
          <w:szCs w:val="26"/>
        </w:rPr>
        <w:t xml:space="preserve"> respecto a 2016</w:t>
      </w:r>
      <w:r w:rsidR="00107960">
        <w:rPr>
          <w:szCs w:val="26"/>
        </w:rPr>
        <w:t>.</w:t>
      </w:r>
      <w:r w:rsidR="00622A35" w:rsidRPr="001A1912">
        <w:rPr>
          <w:szCs w:val="26"/>
        </w:rPr>
        <w:t xml:space="preserve"> </w:t>
      </w:r>
    </w:p>
    <w:p w:rsidR="002E20C5" w:rsidRPr="00C26E4C" w:rsidRDefault="002E20C5" w:rsidP="00233C06">
      <w:pPr>
        <w:pStyle w:val="atitulo2"/>
        <w:spacing w:before="240"/>
        <w:rPr>
          <w:color w:val="auto"/>
        </w:rPr>
      </w:pPr>
      <w:bookmarkStart w:id="32" w:name="_Toc3967025"/>
      <w:r w:rsidRPr="00C26E4C">
        <w:rPr>
          <w:color w:val="auto"/>
        </w:rPr>
        <w:lastRenderedPageBreak/>
        <w:t>V</w:t>
      </w:r>
      <w:r w:rsidR="00613F68">
        <w:rPr>
          <w:color w:val="auto"/>
        </w:rPr>
        <w:t>I</w:t>
      </w:r>
      <w:r w:rsidRPr="00C26E4C">
        <w:rPr>
          <w:color w:val="auto"/>
        </w:rPr>
        <w:t>.</w:t>
      </w:r>
      <w:r w:rsidR="00E037D2">
        <w:rPr>
          <w:color w:val="auto"/>
        </w:rPr>
        <w:t>3</w:t>
      </w:r>
      <w:r w:rsidRPr="00C26E4C">
        <w:rPr>
          <w:color w:val="auto"/>
        </w:rPr>
        <w:t xml:space="preserve">. </w:t>
      </w:r>
      <w:r w:rsidR="0055694A">
        <w:rPr>
          <w:color w:val="auto"/>
        </w:rPr>
        <w:t>Seguimiento</w:t>
      </w:r>
      <w:r w:rsidRPr="00C26E4C">
        <w:rPr>
          <w:color w:val="auto"/>
        </w:rPr>
        <w:t xml:space="preserve"> de recomendaciones emitidas en informes anteriores de esta Cámara de Comptos</w:t>
      </w:r>
      <w:bookmarkEnd w:id="32"/>
    </w:p>
    <w:p w:rsidR="002E20C5" w:rsidRPr="00730AE6" w:rsidRDefault="002E20C5" w:rsidP="00290CF6">
      <w:pPr>
        <w:pStyle w:val="texto"/>
        <w:tabs>
          <w:tab w:val="clear" w:pos="2835"/>
          <w:tab w:val="clear" w:pos="3969"/>
          <w:tab w:val="clear" w:pos="5103"/>
          <w:tab w:val="clear" w:pos="6237"/>
          <w:tab w:val="clear" w:pos="7371"/>
          <w:tab w:val="num" w:pos="300"/>
          <w:tab w:val="num" w:pos="720"/>
        </w:tabs>
        <w:spacing w:before="120" w:after="120"/>
        <w:rPr>
          <w:szCs w:val="26"/>
        </w:rPr>
      </w:pPr>
      <w:r w:rsidRPr="00730AE6">
        <w:rPr>
          <w:szCs w:val="26"/>
        </w:rPr>
        <w:t>Del informe de esta Cámara sobre las cuentas de 2014, se han implantado o están en fase de implantación las siguientes recomendaciones:</w:t>
      </w:r>
    </w:p>
    <w:p w:rsidR="00D362AE" w:rsidRPr="006955A6" w:rsidRDefault="00D362AE" w:rsidP="00290CF6">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spacing w:before="120" w:after="120"/>
        <w:ind w:left="0" w:firstLine="290"/>
        <w:rPr>
          <w:i/>
          <w:sz w:val="24"/>
        </w:rPr>
      </w:pPr>
      <w:r w:rsidRPr="006955A6">
        <w:rPr>
          <w:i/>
          <w:sz w:val="24"/>
        </w:rPr>
        <w:t>El Gobierno de Navarra</w:t>
      </w:r>
      <w:r w:rsidR="004A09DD" w:rsidRPr="006955A6">
        <w:rPr>
          <w:i/>
          <w:sz w:val="24"/>
        </w:rPr>
        <w:t xml:space="preserve"> y la </w:t>
      </w:r>
      <w:r w:rsidR="009D7DD5" w:rsidRPr="006955A6">
        <w:rPr>
          <w:i/>
          <w:sz w:val="24"/>
        </w:rPr>
        <w:t>Universidad</w:t>
      </w:r>
      <w:r w:rsidR="004A09DD" w:rsidRPr="006955A6">
        <w:rPr>
          <w:i/>
          <w:sz w:val="24"/>
        </w:rPr>
        <w:t xml:space="preserve"> </w:t>
      </w:r>
      <w:r w:rsidRPr="006955A6">
        <w:rPr>
          <w:i/>
          <w:sz w:val="24"/>
        </w:rPr>
        <w:t>ha</w:t>
      </w:r>
      <w:r w:rsidR="004A09DD" w:rsidRPr="006955A6">
        <w:rPr>
          <w:i/>
          <w:sz w:val="24"/>
        </w:rPr>
        <w:t>n</w:t>
      </w:r>
      <w:r w:rsidRPr="006955A6">
        <w:rPr>
          <w:i/>
          <w:sz w:val="24"/>
        </w:rPr>
        <w:t xml:space="preserve"> </w:t>
      </w:r>
      <w:r w:rsidR="004A09DD" w:rsidRPr="006955A6">
        <w:rPr>
          <w:i/>
          <w:sz w:val="24"/>
        </w:rPr>
        <w:t>firmado</w:t>
      </w:r>
      <w:r w:rsidRPr="006955A6">
        <w:rPr>
          <w:i/>
          <w:sz w:val="24"/>
        </w:rPr>
        <w:t xml:space="preserve"> un </w:t>
      </w:r>
      <w:r w:rsidR="004A09DD" w:rsidRPr="006955A6">
        <w:rPr>
          <w:i/>
          <w:sz w:val="24"/>
        </w:rPr>
        <w:t>convenio</w:t>
      </w:r>
      <w:r w:rsidRPr="006955A6">
        <w:rPr>
          <w:i/>
          <w:sz w:val="24"/>
        </w:rPr>
        <w:t xml:space="preserve"> </w:t>
      </w:r>
      <w:r w:rsidR="004A09DD" w:rsidRPr="006955A6">
        <w:rPr>
          <w:i/>
          <w:sz w:val="24"/>
        </w:rPr>
        <w:t>de financi</w:t>
      </w:r>
      <w:r w:rsidR="004A09DD" w:rsidRPr="006955A6">
        <w:rPr>
          <w:i/>
          <w:sz w:val="24"/>
        </w:rPr>
        <w:t>a</w:t>
      </w:r>
      <w:r w:rsidR="004A09DD" w:rsidRPr="006955A6">
        <w:rPr>
          <w:i/>
          <w:sz w:val="24"/>
        </w:rPr>
        <w:t xml:space="preserve">ción </w:t>
      </w:r>
      <w:r w:rsidRPr="006955A6">
        <w:rPr>
          <w:i/>
          <w:sz w:val="24"/>
        </w:rPr>
        <w:t xml:space="preserve">plurianual </w:t>
      </w:r>
      <w:r w:rsidR="007368AB" w:rsidRPr="006955A6">
        <w:rPr>
          <w:i/>
          <w:sz w:val="24"/>
        </w:rPr>
        <w:t>para los años 2018-2020</w:t>
      </w:r>
      <w:r w:rsidR="004A09DD" w:rsidRPr="006955A6">
        <w:rPr>
          <w:i/>
          <w:sz w:val="24"/>
        </w:rPr>
        <w:t>.</w:t>
      </w:r>
    </w:p>
    <w:p w:rsidR="00C85018" w:rsidRPr="006955A6" w:rsidRDefault="004A09DD" w:rsidP="00290CF6">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spacing w:before="120" w:after="120"/>
        <w:ind w:left="0" w:firstLine="290"/>
        <w:rPr>
          <w:i/>
          <w:sz w:val="24"/>
        </w:rPr>
      </w:pPr>
      <w:r w:rsidRPr="006955A6">
        <w:rPr>
          <w:i/>
          <w:sz w:val="24"/>
        </w:rPr>
        <w:t xml:space="preserve">La distribución por el </w:t>
      </w:r>
      <w:r w:rsidR="00115FB0" w:rsidRPr="006955A6">
        <w:rPr>
          <w:i/>
          <w:sz w:val="24"/>
        </w:rPr>
        <w:t>G</w:t>
      </w:r>
      <w:r w:rsidRPr="006955A6">
        <w:rPr>
          <w:i/>
          <w:sz w:val="24"/>
        </w:rPr>
        <w:t>obierno de Navarra del objetivo de estabilidad presupue</w:t>
      </w:r>
      <w:r w:rsidRPr="006955A6">
        <w:rPr>
          <w:i/>
          <w:sz w:val="24"/>
        </w:rPr>
        <w:t>s</w:t>
      </w:r>
      <w:r w:rsidRPr="006955A6">
        <w:rPr>
          <w:i/>
          <w:sz w:val="24"/>
        </w:rPr>
        <w:t xml:space="preserve">taria para 2017 ha permitido a la </w:t>
      </w:r>
      <w:r w:rsidR="009D7DD5" w:rsidRPr="006955A6">
        <w:rPr>
          <w:i/>
          <w:sz w:val="24"/>
        </w:rPr>
        <w:t>Universidad</w:t>
      </w:r>
      <w:r w:rsidRPr="006955A6">
        <w:rPr>
          <w:i/>
          <w:sz w:val="24"/>
        </w:rPr>
        <w:t xml:space="preserve"> utilizar como fuente de financiación en su presupuesto inicial </w:t>
      </w:r>
      <w:r w:rsidR="00467CFC" w:rsidRPr="006955A6">
        <w:rPr>
          <w:i/>
          <w:sz w:val="24"/>
        </w:rPr>
        <w:t xml:space="preserve">parte del </w:t>
      </w:r>
      <w:r w:rsidRPr="006955A6">
        <w:rPr>
          <w:i/>
          <w:sz w:val="24"/>
        </w:rPr>
        <w:t>remanente de tesorería para gastos generales.</w:t>
      </w:r>
      <w:r w:rsidR="002E20C5" w:rsidRPr="006955A6">
        <w:rPr>
          <w:i/>
          <w:sz w:val="24"/>
        </w:rPr>
        <w:t xml:space="preserve"> </w:t>
      </w:r>
      <w:r w:rsidR="00233C06" w:rsidRPr="006955A6">
        <w:rPr>
          <w:i/>
          <w:sz w:val="24"/>
        </w:rPr>
        <w:t>Sin e</w:t>
      </w:r>
      <w:r w:rsidR="00233C06" w:rsidRPr="006955A6">
        <w:rPr>
          <w:i/>
          <w:sz w:val="24"/>
        </w:rPr>
        <w:t>m</w:t>
      </w:r>
      <w:r w:rsidR="00233C06" w:rsidRPr="006955A6">
        <w:rPr>
          <w:i/>
          <w:sz w:val="24"/>
        </w:rPr>
        <w:t xml:space="preserve">bargo, el </w:t>
      </w:r>
      <w:r w:rsidR="00C63CE6" w:rsidRPr="006955A6">
        <w:rPr>
          <w:i/>
          <w:sz w:val="24"/>
        </w:rPr>
        <w:t>G</w:t>
      </w:r>
      <w:r w:rsidR="00233C06" w:rsidRPr="006955A6">
        <w:rPr>
          <w:i/>
          <w:sz w:val="24"/>
        </w:rPr>
        <w:t>obierno de Navarra debe regular específicamente para la Universidad las obligaciones derivadas de la aplicación de los principios de estabilidad presupuest</w:t>
      </w:r>
      <w:r w:rsidR="00233C06" w:rsidRPr="006955A6">
        <w:rPr>
          <w:i/>
          <w:sz w:val="24"/>
        </w:rPr>
        <w:t>a</w:t>
      </w:r>
      <w:r w:rsidR="00233C06" w:rsidRPr="006955A6">
        <w:rPr>
          <w:i/>
          <w:sz w:val="24"/>
        </w:rPr>
        <w:t>ria y sostenibilidad financiera en la elaboración de sus presupuestos, en su liquidación y en la formulación de su cuenta general.</w:t>
      </w:r>
    </w:p>
    <w:p w:rsidR="00915ADC" w:rsidRPr="006955A6" w:rsidRDefault="00C63CE6" w:rsidP="00290CF6">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spacing w:before="120" w:after="120"/>
        <w:ind w:left="0" w:firstLine="290"/>
        <w:rPr>
          <w:i/>
          <w:sz w:val="24"/>
        </w:rPr>
      </w:pPr>
      <w:r w:rsidRPr="006955A6">
        <w:rPr>
          <w:i/>
          <w:sz w:val="24"/>
        </w:rPr>
        <w:t>Se ha terminado</w:t>
      </w:r>
      <w:r w:rsidR="009853EA" w:rsidRPr="006955A6">
        <w:rPr>
          <w:i/>
          <w:sz w:val="24"/>
        </w:rPr>
        <w:t xml:space="preserve"> </w:t>
      </w:r>
      <w:r w:rsidR="009377D1" w:rsidRPr="006955A6">
        <w:rPr>
          <w:i/>
          <w:sz w:val="24"/>
        </w:rPr>
        <w:t xml:space="preserve">la </w:t>
      </w:r>
      <w:r w:rsidR="009853EA" w:rsidRPr="006955A6">
        <w:rPr>
          <w:i/>
          <w:sz w:val="24"/>
        </w:rPr>
        <w:t>fase de personalización</w:t>
      </w:r>
      <w:r w:rsidRPr="006955A6">
        <w:rPr>
          <w:i/>
          <w:sz w:val="24"/>
        </w:rPr>
        <w:t xml:space="preserve"> </w:t>
      </w:r>
      <w:r w:rsidR="009853EA" w:rsidRPr="006955A6">
        <w:rPr>
          <w:i/>
          <w:sz w:val="24"/>
        </w:rPr>
        <w:t xml:space="preserve">del </w:t>
      </w:r>
      <w:r w:rsidR="00915ADC" w:rsidRPr="006955A6">
        <w:rPr>
          <w:i/>
          <w:sz w:val="24"/>
        </w:rPr>
        <w:t>proceso de implantación de la co</w:t>
      </w:r>
      <w:r w:rsidR="00915ADC" w:rsidRPr="006955A6">
        <w:rPr>
          <w:i/>
          <w:sz w:val="24"/>
        </w:rPr>
        <w:t>n</w:t>
      </w:r>
      <w:r w:rsidR="00915ADC" w:rsidRPr="006955A6">
        <w:rPr>
          <w:i/>
          <w:sz w:val="24"/>
        </w:rPr>
        <w:t>tabilidad analíti</w:t>
      </w:r>
      <w:r w:rsidR="009853EA" w:rsidRPr="006955A6">
        <w:rPr>
          <w:i/>
          <w:sz w:val="24"/>
        </w:rPr>
        <w:t>ca en la Universidad.</w:t>
      </w:r>
      <w:r w:rsidR="00430A95" w:rsidRPr="006955A6">
        <w:rPr>
          <w:i/>
          <w:sz w:val="24"/>
        </w:rPr>
        <w:t xml:space="preserve"> </w:t>
      </w:r>
      <w:r w:rsidR="009853EA" w:rsidRPr="006955A6">
        <w:rPr>
          <w:i/>
          <w:sz w:val="24"/>
        </w:rPr>
        <w:t>Se prevé que s</w:t>
      </w:r>
      <w:r w:rsidR="00430A95" w:rsidRPr="006955A6">
        <w:rPr>
          <w:i/>
          <w:sz w:val="24"/>
        </w:rPr>
        <w:t xml:space="preserve">u fase de mecanización </w:t>
      </w:r>
      <w:r w:rsidR="009853EA" w:rsidRPr="006955A6">
        <w:rPr>
          <w:i/>
          <w:sz w:val="24"/>
        </w:rPr>
        <w:t xml:space="preserve">concluya en los </w:t>
      </w:r>
      <w:r w:rsidR="00430A95" w:rsidRPr="006955A6">
        <w:rPr>
          <w:i/>
          <w:sz w:val="24"/>
        </w:rPr>
        <w:t>años 2020-2021</w:t>
      </w:r>
      <w:r w:rsidR="00915ADC" w:rsidRPr="006955A6">
        <w:rPr>
          <w:i/>
          <w:sz w:val="24"/>
        </w:rPr>
        <w:t>.</w:t>
      </w:r>
    </w:p>
    <w:p w:rsidR="00872D02" w:rsidRPr="006955A6" w:rsidRDefault="00872D02" w:rsidP="00872D02">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ind w:left="0" w:firstLine="290"/>
        <w:rPr>
          <w:i/>
          <w:sz w:val="24"/>
        </w:rPr>
      </w:pPr>
      <w:r w:rsidRPr="006955A6">
        <w:rPr>
          <w:i/>
          <w:sz w:val="24"/>
        </w:rPr>
        <w:t xml:space="preserve">Se han definido criterios selectivos aplicables en los procesos de contratación de personal temporal en los proyectos y contratos de investigación para homogeneizar. </w:t>
      </w:r>
    </w:p>
    <w:p w:rsidR="00AB5770" w:rsidRPr="006955A6" w:rsidRDefault="00AB5770" w:rsidP="00290CF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90"/>
        <w:rPr>
          <w:i/>
          <w:sz w:val="24"/>
        </w:rPr>
      </w:pPr>
      <w:r w:rsidRPr="006955A6">
        <w:rPr>
          <w:i/>
          <w:sz w:val="24"/>
        </w:rPr>
        <w:t>Los pagos a los empleados de la Universidad, excepto las indemnizaciones por razón de servicio, se realizan a través de la nómina, con independencia de su imp</w:t>
      </w:r>
      <w:r w:rsidRPr="006955A6">
        <w:rPr>
          <w:i/>
          <w:sz w:val="24"/>
        </w:rPr>
        <w:t>u</w:t>
      </w:r>
      <w:r w:rsidRPr="006955A6">
        <w:rPr>
          <w:i/>
          <w:sz w:val="24"/>
        </w:rPr>
        <w:t xml:space="preserve">tación contable a los distintos capítulos presupuestarios. </w:t>
      </w:r>
    </w:p>
    <w:p w:rsidR="004B36E0" w:rsidRPr="006955A6" w:rsidRDefault="004B36E0" w:rsidP="00290CF6">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spacing w:before="120" w:after="120"/>
        <w:ind w:left="0" w:firstLine="290"/>
        <w:rPr>
          <w:sz w:val="24"/>
        </w:rPr>
      </w:pPr>
      <w:r w:rsidRPr="006955A6">
        <w:rPr>
          <w:i/>
          <w:sz w:val="24"/>
        </w:rPr>
        <w:t xml:space="preserve">Se ha regulado en el reglamento de contratación de personal </w:t>
      </w:r>
      <w:r w:rsidR="009377D1" w:rsidRPr="006955A6">
        <w:rPr>
          <w:i/>
          <w:sz w:val="24"/>
        </w:rPr>
        <w:t xml:space="preserve">investigador </w:t>
      </w:r>
      <w:r w:rsidRPr="006955A6">
        <w:rPr>
          <w:i/>
          <w:sz w:val="24"/>
        </w:rPr>
        <w:t xml:space="preserve">2017 </w:t>
      </w:r>
      <w:r w:rsidR="009377D1" w:rsidRPr="006955A6">
        <w:rPr>
          <w:i/>
          <w:sz w:val="24"/>
        </w:rPr>
        <w:t xml:space="preserve">la posibilidad de establecer </w:t>
      </w:r>
      <w:r w:rsidRPr="006955A6">
        <w:rPr>
          <w:i/>
          <w:sz w:val="24"/>
        </w:rPr>
        <w:t>retribuciones por el cumplimiento de objetivos de los proye</w:t>
      </w:r>
      <w:r w:rsidRPr="006955A6">
        <w:rPr>
          <w:i/>
          <w:sz w:val="24"/>
        </w:rPr>
        <w:t>c</w:t>
      </w:r>
      <w:r w:rsidRPr="006955A6">
        <w:rPr>
          <w:i/>
          <w:sz w:val="24"/>
        </w:rPr>
        <w:t>tos de investigación.</w:t>
      </w:r>
    </w:p>
    <w:p w:rsidR="00163A55" w:rsidRPr="006955A6" w:rsidRDefault="00163A55" w:rsidP="00290CF6">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spacing w:before="120" w:after="120"/>
        <w:ind w:left="0" w:firstLine="290"/>
        <w:rPr>
          <w:sz w:val="24"/>
        </w:rPr>
      </w:pPr>
      <w:r w:rsidRPr="006955A6">
        <w:rPr>
          <w:i/>
          <w:sz w:val="24"/>
        </w:rPr>
        <w:t>Se ha establecido un procedimiento de colaboración con el Gobierno de Navarra para verificar las exenciones por familia numerosa y matrículas de honor.</w:t>
      </w:r>
    </w:p>
    <w:p w:rsidR="002E20C5" w:rsidRPr="006E62EB" w:rsidRDefault="002E20C5" w:rsidP="00290CF6">
      <w:pPr>
        <w:pStyle w:val="texto"/>
        <w:tabs>
          <w:tab w:val="clear" w:pos="2835"/>
          <w:tab w:val="clear" w:pos="3969"/>
          <w:tab w:val="clear" w:pos="5103"/>
          <w:tab w:val="clear" w:pos="6237"/>
          <w:tab w:val="clear" w:pos="7371"/>
          <w:tab w:val="num" w:pos="300"/>
          <w:tab w:val="num" w:pos="720"/>
        </w:tabs>
        <w:spacing w:before="120" w:after="120"/>
        <w:rPr>
          <w:szCs w:val="26"/>
        </w:rPr>
      </w:pPr>
      <w:r w:rsidRPr="006E62EB">
        <w:rPr>
          <w:szCs w:val="26"/>
        </w:rPr>
        <w:t>Siguen vigentes las siguientes recomendaciones básicas contenidas en anteri</w:t>
      </w:r>
      <w:r w:rsidRPr="006E62EB">
        <w:rPr>
          <w:szCs w:val="26"/>
        </w:rPr>
        <w:t>o</w:t>
      </w:r>
      <w:r w:rsidRPr="006E62EB">
        <w:rPr>
          <w:szCs w:val="26"/>
        </w:rPr>
        <w:t>res informes:</w:t>
      </w:r>
    </w:p>
    <w:p w:rsidR="002E20C5" w:rsidRPr="006955A6" w:rsidRDefault="00AE7719" w:rsidP="00290CF6">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spacing w:before="120" w:after="120"/>
        <w:ind w:left="0" w:firstLine="290"/>
        <w:rPr>
          <w:i/>
          <w:spacing w:val="4"/>
          <w:sz w:val="24"/>
        </w:rPr>
      </w:pPr>
      <w:r w:rsidRPr="006955A6">
        <w:rPr>
          <w:i/>
          <w:spacing w:val="4"/>
          <w:sz w:val="24"/>
        </w:rPr>
        <w:t>L</w:t>
      </w:r>
      <w:r w:rsidR="002E20C5" w:rsidRPr="006955A6">
        <w:rPr>
          <w:i/>
          <w:spacing w:val="4"/>
          <w:sz w:val="24"/>
        </w:rPr>
        <w:t xml:space="preserve">a </w:t>
      </w:r>
      <w:r w:rsidR="00C411AB" w:rsidRPr="006955A6">
        <w:rPr>
          <w:i/>
          <w:spacing w:val="4"/>
          <w:sz w:val="24"/>
        </w:rPr>
        <w:t>Universidad</w:t>
      </w:r>
      <w:r w:rsidR="002E20C5" w:rsidRPr="006955A6">
        <w:rPr>
          <w:i/>
          <w:spacing w:val="4"/>
          <w:sz w:val="24"/>
        </w:rPr>
        <w:t xml:space="preserve"> </w:t>
      </w:r>
      <w:r w:rsidRPr="006955A6">
        <w:rPr>
          <w:i/>
          <w:spacing w:val="4"/>
          <w:sz w:val="24"/>
        </w:rPr>
        <w:t xml:space="preserve">debe </w:t>
      </w:r>
      <w:r w:rsidR="002E20C5" w:rsidRPr="006955A6">
        <w:rPr>
          <w:i/>
          <w:spacing w:val="4"/>
          <w:sz w:val="24"/>
        </w:rPr>
        <w:t>implantar el Plan General de Contabilidad Pública de 2010 para el registro y seguimiento de su actividad presupues</w:t>
      </w:r>
      <w:r w:rsidRPr="006955A6">
        <w:rPr>
          <w:i/>
          <w:spacing w:val="4"/>
          <w:sz w:val="24"/>
        </w:rPr>
        <w:t>taria y financiera y</w:t>
      </w:r>
      <w:r w:rsidR="002E20C5" w:rsidRPr="006955A6">
        <w:rPr>
          <w:i/>
          <w:spacing w:val="4"/>
          <w:sz w:val="24"/>
        </w:rPr>
        <w:t xml:space="preserve"> adaptar la estructura y contenido de su memoria anual a las prescripciones del mismo.</w:t>
      </w:r>
    </w:p>
    <w:p w:rsidR="007834AE" w:rsidRPr="006955A6" w:rsidRDefault="00EA17EB" w:rsidP="00290CF6">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spacing w:before="120" w:after="120"/>
        <w:ind w:left="0" w:firstLine="289"/>
        <w:rPr>
          <w:i/>
          <w:spacing w:val="2"/>
          <w:sz w:val="24"/>
        </w:rPr>
      </w:pPr>
      <w:r w:rsidRPr="006955A6">
        <w:rPr>
          <w:i/>
          <w:spacing w:val="2"/>
          <w:sz w:val="24"/>
        </w:rPr>
        <w:t>Analizar la introducción de conceptos adicionales en la determinación del actual tramo autonómico de retribuciones del PDI, c</w:t>
      </w:r>
      <w:r w:rsidR="007834AE" w:rsidRPr="006955A6">
        <w:rPr>
          <w:i/>
          <w:spacing w:val="2"/>
          <w:sz w:val="24"/>
        </w:rPr>
        <w:t>onjuntamente con el Gobierno de Navarra y el Consejo Social y en línea con lo señala</w:t>
      </w:r>
      <w:r w:rsidRPr="006955A6">
        <w:rPr>
          <w:i/>
          <w:spacing w:val="2"/>
          <w:sz w:val="24"/>
        </w:rPr>
        <w:t>do en el art. 69 de la LOU.</w:t>
      </w:r>
      <w:r w:rsidR="007834AE" w:rsidRPr="006955A6">
        <w:rPr>
          <w:i/>
          <w:spacing w:val="2"/>
          <w:sz w:val="24"/>
        </w:rPr>
        <w:t xml:space="preserve"> </w:t>
      </w:r>
    </w:p>
    <w:p w:rsidR="009A1153" w:rsidRPr="006955A6" w:rsidRDefault="008A5791" w:rsidP="00290CF6">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spacing w:before="120" w:after="120"/>
        <w:ind w:left="0" w:firstLine="289"/>
        <w:rPr>
          <w:i/>
          <w:sz w:val="24"/>
        </w:rPr>
      </w:pPr>
      <w:r w:rsidRPr="006955A6">
        <w:rPr>
          <w:i/>
          <w:sz w:val="24"/>
        </w:rPr>
        <w:t>Cumplir con los porcentajes de PDI contratado en equivalencia a tiempo compl</w:t>
      </w:r>
      <w:r w:rsidRPr="006955A6">
        <w:rPr>
          <w:i/>
          <w:sz w:val="24"/>
        </w:rPr>
        <w:t>e</w:t>
      </w:r>
      <w:r w:rsidRPr="006955A6">
        <w:rPr>
          <w:i/>
          <w:sz w:val="24"/>
        </w:rPr>
        <w:t xml:space="preserve">to, inferior al 49 por ciento, de PDI contratado laboral temporal, inferior al 40 por ciento y PDI doctor, </w:t>
      </w:r>
      <w:r w:rsidR="00473B8C" w:rsidRPr="006955A6">
        <w:rPr>
          <w:i/>
          <w:sz w:val="24"/>
        </w:rPr>
        <w:t xml:space="preserve">superior al </w:t>
      </w:r>
      <w:r w:rsidRPr="006955A6">
        <w:rPr>
          <w:i/>
          <w:sz w:val="24"/>
        </w:rPr>
        <w:t>70 por ciento</w:t>
      </w:r>
      <w:r w:rsidR="00290CF6" w:rsidRPr="006955A6">
        <w:rPr>
          <w:i/>
          <w:sz w:val="24"/>
        </w:rPr>
        <w:t>,</w:t>
      </w:r>
      <w:r w:rsidRPr="006955A6">
        <w:rPr>
          <w:i/>
          <w:sz w:val="24"/>
        </w:rPr>
        <w:t xml:space="preserve"> sobre el total de PDI</w:t>
      </w:r>
      <w:r w:rsidR="00473B8C" w:rsidRPr="006955A6">
        <w:rPr>
          <w:i/>
          <w:sz w:val="24"/>
        </w:rPr>
        <w:t>,</w:t>
      </w:r>
      <w:r w:rsidRPr="006955A6">
        <w:rPr>
          <w:i/>
          <w:sz w:val="24"/>
        </w:rPr>
        <w:t xml:space="preserve"> </w:t>
      </w:r>
      <w:r w:rsidR="00290CF6" w:rsidRPr="006955A6">
        <w:rPr>
          <w:i/>
          <w:sz w:val="24"/>
        </w:rPr>
        <w:t xml:space="preserve">de acuerdo a </w:t>
      </w:r>
      <w:r w:rsidRPr="006955A6">
        <w:rPr>
          <w:i/>
          <w:sz w:val="24"/>
        </w:rPr>
        <w:t>la normativa de la LOU y las directrices de la plantilla</w:t>
      </w:r>
      <w:r w:rsidR="00290CF6" w:rsidRPr="006955A6">
        <w:rPr>
          <w:i/>
          <w:sz w:val="24"/>
        </w:rPr>
        <w:t xml:space="preserve"> PDI.</w:t>
      </w:r>
    </w:p>
    <w:p w:rsidR="00663AE9" w:rsidRPr="006955A6" w:rsidRDefault="002E20C5" w:rsidP="00616D28">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spacing w:before="120" w:after="240"/>
        <w:ind w:left="0" w:firstLine="289"/>
        <w:rPr>
          <w:i/>
          <w:sz w:val="24"/>
        </w:rPr>
      </w:pPr>
      <w:r w:rsidRPr="006955A6">
        <w:rPr>
          <w:i/>
          <w:sz w:val="24"/>
        </w:rPr>
        <w:t xml:space="preserve">Una vez se implante la contabilidad analítica, determinar los costes indirectos que se generan con la actividad investigadora. </w:t>
      </w:r>
    </w:p>
    <w:p w:rsidR="004B0D73" w:rsidRPr="00D54429" w:rsidRDefault="004B0D73" w:rsidP="00D54429">
      <w:pPr>
        <w:pStyle w:val="atitulo2"/>
      </w:pPr>
      <w:bookmarkStart w:id="33" w:name="_Toc3967026"/>
      <w:r w:rsidRPr="00D54429">
        <w:lastRenderedPageBreak/>
        <w:t>V</w:t>
      </w:r>
      <w:r w:rsidR="00613F68" w:rsidRPr="00D54429">
        <w:t>I</w:t>
      </w:r>
      <w:r w:rsidRPr="00D54429">
        <w:t>.</w:t>
      </w:r>
      <w:r w:rsidR="00E037D2" w:rsidRPr="00D54429">
        <w:t>4</w:t>
      </w:r>
      <w:r w:rsidRPr="00D54429">
        <w:t>. Áreas de gestión relevantes</w:t>
      </w:r>
      <w:bookmarkEnd w:id="33"/>
    </w:p>
    <w:p w:rsidR="004B0D73" w:rsidRPr="00D54429" w:rsidRDefault="004B0D73" w:rsidP="006E499F">
      <w:pPr>
        <w:pStyle w:val="atitulo3"/>
        <w:tabs>
          <w:tab w:val="left" w:pos="3930"/>
        </w:tabs>
      </w:pPr>
      <w:r w:rsidRPr="00D54429">
        <w:t>V</w:t>
      </w:r>
      <w:r w:rsidR="00613F68" w:rsidRPr="00D54429">
        <w:t>I</w:t>
      </w:r>
      <w:r w:rsidRPr="00D54429">
        <w:t>.</w:t>
      </w:r>
      <w:r w:rsidR="00E037D2" w:rsidRPr="00D54429">
        <w:t>4</w:t>
      </w:r>
      <w:r w:rsidRPr="00D54429">
        <w:t xml:space="preserve">.1. </w:t>
      </w:r>
      <w:r w:rsidR="009F32D5" w:rsidRPr="00D54429">
        <w:t>Gastos de personal</w:t>
      </w:r>
    </w:p>
    <w:p w:rsidR="003133C0" w:rsidRPr="00BE1283" w:rsidRDefault="003133C0" w:rsidP="00290CF6">
      <w:pPr>
        <w:pStyle w:val="texto"/>
        <w:tabs>
          <w:tab w:val="clear" w:pos="2835"/>
          <w:tab w:val="clear" w:pos="3969"/>
          <w:tab w:val="clear" w:pos="5103"/>
          <w:tab w:val="clear" w:pos="6237"/>
          <w:tab w:val="clear" w:pos="7371"/>
          <w:tab w:val="left" w:pos="480"/>
          <w:tab w:val="num" w:pos="928"/>
          <w:tab w:val="num" w:pos="6597"/>
        </w:tabs>
        <w:spacing w:before="120" w:after="120"/>
        <w:rPr>
          <w:szCs w:val="26"/>
        </w:rPr>
      </w:pPr>
      <w:r w:rsidRPr="003133C0">
        <w:rPr>
          <w:szCs w:val="26"/>
        </w:rPr>
        <w:t>Tal y como establece el artículo 81.4 de la</w:t>
      </w:r>
      <w:r w:rsidR="00362582">
        <w:rPr>
          <w:szCs w:val="26"/>
        </w:rPr>
        <w:t xml:space="preserve"> LOU, el Gobierno de Navarra </w:t>
      </w:r>
      <w:r w:rsidRPr="00BE1283">
        <w:rPr>
          <w:szCs w:val="26"/>
        </w:rPr>
        <w:t xml:space="preserve">el </w:t>
      </w:r>
      <w:r w:rsidR="00362582">
        <w:rPr>
          <w:szCs w:val="26"/>
        </w:rPr>
        <w:t>21</w:t>
      </w:r>
      <w:r w:rsidRPr="00BE1283">
        <w:rPr>
          <w:szCs w:val="26"/>
        </w:rPr>
        <w:t xml:space="preserve"> de diciembre de 2016, autorizó</w:t>
      </w:r>
      <w:r w:rsidR="00C803C3" w:rsidRPr="00BE1283">
        <w:rPr>
          <w:szCs w:val="26"/>
        </w:rPr>
        <w:t xml:space="preserve"> </w:t>
      </w:r>
      <w:r w:rsidRPr="00BE1283">
        <w:rPr>
          <w:szCs w:val="26"/>
        </w:rPr>
        <w:t>con carácter previo a la aprobación del pres</w:t>
      </w:r>
      <w:r w:rsidRPr="00BE1283">
        <w:rPr>
          <w:szCs w:val="26"/>
        </w:rPr>
        <w:t>u</w:t>
      </w:r>
      <w:r w:rsidRPr="00BE1283">
        <w:rPr>
          <w:szCs w:val="26"/>
        </w:rPr>
        <w:t xml:space="preserve">puesto de la </w:t>
      </w:r>
      <w:r w:rsidR="00C411AB" w:rsidRPr="00BE1283">
        <w:rPr>
          <w:szCs w:val="26"/>
        </w:rPr>
        <w:t>Universidad</w:t>
      </w:r>
      <w:r w:rsidR="00C803C3" w:rsidRPr="00BE1283">
        <w:rPr>
          <w:szCs w:val="26"/>
        </w:rPr>
        <w:t>,</w:t>
      </w:r>
      <w:r w:rsidRPr="00BE1283">
        <w:rPr>
          <w:szCs w:val="26"/>
        </w:rPr>
        <w:t xml:space="preserve"> el coste de gastos de personal de la misma por un total de 5</w:t>
      </w:r>
      <w:r w:rsidR="00362582">
        <w:rPr>
          <w:szCs w:val="26"/>
        </w:rPr>
        <w:t>4</w:t>
      </w:r>
      <w:r w:rsidR="005C7F7E" w:rsidRPr="00BE1283">
        <w:rPr>
          <w:szCs w:val="26"/>
        </w:rPr>
        <w:t>,</w:t>
      </w:r>
      <w:r w:rsidR="00362582">
        <w:rPr>
          <w:szCs w:val="26"/>
        </w:rPr>
        <w:t>06</w:t>
      </w:r>
      <w:r w:rsidRPr="00BE1283">
        <w:rPr>
          <w:szCs w:val="26"/>
        </w:rPr>
        <w:t xml:space="preserve"> millones</w:t>
      </w:r>
      <w:r w:rsidR="00BE1283" w:rsidRPr="00BE1283">
        <w:rPr>
          <w:szCs w:val="26"/>
        </w:rPr>
        <w:t xml:space="preserve"> de euros.</w:t>
      </w:r>
      <w:r w:rsidR="00362582">
        <w:rPr>
          <w:szCs w:val="26"/>
        </w:rPr>
        <w:t xml:space="preserve"> </w:t>
      </w:r>
    </w:p>
    <w:p w:rsidR="002A5582" w:rsidRPr="003133C0" w:rsidRDefault="002A5582" w:rsidP="00290CF6">
      <w:pPr>
        <w:pStyle w:val="texto"/>
        <w:tabs>
          <w:tab w:val="clear" w:pos="2835"/>
          <w:tab w:val="clear" w:pos="3969"/>
          <w:tab w:val="clear" w:pos="5103"/>
          <w:tab w:val="clear" w:pos="6237"/>
          <w:tab w:val="clear" w:pos="7371"/>
          <w:tab w:val="left" w:pos="480"/>
          <w:tab w:val="num" w:pos="928"/>
          <w:tab w:val="num" w:pos="6597"/>
        </w:tabs>
        <w:spacing w:before="120" w:after="120"/>
        <w:rPr>
          <w:szCs w:val="26"/>
        </w:rPr>
      </w:pPr>
      <w:r>
        <w:rPr>
          <w:szCs w:val="26"/>
        </w:rPr>
        <w:t xml:space="preserve">El presupuesto de la </w:t>
      </w:r>
      <w:r w:rsidR="009D7DD5">
        <w:rPr>
          <w:szCs w:val="26"/>
        </w:rPr>
        <w:t>Universidad</w:t>
      </w:r>
      <w:r>
        <w:rPr>
          <w:szCs w:val="26"/>
        </w:rPr>
        <w:t xml:space="preserve"> para 2017 contiene información detallada de su personal, </w:t>
      </w:r>
      <w:r w:rsidR="00C803C3">
        <w:rPr>
          <w:szCs w:val="26"/>
        </w:rPr>
        <w:t xml:space="preserve">docente e investigador (PDI) y de administración y servicios (PAS), </w:t>
      </w:r>
      <w:r>
        <w:rPr>
          <w:szCs w:val="26"/>
        </w:rPr>
        <w:t>en cuanto a número, categoría y costes, acompañada de las relaciones de puestos de trabajo</w:t>
      </w:r>
      <w:r w:rsidR="003B344A">
        <w:rPr>
          <w:szCs w:val="26"/>
        </w:rPr>
        <w:t xml:space="preserve"> de ambos tipos de personal</w:t>
      </w:r>
      <w:r>
        <w:rPr>
          <w:szCs w:val="26"/>
        </w:rPr>
        <w:t>. Sin embargo, no incluye un anexo en el que figuren los puestos de nuev</w:t>
      </w:r>
      <w:r w:rsidR="003B344A">
        <w:rPr>
          <w:szCs w:val="26"/>
        </w:rPr>
        <w:t>o</w:t>
      </w:r>
      <w:r>
        <w:rPr>
          <w:szCs w:val="26"/>
        </w:rPr>
        <w:t xml:space="preserve"> ingreso que se proponen, </w:t>
      </w:r>
      <w:r w:rsidR="00F40719">
        <w:rPr>
          <w:szCs w:val="26"/>
        </w:rPr>
        <w:t>contrariamente</w:t>
      </w:r>
      <w:r>
        <w:rPr>
          <w:szCs w:val="26"/>
        </w:rPr>
        <w:t xml:space="preserve"> el a</w:t>
      </w:r>
      <w:r>
        <w:rPr>
          <w:szCs w:val="26"/>
        </w:rPr>
        <w:t>r</w:t>
      </w:r>
      <w:r>
        <w:rPr>
          <w:szCs w:val="26"/>
        </w:rPr>
        <w:t>tículo 81</w:t>
      </w:r>
      <w:r w:rsidR="003B344A">
        <w:rPr>
          <w:szCs w:val="26"/>
        </w:rPr>
        <w:t>.4</w:t>
      </w:r>
      <w:r>
        <w:rPr>
          <w:szCs w:val="26"/>
        </w:rPr>
        <w:t xml:space="preserve"> anteriormente citado. </w:t>
      </w:r>
    </w:p>
    <w:p w:rsidR="00B37F18" w:rsidRDefault="00E45745" w:rsidP="00616D28">
      <w:pPr>
        <w:pStyle w:val="texto"/>
        <w:tabs>
          <w:tab w:val="clear" w:pos="2835"/>
          <w:tab w:val="clear" w:pos="3969"/>
          <w:tab w:val="clear" w:pos="5103"/>
          <w:tab w:val="clear" w:pos="6237"/>
          <w:tab w:val="clear" w:pos="7371"/>
          <w:tab w:val="left" w:pos="480"/>
          <w:tab w:val="num" w:pos="928"/>
          <w:tab w:val="num" w:pos="6597"/>
        </w:tabs>
        <w:spacing w:before="120" w:after="240"/>
        <w:rPr>
          <w:szCs w:val="26"/>
        </w:rPr>
      </w:pPr>
      <w:r>
        <w:rPr>
          <w:szCs w:val="26"/>
        </w:rPr>
        <w:t>En 2017</w:t>
      </w:r>
      <w:r w:rsidR="003F64E0">
        <w:rPr>
          <w:szCs w:val="26"/>
        </w:rPr>
        <w:t>,</w:t>
      </w:r>
      <w:r>
        <w:rPr>
          <w:szCs w:val="26"/>
        </w:rPr>
        <w:t xml:space="preserve"> l</w:t>
      </w:r>
      <w:r w:rsidR="00B37F18" w:rsidRPr="00730AE6">
        <w:rPr>
          <w:szCs w:val="26"/>
        </w:rPr>
        <w:t>os gastos de personal asc</w:t>
      </w:r>
      <w:r w:rsidR="009F32D5">
        <w:rPr>
          <w:szCs w:val="26"/>
        </w:rPr>
        <w:t>endieron a</w:t>
      </w:r>
      <w:r w:rsidR="00B37F18" w:rsidRPr="00730AE6">
        <w:rPr>
          <w:szCs w:val="26"/>
        </w:rPr>
        <w:t xml:space="preserve"> 57,54 millones</w:t>
      </w:r>
      <w:r w:rsidR="009F32D5">
        <w:rPr>
          <w:szCs w:val="26"/>
        </w:rPr>
        <w:t xml:space="preserve"> de euros</w:t>
      </w:r>
      <w:r w:rsidR="00B37F18" w:rsidRPr="00730AE6">
        <w:rPr>
          <w:szCs w:val="26"/>
        </w:rPr>
        <w:t>, que representan el 7</w:t>
      </w:r>
      <w:r w:rsidR="00125A7A">
        <w:rPr>
          <w:szCs w:val="26"/>
        </w:rPr>
        <w:t>4</w:t>
      </w:r>
      <w:r w:rsidR="00B37F18" w:rsidRPr="00730AE6">
        <w:rPr>
          <w:szCs w:val="26"/>
        </w:rPr>
        <w:t xml:space="preserve"> por ciento del gasto total</w:t>
      </w:r>
      <w:r w:rsidR="00A43AB9">
        <w:rPr>
          <w:szCs w:val="26"/>
        </w:rPr>
        <w:t xml:space="preserve"> de la </w:t>
      </w:r>
      <w:r w:rsidR="00C411AB">
        <w:rPr>
          <w:szCs w:val="26"/>
        </w:rPr>
        <w:t>Universidad</w:t>
      </w:r>
      <w:r w:rsidR="00B37F18" w:rsidRPr="00730AE6">
        <w:rPr>
          <w:szCs w:val="26"/>
        </w:rPr>
        <w:t xml:space="preserve">. </w:t>
      </w:r>
      <w:r w:rsidR="001F5B7B">
        <w:rPr>
          <w:szCs w:val="26"/>
        </w:rPr>
        <w:t>El 5</w:t>
      </w:r>
      <w:r w:rsidR="00125A7A">
        <w:rPr>
          <w:szCs w:val="26"/>
        </w:rPr>
        <w:t>2,4</w:t>
      </w:r>
      <w:r w:rsidR="001F5B7B">
        <w:rPr>
          <w:szCs w:val="26"/>
        </w:rPr>
        <w:t xml:space="preserve"> por ciento corresponde a retribuciones del PDI</w:t>
      </w:r>
      <w:r w:rsidR="007E1796">
        <w:rPr>
          <w:szCs w:val="26"/>
        </w:rPr>
        <w:t xml:space="preserve">, </w:t>
      </w:r>
      <w:r w:rsidR="001F5B7B">
        <w:rPr>
          <w:szCs w:val="26"/>
        </w:rPr>
        <w:t>el 25</w:t>
      </w:r>
      <w:r w:rsidR="00125A7A">
        <w:rPr>
          <w:szCs w:val="26"/>
        </w:rPr>
        <w:t>,5</w:t>
      </w:r>
      <w:r w:rsidR="001F5B7B">
        <w:rPr>
          <w:szCs w:val="26"/>
        </w:rPr>
        <w:t xml:space="preserve"> por ciento al personal de admini</w:t>
      </w:r>
      <w:r w:rsidR="001F5B7B">
        <w:rPr>
          <w:szCs w:val="26"/>
        </w:rPr>
        <w:t>s</w:t>
      </w:r>
      <w:r w:rsidR="001F5B7B">
        <w:rPr>
          <w:szCs w:val="26"/>
        </w:rPr>
        <w:t>tración y servicios (PAS)</w:t>
      </w:r>
      <w:r w:rsidR="007E1796">
        <w:rPr>
          <w:szCs w:val="26"/>
        </w:rPr>
        <w:t xml:space="preserve"> y el </w:t>
      </w:r>
      <w:r w:rsidR="00293E1E">
        <w:rPr>
          <w:szCs w:val="26"/>
        </w:rPr>
        <w:t>7</w:t>
      </w:r>
      <w:r w:rsidR="007E1796">
        <w:rPr>
          <w:szCs w:val="26"/>
        </w:rPr>
        <w:t>,</w:t>
      </w:r>
      <w:r w:rsidR="00293E1E">
        <w:rPr>
          <w:szCs w:val="26"/>
        </w:rPr>
        <w:t>8</w:t>
      </w:r>
      <w:r w:rsidR="007E1796">
        <w:rPr>
          <w:szCs w:val="26"/>
        </w:rPr>
        <w:t xml:space="preserve"> por ciento a personal </w:t>
      </w:r>
      <w:r w:rsidR="00293E1E">
        <w:rPr>
          <w:szCs w:val="26"/>
        </w:rPr>
        <w:t xml:space="preserve">empleado </w:t>
      </w:r>
      <w:r w:rsidR="007E1796">
        <w:rPr>
          <w:szCs w:val="26"/>
        </w:rPr>
        <w:t>investigador (P</w:t>
      </w:r>
      <w:r w:rsidR="00C803C3">
        <w:rPr>
          <w:szCs w:val="26"/>
        </w:rPr>
        <w:t>E</w:t>
      </w:r>
      <w:r w:rsidR="007E1796">
        <w:rPr>
          <w:szCs w:val="26"/>
        </w:rPr>
        <w:t>I)</w:t>
      </w:r>
      <w:r w:rsidR="001F5B7B">
        <w:rPr>
          <w:szCs w:val="26"/>
        </w:rPr>
        <w:t xml:space="preserve">. </w:t>
      </w:r>
      <w:r w:rsidR="009F32D5">
        <w:rPr>
          <w:szCs w:val="26"/>
        </w:rPr>
        <w:t xml:space="preserve">Su distribución por concepto </w:t>
      </w:r>
      <w:r w:rsidR="00B0366B">
        <w:rPr>
          <w:szCs w:val="26"/>
        </w:rPr>
        <w:t>de gasto</w:t>
      </w:r>
      <w:r w:rsidR="009F32D5">
        <w:rPr>
          <w:szCs w:val="26"/>
        </w:rPr>
        <w:t xml:space="preserve"> es la siguiente:</w:t>
      </w:r>
    </w:p>
    <w:tbl>
      <w:tblPr>
        <w:tblW w:w="8979"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2654"/>
        <w:gridCol w:w="2474"/>
        <w:gridCol w:w="2214"/>
        <w:gridCol w:w="1637"/>
      </w:tblGrid>
      <w:tr w:rsidR="003B52CC" w:rsidRPr="00730AE6" w:rsidTr="00D54429">
        <w:trPr>
          <w:trHeight w:val="284"/>
          <w:jc w:val="center"/>
        </w:trPr>
        <w:tc>
          <w:tcPr>
            <w:tcW w:w="2654" w:type="dxa"/>
            <w:tcBorders>
              <w:top w:val="single" w:sz="4" w:space="0" w:color="auto"/>
              <w:bottom w:val="single" w:sz="4" w:space="0" w:color="auto"/>
            </w:tcBorders>
            <w:shd w:val="clear" w:color="auto" w:fill="A8CBEE" w:themeFill="accent2" w:themeFillTint="66"/>
            <w:noWrap/>
            <w:vAlign w:val="center"/>
          </w:tcPr>
          <w:p w:rsidR="003B52CC" w:rsidRPr="00730AE6" w:rsidRDefault="003B52CC" w:rsidP="00825A54">
            <w:pPr>
              <w:pStyle w:val="cuadroCabe"/>
              <w:rPr>
                <w:lang w:val="es-ES" w:eastAsia="es-ES"/>
              </w:rPr>
            </w:pPr>
            <w:r w:rsidRPr="00730AE6">
              <w:rPr>
                <w:lang w:val="es-ES" w:eastAsia="es-ES"/>
              </w:rPr>
              <w:t xml:space="preserve">Gastos de personal </w:t>
            </w:r>
          </w:p>
        </w:tc>
        <w:tc>
          <w:tcPr>
            <w:tcW w:w="2474" w:type="dxa"/>
            <w:tcBorders>
              <w:top w:val="single" w:sz="4" w:space="0" w:color="auto"/>
              <w:bottom w:val="single" w:sz="4" w:space="0" w:color="auto"/>
            </w:tcBorders>
            <w:shd w:val="clear" w:color="auto" w:fill="A8CBEE" w:themeFill="accent2" w:themeFillTint="66"/>
            <w:vAlign w:val="center"/>
          </w:tcPr>
          <w:p w:rsidR="005A73BB" w:rsidRDefault="005A73BB" w:rsidP="005140B9">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Oblig</w:t>
            </w:r>
            <w:r w:rsidR="006955A6">
              <w:rPr>
                <w:rFonts w:ascii="Arial" w:hAnsi="Arial" w:cs="Arial"/>
                <w:bCs/>
                <w:sz w:val="18"/>
                <w:szCs w:val="18"/>
                <w:lang w:val="es-ES" w:eastAsia="es-ES"/>
              </w:rPr>
              <w:t>aciones</w:t>
            </w:r>
            <w:r w:rsidR="00D54429">
              <w:rPr>
                <w:rFonts w:ascii="Arial" w:hAnsi="Arial" w:cs="Arial"/>
                <w:bCs/>
                <w:sz w:val="18"/>
                <w:szCs w:val="18"/>
                <w:lang w:val="es-ES" w:eastAsia="es-ES"/>
              </w:rPr>
              <w:t xml:space="preserve"> </w:t>
            </w:r>
            <w:r>
              <w:rPr>
                <w:rFonts w:ascii="Arial" w:hAnsi="Arial" w:cs="Arial"/>
                <w:bCs/>
                <w:sz w:val="18"/>
                <w:szCs w:val="18"/>
                <w:lang w:val="es-ES" w:eastAsia="es-ES"/>
              </w:rPr>
              <w:t>reconocidas</w:t>
            </w:r>
          </w:p>
          <w:p w:rsidR="003B52CC" w:rsidRPr="005140B9" w:rsidRDefault="005140B9" w:rsidP="005140B9">
            <w:pPr>
              <w:spacing w:after="0"/>
              <w:ind w:firstLine="0"/>
              <w:jc w:val="right"/>
              <w:rPr>
                <w:rFonts w:ascii="Arial" w:hAnsi="Arial" w:cs="Arial"/>
                <w:bCs/>
                <w:sz w:val="18"/>
                <w:szCs w:val="18"/>
                <w:lang w:val="es-ES" w:eastAsia="es-ES"/>
              </w:rPr>
            </w:pPr>
            <w:r w:rsidRPr="005140B9">
              <w:rPr>
                <w:rFonts w:ascii="Arial" w:hAnsi="Arial" w:cs="Arial"/>
                <w:bCs/>
                <w:sz w:val="18"/>
                <w:szCs w:val="18"/>
                <w:lang w:val="es-ES" w:eastAsia="es-ES"/>
              </w:rPr>
              <w:t>2016</w:t>
            </w:r>
            <w:r w:rsidR="002E04BF">
              <w:rPr>
                <w:rFonts w:ascii="Arial" w:hAnsi="Arial" w:cs="Arial"/>
                <w:bCs/>
                <w:sz w:val="18"/>
                <w:szCs w:val="18"/>
                <w:lang w:val="es-ES" w:eastAsia="es-ES"/>
              </w:rPr>
              <w:t>*</w:t>
            </w:r>
          </w:p>
        </w:tc>
        <w:tc>
          <w:tcPr>
            <w:tcW w:w="2214" w:type="dxa"/>
            <w:tcBorders>
              <w:top w:val="single" w:sz="4" w:space="0" w:color="auto"/>
              <w:bottom w:val="single" w:sz="4" w:space="0" w:color="auto"/>
            </w:tcBorders>
            <w:shd w:val="clear" w:color="auto" w:fill="A8CBEE" w:themeFill="accent2" w:themeFillTint="66"/>
            <w:noWrap/>
            <w:vAlign w:val="center"/>
          </w:tcPr>
          <w:p w:rsidR="005A73BB" w:rsidRDefault="005A73BB" w:rsidP="00825A54">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Oblig</w:t>
            </w:r>
            <w:r w:rsidR="006955A6">
              <w:rPr>
                <w:rFonts w:ascii="Arial" w:hAnsi="Arial" w:cs="Arial"/>
                <w:bCs/>
                <w:color w:val="000000"/>
                <w:sz w:val="18"/>
                <w:szCs w:val="18"/>
                <w:lang w:val="es-ES" w:eastAsia="es-ES"/>
              </w:rPr>
              <w:t>aciones</w:t>
            </w:r>
            <w:r w:rsidR="00D54429">
              <w:rPr>
                <w:rFonts w:ascii="Arial" w:hAnsi="Arial" w:cs="Arial"/>
                <w:bCs/>
                <w:color w:val="000000"/>
                <w:sz w:val="18"/>
                <w:szCs w:val="18"/>
                <w:lang w:val="es-ES" w:eastAsia="es-ES"/>
              </w:rPr>
              <w:t xml:space="preserve"> </w:t>
            </w:r>
            <w:r>
              <w:rPr>
                <w:rFonts w:ascii="Arial" w:hAnsi="Arial" w:cs="Arial"/>
                <w:bCs/>
                <w:color w:val="000000"/>
                <w:sz w:val="18"/>
                <w:szCs w:val="18"/>
                <w:lang w:val="es-ES" w:eastAsia="es-ES"/>
              </w:rPr>
              <w:t>reconocidas</w:t>
            </w:r>
          </w:p>
          <w:p w:rsidR="003B52CC" w:rsidRPr="00730AE6" w:rsidRDefault="003B52CC" w:rsidP="00825A54">
            <w:pPr>
              <w:spacing w:after="0"/>
              <w:ind w:firstLine="0"/>
              <w:jc w:val="right"/>
              <w:rPr>
                <w:rFonts w:ascii="Arial" w:hAnsi="Arial" w:cs="Arial"/>
                <w:bCs/>
                <w:color w:val="000000"/>
                <w:sz w:val="18"/>
                <w:szCs w:val="18"/>
                <w:lang w:val="es-ES" w:eastAsia="es-ES"/>
              </w:rPr>
            </w:pPr>
            <w:r w:rsidRPr="00730AE6">
              <w:rPr>
                <w:rFonts w:ascii="Arial" w:hAnsi="Arial" w:cs="Arial"/>
                <w:bCs/>
                <w:color w:val="000000"/>
                <w:sz w:val="18"/>
                <w:szCs w:val="18"/>
                <w:lang w:val="es-ES" w:eastAsia="es-ES"/>
              </w:rPr>
              <w:t>2017</w:t>
            </w:r>
          </w:p>
        </w:tc>
        <w:tc>
          <w:tcPr>
            <w:tcW w:w="1637" w:type="dxa"/>
            <w:tcBorders>
              <w:top w:val="single" w:sz="4" w:space="0" w:color="auto"/>
              <w:bottom w:val="single" w:sz="4" w:space="0" w:color="auto"/>
            </w:tcBorders>
            <w:shd w:val="clear" w:color="auto" w:fill="A8CBEE" w:themeFill="accent2" w:themeFillTint="66"/>
            <w:noWrap/>
            <w:vAlign w:val="center"/>
          </w:tcPr>
          <w:p w:rsidR="003B52CC" w:rsidRPr="00730AE6" w:rsidRDefault="003B52CC" w:rsidP="00825A54">
            <w:pPr>
              <w:spacing w:after="0"/>
              <w:ind w:firstLine="0"/>
              <w:jc w:val="right"/>
              <w:rPr>
                <w:rFonts w:ascii="Arial" w:hAnsi="Arial" w:cs="Arial"/>
                <w:bCs/>
                <w:color w:val="000000"/>
                <w:sz w:val="18"/>
                <w:szCs w:val="18"/>
                <w:lang w:val="es-ES" w:eastAsia="es-ES"/>
              </w:rPr>
            </w:pPr>
            <w:r w:rsidRPr="00730AE6">
              <w:rPr>
                <w:rFonts w:ascii="Arial" w:hAnsi="Arial" w:cs="Arial"/>
                <w:bCs/>
                <w:color w:val="000000"/>
                <w:sz w:val="18"/>
                <w:szCs w:val="18"/>
                <w:lang w:val="es-ES" w:eastAsia="es-ES"/>
              </w:rPr>
              <w:t>%</w:t>
            </w:r>
            <w:r w:rsidR="001F5B7B">
              <w:rPr>
                <w:rFonts w:ascii="Arial" w:hAnsi="Arial" w:cs="Arial"/>
                <w:bCs/>
                <w:color w:val="000000"/>
                <w:sz w:val="18"/>
                <w:szCs w:val="18"/>
                <w:lang w:val="es-ES" w:eastAsia="es-ES"/>
              </w:rPr>
              <w:t xml:space="preserve"> variación 2017/2016</w:t>
            </w:r>
          </w:p>
        </w:tc>
      </w:tr>
      <w:tr w:rsidR="003B52CC" w:rsidRPr="00730AE6" w:rsidTr="00D54429">
        <w:trPr>
          <w:trHeight w:val="284"/>
          <w:jc w:val="center"/>
        </w:trPr>
        <w:tc>
          <w:tcPr>
            <w:tcW w:w="2654" w:type="dxa"/>
            <w:tcBorders>
              <w:top w:val="single" w:sz="4" w:space="0" w:color="auto"/>
              <w:bottom w:val="single" w:sz="2" w:space="0" w:color="auto"/>
            </w:tcBorders>
            <w:shd w:val="clear" w:color="auto" w:fill="auto"/>
            <w:noWrap/>
            <w:vAlign w:val="center"/>
          </w:tcPr>
          <w:p w:rsidR="003B52CC" w:rsidRPr="00730AE6" w:rsidRDefault="003B52CC" w:rsidP="00825A54">
            <w:pPr>
              <w:spacing w:after="0"/>
              <w:ind w:firstLine="0"/>
              <w:jc w:val="left"/>
              <w:rPr>
                <w:rFonts w:ascii="Arial Narrow" w:hAnsi="Arial Narrow"/>
                <w:sz w:val="18"/>
                <w:szCs w:val="18"/>
                <w:lang w:val="es-ES" w:eastAsia="es-ES"/>
              </w:rPr>
            </w:pPr>
            <w:r w:rsidRPr="00730AE6">
              <w:rPr>
                <w:rFonts w:ascii="Arial Narrow" w:hAnsi="Arial Narrow"/>
                <w:sz w:val="18"/>
                <w:szCs w:val="18"/>
                <w:lang w:val="es-ES" w:eastAsia="es-ES"/>
              </w:rPr>
              <w:t>Retribuciones PDI</w:t>
            </w:r>
          </w:p>
        </w:tc>
        <w:tc>
          <w:tcPr>
            <w:tcW w:w="2474" w:type="dxa"/>
            <w:tcBorders>
              <w:top w:val="single" w:sz="4" w:space="0" w:color="auto"/>
              <w:bottom w:val="single" w:sz="2" w:space="0" w:color="auto"/>
            </w:tcBorders>
            <w:vAlign w:val="center"/>
          </w:tcPr>
          <w:p w:rsidR="003B52CC" w:rsidRPr="005140B9" w:rsidRDefault="005140B9" w:rsidP="005140B9">
            <w:pPr>
              <w:spacing w:after="0"/>
              <w:ind w:firstLine="0"/>
              <w:jc w:val="right"/>
              <w:rPr>
                <w:rFonts w:ascii="Arial Narrow" w:hAnsi="Arial Narrow"/>
                <w:sz w:val="18"/>
                <w:szCs w:val="18"/>
                <w:lang w:val="es-ES" w:eastAsia="es-ES"/>
              </w:rPr>
            </w:pPr>
            <w:r w:rsidRPr="005140B9">
              <w:rPr>
                <w:rFonts w:ascii="Arial Narrow" w:hAnsi="Arial Narrow"/>
                <w:sz w:val="18"/>
                <w:szCs w:val="18"/>
                <w:lang w:val="es-ES" w:eastAsia="es-ES"/>
              </w:rPr>
              <w:t>28.686</w:t>
            </w:r>
          </w:p>
        </w:tc>
        <w:tc>
          <w:tcPr>
            <w:tcW w:w="2214" w:type="dxa"/>
            <w:tcBorders>
              <w:top w:val="single" w:sz="4" w:space="0" w:color="auto"/>
              <w:bottom w:val="single" w:sz="2" w:space="0" w:color="auto"/>
            </w:tcBorders>
            <w:shd w:val="clear" w:color="auto" w:fill="auto"/>
            <w:noWrap/>
            <w:vAlign w:val="center"/>
          </w:tcPr>
          <w:p w:rsidR="003B52CC" w:rsidRPr="00730AE6" w:rsidRDefault="003B52CC" w:rsidP="00825A54">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30.150</w:t>
            </w:r>
          </w:p>
        </w:tc>
        <w:tc>
          <w:tcPr>
            <w:tcW w:w="1637" w:type="dxa"/>
            <w:tcBorders>
              <w:top w:val="single" w:sz="4" w:space="0" w:color="auto"/>
              <w:bottom w:val="single" w:sz="2" w:space="0" w:color="auto"/>
            </w:tcBorders>
            <w:shd w:val="clear" w:color="auto" w:fill="auto"/>
            <w:noWrap/>
            <w:vAlign w:val="center"/>
          </w:tcPr>
          <w:p w:rsidR="003B52CC" w:rsidRPr="00730AE6" w:rsidRDefault="001F5B7B" w:rsidP="00825A54">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5</w:t>
            </w:r>
          </w:p>
        </w:tc>
      </w:tr>
      <w:tr w:rsidR="003B52CC" w:rsidRPr="00730AE6" w:rsidTr="00D54429">
        <w:trPr>
          <w:trHeight w:val="284"/>
          <w:jc w:val="center"/>
        </w:trPr>
        <w:tc>
          <w:tcPr>
            <w:tcW w:w="2654" w:type="dxa"/>
            <w:tcBorders>
              <w:top w:val="single" w:sz="2" w:space="0" w:color="auto"/>
              <w:bottom w:val="single" w:sz="2" w:space="0" w:color="auto"/>
            </w:tcBorders>
            <w:shd w:val="clear" w:color="auto" w:fill="auto"/>
            <w:noWrap/>
            <w:vAlign w:val="center"/>
          </w:tcPr>
          <w:p w:rsidR="003B52CC" w:rsidRPr="00730AE6" w:rsidRDefault="003B52CC" w:rsidP="00825A54">
            <w:pPr>
              <w:spacing w:after="0"/>
              <w:ind w:firstLine="0"/>
              <w:jc w:val="left"/>
              <w:rPr>
                <w:rFonts w:ascii="Arial Narrow" w:hAnsi="Arial Narrow"/>
                <w:sz w:val="18"/>
                <w:szCs w:val="18"/>
                <w:lang w:val="es-ES" w:eastAsia="es-ES"/>
              </w:rPr>
            </w:pPr>
            <w:r w:rsidRPr="00730AE6">
              <w:rPr>
                <w:rFonts w:ascii="Arial Narrow" w:hAnsi="Arial Narrow"/>
                <w:sz w:val="18"/>
                <w:szCs w:val="18"/>
                <w:lang w:val="es-ES" w:eastAsia="es-ES"/>
              </w:rPr>
              <w:t>Retribuciones PAS</w:t>
            </w:r>
          </w:p>
        </w:tc>
        <w:tc>
          <w:tcPr>
            <w:tcW w:w="2474" w:type="dxa"/>
            <w:tcBorders>
              <w:top w:val="single" w:sz="2" w:space="0" w:color="auto"/>
              <w:bottom w:val="single" w:sz="2" w:space="0" w:color="auto"/>
            </w:tcBorders>
            <w:vAlign w:val="center"/>
          </w:tcPr>
          <w:p w:rsidR="003B52CC" w:rsidRPr="005140B9" w:rsidRDefault="005140B9" w:rsidP="005140B9">
            <w:pPr>
              <w:spacing w:after="0"/>
              <w:ind w:firstLine="0"/>
              <w:jc w:val="right"/>
              <w:rPr>
                <w:rFonts w:ascii="Arial Narrow" w:hAnsi="Arial Narrow"/>
                <w:sz w:val="18"/>
                <w:szCs w:val="18"/>
                <w:lang w:val="es-ES" w:eastAsia="es-ES"/>
              </w:rPr>
            </w:pPr>
            <w:r w:rsidRPr="005140B9">
              <w:rPr>
                <w:rFonts w:ascii="Arial Narrow" w:hAnsi="Arial Narrow"/>
                <w:sz w:val="18"/>
                <w:szCs w:val="18"/>
                <w:lang w:val="es-ES" w:eastAsia="es-ES"/>
              </w:rPr>
              <w:t>13.908</w:t>
            </w:r>
          </w:p>
        </w:tc>
        <w:tc>
          <w:tcPr>
            <w:tcW w:w="2214" w:type="dxa"/>
            <w:tcBorders>
              <w:top w:val="single" w:sz="2" w:space="0" w:color="auto"/>
              <w:bottom w:val="single" w:sz="2" w:space="0" w:color="auto"/>
            </w:tcBorders>
            <w:shd w:val="clear" w:color="auto" w:fill="auto"/>
            <w:noWrap/>
            <w:vAlign w:val="center"/>
          </w:tcPr>
          <w:p w:rsidR="003B52CC" w:rsidRPr="00730AE6" w:rsidRDefault="003B52CC" w:rsidP="00825A54">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14.658</w:t>
            </w:r>
          </w:p>
        </w:tc>
        <w:tc>
          <w:tcPr>
            <w:tcW w:w="1637" w:type="dxa"/>
            <w:tcBorders>
              <w:top w:val="single" w:sz="2" w:space="0" w:color="auto"/>
              <w:bottom w:val="single" w:sz="2" w:space="0" w:color="auto"/>
            </w:tcBorders>
            <w:shd w:val="clear" w:color="auto" w:fill="auto"/>
            <w:noWrap/>
            <w:vAlign w:val="center"/>
          </w:tcPr>
          <w:p w:rsidR="003B52CC" w:rsidRPr="00730AE6" w:rsidRDefault="001F5B7B" w:rsidP="00825A54">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5</w:t>
            </w:r>
          </w:p>
        </w:tc>
      </w:tr>
      <w:tr w:rsidR="003B52CC" w:rsidRPr="00730AE6" w:rsidTr="00D54429">
        <w:trPr>
          <w:trHeight w:val="284"/>
          <w:jc w:val="center"/>
        </w:trPr>
        <w:tc>
          <w:tcPr>
            <w:tcW w:w="2654" w:type="dxa"/>
            <w:tcBorders>
              <w:top w:val="single" w:sz="2" w:space="0" w:color="auto"/>
              <w:bottom w:val="single" w:sz="2" w:space="0" w:color="auto"/>
            </w:tcBorders>
            <w:shd w:val="clear" w:color="auto" w:fill="auto"/>
            <w:noWrap/>
            <w:vAlign w:val="center"/>
          </w:tcPr>
          <w:p w:rsidR="003B52CC" w:rsidRPr="00730AE6" w:rsidRDefault="003B52CC" w:rsidP="00C803C3">
            <w:pPr>
              <w:spacing w:after="0"/>
              <w:ind w:firstLine="0"/>
              <w:jc w:val="left"/>
              <w:rPr>
                <w:rFonts w:ascii="Arial Narrow" w:hAnsi="Arial Narrow"/>
                <w:sz w:val="18"/>
                <w:szCs w:val="18"/>
                <w:lang w:val="es-ES" w:eastAsia="es-ES"/>
              </w:rPr>
            </w:pPr>
            <w:r w:rsidRPr="00730AE6">
              <w:rPr>
                <w:rFonts w:ascii="Arial Narrow" w:hAnsi="Arial Narrow"/>
                <w:sz w:val="18"/>
                <w:szCs w:val="18"/>
                <w:lang w:val="es-ES" w:eastAsia="es-ES"/>
              </w:rPr>
              <w:t xml:space="preserve">Retribuciones </w:t>
            </w:r>
            <w:r w:rsidR="00C803C3">
              <w:rPr>
                <w:rFonts w:ascii="Arial Narrow" w:hAnsi="Arial Narrow"/>
                <w:sz w:val="18"/>
                <w:szCs w:val="18"/>
                <w:lang w:val="es-ES" w:eastAsia="es-ES"/>
              </w:rPr>
              <w:t>PEI</w:t>
            </w:r>
          </w:p>
        </w:tc>
        <w:tc>
          <w:tcPr>
            <w:tcW w:w="2474" w:type="dxa"/>
            <w:tcBorders>
              <w:top w:val="single" w:sz="2" w:space="0" w:color="auto"/>
              <w:bottom w:val="single" w:sz="2" w:space="0" w:color="auto"/>
            </w:tcBorders>
            <w:vAlign w:val="center"/>
          </w:tcPr>
          <w:p w:rsidR="003B52CC" w:rsidRPr="005140B9" w:rsidRDefault="005140B9" w:rsidP="005140B9">
            <w:pPr>
              <w:spacing w:after="0"/>
              <w:ind w:firstLine="0"/>
              <w:jc w:val="right"/>
              <w:rPr>
                <w:rFonts w:ascii="Arial Narrow" w:hAnsi="Arial Narrow"/>
                <w:sz w:val="18"/>
                <w:szCs w:val="18"/>
                <w:lang w:val="es-ES" w:eastAsia="es-ES"/>
              </w:rPr>
            </w:pPr>
            <w:r w:rsidRPr="005140B9">
              <w:rPr>
                <w:rFonts w:ascii="Arial Narrow" w:hAnsi="Arial Narrow"/>
                <w:sz w:val="18"/>
                <w:szCs w:val="18"/>
                <w:lang w:val="es-ES" w:eastAsia="es-ES"/>
              </w:rPr>
              <w:t>3.742</w:t>
            </w:r>
          </w:p>
        </w:tc>
        <w:tc>
          <w:tcPr>
            <w:tcW w:w="2214" w:type="dxa"/>
            <w:tcBorders>
              <w:top w:val="single" w:sz="2" w:space="0" w:color="auto"/>
              <w:bottom w:val="single" w:sz="2" w:space="0" w:color="auto"/>
            </w:tcBorders>
            <w:shd w:val="clear" w:color="auto" w:fill="auto"/>
            <w:noWrap/>
            <w:vAlign w:val="center"/>
          </w:tcPr>
          <w:p w:rsidR="003B52CC" w:rsidRPr="00730AE6" w:rsidRDefault="003B52CC" w:rsidP="00825A54">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4.498</w:t>
            </w:r>
          </w:p>
        </w:tc>
        <w:tc>
          <w:tcPr>
            <w:tcW w:w="1637" w:type="dxa"/>
            <w:tcBorders>
              <w:top w:val="single" w:sz="2" w:space="0" w:color="auto"/>
              <w:bottom w:val="single" w:sz="2" w:space="0" w:color="auto"/>
            </w:tcBorders>
            <w:shd w:val="clear" w:color="auto" w:fill="auto"/>
            <w:noWrap/>
            <w:vAlign w:val="center"/>
          </w:tcPr>
          <w:p w:rsidR="003B52CC" w:rsidRPr="00730AE6" w:rsidRDefault="001F5B7B" w:rsidP="00825A54">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20</w:t>
            </w:r>
          </w:p>
        </w:tc>
      </w:tr>
      <w:tr w:rsidR="003B52CC" w:rsidRPr="00730AE6" w:rsidTr="00D54429">
        <w:trPr>
          <w:trHeight w:val="284"/>
          <w:jc w:val="center"/>
        </w:trPr>
        <w:tc>
          <w:tcPr>
            <w:tcW w:w="2654" w:type="dxa"/>
            <w:tcBorders>
              <w:top w:val="single" w:sz="2" w:space="0" w:color="auto"/>
              <w:bottom w:val="single" w:sz="2" w:space="0" w:color="auto"/>
            </w:tcBorders>
            <w:shd w:val="clear" w:color="auto" w:fill="auto"/>
            <w:noWrap/>
            <w:vAlign w:val="center"/>
          </w:tcPr>
          <w:p w:rsidR="003B52CC" w:rsidRPr="00730AE6" w:rsidRDefault="003B52CC" w:rsidP="00825A54">
            <w:pPr>
              <w:spacing w:after="0"/>
              <w:ind w:firstLine="0"/>
              <w:jc w:val="left"/>
              <w:rPr>
                <w:rFonts w:ascii="Arial Narrow" w:hAnsi="Arial Narrow"/>
                <w:sz w:val="18"/>
                <w:szCs w:val="18"/>
                <w:lang w:val="es-ES" w:eastAsia="es-ES"/>
              </w:rPr>
            </w:pPr>
            <w:r w:rsidRPr="00730AE6">
              <w:rPr>
                <w:rFonts w:ascii="Arial Narrow" w:hAnsi="Arial Narrow"/>
                <w:sz w:val="18"/>
                <w:szCs w:val="18"/>
                <w:lang w:val="es-ES" w:eastAsia="es-ES"/>
              </w:rPr>
              <w:t>Otras retribuciones</w:t>
            </w:r>
          </w:p>
        </w:tc>
        <w:tc>
          <w:tcPr>
            <w:tcW w:w="2474" w:type="dxa"/>
            <w:tcBorders>
              <w:top w:val="single" w:sz="2" w:space="0" w:color="auto"/>
              <w:bottom w:val="single" w:sz="2" w:space="0" w:color="auto"/>
            </w:tcBorders>
            <w:vAlign w:val="center"/>
          </w:tcPr>
          <w:p w:rsidR="003B52CC" w:rsidRPr="005140B9" w:rsidRDefault="005140B9" w:rsidP="005140B9">
            <w:pPr>
              <w:spacing w:after="0"/>
              <w:ind w:firstLine="0"/>
              <w:jc w:val="right"/>
              <w:rPr>
                <w:rFonts w:ascii="Arial Narrow" w:hAnsi="Arial Narrow"/>
                <w:sz w:val="18"/>
                <w:szCs w:val="18"/>
                <w:lang w:val="es-ES" w:eastAsia="es-ES"/>
              </w:rPr>
            </w:pPr>
            <w:r w:rsidRPr="005140B9">
              <w:rPr>
                <w:rFonts w:ascii="Arial Narrow" w:hAnsi="Arial Narrow"/>
                <w:sz w:val="18"/>
                <w:szCs w:val="18"/>
                <w:lang w:val="es-ES" w:eastAsia="es-ES"/>
              </w:rPr>
              <w:t>63</w:t>
            </w:r>
          </w:p>
        </w:tc>
        <w:tc>
          <w:tcPr>
            <w:tcW w:w="2214" w:type="dxa"/>
            <w:tcBorders>
              <w:top w:val="single" w:sz="2" w:space="0" w:color="auto"/>
              <w:bottom w:val="single" w:sz="2" w:space="0" w:color="auto"/>
            </w:tcBorders>
            <w:shd w:val="clear" w:color="auto" w:fill="auto"/>
            <w:noWrap/>
            <w:vAlign w:val="center"/>
          </w:tcPr>
          <w:p w:rsidR="003B52CC" w:rsidRPr="00730AE6" w:rsidRDefault="003B52CC" w:rsidP="00825A54">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265</w:t>
            </w:r>
          </w:p>
        </w:tc>
        <w:tc>
          <w:tcPr>
            <w:tcW w:w="1637" w:type="dxa"/>
            <w:tcBorders>
              <w:top w:val="single" w:sz="2" w:space="0" w:color="auto"/>
              <w:bottom w:val="single" w:sz="2" w:space="0" w:color="auto"/>
            </w:tcBorders>
            <w:shd w:val="clear" w:color="auto" w:fill="auto"/>
            <w:noWrap/>
            <w:vAlign w:val="center"/>
          </w:tcPr>
          <w:p w:rsidR="003B52CC" w:rsidRPr="00730AE6" w:rsidRDefault="001F5B7B" w:rsidP="00825A54">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321</w:t>
            </w:r>
          </w:p>
        </w:tc>
      </w:tr>
      <w:tr w:rsidR="003B52CC" w:rsidRPr="00730AE6" w:rsidTr="00D54429">
        <w:trPr>
          <w:trHeight w:val="284"/>
          <w:jc w:val="center"/>
        </w:trPr>
        <w:tc>
          <w:tcPr>
            <w:tcW w:w="2654" w:type="dxa"/>
            <w:tcBorders>
              <w:top w:val="single" w:sz="2" w:space="0" w:color="auto"/>
              <w:bottom w:val="single" w:sz="2" w:space="0" w:color="auto"/>
            </w:tcBorders>
            <w:shd w:val="clear" w:color="auto" w:fill="auto"/>
            <w:noWrap/>
            <w:vAlign w:val="center"/>
          </w:tcPr>
          <w:p w:rsidR="003B52CC" w:rsidRPr="00730AE6" w:rsidRDefault="003B52CC" w:rsidP="00825A54">
            <w:pPr>
              <w:spacing w:after="0"/>
              <w:ind w:firstLine="0"/>
              <w:jc w:val="left"/>
              <w:rPr>
                <w:rFonts w:ascii="Arial Narrow" w:hAnsi="Arial Narrow"/>
                <w:sz w:val="18"/>
                <w:szCs w:val="18"/>
                <w:lang w:val="es-ES" w:eastAsia="es-ES"/>
              </w:rPr>
            </w:pPr>
            <w:r w:rsidRPr="00730AE6">
              <w:rPr>
                <w:rFonts w:ascii="Arial Narrow" w:hAnsi="Arial Narrow"/>
                <w:sz w:val="18"/>
                <w:szCs w:val="18"/>
                <w:lang w:val="es-ES" w:eastAsia="es-ES"/>
              </w:rPr>
              <w:t>Cargas sociales</w:t>
            </w:r>
          </w:p>
        </w:tc>
        <w:tc>
          <w:tcPr>
            <w:tcW w:w="2474" w:type="dxa"/>
            <w:tcBorders>
              <w:top w:val="single" w:sz="2" w:space="0" w:color="auto"/>
              <w:bottom w:val="single" w:sz="2" w:space="0" w:color="auto"/>
            </w:tcBorders>
            <w:vAlign w:val="center"/>
          </w:tcPr>
          <w:p w:rsidR="003B52CC" w:rsidRPr="005140B9" w:rsidRDefault="005140B9" w:rsidP="005140B9">
            <w:pPr>
              <w:spacing w:after="0"/>
              <w:ind w:firstLine="0"/>
              <w:jc w:val="right"/>
              <w:rPr>
                <w:rFonts w:ascii="Arial Narrow" w:hAnsi="Arial Narrow"/>
                <w:sz w:val="18"/>
                <w:szCs w:val="18"/>
                <w:lang w:val="es-ES" w:eastAsia="es-ES"/>
              </w:rPr>
            </w:pPr>
            <w:r w:rsidRPr="005140B9">
              <w:rPr>
                <w:rFonts w:ascii="Arial Narrow" w:hAnsi="Arial Narrow"/>
                <w:sz w:val="18"/>
                <w:szCs w:val="18"/>
                <w:lang w:val="es-ES" w:eastAsia="es-ES"/>
              </w:rPr>
              <w:t>7.175</w:t>
            </w:r>
          </w:p>
        </w:tc>
        <w:tc>
          <w:tcPr>
            <w:tcW w:w="2214" w:type="dxa"/>
            <w:tcBorders>
              <w:top w:val="single" w:sz="2" w:space="0" w:color="auto"/>
              <w:bottom w:val="single" w:sz="2" w:space="0" w:color="auto"/>
            </w:tcBorders>
            <w:shd w:val="clear" w:color="auto" w:fill="auto"/>
            <w:noWrap/>
            <w:vAlign w:val="center"/>
          </w:tcPr>
          <w:p w:rsidR="003B52CC" w:rsidRPr="00730AE6" w:rsidRDefault="003B52CC" w:rsidP="00825A54">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7.849</w:t>
            </w:r>
          </w:p>
        </w:tc>
        <w:tc>
          <w:tcPr>
            <w:tcW w:w="1637" w:type="dxa"/>
            <w:tcBorders>
              <w:top w:val="single" w:sz="2" w:space="0" w:color="auto"/>
              <w:bottom w:val="single" w:sz="2" w:space="0" w:color="auto"/>
            </w:tcBorders>
            <w:shd w:val="clear" w:color="auto" w:fill="auto"/>
            <w:noWrap/>
            <w:vAlign w:val="center"/>
          </w:tcPr>
          <w:p w:rsidR="003B52CC" w:rsidRPr="00730AE6" w:rsidRDefault="001F5B7B" w:rsidP="00825A54">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9</w:t>
            </w:r>
          </w:p>
        </w:tc>
      </w:tr>
      <w:tr w:rsidR="003B52CC" w:rsidRPr="00730AE6" w:rsidTr="00D54429">
        <w:trPr>
          <w:trHeight w:val="284"/>
          <w:jc w:val="center"/>
        </w:trPr>
        <w:tc>
          <w:tcPr>
            <w:tcW w:w="2654" w:type="dxa"/>
            <w:tcBorders>
              <w:top w:val="single" w:sz="2" w:space="0" w:color="auto"/>
              <w:bottom w:val="single" w:sz="2" w:space="0" w:color="auto"/>
            </w:tcBorders>
            <w:shd w:val="clear" w:color="auto" w:fill="auto"/>
            <w:noWrap/>
            <w:vAlign w:val="center"/>
          </w:tcPr>
          <w:p w:rsidR="003B52CC" w:rsidRPr="00730AE6" w:rsidRDefault="003B52CC" w:rsidP="00825A54">
            <w:pPr>
              <w:spacing w:after="0"/>
              <w:ind w:firstLine="0"/>
              <w:jc w:val="left"/>
              <w:rPr>
                <w:rFonts w:ascii="Arial Narrow" w:hAnsi="Arial Narrow"/>
                <w:sz w:val="18"/>
                <w:szCs w:val="18"/>
                <w:lang w:val="es-ES" w:eastAsia="es-ES"/>
              </w:rPr>
            </w:pPr>
            <w:r w:rsidRPr="00730AE6">
              <w:rPr>
                <w:rFonts w:ascii="Arial Narrow" w:hAnsi="Arial Narrow"/>
                <w:sz w:val="18"/>
                <w:szCs w:val="18"/>
                <w:lang w:val="es-ES" w:eastAsia="es-ES"/>
              </w:rPr>
              <w:t>Formación</w:t>
            </w:r>
          </w:p>
        </w:tc>
        <w:tc>
          <w:tcPr>
            <w:tcW w:w="2474" w:type="dxa"/>
            <w:tcBorders>
              <w:top w:val="single" w:sz="2" w:space="0" w:color="auto"/>
              <w:bottom w:val="single" w:sz="2" w:space="0" w:color="auto"/>
            </w:tcBorders>
            <w:vAlign w:val="center"/>
          </w:tcPr>
          <w:p w:rsidR="003B52CC" w:rsidRPr="005140B9" w:rsidRDefault="005140B9" w:rsidP="005140B9">
            <w:pPr>
              <w:spacing w:after="0"/>
              <w:ind w:firstLine="0"/>
              <w:jc w:val="right"/>
              <w:rPr>
                <w:rFonts w:ascii="Arial Narrow" w:hAnsi="Arial Narrow"/>
                <w:sz w:val="18"/>
                <w:szCs w:val="18"/>
                <w:lang w:val="es-ES" w:eastAsia="es-ES"/>
              </w:rPr>
            </w:pPr>
            <w:r w:rsidRPr="005140B9">
              <w:rPr>
                <w:rFonts w:ascii="Arial Narrow" w:hAnsi="Arial Narrow"/>
                <w:sz w:val="18"/>
                <w:szCs w:val="18"/>
                <w:lang w:val="es-ES" w:eastAsia="es-ES"/>
              </w:rPr>
              <w:t>126</w:t>
            </w:r>
          </w:p>
        </w:tc>
        <w:tc>
          <w:tcPr>
            <w:tcW w:w="2214" w:type="dxa"/>
            <w:tcBorders>
              <w:top w:val="single" w:sz="2" w:space="0" w:color="auto"/>
              <w:bottom w:val="single" w:sz="2" w:space="0" w:color="auto"/>
            </w:tcBorders>
            <w:shd w:val="clear" w:color="auto" w:fill="auto"/>
            <w:noWrap/>
            <w:vAlign w:val="center"/>
          </w:tcPr>
          <w:p w:rsidR="003B52CC" w:rsidRPr="00730AE6" w:rsidRDefault="003B52CC" w:rsidP="00825A54">
            <w:pPr>
              <w:spacing w:after="0"/>
              <w:ind w:firstLine="0"/>
              <w:jc w:val="right"/>
              <w:rPr>
                <w:rFonts w:ascii="Arial Narrow" w:hAnsi="Arial Narrow"/>
                <w:sz w:val="18"/>
                <w:szCs w:val="18"/>
                <w:lang w:val="es-ES" w:eastAsia="es-ES"/>
              </w:rPr>
            </w:pPr>
            <w:r w:rsidRPr="00730AE6">
              <w:rPr>
                <w:rFonts w:ascii="Arial Narrow" w:hAnsi="Arial Narrow"/>
                <w:sz w:val="18"/>
                <w:szCs w:val="18"/>
                <w:lang w:val="es-ES" w:eastAsia="es-ES"/>
              </w:rPr>
              <w:t>124</w:t>
            </w:r>
          </w:p>
        </w:tc>
        <w:tc>
          <w:tcPr>
            <w:tcW w:w="1637" w:type="dxa"/>
            <w:tcBorders>
              <w:top w:val="single" w:sz="2" w:space="0" w:color="auto"/>
              <w:bottom w:val="single" w:sz="2" w:space="0" w:color="auto"/>
            </w:tcBorders>
            <w:shd w:val="clear" w:color="auto" w:fill="auto"/>
            <w:noWrap/>
            <w:vAlign w:val="center"/>
          </w:tcPr>
          <w:p w:rsidR="003B52CC" w:rsidRPr="00730AE6" w:rsidRDefault="001F5B7B" w:rsidP="00825A54">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w:t>
            </w:r>
          </w:p>
        </w:tc>
      </w:tr>
      <w:tr w:rsidR="003B52CC" w:rsidRPr="00730AE6" w:rsidTr="00D54429">
        <w:trPr>
          <w:trHeight w:val="284"/>
          <w:jc w:val="center"/>
        </w:trPr>
        <w:tc>
          <w:tcPr>
            <w:tcW w:w="2654" w:type="dxa"/>
            <w:tcBorders>
              <w:top w:val="single" w:sz="2" w:space="0" w:color="auto"/>
              <w:bottom w:val="single" w:sz="2" w:space="0" w:color="auto"/>
            </w:tcBorders>
            <w:shd w:val="clear" w:color="auto" w:fill="A8CBEE" w:themeFill="accent2" w:themeFillTint="66"/>
            <w:noWrap/>
            <w:vAlign w:val="center"/>
          </w:tcPr>
          <w:p w:rsidR="003B52CC" w:rsidRPr="00730AE6" w:rsidRDefault="003B52CC" w:rsidP="00825A54">
            <w:pPr>
              <w:pStyle w:val="cuadroCabe"/>
              <w:rPr>
                <w:lang w:val="es-ES" w:eastAsia="es-ES"/>
              </w:rPr>
            </w:pPr>
            <w:r w:rsidRPr="00730AE6">
              <w:rPr>
                <w:lang w:val="es-ES" w:eastAsia="es-ES"/>
              </w:rPr>
              <w:t>Total gastos de personal</w:t>
            </w:r>
          </w:p>
        </w:tc>
        <w:tc>
          <w:tcPr>
            <w:tcW w:w="2474" w:type="dxa"/>
            <w:tcBorders>
              <w:top w:val="single" w:sz="2" w:space="0" w:color="auto"/>
              <w:bottom w:val="single" w:sz="2" w:space="0" w:color="auto"/>
            </w:tcBorders>
            <w:shd w:val="clear" w:color="auto" w:fill="A8CBEE" w:themeFill="accent2" w:themeFillTint="66"/>
            <w:vAlign w:val="center"/>
          </w:tcPr>
          <w:p w:rsidR="003B52CC" w:rsidRPr="005140B9" w:rsidRDefault="005140B9" w:rsidP="005140B9">
            <w:pPr>
              <w:pStyle w:val="cuadroCabe"/>
              <w:jc w:val="right"/>
              <w:rPr>
                <w:lang w:val="es-ES" w:eastAsia="es-ES"/>
              </w:rPr>
            </w:pPr>
            <w:r>
              <w:rPr>
                <w:lang w:val="es-ES" w:eastAsia="es-ES"/>
              </w:rPr>
              <w:t>53.700</w:t>
            </w:r>
          </w:p>
        </w:tc>
        <w:tc>
          <w:tcPr>
            <w:tcW w:w="2214" w:type="dxa"/>
            <w:tcBorders>
              <w:top w:val="single" w:sz="2" w:space="0" w:color="auto"/>
              <w:bottom w:val="single" w:sz="2" w:space="0" w:color="auto"/>
            </w:tcBorders>
            <w:shd w:val="clear" w:color="auto" w:fill="A8CBEE" w:themeFill="accent2" w:themeFillTint="66"/>
            <w:noWrap/>
            <w:vAlign w:val="center"/>
          </w:tcPr>
          <w:p w:rsidR="003B52CC" w:rsidRPr="00730AE6" w:rsidRDefault="003B52CC" w:rsidP="00825A54">
            <w:pPr>
              <w:pStyle w:val="cuadroCabe"/>
              <w:jc w:val="right"/>
              <w:rPr>
                <w:lang w:val="es-ES" w:eastAsia="es-ES"/>
              </w:rPr>
            </w:pPr>
            <w:r w:rsidRPr="00730AE6">
              <w:rPr>
                <w:lang w:val="es-ES" w:eastAsia="es-ES"/>
              </w:rPr>
              <w:t>57.544</w:t>
            </w:r>
          </w:p>
        </w:tc>
        <w:tc>
          <w:tcPr>
            <w:tcW w:w="1637" w:type="dxa"/>
            <w:tcBorders>
              <w:top w:val="single" w:sz="2" w:space="0" w:color="auto"/>
              <w:bottom w:val="single" w:sz="2" w:space="0" w:color="auto"/>
            </w:tcBorders>
            <w:shd w:val="clear" w:color="auto" w:fill="A8CBEE" w:themeFill="accent2" w:themeFillTint="66"/>
            <w:noWrap/>
            <w:vAlign w:val="center"/>
          </w:tcPr>
          <w:p w:rsidR="003B52CC" w:rsidRPr="00730AE6" w:rsidRDefault="001F5B7B" w:rsidP="00825A54">
            <w:pPr>
              <w:pStyle w:val="cuadroCabe"/>
              <w:jc w:val="right"/>
              <w:rPr>
                <w:lang w:val="es-ES" w:eastAsia="es-ES"/>
              </w:rPr>
            </w:pPr>
            <w:r>
              <w:rPr>
                <w:lang w:val="es-ES" w:eastAsia="es-ES"/>
              </w:rPr>
              <w:t>7</w:t>
            </w:r>
          </w:p>
        </w:tc>
      </w:tr>
    </w:tbl>
    <w:p w:rsidR="002E04BF" w:rsidRPr="00616D28" w:rsidRDefault="002E04BF" w:rsidP="00D54429">
      <w:pPr>
        <w:pStyle w:val="texto"/>
        <w:tabs>
          <w:tab w:val="clear" w:pos="2835"/>
          <w:tab w:val="clear" w:pos="3969"/>
          <w:tab w:val="clear" w:pos="5103"/>
          <w:tab w:val="clear" w:pos="6237"/>
          <w:tab w:val="clear" w:pos="7371"/>
          <w:tab w:val="left" w:pos="480"/>
          <w:tab w:val="num" w:pos="928"/>
          <w:tab w:val="num" w:pos="6597"/>
        </w:tabs>
        <w:spacing w:before="60"/>
        <w:ind w:left="142" w:firstLine="0"/>
        <w:rPr>
          <w:rFonts w:ascii="Arial" w:hAnsi="Arial" w:cs="Arial"/>
          <w:sz w:val="14"/>
          <w:szCs w:val="14"/>
        </w:rPr>
      </w:pPr>
      <w:r w:rsidRPr="00616D28">
        <w:rPr>
          <w:rFonts w:ascii="Arial" w:hAnsi="Arial" w:cs="Arial"/>
          <w:sz w:val="14"/>
          <w:szCs w:val="14"/>
        </w:rPr>
        <w:t>*Ejercicio no auditado</w:t>
      </w:r>
    </w:p>
    <w:p w:rsidR="003458B7" w:rsidRDefault="00A6610C" w:rsidP="006955A6">
      <w:pPr>
        <w:pStyle w:val="texto"/>
        <w:tabs>
          <w:tab w:val="clear" w:pos="2835"/>
          <w:tab w:val="clear" w:pos="3969"/>
          <w:tab w:val="clear" w:pos="5103"/>
          <w:tab w:val="clear" w:pos="6237"/>
          <w:tab w:val="clear" w:pos="7371"/>
          <w:tab w:val="left" w:pos="480"/>
          <w:tab w:val="num" w:pos="928"/>
          <w:tab w:val="num" w:pos="6597"/>
        </w:tabs>
        <w:spacing w:before="120" w:after="240"/>
        <w:rPr>
          <w:szCs w:val="26"/>
        </w:rPr>
      </w:pPr>
      <w:r>
        <w:rPr>
          <w:szCs w:val="26"/>
        </w:rPr>
        <w:t>Respecto a 2016, l</w:t>
      </w:r>
      <w:r w:rsidR="00B0366B" w:rsidRPr="00730AE6">
        <w:rPr>
          <w:szCs w:val="26"/>
        </w:rPr>
        <w:t xml:space="preserve">os gastos de personal se han incrementado un siete por ciento. </w:t>
      </w:r>
      <w:r w:rsidR="00E641B4" w:rsidRPr="003458B7">
        <w:rPr>
          <w:szCs w:val="26"/>
        </w:rPr>
        <w:t>El aumento del concepto “otras retribuciones”</w:t>
      </w:r>
      <w:r w:rsidR="003458B7" w:rsidRPr="003458B7">
        <w:rPr>
          <w:szCs w:val="26"/>
        </w:rPr>
        <w:t xml:space="preserve"> </w:t>
      </w:r>
      <w:r w:rsidR="00D54429">
        <w:rPr>
          <w:szCs w:val="26"/>
        </w:rPr>
        <w:t>–</w:t>
      </w:r>
      <w:r w:rsidR="003458B7" w:rsidRPr="003458B7">
        <w:rPr>
          <w:szCs w:val="26"/>
        </w:rPr>
        <w:t>321 por ciento</w:t>
      </w:r>
      <w:r w:rsidR="00D54429">
        <w:rPr>
          <w:szCs w:val="26"/>
        </w:rPr>
        <w:t>–</w:t>
      </w:r>
      <w:r w:rsidR="005F01DB">
        <w:rPr>
          <w:szCs w:val="26"/>
        </w:rPr>
        <w:t xml:space="preserve"> </w:t>
      </w:r>
      <w:r w:rsidR="00E641B4" w:rsidRPr="003458B7">
        <w:rPr>
          <w:szCs w:val="26"/>
        </w:rPr>
        <w:t xml:space="preserve">se debe a la imputación en este capítulo de los gastos </w:t>
      </w:r>
      <w:r w:rsidR="003458B7" w:rsidRPr="003458B7">
        <w:rPr>
          <w:szCs w:val="26"/>
        </w:rPr>
        <w:t xml:space="preserve">del personal de la </w:t>
      </w:r>
      <w:r w:rsidR="009D7DD5">
        <w:rPr>
          <w:szCs w:val="26"/>
        </w:rPr>
        <w:t>Universidad</w:t>
      </w:r>
      <w:r w:rsidR="003458B7" w:rsidRPr="003458B7">
        <w:rPr>
          <w:szCs w:val="26"/>
        </w:rPr>
        <w:t xml:space="preserve"> </w:t>
      </w:r>
      <w:r w:rsidR="003458B7">
        <w:rPr>
          <w:szCs w:val="26"/>
        </w:rPr>
        <w:t xml:space="preserve">que participa </w:t>
      </w:r>
      <w:r w:rsidR="003458B7" w:rsidRPr="003458B7">
        <w:rPr>
          <w:szCs w:val="26"/>
        </w:rPr>
        <w:t xml:space="preserve">en actividades de la </w:t>
      </w:r>
      <w:r w:rsidR="00723883">
        <w:rPr>
          <w:szCs w:val="26"/>
        </w:rPr>
        <w:t>Fundación</w:t>
      </w:r>
      <w:r w:rsidR="003458B7" w:rsidRPr="003458B7">
        <w:rPr>
          <w:szCs w:val="26"/>
        </w:rPr>
        <w:t xml:space="preserve"> (</w:t>
      </w:r>
      <w:r w:rsidR="00026109">
        <w:rPr>
          <w:szCs w:val="26"/>
        </w:rPr>
        <w:t>enseñanzas propias y cursos de idi</w:t>
      </w:r>
      <w:r w:rsidR="00026109">
        <w:rPr>
          <w:szCs w:val="26"/>
        </w:rPr>
        <w:t>o</w:t>
      </w:r>
      <w:r w:rsidR="00026109">
        <w:rPr>
          <w:szCs w:val="26"/>
        </w:rPr>
        <w:t>mas)</w:t>
      </w:r>
      <w:r w:rsidR="00E641B4" w:rsidRPr="003458B7">
        <w:rPr>
          <w:szCs w:val="26"/>
        </w:rPr>
        <w:t xml:space="preserve"> </w:t>
      </w:r>
      <w:r w:rsidR="003458B7">
        <w:rPr>
          <w:szCs w:val="26"/>
        </w:rPr>
        <w:t xml:space="preserve">y </w:t>
      </w:r>
      <w:r w:rsidR="00E641B4" w:rsidRPr="003458B7">
        <w:rPr>
          <w:szCs w:val="26"/>
        </w:rPr>
        <w:t>que hasta el tercer trimestre del año 2016 se imputaban al capítulo dos</w:t>
      </w:r>
      <w:r w:rsidR="003458B7" w:rsidRPr="00A20116">
        <w:rPr>
          <w:szCs w:val="26"/>
        </w:rPr>
        <w:t>.</w:t>
      </w:r>
    </w:p>
    <w:p w:rsidR="00670292" w:rsidRDefault="00670292">
      <w:pPr>
        <w:spacing w:after="0"/>
        <w:ind w:firstLine="0"/>
        <w:jc w:val="left"/>
        <w:rPr>
          <w:rFonts w:ascii="Arial" w:hAnsi="Arial"/>
          <w:i/>
          <w:iCs/>
          <w:color w:val="000000"/>
          <w:spacing w:val="10"/>
          <w:kern w:val="28"/>
          <w:sz w:val="25"/>
          <w:szCs w:val="26"/>
        </w:rPr>
      </w:pPr>
      <w:r>
        <w:br w:type="page"/>
      </w:r>
    </w:p>
    <w:p w:rsidR="006C4251" w:rsidRPr="00D21F1E" w:rsidRDefault="006C4251" w:rsidP="00616D28">
      <w:pPr>
        <w:pStyle w:val="atitulo3"/>
      </w:pPr>
      <w:r w:rsidRPr="00D21F1E">
        <w:lastRenderedPageBreak/>
        <w:t>Personal docente e investigador (PDI)</w:t>
      </w:r>
    </w:p>
    <w:p w:rsidR="00C028AA" w:rsidRDefault="00C028AA" w:rsidP="00E93D0B">
      <w:pPr>
        <w:pStyle w:val="texto"/>
        <w:tabs>
          <w:tab w:val="clear" w:pos="2835"/>
          <w:tab w:val="clear" w:pos="3969"/>
          <w:tab w:val="clear" w:pos="5103"/>
          <w:tab w:val="clear" w:pos="6237"/>
          <w:tab w:val="clear" w:pos="7371"/>
          <w:tab w:val="num" w:pos="300"/>
        </w:tabs>
        <w:rPr>
          <w:szCs w:val="26"/>
        </w:rPr>
      </w:pPr>
      <w:r>
        <w:rPr>
          <w:szCs w:val="26"/>
        </w:rPr>
        <w:t xml:space="preserve">Por Acuerdo </w:t>
      </w:r>
      <w:r w:rsidR="00293E1E">
        <w:rPr>
          <w:szCs w:val="26"/>
        </w:rPr>
        <w:t xml:space="preserve">del Consejo </w:t>
      </w:r>
      <w:r>
        <w:rPr>
          <w:szCs w:val="26"/>
        </w:rPr>
        <w:t xml:space="preserve">de Gobierno de </w:t>
      </w:r>
      <w:r w:rsidR="00422452">
        <w:rPr>
          <w:szCs w:val="26"/>
        </w:rPr>
        <w:t>1</w:t>
      </w:r>
      <w:r>
        <w:rPr>
          <w:szCs w:val="26"/>
        </w:rPr>
        <w:t>5 de diciembre de 201</w:t>
      </w:r>
      <w:r w:rsidR="00422452">
        <w:rPr>
          <w:szCs w:val="26"/>
        </w:rPr>
        <w:t>7</w:t>
      </w:r>
      <w:r>
        <w:rPr>
          <w:szCs w:val="26"/>
        </w:rPr>
        <w:t xml:space="preserve">, se aprueba la relación de puestos de trabajo del PDI de la </w:t>
      </w:r>
      <w:r w:rsidR="009D7DD5">
        <w:rPr>
          <w:szCs w:val="26"/>
        </w:rPr>
        <w:t>Universidad</w:t>
      </w:r>
      <w:r w:rsidR="00422452">
        <w:rPr>
          <w:szCs w:val="26"/>
        </w:rPr>
        <w:t>.</w:t>
      </w:r>
    </w:p>
    <w:p w:rsidR="00662E59" w:rsidRDefault="00C028AA" w:rsidP="005F01DB">
      <w:pPr>
        <w:pStyle w:val="texto"/>
        <w:tabs>
          <w:tab w:val="clear" w:pos="2835"/>
          <w:tab w:val="clear" w:pos="3969"/>
          <w:tab w:val="clear" w:pos="5103"/>
          <w:tab w:val="clear" w:pos="6237"/>
          <w:tab w:val="clear" w:pos="7371"/>
          <w:tab w:val="num" w:pos="300"/>
        </w:tabs>
        <w:spacing w:after="240"/>
        <w:rPr>
          <w:szCs w:val="26"/>
        </w:rPr>
      </w:pPr>
      <w:r>
        <w:rPr>
          <w:szCs w:val="26"/>
        </w:rPr>
        <w:t xml:space="preserve">El número de puestos de trabajo asciende a </w:t>
      </w:r>
      <w:r w:rsidR="002E2B0E" w:rsidRPr="006C20FA">
        <w:rPr>
          <w:szCs w:val="26"/>
        </w:rPr>
        <w:t>1.0</w:t>
      </w:r>
      <w:r w:rsidR="00422452">
        <w:rPr>
          <w:szCs w:val="26"/>
        </w:rPr>
        <w:t>11</w:t>
      </w:r>
      <w:r w:rsidR="006C20FA" w:rsidRPr="006C20FA">
        <w:rPr>
          <w:szCs w:val="26"/>
        </w:rPr>
        <w:t>.</w:t>
      </w:r>
      <w:r w:rsidR="00E73672" w:rsidRPr="006C20FA">
        <w:rPr>
          <w:szCs w:val="26"/>
        </w:rPr>
        <w:t xml:space="preserve"> </w:t>
      </w:r>
      <w:r w:rsidR="00662E59" w:rsidRPr="00662E59">
        <w:rPr>
          <w:szCs w:val="26"/>
        </w:rPr>
        <w:t>Su clasificación</w:t>
      </w:r>
      <w:r w:rsidR="00662E59">
        <w:rPr>
          <w:szCs w:val="26"/>
        </w:rPr>
        <w:t xml:space="preserve"> por categoría</w:t>
      </w:r>
      <w:r w:rsidR="00F85A6C">
        <w:rPr>
          <w:szCs w:val="26"/>
        </w:rPr>
        <w:t xml:space="preserve">s de personal </w:t>
      </w:r>
      <w:r w:rsidR="00662E59">
        <w:rPr>
          <w:szCs w:val="26"/>
        </w:rPr>
        <w:t>es la siguiente:</w:t>
      </w:r>
    </w:p>
    <w:tbl>
      <w:tblPr>
        <w:tblW w:w="9064" w:type="dxa"/>
        <w:jc w:val="center"/>
        <w:tblLayout w:type="fixed"/>
        <w:tblLook w:val="01E0" w:firstRow="1" w:lastRow="1" w:firstColumn="1" w:lastColumn="1" w:noHBand="0" w:noVBand="0"/>
      </w:tblPr>
      <w:tblGrid>
        <w:gridCol w:w="4509"/>
        <w:gridCol w:w="2901"/>
        <w:gridCol w:w="1654"/>
      </w:tblGrid>
      <w:tr w:rsidR="00E73672" w:rsidRPr="00D54429" w:rsidTr="00F40719">
        <w:trPr>
          <w:trHeight w:val="284"/>
          <w:jc w:val="center"/>
        </w:trPr>
        <w:tc>
          <w:tcPr>
            <w:tcW w:w="4509" w:type="dxa"/>
            <w:tcBorders>
              <w:top w:val="single" w:sz="4" w:space="0" w:color="auto"/>
              <w:bottom w:val="single" w:sz="2" w:space="0" w:color="auto"/>
            </w:tcBorders>
            <w:shd w:val="clear" w:color="auto" w:fill="A0C3E3" w:themeFill="accent1" w:themeFillTint="99"/>
            <w:vAlign w:val="center"/>
          </w:tcPr>
          <w:p w:rsidR="00E73672" w:rsidRPr="00D54429" w:rsidRDefault="00E73672" w:rsidP="00FF1E60">
            <w:pPr>
              <w:spacing w:after="0"/>
              <w:ind w:firstLine="0"/>
              <w:jc w:val="left"/>
              <w:rPr>
                <w:rFonts w:ascii="Arial" w:hAnsi="Arial" w:cs="Arial"/>
                <w:sz w:val="18"/>
                <w:szCs w:val="18"/>
                <w:lang w:val="es-ES" w:eastAsia="es-ES"/>
              </w:rPr>
            </w:pPr>
            <w:r w:rsidRPr="00D54429">
              <w:rPr>
                <w:rFonts w:ascii="Arial" w:hAnsi="Arial" w:cs="Arial"/>
                <w:sz w:val="18"/>
                <w:szCs w:val="18"/>
                <w:lang w:val="es-ES" w:eastAsia="es-ES"/>
              </w:rPr>
              <w:t>Categoría</w:t>
            </w:r>
          </w:p>
        </w:tc>
        <w:tc>
          <w:tcPr>
            <w:tcW w:w="2901" w:type="dxa"/>
            <w:tcBorders>
              <w:top w:val="single" w:sz="4" w:space="0" w:color="auto"/>
              <w:bottom w:val="single" w:sz="2" w:space="0" w:color="auto"/>
            </w:tcBorders>
            <w:shd w:val="clear" w:color="auto" w:fill="A0C3E3" w:themeFill="accent1" w:themeFillTint="99"/>
            <w:vAlign w:val="center"/>
          </w:tcPr>
          <w:p w:rsidR="00E73672" w:rsidRPr="00D54429" w:rsidRDefault="00422452" w:rsidP="00422452">
            <w:pPr>
              <w:spacing w:after="0"/>
              <w:ind w:firstLine="0"/>
              <w:jc w:val="right"/>
              <w:rPr>
                <w:rFonts w:ascii="Arial" w:hAnsi="Arial" w:cs="Arial"/>
                <w:sz w:val="18"/>
                <w:szCs w:val="18"/>
                <w:lang w:val="es-ES" w:eastAsia="es-ES"/>
              </w:rPr>
            </w:pPr>
            <w:r>
              <w:rPr>
                <w:rFonts w:ascii="Arial" w:hAnsi="Arial" w:cs="Arial"/>
                <w:sz w:val="18"/>
                <w:szCs w:val="18"/>
                <w:lang w:val="es-ES" w:eastAsia="es-ES"/>
              </w:rPr>
              <w:t>2016</w:t>
            </w:r>
          </w:p>
        </w:tc>
        <w:tc>
          <w:tcPr>
            <w:tcW w:w="1654" w:type="dxa"/>
            <w:tcBorders>
              <w:top w:val="single" w:sz="4" w:space="0" w:color="auto"/>
              <w:bottom w:val="single" w:sz="2" w:space="0" w:color="auto"/>
            </w:tcBorders>
            <w:shd w:val="clear" w:color="auto" w:fill="A0C3E3" w:themeFill="accent1" w:themeFillTint="99"/>
            <w:vAlign w:val="center"/>
          </w:tcPr>
          <w:p w:rsidR="00E73672" w:rsidRPr="00D54429" w:rsidRDefault="00422452" w:rsidP="00422452">
            <w:pPr>
              <w:spacing w:after="0"/>
              <w:ind w:firstLine="0"/>
              <w:jc w:val="right"/>
              <w:rPr>
                <w:rFonts w:ascii="Arial" w:hAnsi="Arial" w:cs="Arial"/>
                <w:sz w:val="18"/>
                <w:szCs w:val="18"/>
                <w:lang w:val="es-ES" w:eastAsia="es-ES"/>
              </w:rPr>
            </w:pPr>
            <w:r>
              <w:rPr>
                <w:rFonts w:ascii="Arial" w:hAnsi="Arial" w:cs="Arial"/>
                <w:sz w:val="18"/>
                <w:szCs w:val="18"/>
                <w:lang w:val="es-ES" w:eastAsia="es-ES"/>
              </w:rPr>
              <w:t>2017</w:t>
            </w:r>
          </w:p>
        </w:tc>
      </w:tr>
      <w:tr w:rsidR="00422452" w:rsidRPr="00C06458" w:rsidTr="00F40719">
        <w:trPr>
          <w:trHeight w:val="284"/>
          <w:jc w:val="center"/>
        </w:trPr>
        <w:tc>
          <w:tcPr>
            <w:tcW w:w="4509" w:type="dxa"/>
            <w:tcBorders>
              <w:top w:val="single" w:sz="4" w:space="0" w:color="auto"/>
              <w:bottom w:val="single" w:sz="2" w:space="0" w:color="auto"/>
            </w:tcBorders>
            <w:vAlign w:val="center"/>
          </w:tcPr>
          <w:p w:rsidR="00422452" w:rsidRPr="00C06458" w:rsidRDefault="00422452" w:rsidP="00FF1E60">
            <w:pPr>
              <w:spacing w:after="0"/>
              <w:ind w:firstLine="0"/>
              <w:jc w:val="left"/>
              <w:rPr>
                <w:rFonts w:ascii="Arial Narrow" w:hAnsi="Arial Narrow"/>
                <w:b/>
                <w:i/>
                <w:lang w:val="es-ES" w:eastAsia="es-ES"/>
              </w:rPr>
            </w:pPr>
            <w:r w:rsidRPr="00C06458">
              <w:rPr>
                <w:rFonts w:ascii="Arial Narrow" w:hAnsi="Arial Narrow"/>
                <w:b/>
                <w:i/>
                <w:lang w:val="es-ES" w:eastAsia="es-ES"/>
              </w:rPr>
              <w:t>Funcionarios</w:t>
            </w:r>
          </w:p>
        </w:tc>
        <w:tc>
          <w:tcPr>
            <w:tcW w:w="2901" w:type="dxa"/>
            <w:tcBorders>
              <w:top w:val="single" w:sz="4" w:space="0" w:color="auto"/>
              <w:bottom w:val="single" w:sz="2" w:space="0" w:color="auto"/>
            </w:tcBorders>
            <w:vAlign w:val="center"/>
          </w:tcPr>
          <w:p w:rsidR="00422452" w:rsidRPr="00C06458" w:rsidRDefault="00422452" w:rsidP="00026109">
            <w:pPr>
              <w:spacing w:after="0"/>
              <w:ind w:firstLine="0"/>
              <w:jc w:val="right"/>
              <w:rPr>
                <w:rFonts w:ascii="Arial Narrow" w:hAnsi="Arial Narrow"/>
                <w:b/>
                <w:i/>
                <w:lang w:val="es-ES" w:eastAsia="es-ES"/>
              </w:rPr>
            </w:pPr>
            <w:r>
              <w:rPr>
                <w:rFonts w:ascii="Arial Narrow" w:hAnsi="Arial Narrow"/>
                <w:b/>
                <w:i/>
                <w:lang w:val="es-ES" w:eastAsia="es-ES"/>
              </w:rPr>
              <w:t>379</w:t>
            </w:r>
          </w:p>
        </w:tc>
        <w:tc>
          <w:tcPr>
            <w:tcW w:w="1654" w:type="dxa"/>
            <w:tcBorders>
              <w:top w:val="single" w:sz="4" w:space="0" w:color="auto"/>
              <w:bottom w:val="single" w:sz="2" w:space="0" w:color="auto"/>
            </w:tcBorders>
            <w:vAlign w:val="center"/>
          </w:tcPr>
          <w:p w:rsidR="00422452" w:rsidRPr="00C06458" w:rsidRDefault="00422452" w:rsidP="00FF1E60">
            <w:pPr>
              <w:spacing w:after="0"/>
              <w:ind w:firstLine="0"/>
              <w:jc w:val="right"/>
              <w:rPr>
                <w:rFonts w:ascii="Arial Narrow" w:hAnsi="Arial Narrow"/>
                <w:b/>
                <w:i/>
                <w:lang w:val="es-ES" w:eastAsia="es-ES"/>
              </w:rPr>
            </w:pPr>
            <w:r>
              <w:rPr>
                <w:rFonts w:ascii="Arial Narrow" w:hAnsi="Arial Narrow"/>
                <w:b/>
                <w:i/>
                <w:lang w:val="es-ES" w:eastAsia="es-ES"/>
              </w:rPr>
              <w:t>379</w:t>
            </w:r>
          </w:p>
        </w:tc>
      </w:tr>
      <w:tr w:rsidR="00422452" w:rsidRPr="00E93D0B" w:rsidTr="00F40719">
        <w:trPr>
          <w:trHeight w:val="284"/>
          <w:jc w:val="center"/>
        </w:trPr>
        <w:tc>
          <w:tcPr>
            <w:tcW w:w="4509" w:type="dxa"/>
            <w:tcBorders>
              <w:top w:val="single" w:sz="4" w:space="0" w:color="auto"/>
              <w:bottom w:val="single" w:sz="2" w:space="0" w:color="auto"/>
            </w:tcBorders>
            <w:vAlign w:val="center"/>
          </w:tcPr>
          <w:p w:rsidR="00422452" w:rsidRDefault="00422452" w:rsidP="00FF1E60">
            <w:pPr>
              <w:spacing w:after="0"/>
              <w:ind w:firstLine="0"/>
              <w:jc w:val="left"/>
              <w:rPr>
                <w:rFonts w:ascii="Arial Narrow" w:hAnsi="Arial Narrow"/>
                <w:lang w:val="es-ES" w:eastAsia="es-ES"/>
              </w:rPr>
            </w:pPr>
            <w:r>
              <w:rPr>
                <w:rFonts w:ascii="Arial Narrow" w:hAnsi="Arial Narrow"/>
                <w:lang w:val="es-ES" w:eastAsia="es-ES"/>
              </w:rPr>
              <w:t>Catedrático/a  de Universidad</w:t>
            </w:r>
          </w:p>
        </w:tc>
        <w:tc>
          <w:tcPr>
            <w:tcW w:w="2901" w:type="dxa"/>
            <w:tcBorders>
              <w:top w:val="single" w:sz="4" w:space="0" w:color="auto"/>
              <w:bottom w:val="single" w:sz="2" w:space="0" w:color="auto"/>
            </w:tcBorders>
            <w:vAlign w:val="center"/>
          </w:tcPr>
          <w:p w:rsidR="00422452" w:rsidRPr="00E93D0B" w:rsidRDefault="00422452" w:rsidP="00026109">
            <w:pPr>
              <w:spacing w:after="0"/>
              <w:ind w:firstLine="0"/>
              <w:jc w:val="right"/>
              <w:rPr>
                <w:rFonts w:ascii="Arial Narrow" w:hAnsi="Arial Narrow"/>
                <w:lang w:val="es-ES" w:eastAsia="es-ES"/>
              </w:rPr>
            </w:pPr>
            <w:r>
              <w:rPr>
                <w:rFonts w:ascii="Arial Narrow" w:hAnsi="Arial Narrow"/>
                <w:lang w:val="es-ES" w:eastAsia="es-ES"/>
              </w:rPr>
              <w:t>95</w:t>
            </w:r>
          </w:p>
        </w:tc>
        <w:tc>
          <w:tcPr>
            <w:tcW w:w="1654" w:type="dxa"/>
            <w:tcBorders>
              <w:top w:val="single" w:sz="4" w:space="0" w:color="auto"/>
              <w:bottom w:val="single" w:sz="2" w:space="0" w:color="auto"/>
            </w:tcBorders>
            <w:vAlign w:val="center"/>
          </w:tcPr>
          <w:p w:rsidR="00422452" w:rsidRPr="00E93D0B" w:rsidRDefault="00422452" w:rsidP="00FF1E60">
            <w:pPr>
              <w:spacing w:after="0"/>
              <w:ind w:firstLine="0"/>
              <w:jc w:val="right"/>
              <w:rPr>
                <w:rFonts w:ascii="Arial Narrow" w:hAnsi="Arial Narrow"/>
                <w:lang w:val="es-ES" w:eastAsia="es-ES"/>
              </w:rPr>
            </w:pPr>
            <w:r>
              <w:rPr>
                <w:rFonts w:ascii="Arial Narrow" w:hAnsi="Arial Narrow"/>
                <w:lang w:val="es-ES" w:eastAsia="es-ES"/>
              </w:rPr>
              <w:t>94</w:t>
            </w:r>
          </w:p>
        </w:tc>
      </w:tr>
      <w:tr w:rsidR="00422452" w:rsidRPr="00E93D0B" w:rsidTr="00F40719">
        <w:trPr>
          <w:trHeight w:val="284"/>
          <w:jc w:val="center"/>
        </w:trPr>
        <w:tc>
          <w:tcPr>
            <w:tcW w:w="4509" w:type="dxa"/>
            <w:tcBorders>
              <w:top w:val="single" w:sz="4" w:space="0" w:color="auto"/>
              <w:bottom w:val="single" w:sz="2" w:space="0" w:color="auto"/>
            </w:tcBorders>
            <w:vAlign w:val="center"/>
          </w:tcPr>
          <w:p w:rsidR="00422452" w:rsidRPr="00E93D0B" w:rsidRDefault="00422452" w:rsidP="00FF1E60">
            <w:pPr>
              <w:spacing w:after="0"/>
              <w:ind w:firstLine="0"/>
              <w:jc w:val="left"/>
              <w:rPr>
                <w:rFonts w:ascii="Arial Narrow" w:hAnsi="Arial Narrow"/>
                <w:lang w:val="es-ES" w:eastAsia="es-ES"/>
              </w:rPr>
            </w:pPr>
            <w:r>
              <w:rPr>
                <w:rFonts w:ascii="Arial Narrow" w:hAnsi="Arial Narrow"/>
                <w:lang w:val="es-ES" w:eastAsia="es-ES"/>
              </w:rPr>
              <w:t>Titular de Universidad</w:t>
            </w:r>
          </w:p>
        </w:tc>
        <w:tc>
          <w:tcPr>
            <w:tcW w:w="2901" w:type="dxa"/>
            <w:tcBorders>
              <w:top w:val="single" w:sz="4" w:space="0" w:color="auto"/>
              <w:bottom w:val="single" w:sz="2" w:space="0" w:color="auto"/>
            </w:tcBorders>
            <w:vAlign w:val="center"/>
          </w:tcPr>
          <w:p w:rsidR="00422452" w:rsidRPr="00E93D0B" w:rsidRDefault="00422452" w:rsidP="00026109">
            <w:pPr>
              <w:spacing w:after="0"/>
              <w:ind w:firstLine="0"/>
              <w:jc w:val="right"/>
              <w:rPr>
                <w:rFonts w:ascii="Arial Narrow" w:hAnsi="Arial Narrow"/>
                <w:lang w:val="es-ES" w:eastAsia="es-ES"/>
              </w:rPr>
            </w:pPr>
            <w:r>
              <w:rPr>
                <w:rFonts w:ascii="Arial Narrow" w:hAnsi="Arial Narrow"/>
                <w:lang w:val="es-ES" w:eastAsia="es-ES"/>
              </w:rPr>
              <w:t>261</w:t>
            </w:r>
          </w:p>
        </w:tc>
        <w:tc>
          <w:tcPr>
            <w:tcW w:w="1654" w:type="dxa"/>
            <w:tcBorders>
              <w:top w:val="single" w:sz="4" w:space="0" w:color="auto"/>
              <w:bottom w:val="single" w:sz="2" w:space="0" w:color="auto"/>
            </w:tcBorders>
            <w:vAlign w:val="center"/>
          </w:tcPr>
          <w:p w:rsidR="00422452" w:rsidRPr="00E93D0B" w:rsidRDefault="00422452" w:rsidP="00FF1E60">
            <w:pPr>
              <w:spacing w:after="0"/>
              <w:ind w:firstLine="0"/>
              <w:jc w:val="right"/>
              <w:rPr>
                <w:rFonts w:ascii="Arial Narrow" w:hAnsi="Arial Narrow"/>
                <w:lang w:val="es-ES" w:eastAsia="es-ES"/>
              </w:rPr>
            </w:pPr>
            <w:r>
              <w:rPr>
                <w:rFonts w:ascii="Arial Narrow" w:hAnsi="Arial Narrow"/>
                <w:lang w:val="es-ES" w:eastAsia="es-ES"/>
              </w:rPr>
              <w:t>263</w:t>
            </w:r>
          </w:p>
        </w:tc>
      </w:tr>
      <w:tr w:rsidR="00422452" w:rsidRPr="00E93D0B" w:rsidTr="00F40719">
        <w:trPr>
          <w:trHeight w:val="284"/>
          <w:jc w:val="center"/>
        </w:trPr>
        <w:tc>
          <w:tcPr>
            <w:tcW w:w="4509" w:type="dxa"/>
            <w:tcBorders>
              <w:top w:val="single" w:sz="4" w:space="0" w:color="auto"/>
              <w:bottom w:val="single" w:sz="2" w:space="0" w:color="auto"/>
            </w:tcBorders>
            <w:vAlign w:val="center"/>
          </w:tcPr>
          <w:p w:rsidR="00422452" w:rsidRPr="00E93D0B" w:rsidRDefault="00422452" w:rsidP="00FF1E60">
            <w:pPr>
              <w:spacing w:after="0"/>
              <w:ind w:firstLine="0"/>
              <w:jc w:val="left"/>
              <w:rPr>
                <w:rFonts w:ascii="Arial Narrow" w:hAnsi="Arial Narrow"/>
                <w:lang w:val="es-ES" w:eastAsia="es-ES"/>
              </w:rPr>
            </w:pPr>
            <w:r>
              <w:rPr>
                <w:rFonts w:ascii="Arial Narrow" w:hAnsi="Arial Narrow"/>
                <w:lang w:val="es-ES" w:eastAsia="es-ES"/>
              </w:rPr>
              <w:t>Catedrático/a  escuela universitaria</w:t>
            </w:r>
          </w:p>
        </w:tc>
        <w:tc>
          <w:tcPr>
            <w:tcW w:w="2901" w:type="dxa"/>
            <w:tcBorders>
              <w:top w:val="single" w:sz="4" w:space="0" w:color="auto"/>
              <w:bottom w:val="single" w:sz="2" w:space="0" w:color="auto"/>
            </w:tcBorders>
            <w:vAlign w:val="center"/>
          </w:tcPr>
          <w:p w:rsidR="00422452" w:rsidRPr="00E93D0B" w:rsidRDefault="00422452" w:rsidP="00026109">
            <w:pPr>
              <w:spacing w:after="0"/>
              <w:ind w:firstLine="0"/>
              <w:jc w:val="right"/>
              <w:rPr>
                <w:rFonts w:ascii="Arial Narrow" w:hAnsi="Arial Narrow"/>
                <w:lang w:val="es-ES" w:eastAsia="es-ES"/>
              </w:rPr>
            </w:pPr>
            <w:r>
              <w:rPr>
                <w:rFonts w:ascii="Arial Narrow" w:hAnsi="Arial Narrow"/>
                <w:lang w:val="es-ES" w:eastAsia="es-ES"/>
              </w:rPr>
              <w:t>5</w:t>
            </w:r>
          </w:p>
        </w:tc>
        <w:tc>
          <w:tcPr>
            <w:tcW w:w="1654" w:type="dxa"/>
            <w:tcBorders>
              <w:top w:val="single" w:sz="4" w:space="0" w:color="auto"/>
              <w:bottom w:val="single" w:sz="2" w:space="0" w:color="auto"/>
            </w:tcBorders>
            <w:vAlign w:val="center"/>
          </w:tcPr>
          <w:p w:rsidR="00422452" w:rsidRPr="00E93D0B" w:rsidRDefault="00422452" w:rsidP="00FF1E60">
            <w:pPr>
              <w:spacing w:after="0"/>
              <w:ind w:firstLine="0"/>
              <w:jc w:val="right"/>
              <w:rPr>
                <w:rFonts w:ascii="Arial Narrow" w:hAnsi="Arial Narrow"/>
                <w:lang w:val="es-ES" w:eastAsia="es-ES"/>
              </w:rPr>
            </w:pPr>
            <w:r>
              <w:rPr>
                <w:rFonts w:ascii="Arial Narrow" w:hAnsi="Arial Narrow"/>
                <w:lang w:val="es-ES" w:eastAsia="es-ES"/>
              </w:rPr>
              <w:t>5</w:t>
            </w:r>
          </w:p>
        </w:tc>
      </w:tr>
      <w:tr w:rsidR="00422452" w:rsidRPr="00E93D0B" w:rsidTr="00F40719">
        <w:trPr>
          <w:trHeight w:val="284"/>
          <w:jc w:val="center"/>
        </w:trPr>
        <w:tc>
          <w:tcPr>
            <w:tcW w:w="4509" w:type="dxa"/>
            <w:tcBorders>
              <w:top w:val="single" w:sz="4" w:space="0" w:color="auto"/>
              <w:bottom w:val="single" w:sz="2" w:space="0" w:color="auto"/>
            </w:tcBorders>
            <w:vAlign w:val="center"/>
          </w:tcPr>
          <w:p w:rsidR="00422452" w:rsidRPr="00E93D0B" w:rsidRDefault="00422452" w:rsidP="00FF1E60">
            <w:pPr>
              <w:spacing w:after="0"/>
              <w:ind w:firstLine="0"/>
              <w:jc w:val="left"/>
              <w:rPr>
                <w:rFonts w:ascii="Arial Narrow" w:hAnsi="Arial Narrow"/>
                <w:lang w:val="es-ES" w:eastAsia="es-ES"/>
              </w:rPr>
            </w:pPr>
            <w:r>
              <w:rPr>
                <w:rFonts w:ascii="Arial Narrow" w:hAnsi="Arial Narrow"/>
                <w:lang w:val="es-ES" w:eastAsia="es-ES"/>
              </w:rPr>
              <w:t>Titular  escuela universitaria</w:t>
            </w:r>
          </w:p>
        </w:tc>
        <w:tc>
          <w:tcPr>
            <w:tcW w:w="2901" w:type="dxa"/>
            <w:tcBorders>
              <w:top w:val="single" w:sz="4" w:space="0" w:color="auto"/>
              <w:bottom w:val="single" w:sz="2" w:space="0" w:color="auto"/>
            </w:tcBorders>
            <w:vAlign w:val="center"/>
          </w:tcPr>
          <w:p w:rsidR="00422452" w:rsidRPr="00E93D0B" w:rsidRDefault="00422452" w:rsidP="00026109">
            <w:pPr>
              <w:spacing w:after="0"/>
              <w:ind w:firstLine="0"/>
              <w:jc w:val="right"/>
              <w:rPr>
                <w:rFonts w:ascii="Arial Narrow" w:hAnsi="Arial Narrow"/>
                <w:lang w:val="es-ES" w:eastAsia="es-ES"/>
              </w:rPr>
            </w:pPr>
            <w:r>
              <w:rPr>
                <w:rFonts w:ascii="Arial Narrow" w:hAnsi="Arial Narrow"/>
                <w:lang w:val="es-ES" w:eastAsia="es-ES"/>
              </w:rPr>
              <w:t>17</w:t>
            </w:r>
          </w:p>
        </w:tc>
        <w:tc>
          <w:tcPr>
            <w:tcW w:w="1654" w:type="dxa"/>
            <w:tcBorders>
              <w:top w:val="single" w:sz="4" w:space="0" w:color="auto"/>
              <w:bottom w:val="single" w:sz="2" w:space="0" w:color="auto"/>
            </w:tcBorders>
            <w:vAlign w:val="center"/>
          </w:tcPr>
          <w:p w:rsidR="00422452" w:rsidRPr="00E93D0B" w:rsidRDefault="00422452" w:rsidP="00FF1E60">
            <w:pPr>
              <w:spacing w:after="0"/>
              <w:ind w:firstLine="0"/>
              <w:jc w:val="right"/>
              <w:rPr>
                <w:rFonts w:ascii="Arial Narrow" w:hAnsi="Arial Narrow"/>
                <w:lang w:val="es-ES" w:eastAsia="es-ES"/>
              </w:rPr>
            </w:pPr>
            <w:r>
              <w:rPr>
                <w:rFonts w:ascii="Arial Narrow" w:hAnsi="Arial Narrow"/>
                <w:lang w:val="es-ES" w:eastAsia="es-ES"/>
              </w:rPr>
              <w:t>16</w:t>
            </w:r>
          </w:p>
        </w:tc>
      </w:tr>
      <w:tr w:rsidR="00422452" w:rsidRPr="00E93D0B" w:rsidTr="00F40719">
        <w:trPr>
          <w:trHeight w:val="284"/>
          <w:jc w:val="center"/>
        </w:trPr>
        <w:tc>
          <w:tcPr>
            <w:tcW w:w="4509" w:type="dxa"/>
            <w:tcBorders>
              <w:top w:val="single" w:sz="4" w:space="0" w:color="auto"/>
              <w:bottom w:val="single" w:sz="2" w:space="0" w:color="auto"/>
            </w:tcBorders>
            <w:vAlign w:val="center"/>
          </w:tcPr>
          <w:p w:rsidR="00422452" w:rsidRDefault="00422452" w:rsidP="00E73672">
            <w:pPr>
              <w:spacing w:after="0"/>
              <w:ind w:firstLine="0"/>
              <w:jc w:val="left"/>
              <w:rPr>
                <w:rFonts w:ascii="Arial Narrow" w:hAnsi="Arial Narrow"/>
                <w:lang w:val="es-ES" w:eastAsia="es-ES"/>
              </w:rPr>
            </w:pPr>
            <w:r>
              <w:rPr>
                <w:rFonts w:ascii="Arial Narrow" w:hAnsi="Arial Narrow"/>
                <w:lang w:val="es-ES" w:eastAsia="es-ES"/>
              </w:rPr>
              <w:t>Profesor Comisión de servicios</w:t>
            </w:r>
          </w:p>
        </w:tc>
        <w:tc>
          <w:tcPr>
            <w:tcW w:w="2901" w:type="dxa"/>
            <w:tcBorders>
              <w:top w:val="single" w:sz="4" w:space="0" w:color="auto"/>
              <w:bottom w:val="single" w:sz="2" w:space="0" w:color="auto"/>
            </w:tcBorders>
            <w:vAlign w:val="center"/>
          </w:tcPr>
          <w:p w:rsidR="00422452" w:rsidRPr="00E93D0B" w:rsidRDefault="00422452" w:rsidP="00026109">
            <w:pPr>
              <w:spacing w:after="0"/>
              <w:ind w:firstLine="0"/>
              <w:jc w:val="right"/>
              <w:rPr>
                <w:rFonts w:ascii="Arial Narrow" w:hAnsi="Arial Narrow"/>
                <w:lang w:val="es-ES" w:eastAsia="es-ES"/>
              </w:rPr>
            </w:pPr>
            <w:r>
              <w:rPr>
                <w:rFonts w:ascii="Arial Narrow" w:hAnsi="Arial Narrow"/>
                <w:lang w:val="es-ES" w:eastAsia="es-ES"/>
              </w:rPr>
              <w:t>1</w:t>
            </w:r>
          </w:p>
        </w:tc>
        <w:tc>
          <w:tcPr>
            <w:tcW w:w="1654" w:type="dxa"/>
            <w:tcBorders>
              <w:top w:val="single" w:sz="4" w:space="0" w:color="auto"/>
              <w:bottom w:val="single" w:sz="2" w:space="0" w:color="auto"/>
            </w:tcBorders>
            <w:vAlign w:val="center"/>
          </w:tcPr>
          <w:p w:rsidR="00422452" w:rsidRPr="00E93D0B" w:rsidRDefault="00422452" w:rsidP="00FF1E60">
            <w:pPr>
              <w:spacing w:after="0"/>
              <w:ind w:firstLine="0"/>
              <w:jc w:val="right"/>
              <w:rPr>
                <w:rFonts w:ascii="Arial Narrow" w:hAnsi="Arial Narrow"/>
                <w:lang w:val="es-ES" w:eastAsia="es-ES"/>
              </w:rPr>
            </w:pPr>
            <w:r>
              <w:rPr>
                <w:rFonts w:ascii="Arial Narrow" w:hAnsi="Arial Narrow"/>
                <w:lang w:val="es-ES" w:eastAsia="es-ES"/>
              </w:rPr>
              <w:t>1</w:t>
            </w:r>
          </w:p>
        </w:tc>
      </w:tr>
      <w:tr w:rsidR="00422452" w:rsidRPr="00C06458" w:rsidTr="00F40719">
        <w:trPr>
          <w:trHeight w:val="284"/>
          <w:jc w:val="center"/>
        </w:trPr>
        <w:tc>
          <w:tcPr>
            <w:tcW w:w="4509" w:type="dxa"/>
            <w:tcBorders>
              <w:top w:val="single" w:sz="4" w:space="0" w:color="auto"/>
              <w:bottom w:val="single" w:sz="2" w:space="0" w:color="auto"/>
            </w:tcBorders>
            <w:vAlign w:val="center"/>
          </w:tcPr>
          <w:p w:rsidR="00422452" w:rsidRPr="00C06458" w:rsidRDefault="00422452" w:rsidP="00FF1E60">
            <w:pPr>
              <w:spacing w:after="0"/>
              <w:ind w:firstLine="0"/>
              <w:jc w:val="left"/>
              <w:rPr>
                <w:rFonts w:ascii="Arial Narrow" w:hAnsi="Arial Narrow"/>
                <w:b/>
                <w:i/>
                <w:lang w:val="es-ES" w:eastAsia="es-ES"/>
              </w:rPr>
            </w:pPr>
            <w:r w:rsidRPr="00C06458">
              <w:rPr>
                <w:rFonts w:ascii="Arial Narrow" w:hAnsi="Arial Narrow"/>
                <w:b/>
                <w:i/>
                <w:lang w:val="es-ES" w:eastAsia="es-ES"/>
              </w:rPr>
              <w:t>Contratados</w:t>
            </w:r>
          </w:p>
        </w:tc>
        <w:tc>
          <w:tcPr>
            <w:tcW w:w="2901" w:type="dxa"/>
            <w:tcBorders>
              <w:top w:val="single" w:sz="4" w:space="0" w:color="auto"/>
              <w:bottom w:val="single" w:sz="2" w:space="0" w:color="auto"/>
            </w:tcBorders>
            <w:vAlign w:val="center"/>
          </w:tcPr>
          <w:p w:rsidR="00422452" w:rsidRPr="00C06458" w:rsidRDefault="00422452" w:rsidP="00026109">
            <w:pPr>
              <w:spacing w:after="0"/>
              <w:ind w:firstLine="0"/>
              <w:jc w:val="right"/>
              <w:rPr>
                <w:rFonts w:ascii="Arial Narrow" w:hAnsi="Arial Narrow"/>
                <w:b/>
                <w:i/>
                <w:lang w:val="es-ES" w:eastAsia="es-ES"/>
              </w:rPr>
            </w:pPr>
            <w:r>
              <w:rPr>
                <w:rFonts w:ascii="Arial Narrow" w:hAnsi="Arial Narrow"/>
                <w:b/>
                <w:i/>
                <w:lang w:val="es-ES" w:eastAsia="es-ES"/>
              </w:rPr>
              <w:t>617</w:t>
            </w:r>
          </w:p>
        </w:tc>
        <w:tc>
          <w:tcPr>
            <w:tcW w:w="1654" w:type="dxa"/>
            <w:tcBorders>
              <w:top w:val="single" w:sz="4" w:space="0" w:color="auto"/>
              <w:bottom w:val="single" w:sz="2" w:space="0" w:color="auto"/>
            </w:tcBorders>
            <w:vAlign w:val="center"/>
          </w:tcPr>
          <w:p w:rsidR="00422452" w:rsidRPr="00C06458" w:rsidRDefault="00422452" w:rsidP="009B27F9">
            <w:pPr>
              <w:spacing w:after="0"/>
              <w:ind w:firstLine="0"/>
              <w:jc w:val="right"/>
              <w:rPr>
                <w:rFonts w:ascii="Arial Narrow" w:hAnsi="Arial Narrow"/>
                <w:b/>
                <w:i/>
                <w:lang w:val="es-ES" w:eastAsia="es-ES"/>
              </w:rPr>
            </w:pPr>
            <w:r>
              <w:rPr>
                <w:rFonts w:ascii="Arial Narrow" w:hAnsi="Arial Narrow"/>
                <w:b/>
                <w:i/>
                <w:lang w:val="es-ES" w:eastAsia="es-ES"/>
              </w:rPr>
              <w:t>6</w:t>
            </w:r>
            <w:r w:rsidR="009B27F9">
              <w:rPr>
                <w:rFonts w:ascii="Arial Narrow" w:hAnsi="Arial Narrow"/>
                <w:b/>
                <w:i/>
                <w:lang w:val="es-ES" w:eastAsia="es-ES"/>
              </w:rPr>
              <w:t>28</w:t>
            </w:r>
          </w:p>
        </w:tc>
      </w:tr>
      <w:tr w:rsidR="00422452" w:rsidRPr="00E93D0B" w:rsidTr="00F40719">
        <w:trPr>
          <w:trHeight w:val="284"/>
          <w:jc w:val="center"/>
        </w:trPr>
        <w:tc>
          <w:tcPr>
            <w:tcW w:w="4509" w:type="dxa"/>
            <w:tcBorders>
              <w:top w:val="single" w:sz="4" w:space="0" w:color="auto"/>
              <w:bottom w:val="single" w:sz="2" w:space="0" w:color="auto"/>
            </w:tcBorders>
            <w:vAlign w:val="center"/>
          </w:tcPr>
          <w:p w:rsidR="00422452" w:rsidRDefault="00422452" w:rsidP="00FF1E60">
            <w:pPr>
              <w:spacing w:after="0"/>
              <w:ind w:firstLine="0"/>
              <w:jc w:val="left"/>
              <w:rPr>
                <w:rFonts w:ascii="Arial Narrow" w:hAnsi="Arial Narrow"/>
                <w:lang w:val="es-ES" w:eastAsia="es-ES"/>
              </w:rPr>
            </w:pPr>
            <w:r>
              <w:rPr>
                <w:rFonts w:ascii="Arial Narrow" w:hAnsi="Arial Narrow"/>
                <w:lang w:val="es-ES" w:eastAsia="es-ES"/>
              </w:rPr>
              <w:t>Contratado/a Doctor/a</w:t>
            </w:r>
          </w:p>
        </w:tc>
        <w:tc>
          <w:tcPr>
            <w:tcW w:w="2901" w:type="dxa"/>
            <w:tcBorders>
              <w:top w:val="single" w:sz="4" w:space="0" w:color="auto"/>
              <w:bottom w:val="single" w:sz="2" w:space="0" w:color="auto"/>
            </w:tcBorders>
            <w:vAlign w:val="center"/>
          </w:tcPr>
          <w:p w:rsidR="00422452" w:rsidRPr="00E93D0B" w:rsidRDefault="00422452" w:rsidP="00026109">
            <w:pPr>
              <w:spacing w:after="0"/>
              <w:ind w:firstLine="0"/>
              <w:jc w:val="right"/>
              <w:rPr>
                <w:rFonts w:ascii="Arial Narrow" w:hAnsi="Arial Narrow"/>
                <w:lang w:val="es-ES" w:eastAsia="es-ES"/>
              </w:rPr>
            </w:pPr>
            <w:r>
              <w:rPr>
                <w:rFonts w:ascii="Arial Narrow" w:hAnsi="Arial Narrow"/>
                <w:lang w:val="es-ES" w:eastAsia="es-ES"/>
              </w:rPr>
              <w:t>131</w:t>
            </w:r>
          </w:p>
        </w:tc>
        <w:tc>
          <w:tcPr>
            <w:tcW w:w="1654" w:type="dxa"/>
            <w:tcBorders>
              <w:top w:val="single" w:sz="4" w:space="0" w:color="auto"/>
              <w:bottom w:val="single" w:sz="2" w:space="0" w:color="auto"/>
            </w:tcBorders>
            <w:vAlign w:val="center"/>
          </w:tcPr>
          <w:p w:rsidR="00422452" w:rsidRPr="00E93D0B" w:rsidRDefault="00422452" w:rsidP="00FF1E60">
            <w:pPr>
              <w:spacing w:after="0"/>
              <w:ind w:firstLine="0"/>
              <w:jc w:val="right"/>
              <w:rPr>
                <w:rFonts w:ascii="Arial Narrow" w:hAnsi="Arial Narrow"/>
                <w:lang w:val="es-ES" w:eastAsia="es-ES"/>
              </w:rPr>
            </w:pPr>
            <w:r>
              <w:rPr>
                <w:rFonts w:ascii="Arial Narrow" w:hAnsi="Arial Narrow"/>
                <w:lang w:val="es-ES" w:eastAsia="es-ES"/>
              </w:rPr>
              <w:t>141</w:t>
            </w:r>
          </w:p>
        </w:tc>
      </w:tr>
      <w:tr w:rsidR="00422452" w:rsidRPr="00E93D0B" w:rsidTr="00F40719">
        <w:trPr>
          <w:trHeight w:val="284"/>
          <w:jc w:val="center"/>
        </w:trPr>
        <w:tc>
          <w:tcPr>
            <w:tcW w:w="4509" w:type="dxa"/>
            <w:tcBorders>
              <w:top w:val="single" w:sz="4" w:space="0" w:color="auto"/>
              <w:bottom w:val="single" w:sz="2" w:space="0" w:color="auto"/>
            </w:tcBorders>
            <w:vAlign w:val="center"/>
          </w:tcPr>
          <w:p w:rsidR="00422452" w:rsidRDefault="00422452" w:rsidP="00FF1E60">
            <w:pPr>
              <w:spacing w:after="0"/>
              <w:ind w:firstLine="0"/>
              <w:jc w:val="left"/>
              <w:rPr>
                <w:rFonts w:ascii="Arial Narrow" w:hAnsi="Arial Narrow"/>
                <w:lang w:val="es-ES" w:eastAsia="es-ES"/>
              </w:rPr>
            </w:pPr>
            <w:r>
              <w:rPr>
                <w:rFonts w:ascii="Arial Narrow" w:hAnsi="Arial Narrow"/>
                <w:lang w:val="es-ES" w:eastAsia="es-ES"/>
              </w:rPr>
              <w:t>Ayudante Doctor/a</w:t>
            </w:r>
          </w:p>
        </w:tc>
        <w:tc>
          <w:tcPr>
            <w:tcW w:w="2901" w:type="dxa"/>
            <w:tcBorders>
              <w:top w:val="single" w:sz="4" w:space="0" w:color="auto"/>
              <w:bottom w:val="single" w:sz="2" w:space="0" w:color="auto"/>
            </w:tcBorders>
            <w:vAlign w:val="center"/>
          </w:tcPr>
          <w:p w:rsidR="00422452" w:rsidRPr="00E93D0B" w:rsidRDefault="00422452" w:rsidP="00026109">
            <w:pPr>
              <w:spacing w:after="0"/>
              <w:ind w:firstLine="0"/>
              <w:jc w:val="right"/>
              <w:rPr>
                <w:rFonts w:ascii="Arial Narrow" w:hAnsi="Arial Narrow"/>
                <w:lang w:val="es-ES" w:eastAsia="es-ES"/>
              </w:rPr>
            </w:pPr>
            <w:r>
              <w:rPr>
                <w:rFonts w:ascii="Arial Narrow" w:hAnsi="Arial Narrow"/>
                <w:lang w:val="es-ES" w:eastAsia="es-ES"/>
              </w:rPr>
              <w:t>70</w:t>
            </w:r>
          </w:p>
        </w:tc>
        <w:tc>
          <w:tcPr>
            <w:tcW w:w="1654" w:type="dxa"/>
            <w:tcBorders>
              <w:top w:val="single" w:sz="4" w:space="0" w:color="auto"/>
              <w:bottom w:val="single" w:sz="2" w:space="0" w:color="auto"/>
            </w:tcBorders>
            <w:vAlign w:val="center"/>
          </w:tcPr>
          <w:p w:rsidR="00422452" w:rsidRPr="00E93D0B" w:rsidRDefault="00422452" w:rsidP="00FF1E60">
            <w:pPr>
              <w:spacing w:after="0"/>
              <w:ind w:firstLine="0"/>
              <w:jc w:val="right"/>
              <w:rPr>
                <w:rFonts w:ascii="Arial Narrow" w:hAnsi="Arial Narrow"/>
                <w:lang w:val="es-ES" w:eastAsia="es-ES"/>
              </w:rPr>
            </w:pPr>
            <w:r>
              <w:rPr>
                <w:rFonts w:ascii="Arial Narrow" w:hAnsi="Arial Narrow"/>
                <w:lang w:val="es-ES" w:eastAsia="es-ES"/>
              </w:rPr>
              <w:t>71</w:t>
            </w:r>
          </w:p>
        </w:tc>
      </w:tr>
      <w:tr w:rsidR="00422452" w:rsidRPr="00E93D0B" w:rsidTr="00F40719">
        <w:trPr>
          <w:trHeight w:val="284"/>
          <w:jc w:val="center"/>
        </w:trPr>
        <w:tc>
          <w:tcPr>
            <w:tcW w:w="4509" w:type="dxa"/>
            <w:tcBorders>
              <w:top w:val="single" w:sz="4" w:space="0" w:color="auto"/>
              <w:bottom w:val="single" w:sz="2" w:space="0" w:color="auto"/>
            </w:tcBorders>
            <w:vAlign w:val="center"/>
          </w:tcPr>
          <w:p w:rsidR="00422452" w:rsidRDefault="00422452" w:rsidP="00FF1E60">
            <w:pPr>
              <w:spacing w:after="0"/>
              <w:ind w:firstLine="0"/>
              <w:jc w:val="left"/>
              <w:rPr>
                <w:rFonts w:ascii="Arial Narrow" w:hAnsi="Arial Narrow"/>
                <w:lang w:val="es-ES" w:eastAsia="es-ES"/>
              </w:rPr>
            </w:pPr>
            <w:r>
              <w:rPr>
                <w:rFonts w:ascii="Arial Narrow" w:hAnsi="Arial Narrow"/>
                <w:lang w:val="es-ES" w:eastAsia="es-ES"/>
              </w:rPr>
              <w:t>Ayudante LOU</w:t>
            </w:r>
          </w:p>
        </w:tc>
        <w:tc>
          <w:tcPr>
            <w:tcW w:w="2901" w:type="dxa"/>
            <w:tcBorders>
              <w:top w:val="single" w:sz="4" w:space="0" w:color="auto"/>
              <w:bottom w:val="single" w:sz="2" w:space="0" w:color="auto"/>
            </w:tcBorders>
            <w:vAlign w:val="center"/>
          </w:tcPr>
          <w:p w:rsidR="00422452" w:rsidRDefault="00422452" w:rsidP="00026109">
            <w:pPr>
              <w:spacing w:after="0"/>
              <w:ind w:firstLine="0"/>
              <w:jc w:val="right"/>
              <w:rPr>
                <w:rFonts w:ascii="Arial Narrow" w:hAnsi="Arial Narrow"/>
                <w:lang w:val="es-ES" w:eastAsia="es-ES"/>
              </w:rPr>
            </w:pPr>
            <w:r>
              <w:rPr>
                <w:rFonts w:ascii="Arial Narrow" w:hAnsi="Arial Narrow"/>
                <w:lang w:val="es-ES" w:eastAsia="es-ES"/>
              </w:rPr>
              <w:t>2</w:t>
            </w:r>
          </w:p>
        </w:tc>
        <w:tc>
          <w:tcPr>
            <w:tcW w:w="1654" w:type="dxa"/>
            <w:tcBorders>
              <w:top w:val="single" w:sz="4" w:space="0" w:color="auto"/>
              <w:bottom w:val="single" w:sz="2" w:space="0" w:color="auto"/>
            </w:tcBorders>
            <w:vAlign w:val="center"/>
          </w:tcPr>
          <w:p w:rsidR="00422452" w:rsidRDefault="00422452" w:rsidP="00FF1E60">
            <w:pPr>
              <w:spacing w:after="0"/>
              <w:ind w:firstLine="0"/>
              <w:jc w:val="right"/>
              <w:rPr>
                <w:rFonts w:ascii="Arial Narrow" w:hAnsi="Arial Narrow"/>
                <w:lang w:val="es-ES" w:eastAsia="es-ES"/>
              </w:rPr>
            </w:pPr>
            <w:r>
              <w:rPr>
                <w:rFonts w:ascii="Arial Narrow" w:hAnsi="Arial Narrow"/>
                <w:lang w:val="es-ES" w:eastAsia="es-ES"/>
              </w:rPr>
              <w:t>-</w:t>
            </w:r>
          </w:p>
        </w:tc>
      </w:tr>
      <w:tr w:rsidR="00422452" w:rsidRPr="00E93D0B" w:rsidTr="00F40719">
        <w:trPr>
          <w:trHeight w:val="284"/>
          <w:jc w:val="center"/>
        </w:trPr>
        <w:tc>
          <w:tcPr>
            <w:tcW w:w="4509" w:type="dxa"/>
            <w:tcBorders>
              <w:top w:val="single" w:sz="4" w:space="0" w:color="auto"/>
              <w:bottom w:val="single" w:sz="2" w:space="0" w:color="auto"/>
            </w:tcBorders>
            <w:vAlign w:val="center"/>
          </w:tcPr>
          <w:p w:rsidR="00422452" w:rsidRDefault="00422452" w:rsidP="00FF1E60">
            <w:pPr>
              <w:spacing w:after="0"/>
              <w:ind w:firstLine="0"/>
              <w:jc w:val="left"/>
              <w:rPr>
                <w:rFonts w:ascii="Arial Narrow" w:hAnsi="Arial Narrow"/>
                <w:lang w:val="es-ES" w:eastAsia="es-ES"/>
              </w:rPr>
            </w:pPr>
            <w:r>
              <w:rPr>
                <w:rFonts w:ascii="Arial Narrow" w:hAnsi="Arial Narrow"/>
                <w:lang w:val="es-ES" w:eastAsia="es-ES"/>
              </w:rPr>
              <w:t>Asociado/a tipo 1</w:t>
            </w:r>
          </w:p>
        </w:tc>
        <w:tc>
          <w:tcPr>
            <w:tcW w:w="2901" w:type="dxa"/>
            <w:tcBorders>
              <w:top w:val="single" w:sz="4" w:space="0" w:color="auto"/>
              <w:bottom w:val="single" w:sz="2" w:space="0" w:color="auto"/>
            </w:tcBorders>
            <w:vAlign w:val="center"/>
          </w:tcPr>
          <w:p w:rsidR="00422452" w:rsidRPr="00E93D0B" w:rsidRDefault="00422452" w:rsidP="00026109">
            <w:pPr>
              <w:spacing w:after="0"/>
              <w:ind w:firstLine="0"/>
              <w:jc w:val="right"/>
              <w:rPr>
                <w:rFonts w:ascii="Arial Narrow" w:hAnsi="Arial Narrow"/>
                <w:lang w:val="es-ES" w:eastAsia="es-ES"/>
              </w:rPr>
            </w:pPr>
            <w:r>
              <w:rPr>
                <w:rFonts w:ascii="Arial Narrow" w:hAnsi="Arial Narrow"/>
                <w:lang w:val="es-ES" w:eastAsia="es-ES"/>
              </w:rPr>
              <w:t>36</w:t>
            </w:r>
          </w:p>
        </w:tc>
        <w:tc>
          <w:tcPr>
            <w:tcW w:w="1654" w:type="dxa"/>
            <w:tcBorders>
              <w:top w:val="single" w:sz="4" w:space="0" w:color="auto"/>
              <w:bottom w:val="single" w:sz="2" w:space="0" w:color="auto"/>
            </w:tcBorders>
            <w:vAlign w:val="center"/>
          </w:tcPr>
          <w:p w:rsidR="00422452" w:rsidRPr="00E93D0B" w:rsidRDefault="00422452" w:rsidP="00FF1E60">
            <w:pPr>
              <w:spacing w:after="0"/>
              <w:ind w:firstLine="0"/>
              <w:jc w:val="right"/>
              <w:rPr>
                <w:rFonts w:ascii="Arial Narrow" w:hAnsi="Arial Narrow"/>
                <w:lang w:val="es-ES" w:eastAsia="es-ES"/>
              </w:rPr>
            </w:pPr>
            <w:r>
              <w:rPr>
                <w:rFonts w:ascii="Arial Narrow" w:hAnsi="Arial Narrow"/>
                <w:lang w:val="es-ES" w:eastAsia="es-ES"/>
              </w:rPr>
              <w:t>37</w:t>
            </w:r>
          </w:p>
        </w:tc>
      </w:tr>
      <w:tr w:rsidR="00422452" w:rsidRPr="00E93D0B" w:rsidTr="00F40719">
        <w:trPr>
          <w:trHeight w:val="284"/>
          <w:jc w:val="center"/>
        </w:trPr>
        <w:tc>
          <w:tcPr>
            <w:tcW w:w="4509" w:type="dxa"/>
            <w:tcBorders>
              <w:top w:val="single" w:sz="4" w:space="0" w:color="auto"/>
              <w:bottom w:val="single" w:sz="2" w:space="0" w:color="auto"/>
            </w:tcBorders>
            <w:vAlign w:val="center"/>
          </w:tcPr>
          <w:p w:rsidR="00422452" w:rsidRDefault="00422452" w:rsidP="00FF1E60">
            <w:pPr>
              <w:spacing w:after="0"/>
              <w:ind w:firstLine="0"/>
              <w:jc w:val="left"/>
              <w:rPr>
                <w:rFonts w:ascii="Arial Narrow" w:hAnsi="Arial Narrow"/>
                <w:lang w:val="es-ES" w:eastAsia="es-ES"/>
              </w:rPr>
            </w:pPr>
            <w:r>
              <w:rPr>
                <w:rFonts w:ascii="Arial Narrow" w:hAnsi="Arial Narrow"/>
                <w:lang w:val="es-ES" w:eastAsia="es-ES"/>
              </w:rPr>
              <w:t>Asociado/a tipo 2</w:t>
            </w:r>
          </w:p>
        </w:tc>
        <w:tc>
          <w:tcPr>
            <w:tcW w:w="2901" w:type="dxa"/>
            <w:tcBorders>
              <w:top w:val="single" w:sz="4" w:space="0" w:color="auto"/>
              <w:bottom w:val="single" w:sz="2" w:space="0" w:color="auto"/>
            </w:tcBorders>
            <w:vAlign w:val="center"/>
          </w:tcPr>
          <w:p w:rsidR="00422452" w:rsidRDefault="00422452" w:rsidP="00026109">
            <w:pPr>
              <w:spacing w:after="0"/>
              <w:ind w:firstLine="0"/>
              <w:jc w:val="right"/>
              <w:rPr>
                <w:rFonts w:ascii="Arial Narrow" w:hAnsi="Arial Narrow"/>
                <w:lang w:val="es-ES" w:eastAsia="es-ES"/>
              </w:rPr>
            </w:pPr>
            <w:r>
              <w:rPr>
                <w:rFonts w:ascii="Arial Narrow" w:hAnsi="Arial Narrow"/>
                <w:lang w:val="es-ES" w:eastAsia="es-ES"/>
              </w:rPr>
              <w:t>276</w:t>
            </w:r>
          </w:p>
        </w:tc>
        <w:tc>
          <w:tcPr>
            <w:tcW w:w="1654" w:type="dxa"/>
            <w:tcBorders>
              <w:top w:val="single" w:sz="4" w:space="0" w:color="auto"/>
              <w:bottom w:val="single" w:sz="2" w:space="0" w:color="auto"/>
            </w:tcBorders>
            <w:vAlign w:val="center"/>
          </w:tcPr>
          <w:p w:rsidR="00422452" w:rsidRDefault="00422452" w:rsidP="00FF1E60">
            <w:pPr>
              <w:spacing w:after="0"/>
              <w:ind w:firstLine="0"/>
              <w:jc w:val="right"/>
              <w:rPr>
                <w:rFonts w:ascii="Arial Narrow" w:hAnsi="Arial Narrow"/>
                <w:lang w:val="es-ES" w:eastAsia="es-ES"/>
              </w:rPr>
            </w:pPr>
            <w:r>
              <w:rPr>
                <w:rFonts w:ascii="Arial Narrow" w:hAnsi="Arial Narrow"/>
                <w:lang w:val="es-ES" w:eastAsia="es-ES"/>
              </w:rPr>
              <w:t>275</w:t>
            </w:r>
          </w:p>
        </w:tc>
      </w:tr>
      <w:tr w:rsidR="00422452" w:rsidRPr="00E93D0B" w:rsidTr="00F40719">
        <w:trPr>
          <w:trHeight w:val="284"/>
          <w:jc w:val="center"/>
        </w:trPr>
        <w:tc>
          <w:tcPr>
            <w:tcW w:w="4509" w:type="dxa"/>
            <w:tcBorders>
              <w:top w:val="single" w:sz="4" w:space="0" w:color="auto"/>
              <w:bottom w:val="single" w:sz="2" w:space="0" w:color="auto"/>
            </w:tcBorders>
            <w:vAlign w:val="center"/>
          </w:tcPr>
          <w:p w:rsidR="00422452" w:rsidRDefault="00422452" w:rsidP="00FF1E60">
            <w:pPr>
              <w:spacing w:after="0"/>
              <w:ind w:firstLine="0"/>
              <w:jc w:val="left"/>
              <w:rPr>
                <w:rFonts w:ascii="Arial Narrow" w:hAnsi="Arial Narrow"/>
                <w:lang w:val="es-ES" w:eastAsia="es-ES"/>
              </w:rPr>
            </w:pPr>
            <w:r>
              <w:rPr>
                <w:rFonts w:ascii="Arial Narrow" w:hAnsi="Arial Narrow"/>
                <w:lang w:val="es-ES" w:eastAsia="es-ES"/>
              </w:rPr>
              <w:t>Asociado/a tipo 3</w:t>
            </w:r>
          </w:p>
        </w:tc>
        <w:tc>
          <w:tcPr>
            <w:tcW w:w="2901" w:type="dxa"/>
            <w:tcBorders>
              <w:top w:val="single" w:sz="4" w:space="0" w:color="auto"/>
              <w:bottom w:val="single" w:sz="2" w:space="0" w:color="auto"/>
            </w:tcBorders>
            <w:vAlign w:val="center"/>
          </w:tcPr>
          <w:p w:rsidR="00422452" w:rsidRDefault="00422452" w:rsidP="00026109">
            <w:pPr>
              <w:spacing w:after="0"/>
              <w:ind w:firstLine="0"/>
              <w:jc w:val="right"/>
              <w:rPr>
                <w:rFonts w:ascii="Arial Narrow" w:hAnsi="Arial Narrow"/>
                <w:lang w:val="es-ES" w:eastAsia="es-ES"/>
              </w:rPr>
            </w:pPr>
            <w:r>
              <w:rPr>
                <w:rFonts w:ascii="Arial Narrow" w:hAnsi="Arial Narrow"/>
                <w:lang w:val="es-ES" w:eastAsia="es-ES"/>
              </w:rPr>
              <w:t>87</w:t>
            </w:r>
          </w:p>
        </w:tc>
        <w:tc>
          <w:tcPr>
            <w:tcW w:w="1654" w:type="dxa"/>
            <w:tcBorders>
              <w:top w:val="single" w:sz="4" w:space="0" w:color="auto"/>
              <w:bottom w:val="single" w:sz="2" w:space="0" w:color="auto"/>
            </w:tcBorders>
            <w:vAlign w:val="center"/>
          </w:tcPr>
          <w:p w:rsidR="00422452" w:rsidRDefault="00422452" w:rsidP="00FF1E60">
            <w:pPr>
              <w:spacing w:after="0"/>
              <w:ind w:firstLine="0"/>
              <w:jc w:val="right"/>
              <w:rPr>
                <w:rFonts w:ascii="Arial Narrow" w:hAnsi="Arial Narrow"/>
                <w:lang w:val="es-ES" w:eastAsia="es-ES"/>
              </w:rPr>
            </w:pPr>
            <w:r>
              <w:rPr>
                <w:rFonts w:ascii="Arial Narrow" w:hAnsi="Arial Narrow"/>
                <w:lang w:val="es-ES" w:eastAsia="es-ES"/>
              </w:rPr>
              <w:t>88</w:t>
            </w:r>
          </w:p>
        </w:tc>
      </w:tr>
      <w:tr w:rsidR="00422452" w:rsidRPr="00E93D0B" w:rsidTr="00F40719">
        <w:trPr>
          <w:trHeight w:val="284"/>
          <w:jc w:val="center"/>
        </w:trPr>
        <w:tc>
          <w:tcPr>
            <w:tcW w:w="4509" w:type="dxa"/>
            <w:tcBorders>
              <w:top w:val="single" w:sz="4" w:space="0" w:color="auto"/>
              <w:bottom w:val="single" w:sz="2" w:space="0" w:color="auto"/>
            </w:tcBorders>
            <w:vAlign w:val="center"/>
          </w:tcPr>
          <w:p w:rsidR="00422452" w:rsidRDefault="00422452" w:rsidP="00E73672">
            <w:pPr>
              <w:spacing w:after="0"/>
              <w:ind w:firstLine="0"/>
              <w:jc w:val="left"/>
              <w:rPr>
                <w:rFonts w:ascii="Arial Narrow" w:hAnsi="Arial Narrow"/>
                <w:lang w:val="es-ES" w:eastAsia="es-ES"/>
              </w:rPr>
            </w:pPr>
            <w:r>
              <w:rPr>
                <w:rFonts w:ascii="Arial Narrow" w:hAnsi="Arial Narrow"/>
                <w:lang w:val="es-ES" w:eastAsia="es-ES"/>
              </w:rPr>
              <w:t>Profesor sustituto/a docencia</w:t>
            </w:r>
          </w:p>
        </w:tc>
        <w:tc>
          <w:tcPr>
            <w:tcW w:w="2901" w:type="dxa"/>
            <w:tcBorders>
              <w:top w:val="single" w:sz="4" w:space="0" w:color="auto"/>
              <w:bottom w:val="single" w:sz="2" w:space="0" w:color="auto"/>
            </w:tcBorders>
            <w:vAlign w:val="center"/>
          </w:tcPr>
          <w:p w:rsidR="00422452" w:rsidRPr="00E93D0B" w:rsidRDefault="00422452" w:rsidP="00026109">
            <w:pPr>
              <w:spacing w:after="0"/>
              <w:ind w:firstLine="0"/>
              <w:jc w:val="right"/>
              <w:rPr>
                <w:rFonts w:ascii="Arial Narrow" w:hAnsi="Arial Narrow"/>
                <w:lang w:val="es-ES" w:eastAsia="es-ES"/>
              </w:rPr>
            </w:pPr>
            <w:r>
              <w:rPr>
                <w:rFonts w:ascii="Arial Narrow" w:hAnsi="Arial Narrow"/>
                <w:lang w:val="es-ES" w:eastAsia="es-ES"/>
              </w:rPr>
              <w:t>15</w:t>
            </w:r>
          </w:p>
        </w:tc>
        <w:tc>
          <w:tcPr>
            <w:tcW w:w="1654" w:type="dxa"/>
            <w:tcBorders>
              <w:top w:val="single" w:sz="4" w:space="0" w:color="auto"/>
              <w:bottom w:val="single" w:sz="2" w:space="0" w:color="auto"/>
            </w:tcBorders>
            <w:vAlign w:val="center"/>
          </w:tcPr>
          <w:p w:rsidR="00422452" w:rsidRPr="00E93D0B" w:rsidRDefault="00422452" w:rsidP="00FF1E60">
            <w:pPr>
              <w:spacing w:after="0"/>
              <w:ind w:firstLine="0"/>
              <w:jc w:val="right"/>
              <w:rPr>
                <w:rFonts w:ascii="Arial Narrow" w:hAnsi="Arial Narrow"/>
                <w:lang w:val="es-ES" w:eastAsia="es-ES"/>
              </w:rPr>
            </w:pPr>
            <w:r>
              <w:rPr>
                <w:rFonts w:ascii="Arial Narrow" w:hAnsi="Arial Narrow"/>
                <w:lang w:val="es-ES" w:eastAsia="es-ES"/>
              </w:rPr>
              <w:t>16</w:t>
            </w:r>
          </w:p>
        </w:tc>
      </w:tr>
      <w:tr w:rsidR="00422452" w:rsidRPr="00D54429" w:rsidTr="00F40719">
        <w:trPr>
          <w:trHeight w:val="284"/>
          <w:jc w:val="center"/>
        </w:trPr>
        <w:tc>
          <w:tcPr>
            <w:tcW w:w="4509" w:type="dxa"/>
            <w:tcBorders>
              <w:top w:val="single" w:sz="4" w:space="0" w:color="auto"/>
              <w:bottom w:val="single" w:sz="2" w:space="0" w:color="auto"/>
            </w:tcBorders>
            <w:vAlign w:val="center"/>
          </w:tcPr>
          <w:p w:rsidR="00422452" w:rsidRPr="00D54429" w:rsidRDefault="00422452" w:rsidP="00FF1E60">
            <w:pPr>
              <w:spacing w:after="0"/>
              <w:ind w:firstLine="0"/>
              <w:jc w:val="left"/>
              <w:rPr>
                <w:rFonts w:ascii="Arial Narrow" w:hAnsi="Arial Narrow"/>
                <w:b/>
                <w:i/>
                <w:lang w:val="es-ES" w:eastAsia="es-ES"/>
              </w:rPr>
            </w:pPr>
            <w:r w:rsidRPr="00D54429">
              <w:rPr>
                <w:rFonts w:ascii="Arial Narrow" w:hAnsi="Arial Narrow"/>
                <w:b/>
                <w:i/>
                <w:lang w:val="es-ES" w:eastAsia="es-ES"/>
              </w:rPr>
              <w:t>Investigadores</w:t>
            </w:r>
          </w:p>
        </w:tc>
        <w:tc>
          <w:tcPr>
            <w:tcW w:w="2901" w:type="dxa"/>
            <w:tcBorders>
              <w:top w:val="single" w:sz="4" w:space="0" w:color="auto"/>
              <w:bottom w:val="single" w:sz="2" w:space="0" w:color="auto"/>
            </w:tcBorders>
            <w:vAlign w:val="center"/>
          </w:tcPr>
          <w:p w:rsidR="00422452" w:rsidRPr="00D54429" w:rsidRDefault="00422452" w:rsidP="00026109">
            <w:pPr>
              <w:spacing w:after="0"/>
              <w:ind w:firstLine="0"/>
              <w:jc w:val="right"/>
              <w:rPr>
                <w:rFonts w:ascii="Arial Narrow" w:hAnsi="Arial Narrow"/>
                <w:b/>
                <w:i/>
                <w:lang w:val="es-ES" w:eastAsia="es-ES"/>
              </w:rPr>
            </w:pPr>
            <w:r w:rsidRPr="00D54429">
              <w:rPr>
                <w:rFonts w:ascii="Arial Narrow" w:hAnsi="Arial Narrow"/>
                <w:b/>
                <w:i/>
                <w:lang w:val="es-ES" w:eastAsia="es-ES"/>
              </w:rPr>
              <w:t>4</w:t>
            </w:r>
          </w:p>
        </w:tc>
        <w:tc>
          <w:tcPr>
            <w:tcW w:w="1654" w:type="dxa"/>
            <w:tcBorders>
              <w:top w:val="single" w:sz="4" w:space="0" w:color="auto"/>
              <w:bottom w:val="single" w:sz="2" w:space="0" w:color="auto"/>
            </w:tcBorders>
            <w:vAlign w:val="center"/>
          </w:tcPr>
          <w:p w:rsidR="00422452" w:rsidRPr="00D54429" w:rsidRDefault="00422452" w:rsidP="00FF1E60">
            <w:pPr>
              <w:spacing w:after="0"/>
              <w:ind w:firstLine="0"/>
              <w:jc w:val="right"/>
              <w:rPr>
                <w:rFonts w:ascii="Arial Narrow" w:hAnsi="Arial Narrow"/>
                <w:b/>
                <w:i/>
                <w:lang w:val="es-ES" w:eastAsia="es-ES"/>
              </w:rPr>
            </w:pPr>
            <w:r>
              <w:rPr>
                <w:rFonts w:ascii="Arial Narrow" w:hAnsi="Arial Narrow"/>
                <w:b/>
                <w:i/>
                <w:lang w:val="es-ES" w:eastAsia="es-ES"/>
              </w:rPr>
              <w:t>4</w:t>
            </w:r>
          </w:p>
        </w:tc>
      </w:tr>
      <w:tr w:rsidR="00422452" w:rsidRPr="00D54429" w:rsidTr="00F40719">
        <w:trPr>
          <w:trHeight w:val="284"/>
          <w:jc w:val="center"/>
        </w:trPr>
        <w:tc>
          <w:tcPr>
            <w:tcW w:w="4509" w:type="dxa"/>
            <w:tcBorders>
              <w:top w:val="single" w:sz="4" w:space="0" w:color="auto"/>
              <w:bottom w:val="single" w:sz="4" w:space="0" w:color="auto"/>
            </w:tcBorders>
            <w:shd w:val="clear" w:color="auto" w:fill="A0C3E3" w:themeFill="accent1" w:themeFillTint="99"/>
            <w:vAlign w:val="center"/>
          </w:tcPr>
          <w:p w:rsidR="00422452" w:rsidRPr="00D54429" w:rsidRDefault="00422452" w:rsidP="00FF1E60">
            <w:pPr>
              <w:spacing w:after="0"/>
              <w:ind w:firstLine="0"/>
              <w:jc w:val="left"/>
              <w:rPr>
                <w:rFonts w:ascii="Arial" w:hAnsi="Arial" w:cs="Arial"/>
                <w:sz w:val="18"/>
                <w:szCs w:val="18"/>
                <w:lang w:val="es-ES" w:eastAsia="es-ES"/>
              </w:rPr>
            </w:pPr>
            <w:r w:rsidRPr="00D54429">
              <w:rPr>
                <w:rFonts w:ascii="Arial" w:hAnsi="Arial" w:cs="Arial"/>
                <w:sz w:val="18"/>
                <w:szCs w:val="18"/>
                <w:lang w:val="es-ES" w:eastAsia="es-ES"/>
              </w:rPr>
              <w:t>Total PDI</w:t>
            </w:r>
          </w:p>
        </w:tc>
        <w:tc>
          <w:tcPr>
            <w:tcW w:w="2901" w:type="dxa"/>
            <w:tcBorders>
              <w:top w:val="single" w:sz="4" w:space="0" w:color="auto"/>
              <w:bottom w:val="single" w:sz="4" w:space="0" w:color="auto"/>
            </w:tcBorders>
            <w:shd w:val="clear" w:color="auto" w:fill="A0C3E3" w:themeFill="accent1" w:themeFillTint="99"/>
            <w:vAlign w:val="center"/>
          </w:tcPr>
          <w:p w:rsidR="00422452" w:rsidRPr="00D54429" w:rsidRDefault="00422452" w:rsidP="00026109">
            <w:pPr>
              <w:spacing w:after="0"/>
              <w:ind w:firstLine="0"/>
              <w:jc w:val="right"/>
              <w:rPr>
                <w:rFonts w:ascii="Arial" w:hAnsi="Arial" w:cs="Arial"/>
                <w:sz w:val="18"/>
                <w:szCs w:val="18"/>
                <w:lang w:val="es-ES" w:eastAsia="es-ES"/>
              </w:rPr>
            </w:pPr>
            <w:r w:rsidRPr="00D54429">
              <w:rPr>
                <w:rFonts w:ascii="Arial" w:hAnsi="Arial" w:cs="Arial"/>
                <w:sz w:val="18"/>
                <w:szCs w:val="18"/>
                <w:lang w:val="es-ES" w:eastAsia="es-ES"/>
              </w:rPr>
              <w:t>1000</w:t>
            </w:r>
          </w:p>
        </w:tc>
        <w:tc>
          <w:tcPr>
            <w:tcW w:w="1654" w:type="dxa"/>
            <w:tcBorders>
              <w:top w:val="single" w:sz="4" w:space="0" w:color="auto"/>
              <w:bottom w:val="single" w:sz="4" w:space="0" w:color="auto"/>
            </w:tcBorders>
            <w:shd w:val="clear" w:color="auto" w:fill="A0C3E3" w:themeFill="accent1" w:themeFillTint="99"/>
            <w:vAlign w:val="center"/>
          </w:tcPr>
          <w:p w:rsidR="00422452" w:rsidRPr="00D54429" w:rsidRDefault="00422452" w:rsidP="00D54429">
            <w:pPr>
              <w:spacing w:after="0"/>
              <w:ind w:firstLine="0"/>
              <w:jc w:val="right"/>
              <w:rPr>
                <w:rFonts w:ascii="Arial" w:hAnsi="Arial" w:cs="Arial"/>
                <w:sz w:val="18"/>
                <w:szCs w:val="18"/>
                <w:lang w:val="es-ES" w:eastAsia="es-ES"/>
              </w:rPr>
            </w:pPr>
            <w:r>
              <w:rPr>
                <w:rFonts w:ascii="Arial" w:hAnsi="Arial" w:cs="Arial"/>
                <w:sz w:val="18"/>
                <w:szCs w:val="18"/>
                <w:lang w:val="es-ES" w:eastAsia="es-ES"/>
              </w:rPr>
              <w:t>1011</w:t>
            </w:r>
          </w:p>
        </w:tc>
      </w:tr>
    </w:tbl>
    <w:p w:rsidR="009B68AB" w:rsidRPr="00616D28" w:rsidRDefault="00422452" w:rsidP="00D54429">
      <w:pPr>
        <w:pStyle w:val="texto"/>
        <w:tabs>
          <w:tab w:val="clear" w:pos="2835"/>
          <w:tab w:val="clear" w:pos="3969"/>
          <w:tab w:val="clear" w:pos="5103"/>
          <w:tab w:val="clear" w:pos="6237"/>
          <w:tab w:val="clear" w:pos="7371"/>
          <w:tab w:val="num" w:pos="300"/>
        </w:tabs>
        <w:spacing w:before="240"/>
        <w:rPr>
          <w:spacing w:val="4"/>
          <w:szCs w:val="26"/>
        </w:rPr>
      </w:pPr>
      <w:r w:rsidRPr="00616D28">
        <w:rPr>
          <w:spacing w:val="4"/>
          <w:szCs w:val="26"/>
        </w:rPr>
        <w:t>A</w:t>
      </w:r>
      <w:r w:rsidR="005A1827" w:rsidRPr="00616D28">
        <w:rPr>
          <w:spacing w:val="4"/>
          <w:szCs w:val="26"/>
        </w:rPr>
        <w:t xml:space="preserve"> 31 de diciembre</w:t>
      </w:r>
      <w:r w:rsidRPr="00616D28">
        <w:rPr>
          <w:spacing w:val="4"/>
          <w:szCs w:val="26"/>
        </w:rPr>
        <w:t xml:space="preserve"> de 2017</w:t>
      </w:r>
      <w:r w:rsidR="00F40719" w:rsidRPr="00616D28">
        <w:rPr>
          <w:spacing w:val="4"/>
          <w:szCs w:val="26"/>
        </w:rPr>
        <w:t>,</w:t>
      </w:r>
      <w:r w:rsidR="005A1827" w:rsidRPr="00616D28">
        <w:rPr>
          <w:spacing w:val="4"/>
          <w:szCs w:val="26"/>
        </w:rPr>
        <w:t xml:space="preserve"> los puestos de PDI</w:t>
      </w:r>
      <w:r w:rsidR="007B59C6" w:rsidRPr="00616D28">
        <w:rPr>
          <w:spacing w:val="4"/>
          <w:szCs w:val="26"/>
        </w:rPr>
        <w:t xml:space="preserve"> ascendían a 1011</w:t>
      </w:r>
      <w:r w:rsidR="005A1827" w:rsidRPr="00616D28">
        <w:rPr>
          <w:spacing w:val="4"/>
          <w:szCs w:val="26"/>
        </w:rPr>
        <w:t>, de los cuales 1</w:t>
      </w:r>
      <w:r w:rsidR="007B59C6" w:rsidRPr="00616D28">
        <w:rPr>
          <w:spacing w:val="4"/>
          <w:szCs w:val="26"/>
        </w:rPr>
        <w:t>63</w:t>
      </w:r>
      <w:r w:rsidR="005A1827" w:rsidRPr="00616D28">
        <w:rPr>
          <w:spacing w:val="4"/>
          <w:szCs w:val="26"/>
        </w:rPr>
        <w:t xml:space="preserve"> puestos estaban vacantes, </w:t>
      </w:r>
      <w:r w:rsidR="00F40719" w:rsidRPr="00616D28">
        <w:rPr>
          <w:spacing w:val="4"/>
          <w:szCs w:val="26"/>
        </w:rPr>
        <w:t>nueve</w:t>
      </w:r>
      <w:r w:rsidR="005A1827" w:rsidRPr="00616D28">
        <w:rPr>
          <w:spacing w:val="4"/>
          <w:szCs w:val="26"/>
        </w:rPr>
        <w:t xml:space="preserve"> de ellos con reserva de puesto de trabajo. </w:t>
      </w:r>
    </w:p>
    <w:p w:rsidR="005A1827" w:rsidRPr="007B59C6" w:rsidRDefault="00652273" w:rsidP="00D54429">
      <w:pPr>
        <w:pStyle w:val="texto"/>
        <w:tabs>
          <w:tab w:val="clear" w:pos="2835"/>
          <w:tab w:val="clear" w:pos="3969"/>
          <w:tab w:val="clear" w:pos="5103"/>
          <w:tab w:val="clear" w:pos="6237"/>
          <w:tab w:val="clear" w:pos="7371"/>
          <w:tab w:val="num" w:pos="300"/>
        </w:tabs>
        <w:spacing w:before="120"/>
        <w:rPr>
          <w:szCs w:val="26"/>
        </w:rPr>
      </w:pPr>
      <w:r w:rsidRPr="007B59C6">
        <w:t xml:space="preserve">Del total </w:t>
      </w:r>
      <w:r w:rsidR="007B59C6" w:rsidRPr="007B59C6">
        <w:t>de</w:t>
      </w:r>
      <w:r w:rsidRPr="007B59C6">
        <w:t xml:space="preserve"> vacantes, </w:t>
      </w:r>
      <w:r w:rsidR="007B59C6">
        <w:t xml:space="preserve">estaban ocupados 71 </w:t>
      </w:r>
      <w:r w:rsidR="007B59C6" w:rsidRPr="007B59C6">
        <w:t xml:space="preserve">puestos </w:t>
      </w:r>
      <w:r w:rsidR="007B59C6">
        <w:t>de trabajo; de estos puestos vacantes ocupados, 52 corresponden a</w:t>
      </w:r>
      <w:r w:rsidRPr="007B59C6">
        <w:t xml:space="preserve"> l</w:t>
      </w:r>
      <w:r w:rsidR="005A1827" w:rsidRPr="007B59C6">
        <w:t>a figura de profesor contratado doctor en régimen laboral de interinidad</w:t>
      </w:r>
      <w:r w:rsidRPr="007B59C6">
        <w:t xml:space="preserve">, que </w:t>
      </w:r>
      <w:r w:rsidR="005A1827" w:rsidRPr="007B59C6">
        <w:t>se contempla en el Decreto Foral 2/2015, de 21 de enero, que modifica el Decreto Foral 36/2009, de 20 de abril, por el que se regula el régimen del personal docente e investigador contratado de la Universidad Pública de Navarra. Esta categoría se crea en tanto no pueda aplicarse el procedimiento de cobertura definitivo legalmente previsto en el citado Decreto Foral 36/2009.</w:t>
      </w:r>
      <w:r w:rsidR="007B59C6">
        <w:t xml:space="preserve"> </w:t>
      </w:r>
    </w:p>
    <w:p w:rsidR="00AD3951" w:rsidRDefault="00652273" w:rsidP="005A1827">
      <w:pPr>
        <w:pStyle w:val="texto"/>
        <w:tabs>
          <w:tab w:val="clear" w:pos="2835"/>
          <w:tab w:val="clear" w:pos="3969"/>
          <w:tab w:val="clear" w:pos="5103"/>
          <w:tab w:val="clear" w:pos="6237"/>
          <w:tab w:val="clear" w:pos="7371"/>
          <w:tab w:val="num" w:pos="300"/>
        </w:tabs>
        <w:spacing w:before="120" w:after="120"/>
        <w:rPr>
          <w:szCs w:val="26"/>
        </w:rPr>
      </w:pPr>
      <w:r w:rsidRPr="007B59C6">
        <w:rPr>
          <w:szCs w:val="26"/>
        </w:rPr>
        <w:t xml:space="preserve">Es decir, </w:t>
      </w:r>
      <w:r w:rsidR="00C42DB4" w:rsidRPr="007B59C6">
        <w:rPr>
          <w:szCs w:val="26"/>
        </w:rPr>
        <w:t xml:space="preserve">el porcentaje de </w:t>
      </w:r>
      <w:r w:rsidR="00174221" w:rsidRPr="007B59C6">
        <w:rPr>
          <w:szCs w:val="26"/>
        </w:rPr>
        <w:t xml:space="preserve">puestos de PDI </w:t>
      </w:r>
      <w:r w:rsidR="00C42DB4" w:rsidRPr="007B59C6">
        <w:rPr>
          <w:szCs w:val="26"/>
        </w:rPr>
        <w:t xml:space="preserve">vacantes sobre el total de plazas </w:t>
      </w:r>
      <w:r w:rsidR="00293E1E" w:rsidRPr="007B59C6">
        <w:rPr>
          <w:szCs w:val="26"/>
        </w:rPr>
        <w:t xml:space="preserve">de PDI </w:t>
      </w:r>
      <w:r w:rsidR="00A12FF8" w:rsidRPr="007B59C6">
        <w:rPr>
          <w:szCs w:val="26"/>
        </w:rPr>
        <w:t>es del 1</w:t>
      </w:r>
      <w:r w:rsidR="00822B04">
        <w:rPr>
          <w:szCs w:val="26"/>
        </w:rPr>
        <w:t>6 por ciento y el porcentaje de vacantes ocupadas asciende a un 51 por ciento.</w:t>
      </w:r>
    </w:p>
    <w:p w:rsidR="00FE24F8" w:rsidRDefault="00FE24F8">
      <w:pPr>
        <w:spacing w:after="0"/>
        <w:ind w:firstLine="0"/>
        <w:jc w:val="left"/>
        <w:rPr>
          <w:spacing w:val="6"/>
          <w:sz w:val="26"/>
          <w:szCs w:val="26"/>
        </w:rPr>
      </w:pPr>
      <w:r>
        <w:rPr>
          <w:szCs w:val="26"/>
        </w:rPr>
        <w:br w:type="page"/>
      </w:r>
    </w:p>
    <w:p w:rsidR="006C4251" w:rsidRPr="00B33A26" w:rsidRDefault="006C4251" w:rsidP="00D54429">
      <w:pPr>
        <w:pStyle w:val="texto"/>
        <w:tabs>
          <w:tab w:val="clear" w:pos="2835"/>
          <w:tab w:val="clear" w:pos="3969"/>
          <w:tab w:val="clear" w:pos="5103"/>
          <w:tab w:val="clear" w:pos="6237"/>
          <w:tab w:val="clear" w:pos="7371"/>
          <w:tab w:val="num" w:pos="300"/>
        </w:tabs>
        <w:spacing w:before="120" w:after="240"/>
        <w:rPr>
          <w:szCs w:val="26"/>
        </w:rPr>
      </w:pPr>
      <w:r w:rsidRPr="00B33A26">
        <w:rPr>
          <w:szCs w:val="26"/>
        </w:rPr>
        <w:t xml:space="preserve">La oferta pública </w:t>
      </w:r>
      <w:r w:rsidR="0057775D">
        <w:rPr>
          <w:szCs w:val="26"/>
        </w:rPr>
        <w:t>de empleo para</w:t>
      </w:r>
      <w:r w:rsidRPr="00B33A26">
        <w:rPr>
          <w:szCs w:val="26"/>
        </w:rPr>
        <w:t xml:space="preserve"> 2017</w:t>
      </w:r>
      <w:r w:rsidR="00B33A26" w:rsidRPr="00B33A26">
        <w:rPr>
          <w:szCs w:val="26"/>
        </w:rPr>
        <w:t>, publicada en el BON de 13 de noviembre</w:t>
      </w:r>
      <w:r w:rsidR="00B33A26">
        <w:rPr>
          <w:szCs w:val="26"/>
        </w:rPr>
        <w:t xml:space="preserve"> de 2017</w:t>
      </w:r>
      <w:r w:rsidR="00B33A26" w:rsidRPr="00B33A26">
        <w:rPr>
          <w:szCs w:val="26"/>
        </w:rPr>
        <w:t>,</w:t>
      </w:r>
      <w:r w:rsidRPr="00B33A26">
        <w:rPr>
          <w:szCs w:val="26"/>
        </w:rPr>
        <w:t xml:space="preserve"> inclu</w:t>
      </w:r>
      <w:r w:rsidR="00450D50">
        <w:rPr>
          <w:szCs w:val="26"/>
        </w:rPr>
        <w:t>ía</w:t>
      </w:r>
      <w:r w:rsidRPr="00B33A26">
        <w:rPr>
          <w:szCs w:val="26"/>
        </w:rPr>
        <w:t xml:space="preserve"> las siguientes plazas de PDI:</w:t>
      </w:r>
    </w:p>
    <w:tbl>
      <w:tblPr>
        <w:tblW w:w="9033" w:type="dxa"/>
        <w:jc w:val="center"/>
        <w:tblLayout w:type="fixed"/>
        <w:tblLook w:val="01E0" w:firstRow="1" w:lastRow="1" w:firstColumn="1" w:lastColumn="1" w:noHBand="0" w:noVBand="0"/>
      </w:tblPr>
      <w:tblGrid>
        <w:gridCol w:w="3968"/>
        <w:gridCol w:w="5014"/>
        <w:gridCol w:w="51"/>
      </w:tblGrid>
      <w:tr w:rsidR="007A0F4B" w:rsidRPr="00730AE6" w:rsidTr="00616D28">
        <w:trPr>
          <w:gridAfter w:val="1"/>
          <w:wAfter w:w="51" w:type="dxa"/>
          <w:trHeight w:val="284"/>
          <w:jc w:val="center"/>
        </w:trPr>
        <w:tc>
          <w:tcPr>
            <w:tcW w:w="3968" w:type="dxa"/>
            <w:tcBorders>
              <w:top w:val="single" w:sz="4" w:space="0" w:color="auto"/>
              <w:bottom w:val="single" w:sz="4" w:space="0" w:color="auto"/>
            </w:tcBorders>
            <w:shd w:val="clear" w:color="auto" w:fill="A0C3E3" w:themeFill="accent1" w:themeFillTint="99"/>
            <w:vAlign w:val="center"/>
          </w:tcPr>
          <w:p w:rsidR="007A0F4B" w:rsidRPr="00730AE6" w:rsidRDefault="007A0F4B" w:rsidP="005F01DB">
            <w:pPr>
              <w:tabs>
                <w:tab w:val="left" w:pos="2778"/>
                <w:tab w:val="left" w:pos="3629"/>
                <w:tab w:val="left" w:pos="3752"/>
              </w:tabs>
              <w:spacing w:after="0"/>
              <w:ind w:right="-19"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Puesto de trabajo PDI</w:t>
            </w:r>
          </w:p>
        </w:tc>
        <w:tc>
          <w:tcPr>
            <w:tcW w:w="5014" w:type="dxa"/>
            <w:tcBorders>
              <w:top w:val="single" w:sz="4" w:space="0" w:color="auto"/>
              <w:bottom w:val="single" w:sz="4" w:space="0" w:color="auto"/>
            </w:tcBorders>
            <w:shd w:val="clear" w:color="auto" w:fill="A0C3E3" w:themeFill="accent1" w:themeFillTint="99"/>
            <w:vAlign w:val="center"/>
          </w:tcPr>
          <w:p w:rsidR="007A0F4B" w:rsidRPr="00730AE6" w:rsidRDefault="007A0F4B" w:rsidP="00616D28">
            <w:pPr>
              <w:spacing w:after="0"/>
              <w:ind w:firstLine="0"/>
              <w:jc w:val="right"/>
              <w:rPr>
                <w:rFonts w:ascii="Arial" w:hAnsi="Arial" w:cs="Arial"/>
                <w:color w:val="000000"/>
                <w:sz w:val="18"/>
                <w:szCs w:val="18"/>
                <w:lang w:val="es-ES" w:eastAsia="es-ES"/>
              </w:rPr>
            </w:pPr>
            <w:r w:rsidRPr="00730AE6">
              <w:rPr>
                <w:rFonts w:ascii="Arial" w:hAnsi="Arial" w:cs="Arial"/>
                <w:color w:val="000000"/>
                <w:sz w:val="18"/>
                <w:szCs w:val="18"/>
                <w:lang w:val="es-ES" w:eastAsia="es-ES"/>
              </w:rPr>
              <w:t>Número</w:t>
            </w:r>
          </w:p>
        </w:tc>
      </w:tr>
      <w:tr w:rsidR="007A0F4B" w:rsidRPr="00730AE6" w:rsidTr="00616D28">
        <w:trPr>
          <w:trHeight w:val="284"/>
          <w:jc w:val="center"/>
        </w:trPr>
        <w:tc>
          <w:tcPr>
            <w:tcW w:w="3968" w:type="dxa"/>
            <w:tcBorders>
              <w:top w:val="single" w:sz="4" w:space="0" w:color="auto"/>
              <w:bottom w:val="single" w:sz="2" w:space="0" w:color="auto"/>
            </w:tcBorders>
            <w:vAlign w:val="center"/>
          </w:tcPr>
          <w:p w:rsidR="007A0F4B" w:rsidRPr="007A0F4B" w:rsidRDefault="007A0F4B" w:rsidP="005F01DB">
            <w:pPr>
              <w:tabs>
                <w:tab w:val="left" w:pos="2778"/>
                <w:tab w:val="left" w:pos="3629"/>
                <w:tab w:val="left" w:pos="3752"/>
              </w:tabs>
              <w:spacing w:after="0"/>
              <w:ind w:right="-19" w:firstLine="0"/>
              <w:jc w:val="left"/>
              <w:rPr>
                <w:rFonts w:ascii="Arial Narrow" w:hAnsi="Arial Narrow"/>
                <w:b/>
                <w:i/>
                <w:lang w:val="es-ES" w:eastAsia="es-ES"/>
              </w:rPr>
            </w:pPr>
            <w:r>
              <w:rPr>
                <w:rFonts w:ascii="Arial Narrow" w:hAnsi="Arial Narrow"/>
                <w:b/>
                <w:i/>
                <w:lang w:val="es-ES" w:eastAsia="es-ES"/>
              </w:rPr>
              <w:t xml:space="preserve">    </w:t>
            </w:r>
            <w:r w:rsidRPr="007A0F4B">
              <w:rPr>
                <w:rFonts w:ascii="Arial Narrow" w:hAnsi="Arial Narrow"/>
                <w:b/>
                <w:i/>
                <w:lang w:val="es-ES" w:eastAsia="es-ES"/>
              </w:rPr>
              <w:t>Tasa de reposición</w:t>
            </w:r>
          </w:p>
        </w:tc>
        <w:tc>
          <w:tcPr>
            <w:tcW w:w="5065" w:type="dxa"/>
            <w:gridSpan w:val="2"/>
            <w:tcBorders>
              <w:top w:val="single" w:sz="4" w:space="0" w:color="auto"/>
              <w:bottom w:val="single" w:sz="2" w:space="0" w:color="auto"/>
            </w:tcBorders>
            <w:vAlign w:val="center"/>
          </w:tcPr>
          <w:p w:rsidR="007A0F4B" w:rsidRDefault="007A0F4B" w:rsidP="005F01DB">
            <w:pPr>
              <w:spacing w:after="0"/>
              <w:ind w:right="85" w:firstLine="0"/>
              <w:jc w:val="right"/>
              <w:rPr>
                <w:rFonts w:ascii="Arial Narrow" w:hAnsi="Arial Narrow"/>
                <w:lang w:val="es-ES" w:eastAsia="es-ES"/>
              </w:rPr>
            </w:pPr>
          </w:p>
        </w:tc>
      </w:tr>
      <w:tr w:rsidR="005F01DB" w:rsidRPr="00730AE6" w:rsidTr="00616D28">
        <w:trPr>
          <w:trHeight w:val="284"/>
          <w:jc w:val="center"/>
        </w:trPr>
        <w:tc>
          <w:tcPr>
            <w:tcW w:w="3968" w:type="dxa"/>
            <w:tcBorders>
              <w:top w:val="single" w:sz="4" w:space="0" w:color="auto"/>
              <w:bottom w:val="single" w:sz="2" w:space="0" w:color="auto"/>
            </w:tcBorders>
            <w:vAlign w:val="center"/>
          </w:tcPr>
          <w:p w:rsidR="005F01DB" w:rsidRDefault="005F01DB" w:rsidP="005F01DB">
            <w:pPr>
              <w:tabs>
                <w:tab w:val="left" w:pos="2778"/>
                <w:tab w:val="left" w:pos="3629"/>
                <w:tab w:val="left" w:pos="3752"/>
              </w:tabs>
              <w:spacing w:after="0"/>
              <w:ind w:right="-19" w:firstLine="0"/>
              <w:jc w:val="left"/>
              <w:rPr>
                <w:rFonts w:ascii="Arial Narrow" w:hAnsi="Arial Narrow"/>
                <w:lang w:val="es-ES" w:eastAsia="es-ES"/>
              </w:rPr>
            </w:pPr>
            <w:r>
              <w:rPr>
                <w:rFonts w:ascii="Arial Narrow" w:hAnsi="Arial Narrow"/>
                <w:lang w:val="es-ES" w:eastAsia="es-ES"/>
              </w:rPr>
              <w:t>Catedrático Universidad (promoción interna)</w:t>
            </w:r>
          </w:p>
        </w:tc>
        <w:tc>
          <w:tcPr>
            <w:tcW w:w="5065" w:type="dxa"/>
            <w:gridSpan w:val="2"/>
            <w:tcBorders>
              <w:top w:val="single" w:sz="4" w:space="0" w:color="auto"/>
              <w:bottom w:val="single" w:sz="2" w:space="0" w:color="auto"/>
            </w:tcBorders>
            <w:vAlign w:val="center"/>
          </w:tcPr>
          <w:p w:rsidR="005F01DB" w:rsidRDefault="005F01DB" w:rsidP="005F01DB">
            <w:pPr>
              <w:spacing w:after="0"/>
              <w:ind w:right="85" w:firstLine="0"/>
              <w:jc w:val="right"/>
              <w:rPr>
                <w:rFonts w:ascii="Arial Narrow" w:hAnsi="Arial Narrow"/>
                <w:lang w:val="es-ES" w:eastAsia="es-ES"/>
              </w:rPr>
            </w:pPr>
            <w:r>
              <w:rPr>
                <w:rFonts w:ascii="Arial Narrow" w:hAnsi="Arial Narrow"/>
                <w:lang w:val="es-ES" w:eastAsia="es-ES"/>
              </w:rPr>
              <w:t>9</w:t>
            </w:r>
          </w:p>
        </w:tc>
      </w:tr>
      <w:tr w:rsidR="007A0F4B" w:rsidRPr="00730AE6" w:rsidTr="00616D28">
        <w:trPr>
          <w:trHeight w:val="284"/>
          <w:jc w:val="center"/>
        </w:trPr>
        <w:tc>
          <w:tcPr>
            <w:tcW w:w="3968" w:type="dxa"/>
            <w:tcBorders>
              <w:top w:val="single" w:sz="4" w:space="0" w:color="auto"/>
              <w:bottom w:val="single" w:sz="2" w:space="0" w:color="auto"/>
            </w:tcBorders>
            <w:vAlign w:val="center"/>
          </w:tcPr>
          <w:p w:rsidR="007A0F4B" w:rsidRPr="00730AE6" w:rsidRDefault="007A0F4B" w:rsidP="005F01DB">
            <w:pPr>
              <w:tabs>
                <w:tab w:val="left" w:pos="2778"/>
                <w:tab w:val="left" w:pos="3629"/>
                <w:tab w:val="left" w:pos="3752"/>
              </w:tabs>
              <w:spacing w:after="0"/>
              <w:ind w:right="-19" w:firstLine="0"/>
              <w:jc w:val="left"/>
              <w:rPr>
                <w:rFonts w:ascii="Arial Narrow" w:hAnsi="Arial Narrow"/>
                <w:lang w:val="es-ES" w:eastAsia="es-ES"/>
              </w:rPr>
            </w:pPr>
            <w:r>
              <w:rPr>
                <w:rFonts w:ascii="Arial Narrow" w:hAnsi="Arial Narrow"/>
                <w:lang w:val="es-ES" w:eastAsia="es-ES"/>
              </w:rPr>
              <w:t xml:space="preserve">Titular de </w:t>
            </w:r>
            <w:r w:rsidR="009D7DD5">
              <w:rPr>
                <w:rFonts w:ascii="Arial Narrow" w:hAnsi="Arial Narrow"/>
                <w:lang w:val="es-ES" w:eastAsia="es-ES"/>
              </w:rPr>
              <w:t>Universidad</w:t>
            </w:r>
          </w:p>
        </w:tc>
        <w:tc>
          <w:tcPr>
            <w:tcW w:w="5065" w:type="dxa"/>
            <w:gridSpan w:val="2"/>
            <w:tcBorders>
              <w:top w:val="single" w:sz="4" w:space="0" w:color="auto"/>
              <w:bottom w:val="single" w:sz="2" w:space="0" w:color="auto"/>
            </w:tcBorders>
            <w:vAlign w:val="center"/>
          </w:tcPr>
          <w:p w:rsidR="007A0F4B" w:rsidRPr="00730AE6" w:rsidRDefault="007A0F4B" w:rsidP="005F01DB">
            <w:pPr>
              <w:spacing w:after="0"/>
              <w:ind w:right="85" w:firstLine="0"/>
              <w:jc w:val="right"/>
              <w:rPr>
                <w:rFonts w:ascii="Arial Narrow" w:hAnsi="Arial Narrow"/>
                <w:lang w:val="es-ES" w:eastAsia="es-ES"/>
              </w:rPr>
            </w:pPr>
            <w:r>
              <w:rPr>
                <w:rFonts w:ascii="Arial Narrow" w:hAnsi="Arial Narrow"/>
                <w:lang w:val="es-ES" w:eastAsia="es-ES"/>
              </w:rPr>
              <w:t>9</w:t>
            </w:r>
          </w:p>
        </w:tc>
      </w:tr>
      <w:tr w:rsidR="007A0F4B" w:rsidRPr="00730AE6" w:rsidTr="00616D28">
        <w:trPr>
          <w:trHeight w:val="284"/>
          <w:jc w:val="center"/>
        </w:trPr>
        <w:tc>
          <w:tcPr>
            <w:tcW w:w="3968" w:type="dxa"/>
            <w:tcBorders>
              <w:top w:val="single" w:sz="4" w:space="0" w:color="auto"/>
              <w:bottom w:val="single" w:sz="2" w:space="0" w:color="auto"/>
            </w:tcBorders>
            <w:vAlign w:val="center"/>
          </w:tcPr>
          <w:p w:rsidR="007A0F4B" w:rsidRPr="00730AE6" w:rsidRDefault="007A0F4B" w:rsidP="005F01DB">
            <w:pPr>
              <w:tabs>
                <w:tab w:val="left" w:pos="2778"/>
                <w:tab w:val="left" w:pos="3629"/>
                <w:tab w:val="left" w:pos="3752"/>
              </w:tabs>
              <w:spacing w:after="0"/>
              <w:ind w:right="-19" w:firstLine="0"/>
              <w:jc w:val="left"/>
              <w:rPr>
                <w:rFonts w:ascii="Arial Narrow" w:hAnsi="Arial Narrow"/>
                <w:lang w:val="es-ES" w:eastAsia="es-ES"/>
              </w:rPr>
            </w:pPr>
            <w:r>
              <w:rPr>
                <w:rFonts w:ascii="Arial Narrow" w:hAnsi="Arial Narrow"/>
                <w:lang w:val="es-ES" w:eastAsia="es-ES"/>
              </w:rPr>
              <w:t>Profesor contratado doctor</w:t>
            </w:r>
          </w:p>
        </w:tc>
        <w:tc>
          <w:tcPr>
            <w:tcW w:w="5065" w:type="dxa"/>
            <w:gridSpan w:val="2"/>
            <w:tcBorders>
              <w:top w:val="single" w:sz="4" w:space="0" w:color="auto"/>
              <w:bottom w:val="single" w:sz="2" w:space="0" w:color="auto"/>
            </w:tcBorders>
            <w:vAlign w:val="center"/>
          </w:tcPr>
          <w:p w:rsidR="007A0F4B" w:rsidRDefault="007A0F4B" w:rsidP="005F01DB">
            <w:pPr>
              <w:spacing w:after="0"/>
              <w:ind w:right="85" w:firstLine="0"/>
              <w:jc w:val="right"/>
              <w:rPr>
                <w:rFonts w:ascii="Arial Narrow" w:hAnsi="Arial Narrow"/>
                <w:lang w:val="es-ES" w:eastAsia="es-ES"/>
              </w:rPr>
            </w:pPr>
            <w:r>
              <w:rPr>
                <w:rFonts w:ascii="Arial Narrow" w:hAnsi="Arial Narrow"/>
                <w:lang w:val="es-ES" w:eastAsia="es-ES"/>
              </w:rPr>
              <w:t>1</w:t>
            </w:r>
          </w:p>
        </w:tc>
      </w:tr>
      <w:tr w:rsidR="007A0F4B" w:rsidRPr="007A0F4B" w:rsidTr="00616D28">
        <w:trPr>
          <w:trHeight w:val="284"/>
          <w:jc w:val="center"/>
        </w:trPr>
        <w:tc>
          <w:tcPr>
            <w:tcW w:w="3968" w:type="dxa"/>
            <w:tcBorders>
              <w:top w:val="single" w:sz="4" w:space="0" w:color="auto"/>
              <w:bottom w:val="single" w:sz="2" w:space="0" w:color="auto"/>
            </w:tcBorders>
            <w:vAlign w:val="center"/>
          </w:tcPr>
          <w:p w:rsidR="007A0F4B" w:rsidRPr="007A0F4B" w:rsidRDefault="007A0F4B" w:rsidP="005F01DB">
            <w:pPr>
              <w:tabs>
                <w:tab w:val="left" w:pos="2778"/>
                <w:tab w:val="left" w:pos="3629"/>
                <w:tab w:val="left" w:pos="3752"/>
              </w:tabs>
              <w:spacing w:after="0"/>
              <w:ind w:right="-19" w:firstLine="0"/>
              <w:jc w:val="left"/>
              <w:rPr>
                <w:rFonts w:ascii="Arial Narrow" w:hAnsi="Arial Narrow"/>
                <w:b/>
                <w:i/>
                <w:lang w:val="es-ES" w:eastAsia="es-ES"/>
              </w:rPr>
            </w:pPr>
            <w:r>
              <w:rPr>
                <w:rFonts w:ascii="Arial Narrow" w:hAnsi="Arial Narrow"/>
                <w:b/>
                <w:i/>
                <w:lang w:val="es-ES" w:eastAsia="es-ES"/>
              </w:rPr>
              <w:t xml:space="preserve">    </w:t>
            </w:r>
            <w:r w:rsidRPr="007A0F4B">
              <w:rPr>
                <w:rFonts w:ascii="Arial Narrow" w:hAnsi="Arial Narrow"/>
                <w:b/>
                <w:i/>
                <w:lang w:val="es-ES" w:eastAsia="es-ES"/>
              </w:rPr>
              <w:t>Tasa de estabilización</w:t>
            </w:r>
          </w:p>
        </w:tc>
        <w:tc>
          <w:tcPr>
            <w:tcW w:w="5065" w:type="dxa"/>
            <w:gridSpan w:val="2"/>
            <w:tcBorders>
              <w:top w:val="single" w:sz="4" w:space="0" w:color="auto"/>
              <w:bottom w:val="single" w:sz="2" w:space="0" w:color="auto"/>
            </w:tcBorders>
            <w:vAlign w:val="center"/>
          </w:tcPr>
          <w:p w:rsidR="007A0F4B" w:rsidRPr="007A0F4B" w:rsidRDefault="007A0F4B" w:rsidP="005F01DB">
            <w:pPr>
              <w:spacing w:after="0"/>
              <w:ind w:right="85" w:firstLine="0"/>
              <w:jc w:val="right"/>
              <w:rPr>
                <w:rFonts w:ascii="Arial Narrow" w:hAnsi="Arial Narrow"/>
                <w:b/>
                <w:i/>
                <w:lang w:val="es-ES" w:eastAsia="es-ES"/>
              </w:rPr>
            </w:pPr>
          </w:p>
        </w:tc>
      </w:tr>
      <w:tr w:rsidR="007A0F4B" w:rsidRPr="00730AE6" w:rsidTr="00616D28">
        <w:trPr>
          <w:trHeight w:val="284"/>
          <w:jc w:val="center"/>
        </w:trPr>
        <w:tc>
          <w:tcPr>
            <w:tcW w:w="3968" w:type="dxa"/>
            <w:tcBorders>
              <w:top w:val="single" w:sz="4" w:space="0" w:color="auto"/>
              <w:bottom w:val="single" w:sz="2" w:space="0" w:color="auto"/>
            </w:tcBorders>
            <w:vAlign w:val="center"/>
          </w:tcPr>
          <w:p w:rsidR="007A0F4B" w:rsidRPr="00730AE6" w:rsidRDefault="007A0F4B" w:rsidP="005F01DB">
            <w:pPr>
              <w:tabs>
                <w:tab w:val="left" w:pos="2778"/>
                <w:tab w:val="left" w:pos="3629"/>
                <w:tab w:val="left" w:pos="3752"/>
              </w:tabs>
              <w:spacing w:after="0"/>
              <w:ind w:right="-19" w:firstLine="0"/>
              <w:jc w:val="left"/>
              <w:rPr>
                <w:rFonts w:ascii="Arial Narrow" w:hAnsi="Arial Narrow"/>
                <w:lang w:val="es-ES" w:eastAsia="es-ES"/>
              </w:rPr>
            </w:pPr>
            <w:r>
              <w:rPr>
                <w:rFonts w:ascii="Arial Narrow" w:hAnsi="Arial Narrow"/>
                <w:lang w:val="es-ES" w:eastAsia="es-ES"/>
              </w:rPr>
              <w:t xml:space="preserve">Titular de </w:t>
            </w:r>
            <w:r w:rsidR="009D7DD5">
              <w:rPr>
                <w:rFonts w:ascii="Arial Narrow" w:hAnsi="Arial Narrow"/>
                <w:lang w:val="es-ES" w:eastAsia="es-ES"/>
              </w:rPr>
              <w:t>Universidad</w:t>
            </w:r>
            <w:r>
              <w:rPr>
                <w:rFonts w:ascii="Arial Narrow" w:hAnsi="Arial Narrow"/>
                <w:lang w:val="es-ES" w:eastAsia="es-ES"/>
              </w:rPr>
              <w:t xml:space="preserve"> </w:t>
            </w:r>
          </w:p>
        </w:tc>
        <w:tc>
          <w:tcPr>
            <w:tcW w:w="5065" w:type="dxa"/>
            <w:gridSpan w:val="2"/>
            <w:tcBorders>
              <w:top w:val="single" w:sz="4" w:space="0" w:color="auto"/>
              <w:bottom w:val="single" w:sz="2" w:space="0" w:color="auto"/>
            </w:tcBorders>
            <w:vAlign w:val="center"/>
          </w:tcPr>
          <w:p w:rsidR="007A0F4B" w:rsidRPr="00730AE6" w:rsidRDefault="007A0F4B" w:rsidP="005F01DB">
            <w:pPr>
              <w:spacing w:after="0"/>
              <w:ind w:right="85" w:firstLine="0"/>
              <w:jc w:val="right"/>
              <w:rPr>
                <w:rFonts w:ascii="Arial Narrow" w:hAnsi="Arial Narrow"/>
                <w:lang w:val="es-ES" w:eastAsia="es-ES"/>
              </w:rPr>
            </w:pPr>
            <w:r>
              <w:rPr>
                <w:rFonts w:ascii="Arial Narrow" w:hAnsi="Arial Narrow"/>
                <w:lang w:val="es-ES" w:eastAsia="es-ES"/>
              </w:rPr>
              <w:t>8</w:t>
            </w:r>
          </w:p>
        </w:tc>
      </w:tr>
      <w:tr w:rsidR="007A0F4B" w:rsidRPr="00730AE6" w:rsidTr="00616D28">
        <w:trPr>
          <w:trHeight w:val="284"/>
          <w:jc w:val="center"/>
        </w:trPr>
        <w:tc>
          <w:tcPr>
            <w:tcW w:w="3968" w:type="dxa"/>
            <w:tcBorders>
              <w:top w:val="single" w:sz="4" w:space="0" w:color="auto"/>
              <w:bottom w:val="single" w:sz="4" w:space="0" w:color="auto"/>
            </w:tcBorders>
            <w:vAlign w:val="center"/>
          </w:tcPr>
          <w:p w:rsidR="007A0F4B" w:rsidRPr="00730AE6" w:rsidRDefault="007A0F4B" w:rsidP="005F01DB">
            <w:pPr>
              <w:tabs>
                <w:tab w:val="left" w:pos="2778"/>
                <w:tab w:val="left" w:pos="3629"/>
                <w:tab w:val="left" w:pos="3752"/>
              </w:tabs>
              <w:spacing w:after="0"/>
              <w:ind w:right="-19" w:firstLine="0"/>
              <w:jc w:val="left"/>
              <w:rPr>
                <w:rFonts w:ascii="Arial Narrow" w:hAnsi="Arial Narrow"/>
                <w:lang w:val="es-ES" w:eastAsia="es-ES"/>
              </w:rPr>
            </w:pPr>
            <w:r>
              <w:rPr>
                <w:rFonts w:ascii="Arial Narrow" w:hAnsi="Arial Narrow"/>
                <w:lang w:val="es-ES" w:eastAsia="es-ES"/>
              </w:rPr>
              <w:t xml:space="preserve">Profesor contratado doctor </w:t>
            </w:r>
          </w:p>
        </w:tc>
        <w:tc>
          <w:tcPr>
            <w:tcW w:w="5065" w:type="dxa"/>
            <w:gridSpan w:val="2"/>
            <w:tcBorders>
              <w:top w:val="single" w:sz="4" w:space="0" w:color="auto"/>
              <w:bottom w:val="single" w:sz="4" w:space="0" w:color="auto"/>
            </w:tcBorders>
            <w:vAlign w:val="center"/>
          </w:tcPr>
          <w:p w:rsidR="007A0F4B" w:rsidRPr="00730AE6" w:rsidRDefault="007A0F4B" w:rsidP="005F01DB">
            <w:pPr>
              <w:spacing w:after="0"/>
              <w:ind w:right="85" w:firstLine="0"/>
              <w:jc w:val="right"/>
              <w:rPr>
                <w:rFonts w:ascii="Arial Narrow" w:hAnsi="Arial Narrow"/>
                <w:lang w:val="es-ES" w:eastAsia="es-ES"/>
              </w:rPr>
            </w:pPr>
            <w:r>
              <w:rPr>
                <w:rFonts w:ascii="Arial Narrow" w:hAnsi="Arial Narrow"/>
                <w:lang w:val="es-ES" w:eastAsia="es-ES"/>
              </w:rPr>
              <w:t>10</w:t>
            </w:r>
          </w:p>
        </w:tc>
      </w:tr>
      <w:tr w:rsidR="007A0F4B" w:rsidRPr="00730AE6" w:rsidTr="00616D28">
        <w:trPr>
          <w:trHeight w:val="284"/>
          <w:jc w:val="center"/>
        </w:trPr>
        <w:tc>
          <w:tcPr>
            <w:tcW w:w="3968" w:type="dxa"/>
            <w:tcBorders>
              <w:top w:val="single" w:sz="4" w:space="0" w:color="auto"/>
              <w:bottom w:val="single" w:sz="4" w:space="0" w:color="auto"/>
            </w:tcBorders>
            <w:shd w:val="clear" w:color="auto" w:fill="A8CBEE" w:themeFill="accent2" w:themeFillTint="66"/>
            <w:vAlign w:val="center"/>
          </w:tcPr>
          <w:p w:rsidR="007A0F4B" w:rsidRPr="00730AE6" w:rsidRDefault="007A0F4B" w:rsidP="005F01DB">
            <w:pPr>
              <w:tabs>
                <w:tab w:val="left" w:pos="2778"/>
                <w:tab w:val="left" w:pos="3629"/>
                <w:tab w:val="left" w:pos="3752"/>
              </w:tabs>
              <w:spacing w:after="0"/>
              <w:ind w:right="-19" w:firstLine="0"/>
              <w:jc w:val="left"/>
              <w:rPr>
                <w:rFonts w:ascii="Arial" w:hAnsi="Arial" w:cs="Arial"/>
                <w:sz w:val="18"/>
                <w:szCs w:val="18"/>
                <w:lang w:val="es-ES" w:eastAsia="es-ES"/>
              </w:rPr>
            </w:pPr>
            <w:r>
              <w:rPr>
                <w:rFonts w:ascii="Arial" w:hAnsi="Arial" w:cs="Arial"/>
                <w:sz w:val="18"/>
                <w:szCs w:val="18"/>
                <w:lang w:val="es-ES" w:eastAsia="es-ES"/>
              </w:rPr>
              <w:t xml:space="preserve">Total </w:t>
            </w:r>
          </w:p>
        </w:tc>
        <w:tc>
          <w:tcPr>
            <w:tcW w:w="5065" w:type="dxa"/>
            <w:gridSpan w:val="2"/>
            <w:tcBorders>
              <w:top w:val="single" w:sz="4" w:space="0" w:color="auto"/>
              <w:bottom w:val="single" w:sz="4" w:space="0" w:color="auto"/>
            </w:tcBorders>
            <w:shd w:val="clear" w:color="auto" w:fill="A8CBEE" w:themeFill="accent2" w:themeFillTint="66"/>
            <w:vAlign w:val="center"/>
          </w:tcPr>
          <w:p w:rsidR="007A0F4B" w:rsidRPr="00730AE6" w:rsidRDefault="007A0F4B" w:rsidP="005F01DB">
            <w:pPr>
              <w:spacing w:after="0"/>
              <w:ind w:right="85" w:firstLine="0"/>
              <w:jc w:val="right"/>
              <w:rPr>
                <w:rFonts w:ascii="Arial" w:hAnsi="Arial" w:cs="Arial"/>
                <w:sz w:val="18"/>
                <w:szCs w:val="18"/>
                <w:lang w:val="es-ES" w:eastAsia="es-ES"/>
              </w:rPr>
            </w:pPr>
            <w:r>
              <w:rPr>
                <w:rFonts w:ascii="Arial" w:hAnsi="Arial" w:cs="Arial"/>
                <w:sz w:val="18"/>
                <w:szCs w:val="18"/>
                <w:lang w:val="es-ES" w:eastAsia="es-ES"/>
              </w:rPr>
              <w:t>37</w:t>
            </w:r>
          </w:p>
        </w:tc>
      </w:tr>
    </w:tbl>
    <w:p w:rsidR="006C4251" w:rsidRDefault="007A0F4B" w:rsidP="00616D28">
      <w:pPr>
        <w:pStyle w:val="texto"/>
        <w:spacing w:before="240" w:after="240"/>
      </w:pPr>
      <w:r>
        <w:t>Durante el año 201</w:t>
      </w:r>
      <w:r w:rsidR="00484440">
        <w:t>8</w:t>
      </w:r>
      <w:r>
        <w:t xml:space="preserve"> se han convocado </w:t>
      </w:r>
      <w:r w:rsidR="00484440">
        <w:t xml:space="preserve">nueve </w:t>
      </w:r>
      <w:r>
        <w:t xml:space="preserve">plazas de </w:t>
      </w:r>
      <w:r w:rsidR="00BC774F">
        <w:t>T</w:t>
      </w:r>
      <w:r>
        <w:t xml:space="preserve">itular de </w:t>
      </w:r>
      <w:r w:rsidR="009D7DD5">
        <w:t>Universidad</w:t>
      </w:r>
      <w:r w:rsidR="00484440">
        <w:t xml:space="preserve"> (tasa de reposición)</w:t>
      </w:r>
      <w:r>
        <w:t xml:space="preserve"> y </w:t>
      </w:r>
      <w:r w:rsidR="00484440">
        <w:t xml:space="preserve">11 plazas de </w:t>
      </w:r>
      <w:r w:rsidR="00BC774F">
        <w:t xml:space="preserve">Profesor </w:t>
      </w:r>
      <w:r>
        <w:t>contratado doctor</w:t>
      </w:r>
      <w:r w:rsidR="00484440">
        <w:t xml:space="preserve"> (tasa de reposición y estabilización)</w:t>
      </w:r>
      <w:r w:rsidR="0057775D">
        <w:t>;</w:t>
      </w:r>
      <w:r w:rsidR="00484440">
        <w:t xml:space="preserve"> </w:t>
      </w:r>
      <w:r w:rsidR="007179ED">
        <w:t>e</w:t>
      </w:r>
      <w:r w:rsidR="00484440">
        <w:t xml:space="preserve">stas últimas actualmente en tramitación. </w:t>
      </w:r>
      <w:r w:rsidR="00450D50">
        <w:t xml:space="preserve">En el primer trimestre de 2019 está previsto que se </w:t>
      </w:r>
      <w:r w:rsidR="00BC774F">
        <w:t>convoquen las plazas pendientes.</w:t>
      </w:r>
    </w:p>
    <w:p w:rsidR="006C4251" w:rsidRPr="006C4251" w:rsidRDefault="006C4251" w:rsidP="00616D28">
      <w:pPr>
        <w:pStyle w:val="atitulo3"/>
      </w:pPr>
      <w:r w:rsidRPr="006C4251">
        <w:t>Personal de administración y servicios (PAS)</w:t>
      </w:r>
    </w:p>
    <w:p w:rsidR="00D66410" w:rsidRPr="002D1A71" w:rsidRDefault="00D66410" w:rsidP="000962EC">
      <w:pPr>
        <w:pStyle w:val="texto"/>
        <w:tabs>
          <w:tab w:val="clear" w:pos="2835"/>
          <w:tab w:val="clear" w:pos="3969"/>
          <w:tab w:val="clear" w:pos="5103"/>
          <w:tab w:val="clear" w:pos="6237"/>
          <w:tab w:val="clear" w:pos="7371"/>
          <w:tab w:val="num" w:pos="300"/>
        </w:tabs>
        <w:spacing w:before="120" w:after="120"/>
        <w:rPr>
          <w:szCs w:val="26"/>
        </w:rPr>
      </w:pPr>
      <w:r w:rsidRPr="002D1A71">
        <w:rPr>
          <w:szCs w:val="26"/>
        </w:rPr>
        <w:t>La plantilla orgánica y la relac</w:t>
      </w:r>
      <w:r w:rsidR="00F40719">
        <w:rPr>
          <w:szCs w:val="26"/>
        </w:rPr>
        <w:t xml:space="preserve">ión de personal fijo y eventual </w:t>
      </w:r>
      <w:r w:rsidRPr="002D1A71">
        <w:rPr>
          <w:szCs w:val="26"/>
        </w:rPr>
        <w:t>que desempeña cargos directivos de libre designación</w:t>
      </w:r>
      <w:r w:rsidR="00F40719">
        <w:rPr>
          <w:szCs w:val="26"/>
        </w:rPr>
        <w:t xml:space="preserve"> </w:t>
      </w:r>
      <w:r w:rsidR="00AD3951">
        <w:rPr>
          <w:szCs w:val="26"/>
        </w:rPr>
        <w:t xml:space="preserve">del PAS </w:t>
      </w:r>
      <w:r w:rsidR="00F40719">
        <w:rPr>
          <w:szCs w:val="26"/>
        </w:rPr>
        <w:t xml:space="preserve">en </w:t>
      </w:r>
      <w:r w:rsidRPr="002D1A71">
        <w:rPr>
          <w:szCs w:val="26"/>
        </w:rPr>
        <w:t xml:space="preserve">la </w:t>
      </w:r>
      <w:r w:rsidR="009D7DD5" w:rsidRPr="002D1A71">
        <w:rPr>
          <w:szCs w:val="26"/>
        </w:rPr>
        <w:t>Universidad</w:t>
      </w:r>
      <w:r w:rsidR="00326ADC">
        <w:rPr>
          <w:szCs w:val="26"/>
        </w:rPr>
        <w:t>,</w:t>
      </w:r>
      <w:r w:rsidRPr="002D1A71">
        <w:rPr>
          <w:szCs w:val="26"/>
        </w:rPr>
        <w:t xml:space="preserve"> a 31 de diciembre de 201</w:t>
      </w:r>
      <w:r w:rsidR="00422452">
        <w:rPr>
          <w:szCs w:val="26"/>
        </w:rPr>
        <w:t>7</w:t>
      </w:r>
      <w:r w:rsidR="00C80C8D" w:rsidRPr="002D1A71">
        <w:rPr>
          <w:szCs w:val="26"/>
        </w:rPr>
        <w:t>,</w:t>
      </w:r>
      <w:r w:rsidRPr="002D1A71">
        <w:rPr>
          <w:szCs w:val="26"/>
        </w:rPr>
        <w:t xml:space="preserve"> se </w:t>
      </w:r>
      <w:r w:rsidR="00326ADC">
        <w:rPr>
          <w:szCs w:val="26"/>
        </w:rPr>
        <w:t>aprobaron</w:t>
      </w:r>
      <w:r w:rsidRPr="002D1A71">
        <w:rPr>
          <w:szCs w:val="26"/>
        </w:rPr>
        <w:t xml:space="preserve"> por Resolución </w:t>
      </w:r>
      <w:r w:rsidR="00422452">
        <w:rPr>
          <w:szCs w:val="26"/>
        </w:rPr>
        <w:t>152</w:t>
      </w:r>
      <w:r w:rsidRPr="002D1A71">
        <w:rPr>
          <w:szCs w:val="26"/>
        </w:rPr>
        <w:t>/201</w:t>
      </w:r>
      <w:r w:rsidR="00422452">
        <w:rPr>
          <w:szCs w:val="26"/>
        </w:rPr>
        <w:t>8</w:t>
      </w:r>
      <w:r w:rsidRPr="002D1A71">
        <w:rPr>
          <w:szCs w:val="26"/>
        </w:rPr>
        <w:t xml:space="preserve">, de </w:t>
      </w:r>
      <w:r w:rsidR="00422452">
        <w:rPr>
          <w:szCs w:val="26"/>
        </w:rPr>
        <w:t>30</w:t>
      </w:r>
      <w:r w:rsidRPr="002D1A71">
        <w:rPr>
          <w:szCs w:val="26"/>
        </w:rPr>
        <w:t xml:space="preserve"> de enero</w:t>
      </w:r>
      <w:r w:rsidR="0097222E" w:rsidRPr="002D1A71">
        <w:rPr>
          <w:szCs w:val="26"/>
        </w:rPr>
        <w:t>,</w:t>
      </w:r>
      <w:r w:rsidRPr="002D1A71">
        <w:rPr>
          <w:szCs w:val="26"/>
        </w:rPr>
        <w:t xml:space="preserve"> del Rector de la </w:t>
      </w:r>
      <w:r w:rsidR="009D7DD5" w:rsidRPr="002D1A71">
        <w:rPr>
          <w:szCs w:val="26"/>
        </w:rPr>
        <w:t>Universidad</w:t>
      </w:r>
      <w:r w:rsidR="002D1A71" w:rsidRPr="002D1A71">
        <w:rPr>
          <w:szCs w:val="26"/>
        </w:rPr>
        <w:t xml:space="preserve">, </w:t>
      </w:r>
      <w:r w:rsidR="00326ADC">
        <w:rPr>
          <w:szCs w:val="26"/>
        </w:rPr>
        <w:t xml:space="preserve">publicándose </w:t>
      </w:r>
      <w:r w:rsidR="002D1A71" w:rsidRPr="002D1A71">
        <w:rPr>
          <w:szCs w:val="26"/>
        </w:rPr>
        <w:t xml:space="preserve">en el BON el </w:t>
      </w:r>
      <w:r w:rsidR="00422452">
        <w:rPr>
          <w:szCs w:val="26"/>
        </w:rPr>
        <w:t>1</w:t>
      </w:r>
      <w:r w:rsidRPr="002D1A71">
        <w:rPr>
          <w:szCs w:val="26"/>
        </w:rPr>
        <w:t>9 de febrero de 201</w:t>
      </w:r>
      <w:r w:rsidR="00422452">
        <w:rPr>
          <w:szCs w:val="26"/>
        </w:rPr>
        <w:t>8</w:t>
      </w:r>
      <w:r w:rsidRPr="002D1A71">
        <w:rPr>
          <w:szCs w:val="26"/>
        </w:rPr>
        <w:t>.</w:t>
      </w:r>
    </w:p>
    <w:p w:rsidR="002D1A71" w:rsidRDefault="002D1A71" w:rsidP="00616D28">
      <w:pPr>
        <w:pStyle w:val="texto"/>
        <w:tabs>
          <w:tab w:val="clear" w:pos="2835"/>
          <w:tab w:val="clear" w:pos="3969"/>
          <w:tab w:val="clear" w:pos="5103"/>
          <w:tab w:val="clear" w:pos="6237"/>
          <w:tab w:val="clear" w:pos="7371"/>
          <w:tab w:val="num" w:pos="300"/>
        </w:tabs>
        <w:spacing w:before="120" w:after="280"/>
        <w:rPr>
          <w:szCs w:val="26"/>
        </w:rPr>
      </w:pPr>
      <w:r>
        <w:rPr>
          <w:szCs w:val="26"/>
        </w:rPr>
        <w:t>El número de puestos de trabajo</w:t>
      </w:r>
      <w:r w:rsidR="00470041">
        <w:rPr>
          <w:szCs w:val="26"/>
        </w:rPr>
        <w:t xml:space="preserve"> de la plantilla aprobada </w:t>
      </w:r>
      <w:r>
        <w:rPr>
          <w:szCs w:val="26"/>
        </w:rPr>
        <w:t>asciende</w:t>
      </w:r>
      <w:r w:rsidR="00422452">
        <w:rPr>
          <w:szCs w:val="26"/>
        </w:rPr>
        <w:t>n</w:t>
      </w:r>
      <w:r>
        <w:rPr>
          <w:szCs w:val="26"/>
        </w:rPr>
        <w:t xml:space="preserve"> a 5</w:t>
      </w:r>
      <w:r w:rsidR="00422452">
        <w:rPr>
          <w:szCs w:val="26"/>
        </w:rPr>
        <w:t>30</w:t>
      </w:r>
      <w:r>
        <w:rPr>
          <w:szCs w:val="26"/>
        </w:rPr>
        <w:t>. Su clasificación por régimen jurídico es la siguiente:</w:t>
      </w:r>
    </w:p>
    <w:tbl>
      <w:tblPr>
        <w:tblW w:w="8991" w:type="dxa"/>
        <w:jc w:val="center"/>
        <w:tblLayout w:type="fixed"/>
        <w:tblLook w:val="01E0" w:firstRow="1" w:lastRow="1" w:firstColumn="1" w:lastColumn="1" w:noHBand="0" w:noVBand="0"/>
      </w:tblPr>
      <w:tblGrid>
        <w:gridCol w:w="4667"/>
        <w:gridCol w:w="3190"/>
        <w:gridCol w:w="1134"/>
      </w:tblGrid>
      <w:tr w:rsidR="002D1A71" w:rsidRPr="005F01DB" w:rsidTr="00D54429">
        <w:trPr>
          <w:trHeight w:val="284"/>
          <w:jc w:val="center"/>
        </w:trPr>
        <w:tc>
          <w:tcPr>
            <w:tcW w:w="4667" w:type="dxa"/>
            <w:tcBorders>
              <w:top w:val="single" w:sz="4" w:space="0" w:color="auto"/>
              <w:bottom w:val="single" w:sz="2" w:space="0" w:color="auto"/>
            </w:tcBorders>
            <w:shd w:val="clear" w:color="auto" w:fill="ACCBF9" w:themeFill="background2"/>
            <w:vAlign w:val="center"/>
          </w:tcPr>
          <w:p w:rsidR="002D1A71" w:rsidRPr="005F01DB" w:rsidRDefault="002D1A71" w:rsidP="00015CF7">
            <w:pPr>
              <w:spacing w:after="0"/>
              <w:ind w:firstLine="0"/>
              <w:jc w:val="left"/>
              <w:rPr>
                <w:rFonts w:ascii="Arial" w:hAnsi="Arial" w:cs="Arial"/>
                <w:sz w:val="18"/>
                <w:szCs w:val="18"/>
                <w:lang w:val="es-ES" w:eastAsia="es-ES"/>
              </w:rPr>
            </w:pPr>
            <w:r w:rsidRPr="005F01DB">
              <w:rPr>
                <w:rFonts w:ascii="Arial" w:hAnsi="Arial" w:cs="Arial"/>
                <w:sz w:val="18"/>
                <w:szCs w:val="18"/>
                <w:lang w:val="es-ES" w:eastAsia="es-ES"/>
              </w:rPr>
              <w:t>Régimen jurídico</w:t>
            </w:r>
          </w:p>
        </w:tc>
        <w:tc>
          <w:tcPr>
            <w:tcW w:w="3190" w:type="dxa"/>
            <w:tcBorders>
              <w:top w:val="single" w:sz="4" w:space="0" w:color="auto"/>
              <w:bottom w:val="single" w:sz="2" w:space="0" w:color="auto"/>
            </w:tcBorders>
            <w:shd w:val="clear" w:color="auto" w:fill="ACCBF9" w:themeFill="background2"/>
            <w:vAlign w:val="center"/>
          </w:tcPr>
          <w:p w:rsidR="002D1A71" w:rsidRPr="005F01DB" w:rsidRDefault="002D1A71" w:rsidP="005F01DB">
            <w:pPr>
              <w:spacing w:after="0"/>
              <w:ind w:right="64" w:firstLine="0"/>
              <w:jc w:val="right"/>
              <w:rPr>
                <w:rFonts w:ascii="Arial" w:hAnsi="Arial" w:cs="Arial"/>
                <w:sz w:val="18"/>
                <w:szCs w:val="18"/>
                <w:lang w:val="es-ES" w:eastAsia="es-ES"/>
              </w:rPr>
            </w:pPr>
            <w:r w:rsidRPr="005F01DB">
              <w:rPr>
                <w:rFonts w:ascii="Arial" w:hAnsi="Arial" w:cs="Arial"/>
                <w:sz w:val="18"/>
                <w:szCs w:val="18"/>
                <w:lang w:val="es-ES" w:eastAsia="es-ES"/>
              </w:rPr>
              <w:t>2016</w:t>
            </w:r>
          </w:p>
        </w:tc>
        <w:tc>
          <w:tcPr>
            <w:tcW w:w="1134" w:type="dxa"/>
            <w:tcBorders>
              <w:top w:val="single" w:sz="4" w:space="0" w:color="auto"/>
              <w:bottom w:val="single" w:sz="2" w:space="0" w:color="auto"/>
            </w:tcBorders>
            <w:shd w:val="clear" w:color="auto" w:fill="ACCBF9" w:themeFill="background2"/>
            <w:vAlign w:val="center"/>
          </w:tcPr>
          <w:p w:rsidR="002D1A71" w:rsidRPr="005F01DB" w:rsidRDefault="002D1A71" w:rsidP="00015CF7">
            <w:pPr>
              <w:spacing w:after="0"/>
              <w:ind w:firstLine="0"/>
              <w:jc w:val="right"/>
              <w:rPr>
                <w:rFonts w:ascii="Arial" w:hAnsi="Arial" w:cs="Arial"/>
                <w:sz w:val="18"/>
                <w:szCs w:val="18"/>
                <w:lang w:val="es-ES" w:eastAsia="es-ES"/>
              </w:rPr>
            </w:pPr>
            <w:r w:rsidRPr="005F01DB">
              <w:rPr>
                <w:rFonts w:ascii="Arial" w:hAnsi="Arial" w:cs="Arial"/>
                <w:sz w:val="18"/>
                <w:szCs w:val="18"/>
                <w:lang w:val="es-ES" w:eastAsia="es-ES"/>
              </w:rPr>
              <w:t>2017</w:t>
            </w:r>
          </w:p>
        </w:tc>
      </w:tr>
      <w:tr w:rsidR="002D1A71" w:rsidRPr="00E93D0B" w:rsidTr="00D54429">
        <w:trPr>
          <w:trHeight w:val="284"/>
          <w:jc w:val="center"/>
        </w:trPr>
        <w:tc>
          <w:tcPr>
            <w:tcW w:w="4667" w:type="dxa"/>
            <w:tcBorders>
              <w:top w:val="single" w:sz="4" w:space="0" w:color="auto"/>
              <w:bottom w:val="single" w:sz="2" w:space="0" w:color="auto"/>
            </w:tcBorders>
            <w:vAlign w:val="center"/>
          </w:tcPr>
          <w:p w:rsidR="002D1A71" w:rsidRDefault="002D1A71" w:rsidP="00015CF7">
            <w:pPr>
              <w:spacing w:after="0"/>
              <w:ind w:firstLine="0"/>
              <w:jc w:val="left"/>
              <w:rPr>
                <w:rFonts w:ascii="Arial Narrow" w:hAnsi="Arial Narrow"/>
                <w:lang w:val="es-ES" w:eastAsia="es-ES"/>
              </w:rPr>
            </w:pPr>
            <w:r>
              <w:rPr>
                <w:rFonts w:ascii="Arial Narrow" w:hAnsi="Arial Narrow"/>
                <w:lang w:val="es-ES" w:eastAsia="es-ES"/>
              </w:rPr>
              <w:t>Funcionarios</w:t>
            </w:r>
          </w:p>
        </w:tc>
        <w:tc>
          <w:tcPr>
            <w:tcW w:w="3190" w:type="dxa"/>
            <w:tcBorders>
              <w:top w:val="single" w:sz="4" w:space="0" w:color="auto"/>
              <w:bottom w:val="single" w:sz="2" w:space="0" w:color="auto"/>
            </w:tcBorders>
            <w:vAlign w:val="center"/>
          </w:tcPr>
          <w:p w:rsidR="002D1A71" w:rsidRDefault="00053C98" w:rsidP="00053C98">
            <w:pPr>
              <w:spacing w:after="0"/>
              <w:ind w:right="64" w:firstLine="0"/>
              <w:jc w:val="right"/>
              <w:rPr>
                <w:rFonts w:ascii="Arial Narrow" w:hAnsi="Arial Narrow"/>
                <w:lang w:val="es-ES" w:eastAsia="es-ES"/>
              </w:rPr>
            </w:pPr>
            <w:r>
              <w:rPr>
                <w:rFonts w:ascii="Arial Narrow" w:hAnsi="Arial Narrow"/>
                <w:lang w:val="es-ES" w:eastAsia="es-ES"/>
              </w:rPr>
              <w:t>510</w:t>
            </w:r>
          </w:p>
        </w:tc>
        <w:tc>
          <w:tcPr>
            <w:tcW w:w="1134" w:type="dxa"/>
            <w:tcBorders>
              <w:top w:val="single" w:sz="4" w:space="0" w:color="auto"/>
              <w:bottom w:val="single" w:sz="2" w:space="0" w:color="auto"/>
            </w:tcBorders>
            <w:vAlign w:val="center"/>
          </w:tcPr>
          <w:p w:rsidR="002D1A71" w:rsidRDefault="002D1A71" w:rsidP="00053C98">
            <w:pPr>
              <w:spacing w:after="0"/>
              <w:ind w:firstLine="0"/>
              <w:jc w:val="right"/>
              <w:rPr>
                <w:rFonts w:ascii="Arial Narrow" w:hAnsi="Arial Narrow"/>
                <w:lang w:val="es-ES" w:eastAsia="es-ES"/>
              </w:rPr>
            </w:pPr>
            <w:r>
              <w:rPr>
                <w:rFonts w:ascii="Arial Narrow" w:hAnsi="Arial Narrow"/>
                <w:lang w:val="es-ES" w:eastAsia="es-ES"/>
              </w:rPr>
              <w:t>51</w:t>
            </w:r>
            <w:r w:rsidR="00053C98">
              <w:rPr>
                <w:rFonts w:ascii="Arial Narrow" w:hAnsi="Arial Narrow"/>
                <w:lang w:val="es-ES" w:eastAsia="es-ES"/>
              </w:rPr>
              <w:t>1</w:t>
            </w:r>
          </w:p>
        </w:tc>
      </w:tr>
      <w:tr w:rsidR="002D1A71" w:rsidRPr="00E93D0B" w:rsidTr="00D54429">
        <w:trPr>
          <w:trHeight w:val="284"/>
          <w:jc w:val="center"/>
        </w:trPr>
        <w:tc>
          <w:tcPr>
            <w:tcW w:w="4667" w:type="dxa"/>
            <w:tcBorders>
              <w:top w:val="single" w:sz="4" w:space="0" w:color="auto"/>
              <w:bottom w:val="single" w:sz="4" w:space="0" w:color="auto"/>
            </w:tcBorders>
            <w:vAlign w:val="center"/>
          </w:tcPr>
          <w:p w:rsidR="002D1A71" w:rsidRPr="00E93D0B" w:rsidRDefault="002D1A71" w:rsidP="00015CF7">
            <w:pPr>
              <w:spacing w:after="0"/>
              <w:ind w:firstLine="0"/>
              <w:jc w:val="left"/>
              <w:rPr>
                <w:rFonts w:ascii="Arial Narrow" w:hAnsi="Arial Narrow"/>
                <w:lang w:val="es-ES" w:eastAsia="es-ES"/>
              </w:rPr>
            </w:pPr>
            <w:r>
              <w:rPr>
                <w:rFonts w:ascii="Arial Narrow" w:hAnsi="Arial Narrow"/>
                <w:lang w:val="es-ES" w:eastAsia="es-ES"/>
              </w:rPr>
              <w:t>Cargo directivo eventual de libre designación</w:t>
            </w:r>
          </w:p>
        </w:tc>
        <w:tc>
          <w:tcPr>
            <w:tcW w:w="3190" w:type="dxa"/>
            <w:tcBorders>
              <w:top w:val="single" w:sz="4" w:space="0" w:color="auto"/>
              <w:bottom w:val="single" w:sz="4" w:space="0" w:color="auto"/>
            </w:tcBorders>
            <w:vAlign w:val="center"/>
          </w:tcPr>
          <w:p w:rsidR="002D1A71" w:rsidRPr="002D1A71" w:rsidRDefault="002D1A71" w:rsidP="005F01DB">
            <w:pPr>
              <w:spacing w:after="0"/>
              <w:ind w:right="64" w:firstLine="0"/>
              <w:jc w:val="right"/>
              <w:rPr>
                <w:rFonts w:ascii="Arial Narrow" w:hAnsi="Arial Narrow"/>
                <w:lang w:val="es-ES" w:eastAsia="es-ES"/>
              </w:rPr>
            </w:pPr>
            <w:r w:rsidRPr="002D1A71">
              <w:rPr>
                <w:rFonts w:ascii="Arial Narrow" w:hAnsi="Arial Narrow"/>
                <w:lang w:val="es-ES" w:eastAsia="es-ES"/>
              </w:rPr>
              <w:t>4</w:t>
            </w:r>
          </w:p>
        </w:tc>
        <w:tc>
          <w:tcPr>
            <w:tcW w:w="1134" w:type="dxa"/>
            <w:tcBorders>
              <w:top w:val="single" w:sz="4" w:space="0" w:color="auto"/>
              <w:bottom w:val="single" w:sz="4" w:space="0" w:color="auto"/>
            </w:tcBorders>
            <w:vAlign w:val="center"/>
          </w:tcPr>
          <w:p w:rsidR="002D1A71" w:rsidRPr="002D1A71" w:rsidRDefault="00053C98" w:rsidP="00015CF7">
            <w:pPr>
              <w:spacing w:after="0"/>
              <w:ind w:firstLine="0"/>
              <w:jc w:val="right"/>
              <w:rPr>
                <w:rFonts w:ascii="Arial Narrow" w:hAnsi="Arial Narrow"/>
                <w:lang w:val="es-ES" w:eastAsia="es-ES"/>
              </w:rPr>
            </w:pPr>
            <w:r>
              <w:rPr>
                <w:rFonts w:ascii="Arial Narrow" w:hAnsi="Arial Narrow"/>
                <w:lang w:val="es-ES" w:eastAsia="es-ES"/>
              </w:rPr>
              <w:t>5</w:t>
            </w:r>
          </w:p>
        </w:tc>
      </w:tr>
      <w:tr w:rsidR="002D1A71" w:rsidRPr="00E93D0B" w:rsidTr="00D54429">
        <w:trPr>
          <w:trHeight w:val="284"/>
          <w:jc w:val="center"/>
        </w:trPr>
        <w:tc>
          <w:tcPr>
            <w:tcW w:w="4667" w:type="dxa"/>
            <w:tcBorders>
              <w:top w:val="single" w:sz="4" w:space="0" w:color="auto"/>
              <w:bottom w:val="single" w:sz="4" w:space="0" w:color="auto"/>
            </w:tcBorders>
            <w:vAlign w:val="center"/>
          </w:tcPr>
          <w:p w:rsidR="002D1A71" w:rsidRPr="00E93D0B" w:rsidRDefault="002D1A71" w:rsidP="00015CF7">
            <w:pPr>
              <w:spacing w:after="0"/>
              <w:ind w:firstLine="0"/>
              <w:jc w:val="left"/>
              <w:rPr>
                <w:rFonts w:ascii="Arial Narrow" w:hAnsi="Arial Narrow"/>
                <w:lang w:val="es-ES" w:eastAsia="es-ES"/>
              </w:rPr>
            </w:pPr>
            <w:r>
              <w:rPr>
                <w:rFonts w:ascii="Arial Narrow" w:hAnsi="Arial Narrow"/>
                <w:lang w:val="es-ES" w:eastAsia="es-ES"/>
              </w:rPr>
              <w:t>Eventual de gabinete</w:t>
            </w:r>
          </w:p>
        </w:tc>
        <w:tc>
          <w:tcPr>
            <w:tcW w:w="3190" w:type="dxa"/>
            <w:tcBorders>
              <w:top w:val="single" w:sz="4" w:space="0" w:color="auto"/>
              <w:bottom w:val="single" w:sz="4" w:space="0" w:color="auto"/>
            </w:tcBorders>
            <w:vAlign w:val="center"/>
          </w:tcPr>
          <w:p w:rsidR="002D1A71" w:rsidRPr="002D1A71" w:rsidRDefault="002D1A71" w:rsidP="005F01DB">
            <w:pPr>
              <w:spacing w:after="0"/>
              <w:ind w:right="64" w:firstLine="0"/>
              <w:jc w:val="right"/>
              <w:rPr>
                <w:rFonts w:ascii="Arial Narrow" w:hAnsi="Arial Narrow"/>
                <w:lang w:val="es-ES" w:eastAsia="es-ES"/>
              </w:rPr>
            </w:pPr>
            <w:r w:rsidRPr="002D1A71">
              <w:rPr>
                <w:rFonts w:ascii="Arial Narrow" w:hAnsi="Arial Narrow"/>
                <w:lang w:val="es-ES" w:eastAsia="es-ES"/>
              </w:rPr>
              <w:t>14</w:t>
            </w:r>
          </w:p>
        </w:tc>
        <w:tc>
          <w:tcPr>
            <w:tcW w:w="1134" w:type="dxa"/>
            <w:tcBorders>
              <w:top w:val="single" w:sz="4" w:space="0" w:color="auto"/>
              <w:bottom w:val="single" w:sz="4" w:space="0" w:color="auto"/>
            </w:tcBorders>
            <w:vAlign w:val="center"/>
          </w:tcPr>
          <w:p w:rsidR="002D1A71" w:rsidRPr="002D1A71" w:rsidRDefault="002D1A71" w:rsidP="00015CF7">
            <w:pPr>
              <w:spacing w:after="0"/>
              <w:ind w:firstLine="0"/>
              <w:jc w:val="right"/>
              <w:rPr>
                <w:rFonts w:ascii="Arial Narrow" w:hAnsi="Arial Narrow"/>
                <w:lang w:val="es-ES" w:eastAsia="es-ES"/>
              </w:rPr>
            </w:pPr>
            <w:r w:rsidRPr="002D1A71">
              <w:rPr>
                <w:rFonts w:ascii="Arial Narrow" w:hAnsi="Arial Narrow"/>
                <w:lang w:val="es-ES" w:eastAsia="es-ES"/>
              </w:rPr>
              <w:t>14</w:t>
            </w:r>
          </w:p>
        </w:tc>
      </w:tr>
      <w:tr w:rsidR="002D1A71" w:rsidRPr="005F01DB" w:rsidTr="00D54429">
        <w:trPr>
          <w:trHeight w:val="284"/>
          <w:jc w:val="center"/>
        </w:trPr>
        <w:tc>
          <w:tcPr>
            <w:tcW w:w="4667" w:type="dxa"/>
            <w:tcBorders>
              <w:top w:val="single" w:sz="4" w:space="0" w:color="auto"/>
              <w:bottom w:val="single" w:sz="4" w:space="0" w:color="auto"/>
            </w:tcBorders>
            <w:shd w:val="clear" w:color="auto" w:fill="A0C3E3" w:themeFill="accent1" w:themeFillTint="99"/>
            <w:vAlign w:val="center"/>
          </w:tcPr>
          <w:p w:rsidR="002D1A71" w:rsidRPr="005F01DB" w:rsidRDefault="002D1A71" w:rsidP="00015CF7">
            <w:pPr>
              <w:spacing w:after="0"/>
              <w:ind w:firstLine="0"/>
              <w:jc w:val="left"/>
              <w:rPr>
                <w:rFonts w:ascii="Arial" w:hAnsi="Arial" w:cs="Arial"/>
                <w:sz w:val="18"/>
                <w:szCs w:val="18"/>
                <w:lang w:val="es-ES" w:eastAsia="es-ES"/>
              </w:rPr>
            </w:pPr>
            <w:r w:rsidRPr="005F01DB">
              <w:rPr>
                <w:rFonts w:ascii="Arial" w:hAnsi="Arial" w:cs="Arial"/>
                <w:sz w:val="18"/>
                <w:szCs w:val="18"/>
                <w:lang w:val="es-ES" w:eastAsia="es-ES"/>
              </w:rPr>
              <w:t xml:space="preserve">Total </w:t>
            </w:r>
          </w:p>
        </w:tc>
        <w:tc>
          <w:tcPr>
            <w:tcW w:w="3190" w:type="dxa"/>
            <w:tcBorders>
              <w:top w:val="single" w:sz="4" w:space="0" w:color="auto"/>
              <w:bottom w:val="single" w:sz="4" w:space="0" w:color="auto"/>
            </w:tcBorders>
            <w:shd w:val="clear" w:color="auto" w:fill="A0C3E3" w:themeFill="accent1" w:themeFillTint="99"/>
            <w:vAlign w:val="center"/>
          </w:tcPr>
          <w:p w:rsidR="002D1A71" w:rsidRPr="005F01DB" w:rsidRDefault="002D1A71" w:rsidP="00053C98">
            <w:pPr>
              <w:spacing w:after="0"/>
              <w:ind w:right="64" w:firstLine="0"/>
              <w:jc w:val="right"/>
              <w:rPr>
                <w:rFonts w:ascii="Arial" w:hAnsi="Arial" w:cs="Arial"/>
                <w:sz w:val="18"/>
                <w:szCs w:val="18"/>
                <w:lang w:val="es-ES" w:eastAsia="es-ES"/>
              </w:rPr>
            </w:pPr>
            <w:r w:rsidRPr="005F01DB">
              <w:rPr>
                <w:rFonts w:ascii="Arial" w:hAnsi="Arial" w:cs="Arial"/>
                <w:sz w:val="18"/>
                <w:szCs w:val="18"/>
                <w:lang w:val="es-ES" w:eastAsia="es-ES"/>
              </w:rPr>
              <w:t>5</w:t>
            </w:r>
            <w:r w:rsidR="00053C98">
              <w:rPr>
                <w:rFonts w:ascii="Arial" w:hAnsi="Arial" w:cs="Arial"/>
                <w:sz w:val="18"/>
                <w:szCs w:val="18"/>
                <w:lang w:val="es-ES" w:eastAsia="es-ES"/>
              </w:rPr>
              <w:t>28</w:t>
            </w:r>
          </w:p>
        </w:tc>
        <w:tc>
          <w:tcPr>
            <w:tcW w:w="1134" w:type="dxa"/>
            <w:tcBorders>
              <w:top w:val="single" w:sz="4" w:space="0" w:color="auto"/>
              <w:bottom w:val="single" w:sz="4" w:space="0" w:color="auto"/>
            </w:tcBorders>
            <w:shd w:val="clear" w:color="auto" w:fill="A0C3E3" w:themeFill="accent1" w:themeFillTint="99"/>
            <w:vAlign w:val="center"/>
          </w:tcPr>
          <w:p w:rsidR="002D1A71" w:rsidRPr="005F01DB" w:rsidRDefault="002D1A71" w:rsidP="00053C98">
            <w:pPr>
              <w:spacing w:after="0"/>
              <w:ind w:firstLine="0"/>
              <w:jc w:val="right"/>
              <w:rPr>
                <w:rFonts w:ascii="Arial" w:hAnsi="Arial" w:cs="Arial"/>
                <w:sz w:val="18"/>
                <w:szCs w:val="18"/>
                <w:lang w:val="es-ES" w:eastAsia="es-ES"/>
              </w:rPr>
            </w:pPr>
            <w:r w:rsidRPr="005F01DB">
              <w:rPr>
                <w:rFonts w:ascii="Arial" w:hAnsi="Arial" w:cs="Arial"/>
                <w:sz w:val="18"/>
                <w:szCs w:val="18"/>
                <w:lang w:val="es-ES" w:eastAsia="es-ES"/>
              </w:rPr>
              <w:t>5</w:t>
            </w:r>
            <w:r w:rsidR="00053C98">
              <w:rPr>
                <w:rFonts w:ascii="Arial" w:hAnsi="Arial" w:cs="Arial"/>
                <w:sz w:val="18"/>
                <w:szCs w:val="18"/>
                <w:lang w:val="es-ES" w:eastAsia="es-ES"/>
              </w:rPr>
              <w:t>30</w:t>
            </w:r>
          </w:p>
        </w:tc>
      </w:tr>
    </w:tbl>
    <w:p w:rsidR="00D66410" w:rsidRDefault="00D66410" w:rsidP="00616D28">
      <w:pPr>
        <w:pStyle w:val="texto"/>
        <w:tabs>
          <w:tab w:val="clear" w:pos="2835"/>
          <w:tab w:val="clear" w:pos="3969"/>
          <w:tab w:val="clear" w:pos="5103"/>
          <w:tab w:val="clear" w:pos="6237"/>
          <w:tab w:val="clear" w:pos="7371"/>
          <w:tab w:val="num" w:pos="300"/>
        </w:tabs>
        <w:spacing w:before="240"/>
        <w:rPr>
          <w:szCs w:val="26"/>
        </w:rPr>
      </w:pPr>
      <w:r w:rsidRPr="00A20116">
        <w:rPr>
          <w:szCs w:val="26"/>
        </w:rPr>
        <w:t>En dicha relación de personal no se incluye información sobre el grado, contrariamente a lo establecido en el artículo 20 del Estatuto de Personal al servicio de las Administraciones Públicas de Navarra.</w:t>
      </w:r>
    </w:p>
    <w:p w:rsidR="00616D28" w:rsidRDefault="00616D28">
      <w:pPr>
        <w:spacing w:after="0"/>
        <w:ind w:firstLine="0"/>
        <w:jc w:val="left"/>
        <w:rPr>
          <w:spacing w:val="6"/>
          <w:sz w:val="26"/>
          <w:szCs w:val="26"/>
        </w:rPr>
      </w:pPr>
      <w:r>
        <w:rPr>
          <w:szCs w:val="26"/>
        </w:rPr>
        <w:br w:type="page"/>
      </w:r>
    </w:p>
    <w:p w:rsidR="00887784" w:rsidRDefault="00B9574E" w:rsidP="00616D28">
      <w:pPr>
        <w:pStyle w:val="texto"/>
        <w:tabs>
          <w:tab w:val="clear" w:pos="2835"/>
          <w:tab w:val="clear" w:pos="3969"/>
          <w:tab w:val="clear" w:pos="5103"/>
          <w:tab w:val="clear" w:pos="6237"/>
          <w:tab w:val="clear" w:pos="7371"/>
          <w:tab w:val="num" w:pos="300"/>
        </w:tabs>
        <w:spacing w:before="120" w:after="240"/>
      </w:pPr>
      <w:r w:rsidRPr="00A20116">
        <w:rPr>
          <w:szCs w:val="26"/>
        </w:rPr>
        <w:t>L</w:t>
      </w:r>
      <w:r w:rsidR="00C80C8D">
        <w:rPr>
          <w:szCs w:val="26"/>
        </w:rPr>
        <w:t>os puestos de trabajo</w:t>
      </w:r>
      <w:r w:rsidRPr="00A20116">
        <w:rPr>
          <w:szCs w:val="26"/>
        </w:rPr>
        <w:t xml:space="preserve"> </w:t>
      </w:r>
      <w:r w:rsidR="00233B6A" w:rsidRPr="00A20116">
        <w:rPr>
          <w:szCs w:val="26"/>
        </w:rPr>
        <w:t xml:space="preserve">de PAS </w:t>
      </w:r>
      <w:r w:rsidRPr="00A20116">
        <w:rPr>
          <w:szCs w:val="26"/>
        </w:rPr>
        <w:t xml:space="preserve">a 31 de diciembre de 2017 ascendían </w:t>
      </w:r>
      <w:r w:rsidR="002D1A71">
        <w:rPr>
          <w:szCs w:val="26"/>
        </w:rPr>
        <w:t>a 530.</w:t>
      </w:r>
      <w:r w:rsidR="00233B6A" w:rsidRPr="00A20116">
        <w:rPr>
          <w:szCs w:val="26"/>
        </w:rPr>
        <w:t xml:space="preserve"> Su clasificación en </w:t>
      </w:r>
      <w:r w:rsidR="00C80C8D">
        <w:rPr>
          <w:szCs w:val="26"/>
        </w:rPr>
        <w:t>ocupados</w:t>
      </w:r>
      <w:r w:rsidR="00233B6A" w:rsidRPr="00A20116">
        <w:rPr>
          <w:szCs w:val="26"/>
        </w:rPr>
        <w:t xml:space="preserve"> y vacantes </w:t>
      </w:r>
      <w:r w:rsidR="002D1A71">
        <w:rPr>
          <w:szCs w:val="26"/>
        </w:rPr>
        <w:t>y</w:t>
      </w:r>
      <w:r w:rsidR="001A0675">
        <w:rPr>
          <w:szCs w:val="26"/>
        </w:rPr>
        <w:t xml:space="preserve"> </w:t>
      </w:r>
      <w:r w:rsidR="002D1A71">
        <w:rPr>
          <w:szCs w:val="26"/>
        </w:rPr>
        <w:t>su relación</w:t>
      </w:r>
      <w:r w:rsidR="00E557E2" w:rsidRPr="00A20116">
        <w:rPr>
          <w:szCs w:val="26"/>
        </w:rPr>
        <w:t xml:space="preserve"> sobre el total de puestos </w:t>
      </w:r>
      <w:r w:rsidR="00233B6A" w:rsidRPr="00A20116">
        <w:rPr>
          <w:szCs w:val="26"/>
        </w:rPr>
        <w:t>es la</w:t>
      </w:r>
      <w:r w:rsidR="00233B6A">
        <w:t xml:space="preserve"> siguiente:</w:t>
      </w:r>
    </w:p>
    <w:tbl>
      <w:tblPr>
        <w:tblW w:w="8991" w:type="dxa"/>
        <w:jc w:val="center"/>
        <w:tblLayout w:type="fixed"/>
        <w:tblLook w:val="01E0" w:firstRow="1" w:lastRow="1" w:firstColumn="1" w:lastColumn="1" w:noHBand="0" w:noVBand="0"/>
      </w:tblPr>
      <w:tblGrid>
        <w:gridCol w:w="4667"/>
        <w:gridCol w:w="3190"/>
        <w:gridCol w:w="1134"/>
      </w:tblGrid>
      <w:tr w:rsidR="00233B6A" w:rsidRPr="005F01DB" w:rsidTr="00670292">
        <w:trPr>
          <w:trHeight w:val="284"/>
          <w:jc w:val="center"/>
        </w:trPr>
        <w:tc>
          <w:tcPr>
            <w:tcW w:w="4667" w:type="dxa"/>
            <w:tcBorders>
              <w:top w:val="single" w:sz="4" w:space="0" w:color="auto"/>
              <w:bottom w:val="single" w:sz="2" w:space="0" w:color="auto"/>
            </w:tcBorders>
            <w:shd w:val="clear" w:color="auto" w:fill="A8CBEE" w:themeFill="accent2" w:themeFillTint="66"/>
            <w:vAlign w:val="center"/>
          </w:tcPr>
          <w:p w:rsidR="00233B6A" w:rsidRPr="005F01DB" w:rsidRDefault="00233B6A" w:rsidP="00B9574E">
            <w:pPr>
              <w:spacing w:after="0"/>
              <w:ind w:firstLine="0"/>
              <w:jc w:val="left"/>
              <w:rPr>
                <w:rFonts w:ascii="Arial" w:hAnsi="Arial" w:cs="Arial"/>
                <w:sz w:val="18"/>
                <w:szCs w:val="18"/>
                <w:lang w:val="es-ES" w:eastAsia="es-ES"/>
              </w:rPr>
            </w:pPr>
            <w:r w:rsidRPr="005F01DB">
              <w:rPr>
                <w:rFonts w:ascii="Arial" w:hAnsi="Arial" w:cs="Arial"/>
                <w:sz w:val="18"/>
                <w:szCs w:val="18"/>
                <w:lang w:val="es-ES" w:eastAsia="es-ES"/>
              </w:rPr>
              <w:t>Plazas</w:t>
            </w:r>
          </w:p>
        </w:tc>
        <w:tc>
          <w:tcPr>
            <w:tcW w:w="3190" w:type="dxa"/>
            <w:tcBorders>
              <w:top w:val="single" w:sz="4" w:space="0" w:color="auto"/>
              <w:bottom w:val="single" w:sz="2" w:space="0" w:color="auto"/>
            </w:tcBorders>
            <w:shd w:val="clear" w:color="auto" w:fill="A8CBEE" w:themeFill="accent2" w:themeFillTint="66"/>
            <w:vAlign w:val="center"/>
          </w:tcPr>
          <w:p w:rsidR="00233B6A" w:rsidRPr="005F01DB" w:rsidRDefault="00233B6A" w:rsidP="004245B7">
            <w:pPr>
              <w:spacing w:after="0"/>
              <w:ind w:right="210" w:firstLine="0"/>
              <w:jc w:val="right"/>
              <w:rPr>
                <w:rFonts w:ascii="Arial" w:hAnsi="Arial" w:cs="Arial"/>
                <w:sz w:val="18"/>
                <w:szCs w:val="18"/>
                <w:lang w:val="es-ES" w:eastAsia="es-ES"/>
              </w:rPr>
            </w:pPr>
          </w:p>
        </w:tc>
        <w:tc>
          <w:tcPr>
            <w:tcW w:w="1134" w:type="dxa"/>
            <w:tcBorders>
              <w:top w:val="single" w:sz="4" w:space="0" w:color="auto"/>
              <w:bottom w:val="single" w:sz="2" w:space="0" w:color="auto"/>
            </w:tcBorders>
            <w:shd w:val="clear" w:color="auto" w:fill="A8CBEE" w:themeFill="accent2" w:themeFillTint="66"/>
            <w:vAlign w:val="center"/>
          </w:tcPr>
          <w:p w:rsidR="00233B6A" w:rsidRPr="005F01DB" w:rsidRDefault="00233B6A" w:rsidP="00B9574E">
            <w:pPr>
              <w:spacing w:after="0"/>
              <w:ind w:firstLine="0"/>
              <w:jc w:val="right"/>
              <w:rPr>
                <w:rFonts w:ascii="Arial" w:hAnsi="Arial" w:cs="Arial"/>
                <w:sz w:val="18"/>
                <w:szCs w:val="18"/>
                <w:lang w:val="es-ES" w:eastAsia="es-ES"/>
              </w:rPr>
            </w:pPr>
            <w:r w:rsidRPr="005F01DB">
              <w:rPr>
                <w:rFonts w:ascii="Arial" w:hAnsi="Arial" w:cs="Arial"/>
                <w:sz w:val="18"/>
                <w:szCs w:val="18"/>
                <w:lang w:val="es-ES" w:eastAsia="es-ES"/>
              </w:rPr>
              <w:t>2017</w:t>
            </w:r>
          </w:p>
        </w:tc>
      </w:tr>
      <w:tr w:rsidR="00233B6A" w:rsidRPr="00E93D0B" w:rsidTr="00D54429">
        <w:trPr>
          <w:trHeight w:val="284"/>
          <w:jc w:val="center"/>
        </w:trPr>
        <w:tc>
          <w:tcPr>
            <w:tcW w:w="4667" w:type="dxa"/>
            <w:tcBorders>
              <w:top w:val="single" w:sz="4" w:space="0" w:color="auto"/>
              <w:bottom w:val="single" w:sz="2" w:space="0" w:color="auto"/>
            </w:tcBorders>
            <w:vAlign w:val="center"/>
          </w:tcPr>
          <w:p w:rsidR="00233B6A" w:rsidRDefault="00233B6A" w:rsidP="00B9574E">
            <w:pPr>
              <w:spacing w:after="0"/>
              <w:ind w:firstLine="0"/>
              <w:jc w:val="left"/>
              <w:rPr>
                <w:rFonts w:ascii="Arial Narrow" w:hAnsi="Arial Narrow"/>
                <w:lang w:val="es-ES" w:eastAsia="es-ES"/>
              </w:rPr>
            </w:pPr>
            <w:r>
              <w:rPr>
                <w:rFonts w:ascii="Arial Narrow" w:hAnsi="Arial Narrow"/>
                <w:lang w:val="es-ES" w:eastAsia="es-ES"/>
              </w:rPr>
              <w:t>Total puestos</w:t>
            </w:r>
          </w:p>
        </w:tc>
        <w:tc>
          <w:tcPr>
            <w:tcW w:w="3190" w:type="dxa"/>
            <w:tcBorders>
              <w:top w:val="single" w:sz="4" w:space="0" w:color="auto"/>
              <w:bottom w:val="single" w:sz="2" w:space="0" w:color="auto"/>
            </w:tcBorders>
            <w:vAlign w:val="center"/>
          </w:tcPr>
          <w:p w:rsidR="00233B6A" w:rsidRDefault="00233B6A" w:rsidP="00B9574E">
            <w:pPr>
              <w:spacing w:after="0"/>
              <w:ind w:right="210" w:firstLine="0"/>
              <w:jc w:val="right"/>
              <w:rPr>
                <w:rFonts w:ascii="Arial Narrow" w:hAnsi="Arial Narrow"/>
                <w:lang w:val="es-ES" w:eastAsia="es-ES"/>
              </w:rPr>
            </w:pPr>
          </w:p>
        </w:tc>
        <w:tc>
          <w:tcPr>
            <w:tcW w:w="1134" w:type="dxa"/>
            <w:tcBorders>
              <w:top w:val="single" w:sz="4" w:space="0" w:color="auto"/>
              <w:bottom w:val="single" w:sz="2" w:space="0" w:color="auto"/>
            </w:tcBorders>
            <w:vAlign w:val="center"/>
          </w:tcPr>
          <w:p w:rsidR="00233B6A" w:rsidRDefault="00233B6A" w:rsidP="00B9574E">
            <w:pPr>
              <w:spacing w:after="0"/>
              <w:ind w:firstLine="0"/>
              <w:jc w:val="right"/>
              <w:rPr>
                <w:rFonts w:ascii="Arial Narrow" w:hAnsi="Arial Narrow"/>
                <w:lang w:val="es-ES" w:eastAsia="es-ES"/>
              </w:rPr>
            </w:pPr>
            <w:r>
              <w:rPr>
                <w:rFonts w:ascii="Arial Narrow" w:hAnsi="Arial Narrow"/>
                <w:lang w:val="es-ES" w:eastAsia="es-ES"/>
              </w:rPr>
              <w:t>530</w:t>
            </w:r>
          </w:p>
        </w:tc>
      </w:tr>
      <w:tr w:rsidR="00015CF7" w:rsidRPr="00015CF7" w:rsidTr="00D54429">
        <w:trPr>
          <w:trHeight w:val="284"/>
          <w:jc w:val="center"/>
        </w:trPr>
        <w:tc>
          <w:tcPr>
            <w:tcW w:w="4667" w:type="dxa"/>
            <w:tcBorders>
              <w:top w:val="single" w:sz="4" w:space="0" w:color="auto"/>
              <w:bottom w:val="single" w:sz="4" w:space="0" w:color="auto"/>
            </w:tcBorders>
            <w:vAlign w:val="center"/>
          </w:tcPr>
          <w:p w:rsidR="00233B6A" w:rsidRPr="00E93D0B" w:rsidRDefault="00233B6A" w:rsidP="00B9574E">
            <w:pPr>
              <w:spacing w:after="0"/>
              <w:ind w:firstLine="0"/>
              <w:jc w:val="left"/>
              <w:rPr>
                <w:rFonts w:ascii="Arial Narrow" w:hAnsi="Arial Narrow"/>
                <w:lang w:val="es-ES" w:eastAsia="es-ES"/>
              </w:rPr>
            </w:pPr>
            <w:r w:rsidRPr="00E93D0B">
              <w:rPr>
                <w:rFonts w:ascii="Arial Narrow" w:hAnsi="Arial Narrow"/>
                <w:lang w:val="es-ES" w:eastAsia="es-ES"/>
              </w:rPr>
              <w:t>Vacantes</w:t>
            </w:r>
          </w:p>
        </w:tc>
        <w:tc>
          <w:tcPr>
            <w:tcW w:w="3190" w:type="dxa"/>
            <w:tcBorders>
              <w:top w:val="single" w:sz="4" w:space="0" w:color="auto"/>
              <w:bottom w:val="single" w:sz="4" w:space="0" w:color="auto"/>
            </w:tcBorders>
            <w:vAlign w:val="center"/>
          </w:tcPr>
          <w:p w:rsidR="00233B6A" w:rsidRPr="005F01DB" w:rsidRDefault="00233B6A" w:rsidP="00B9574E">
            <w:pPr>
              <w:spacing w:after="0"/>
              <w:ind w:right="210" w:firstLine="0"/>
              <w:jc w:val="right"/>
              <w:rPr>
                <w:rFonts w:ascii="Arial Narrow" w:hAnsi="Arial Narrow"/>
                <w:lang w:val="es-ES" w:eastAsia="es-ES"/>
              </w:rPr>
            </w:pPr>
          </w:p>
        </w:tc>
        <w:tc>
          <w:tcPr>
            <w:tcW w:w="1134" w:type="dxa"/>
            <w:tcBorders>
              <w:top w:val="single" w:sz="4" w:space="0" w:color="auto"/>
              <w:bottom w:val="single" w:sz="4" w:space="0" w:color="auto"/>
            </w:tcBorders>
            <w:vAlign w:val="center"/>
          </w:tcPr>
          <w:p w:rsidR="00233B6A" w:rsidRPr="00015CF7" w:rsidRDefault="00861AB6" w:rsidP="00B9574E">
            <w:pPr>
              <w:spacing w:after="0"/>
              <w:ind w:firstLine="0"/>
              <w:jc w:val="right"/>
              <w:rPr>
                <w:rFonts w:ascii="Arial Narrow" w:hAnsi="Arial Narrow"/>
                <w:lang w:val="es-ES" w:eastAsia="es-ES"/>
              </w:rPr>
            </w:pPr>
            <w:r w:rsidRPr="00015CF7">
              <w:rPr>
                <w:rFonts w:ascii="Arial Narrow" w:hAnsi="Arial Narrow"/>
                <w:lang w:val="es-ES" w:eastAsia="es-ES"/>
              </w:rPr>
              <w:t>163</w:t>
            </w:r>
          </w:p>
        </w:tc>
      </w:tr>
      <w:tr w:rsidR="00015CF7" w:rsidRPr="00015CF7" w:rsidTr="00D54429">
        <w:trPr>
          <w:trHeight w:val="284"/>
          <w:jc w:val="center"/>
        </w:trPr>
        <w:tc>
          <w:tcPr>
            <w:tcW w:w="4667" w:type="dxa"/>
            <w:tcBorders>
              <w:top w:val="single" w:sz="4" w:space="0" w:color="auto"/>
              <w:bottom w:val="single" w:sz="4" w:space="0" w:color="auto"/>
            </w:tcBorders>
            <w:vAlign w:val="center"/>
          </w:tcPr>
          <w:p w:rsidR="00233B6A" w:rsidRPr="00E93D0B" w:rsidRDefault="00233B6A" w:rsidP="00B9574E">
            <w:pPr>
              <w:spacing w:after="0"/>
              <w:ind w:firstLine="0"/>
              <w:jc w:val="left"/>
              <w:rPr>
                <w:rFonts w:ascii="Arial Narrow" w:hAnsi="Arial Narrow"/>
                <w:lang w:val="es-ES" w:eastAsia="es-ES"/>
              </w:rPr>
            </w:pPr>
            <w:r>
              <w:rPr>
                <w:rFonts w:ascii="Arial Narrow" w:hAnsi="Arial Narrow"/>
                <w:lang w:val="es-ES" w:eastAsia="es-ES"/>
              </w:rPr>
              <w:t>% vacantes sobre total de puestos</w:t>
            </w:r>
          </w:p>
        </w:tc>
        <w:tc>
          <w:tcPr>
            <w:tcW w:w="3190" w:type="dxa"/>
            <w:tcBorders>
              <w:top w:val="single" w:sz="4" w:space="0" w:color="auto"/>
              <w:bottom w:val="single" w:sz="4" w:space="0" w:color="auto"/>
            </w:tcBorders>
            <w:vAlign w:val="center"/>
          </w:tcPr>
          <w:p w:rsidR="00233B6A" w:rsidRPr="005F01DB" w:rsidRDefault="00233B6A" w:rsidP="008B21F4">
            <w:pPr>
              <w:spacing w:after="0"/>
              <w:ind w:right="210" w:firstLine="0"/>
              <w:jc w:val="right"/>
              <w:rPr>
                <w:rFonts w:ascii="Arial Narrow" w:hAnsi="Arial Narrow"/>
                <w:lang w:val="es-ES" w:eastAsia="es-ES"/>
              </w:rPr>
            </w:pPr>
          </w:p>
        </w:tc>
        <w:tc>
          <w:tcPr>
            <w:tcW w:w="1134" w:type="dxa"/>
            <w:tcBorders>
              <w:top w:val="single" w:sz="4" w:space="0" w:color="auto"/>
              <w:bottom w:val="single" w:sz="4" w:space="0" w:color="auto"/>
            </w:tcBorders>
            <w:vAlign w:val="center"/>
          </w:tcPr>
          <w:p w:rsidR="00233B6A" w:rsidRPr="00015CF7" w:rsidRDefault="008B21F4" w:rsidP="00B9574E">
            <w:pPr>
              <w:spacing w:after="0"/>
              <w:ind w:firstLine="0"/>
              <w:jc w:val="right"/>
              <w:rPr>
                <w:rFonts w:ascii="Arial Narrow" w:hAnsi="Arial Narrow"/>
                <w:lang w:val="es-ES" w:eastAsia="es-ES"/>
              </w:rPr>
            </w:pPr>
            <w:r w:rsidRPr="00015CF7">
              <w:rPr>
                <w:rFonts w:ascii="Arial Narrow" w:hAnsi="Arial Narrow"/>
                <w:lang w:val="es-ES" w:eastAsia="es-ES"/>
              </w:rPr>
              <w:t>3</w:t>
            </w:r>
            <w:r w:rsidR="00861AB6" w:rsidRPr="00015CF7">
              <w:rPr>
                <w:rFonts w:ascii="Arial Narrow" w:hAnsi="Arial Narrow"/>
                <w:lang w:val="es-ES" w:eastAsia="es-ES"/>
              </w:rPr>
              <w:t>1</w:t>
            </w:r>
          </w:p>
        </w:tc>
      </w:tr>
      <w:tr w:rsidR="00015CF7" w:rsidRPr="00015CF7" w:rsidTr="00616D28">
        <w:trPr>
          <w:trHeight w:val="284"/>
          <w:jc w:val="center"/>
        </w:trPr>
        <w:tc>
          <w:tcPr>
            <w:tcW w:w="4667" w:type="dxa"/>
            <w:tcBorders>
              <w:top w:val="single" w:sz="4" w:space="0" w:color="auto"/>
              <w:bottom w:val="single" w:sz="4" w:space="0" w:color="auto"/>
            </w:tcBorders>
            <w:vAlign w:val="center"/>
          </w:tcPr>
          <w:p w:rsidR="00233B6A" w:rsidRPr="00E93D0B" w:rsidRDefault="00233B6A" w:rsidP="00B9574E">
            <w:pPr>
              <w:spacing w:after="0"/>
              <w:ind w:firstLine="0"/>
              <w:jc w:val="left"/>
              <w:rPr>
                <w:rFonts w:ascii="Arial Narrow" w:hAnsi="Arial Narrow"/>
                <w:lang w:val="es-ES" w:eastAsia="es-ES"/>
              </w:rPr>
            </w:pPr>
            <w:r>
              <w:rPr>
                <w:rFonts w:ascii="Arial Narrow" w:hAnsi="Arial Narrow"/>
                <w:lang w:val="es-ES" w:eastAsia="es-ES"/>
              </w:rPr>
              <w:t>Vacantes cubiertas temporalmente</w:t>
            </w:r>
          </w:p>
        </w:tc>
        <w:tc>
          <w:tcPr>
            <w:tcW w:w="3190" w:type="dxa"/>
            <w:tcBorders>
              <w:top w:val="single" w:sz="4" w:space="0" w:color="auto"/>
              <w:bottom w:val="single" w:sz="4" w:space="0" w:color="auto"/>
            </w:tcBorders>
            <w:vAlign w:val="center"/>
          </w:tcPr>
          <w:p w:rsidR="00233B6A" w:rsidRPr="005F01DB" w:rsidRDefault="00233B6A" w:rsidP="001E78F1">
            <w:pPr>
              <w:spacing w:after="0"/>
              <w:ind w:right="210" w:firstLine="0"/>
              <w:jc w:val="right"/>
              <w:rPr>
                <w:rFonts w:ascii="Arial Narrow" w:hAnsi="Arial Narrow"/>
                <w:lang w:val="es-ES" w:eastAsia="es-ES"/>
              </w:rPr>
            </w:pPr>
          </w:p>
        </w:tc>
        <w:tc>
          <w:tcPr>
            <w:tcW w:w="1134" w:type="dxa"/>
            <w:tcBorders>
              <w:top w:val="single" w:sz="4" w:space="0" w:color="auto"/>
              <w:bottom w:val="single" w:sz="4" w:space="0" w:color="auto"/>
            </w:tcBorders>
            <w:vAlign w:val="center"/>
          </w:tcPr>
          <w:p w:rsidR="00233B6A" w:rsidRPr="00015CF7" w:rsidRDefault="00FE11F6" w:rsidP="00FE11F6">
            <w:pPr>
              <w:spacing w:after="0"/>
              <w:ind w:firstLine="0"/>
              <w:jc w:val="right"/>
              <w:rPr>
                <w:rFonts w:ascii="Arial Narrow" w:hAnsi="Arial Narrow"/>
                <w:lang w:val="es-ES" w:eastAsia="es-ES"/>
              </w:rPr>
            </w:pPr>
            <w:r w:rsidRPr="00015CF7">
              <w:rPr>
                <w:rFonts w:ascii="Arial Narrow" w:hAnsi="Arial Narrow"/>
                <w:lang w:val="es-ES" w:eastAsia="es-ES"/>
              </w:rPr>
              <w:t>124</w:t>
            </w:r>
          </w:p>
        </w:tc>
      </w:tr>
      <w:tr w:rsidR="00015CF7" w:rsidRPr="00015CF7" w:rsidTr="00616D28">
        <w:trPr>
          <w:trHeight w:val="284"/>
          <w:jc w:val="center"/>
        </w:trPr>
        <w:tc>
          <w:tcPr>
            <w:tcW w:w="4667" w:type="dxa"/>
            <w:tcBorders>
              <w:top w:val="single" w:sz="4" w:space="0" w:color="auto"/>
              <w:bottom w:val="single" w:sz="4" w:space="0" w:color="auto"/>
            </w:tcBorders>
            <w:vAlign w:val="center"/>
          </w:tcPr>
          <w:p w:rsidR="00233B6A" w:rsidRPr="00E93D0B" w:rsidRDefault="00233B6A" w:rsidP="00233B6A">
            <w:pPr>
              <w:spacing w:after="0"/>
              <w:ind w:firstLine="0"/>
              <w:jc w:val="left"/>
              <w:rPr>
                <w:rFonts w:ascii="Arial Narrow" w:hAnsi="Arial Narrow"/>
                <w:lang w:val="es-ES" w:eastAsia="es-ES"/>
              </w:rPr>
            </w:pPr>
            <w:r>
              <w:rPr>
                <w:rFonts w:ascii="Arial Narrow" w:hAnsi="Arial Narrow"/>
                <w:lang w:val="es-ES" w:eastAsia="es-ES"/>
              </w:rPr>
              <w:t>% vacantes cubiertas sobre total vacantes</w:t>
            </w:r>
          </w:p>
        </w:tc>
        <w:tc>
          <w:tcPr>
            <w:tcW w:w="3190" w:type="dxa"/>
            <w:tcBorders>
              <w:top w:val="single" w:sz="4" w:space="0" w:color="auto"/>
              <w:bottom w:val="single" w:sz="4" w:space="0" w:color="auto"/>
            </w:tcBorders>
            <w:vAlign w:val="center"/>
          </w:tcPr>
          <w:p w:rsidR="00233B6A" w:rsidRPr="005F01DB" w:rsidRDefault="00233B6A" w:rsidP="00B9574E">
            <w:pPr>
              <w:spacing w:after="0"/>
              <w:ind w:right="210" w:firstLine="0"/>
              <w:jc w:val="right"/>
              <w:rPr>
                <w:rFonts w:ascii="Arial Narrow" w:hAnsi="Arial Narrow"/>
                <w:lang w:val="es-ES" w:eastAsia="es-ES"/>
              </w:rPr>
            </w:pPr>
          </w:p>
        </w:tc>
        <w:tc>
          <w:tcPr>
            <w:tcW w:w="1134" w:type="dxa"/>
            <w:tcBorders>
              <w:top w:val="single" w:sz="4" w:space="0" w:color="auto"/>
              <w:bottom w:val="single" w:sz="4" w:space="0" w:color="auto"/>
            </w:tcBorders>
            <w:vAlign w:val="center"/>
          </w:tcPr>
          <w:p w:rsidR="00233B6A" w:rsidRPr="00015CF7" w:rsidRDefault="00FE11F6" w:rsidP="00B9574E">
            <w:pPr>
              <w:spacing w:after="0"/>
              <w:ind w:firstLine="0"/>
              <w:jc w:val="right"/>
              <w:rPr>
                <w:rFonts w:ascii="Arial Narrow" w:hAnsi="Arial Narrow"/>
                <w:lang w:val="es-ES" w:eastAsia="es-ES"/>
              </w:rPr>
            </w:pPr>
            <w:r w:rsidRPr="00015CF7">
              <w:rPr>
                <w:rFonts w:ascii="Arial Narrow" w:hAnsi="Arial Narrow"/>
                <w:lang w:val="es-ES" w:eastAsia="es-ES"/>
              </w:rPr>
              <w:t>76</w:t>
            </w:r>
          </w:p>
        </w:tc>
      </w:tr>
    </w:tbl>
    <w:p w:rsidR="00B838BB" w:rsidRPr="00FE11F6" w:rsidRDefault="00612FEC" w:rsidP="00616D28">
      <w:pPr>
        <w:pStyle w:val="texto"/>
        <w:spacing w:before="240" w:after="240"/>
      </w:pPr>
      <w:r w:rsidRPr="00FE11F6">
        <w:t>En 2017, el 3</w:t>
      </w:r>
      <w:r w:rsidR="00FE11F6" w:rsidRPr="00FE11F6">
        <w:t>1</w:t>
      </w:r>
      <w:r w:rsidRPr="00FE11F6">
        <w:t xml:space="preserve"> por ciento del total de puestos</w:t>
      </w:r>
      <w:r w:rsidR="00174221" w:rsidRPr="00FE11F6">
        <w:t xml:space="preserve"> de PAS</w:t>
      </w:r>
      <w:r w:rsidRPr="00FE11F6">
        <w:t xml:space="preserve"> estaban vacantes y dentro de éstos, el </w:t>
      </w:r>
      <w:r w:rsidR="00FE11F6" w:rsidRPr="00FE11F6">
        <w:t>76</w:t>
      </w:r>
      <w:r w:rsidRPr="00FE11F6">
        <w:t xml:space="preserve"> por ciento se hallaban ocupados temporalmente. </w:t>
      </w:r>
    </w:p>
    <w:p w:rsidR="00E67171" w:rsidRDefault="00C37C4F" w:rsidP="00616D28">
      <w:pPr>
        <w:pStyle w:val="texto"/>
        <w:spacing w:before="240" w:after="240"/>
      </w:pPr>
      <w:r>
        <w:t xml:space="preserve">La oferta pública de empleo, </w:t>
      </w:r>
      <w:r w:rsidRPr="00E870EB">
        <w:t xml:space="preserve">publicada en el BON </w:t>
      </w:r>
      <w:r w:rsidR="00B33A26">
        <w:t>de 11 de diciembre de 2017</w:t>
      </w:r>
      <w:r w:rsidRPr="00E870EB">
        <w:t>,</w:t>
      </w:r>
      <w:r w:rsidR="00E870EB">
        <w:t xml:space="preserve"> </w:t>
      </w:r>
      <w:r>
        <w:t xml:space="preserve">incluye las siguientes </w:t>
      </w:r>
      <w:r w:rsidR="00E67171">
        <w:t xml:space="preserve">plazas de PAS </w:t>
      </w:r>
      <w:r w:rsidR="004B6102">
        <w:t xml:space="preserve">por tasa de reposición </w:t>
      </w:r>
      <w:r w:rsidR="00E67171">
        <w:t>para el año 2017:</w:t>
      </w:r>
    </w:p>
    <w:tbl>
      <w:tblPr>
        <w:tblW w:w="8966" w:type="dxa"/>
        <w:jc w:val="center"/>
        <w:tblLayout w:type="fixed"/>
        <w:tblLook w:val="01E0" w:firstRow="1" w:lastRow="1" w:firstColumn="1" w:lastColumn="1" w:noHBand="0" w:noVBand="0"/>
      </w:tblPr>
      <w:tblGrid>
        <w:gridCol w:w="5457"/>
        <w:gridCol w:w="2155"/>
        <w:gridCol w:w="1354"/>
      </w:tblGrid>
      <w:tr w:rsidR="00E67171" w:rsidRPr="00730AE6" w:rsidTr="005F01DB">
        <w:trPr>
          <w:trHeight w:val="284"/>
          <w:jc w:val="center"/>
        </w:trPr>
        <w:tc>
          <w:tcPr>
            <w:tcW w:w="5457" w:type="dxa"/>
            <w:tcBorders>
              <w:top w:val="single" w:sz="4" w:space="0" w:color="auto"/>
              <w:bottom w:val="single" w:sz="4" w:space="0" w:color="auto"/>
            </w:tcBorders>
            <w:shd w:val="clear" w:color="auto" w:fill="A0C3E3" w:themeFill="accent1" w:themeFillTint="99"/>
            <w:vAlign w:val="center"/>
          </w:tcPr>
          <w:p w:rsidR="00E67171" w:rsidRPr="00730AE6" w:rsidRDefault="00E67171" w:rsidP="005F01DB">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Puesto de trabajo PAS</w:t>
            </w:r>
          </w:p>
        </w:tc>
        <w:tc>
          <w:tcPr>
            <w:tcW w:w="2155" w:type="dxa"/>
            <w:tcBorders>
              <w:top w:val="single" w:sz="4" w:space="0" w:color="auto"/>
              <w:bottom w:val="single" w:sz="4" w:space="0" w:color="auto"/>
            </w:tcBorders>
            <w:shd w:val="clear" w:color="auto" w:fill="A0C3E3" w:themeFill="accent1" w:themeFillTint="99"/>
            <w:vAlign w:val="center"/>
          </w:tcPr>
          <w:p w:rsidR="00E67171" w:rsidRPr="00730AE6" w:rsidRDefault="00E67171" w:rsidP="005F01DB">
            <w:pPr>
              <w:spacing w:after="0"/>
              <w:ind w:firstLine="0"/>
              <w:jc w:val="center"/>
              <w:rPr>
                <w:rFonts w:ascii="Arial" w:hAnsi="Arial" w:cs="Arial"/>
                <w:color w:val="000000"/>
                <w:sz w:val="18"/>
                <w:szCs w:val="18"/>
                <w:lang w:val="es-ES" w:eastAsia="es-ES"/>
              </w:rPr>
            </w:pPr>
            <w:r>
              <w:rPr>
                <w:rFonts w:ascii="Arial" w:hAnsi="Arial" w:cs="Arial"/>
                <w:color w:val="000000"/>
                <w:sz w:val="18"/>
                <w:szCs w:val="18"/>
                <w:lang w:val="es-ES" w:eastAsia="es-ES"/>
              </w:rPr>
              <w:t>Nivel</w:t>
            </w:r>
          </w:p>
        </w:tc>
        <w:tc>
          <w:tcPr>
            <w:tcW w:w="1354" w:type="dxa"/>
            <w:tcBorders>
              <w:top w:val="single" w:sz="4" w:space="0" w:color="auto"/>
              <w:bottom w:val="single" w:sz="4" w:space="0" w:color="auto"/>
            </w:tcBorders>
            <w:shd w:val="clear" w:color="auto" w:fill="A0C3E3" w:themeFill="accent1" w:themeFillTint="99"/>
            <w:vAlign w:val="center"/>
          </w:tcPr>
          <w:p w:rsidR="00E67171" w:rsidRPr="00730AE6" w:rsidRDefault="00E67171" w:rsidP="005F01DB">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Total plazas</w:t>
            </w:r>
          </w:p>
        </w:tc>
      </w:tr>
      <w:tr w:rsidR="00E67171" w:rsidRPr="004B6102" w:rsidTr="005F01DB">
        <w:trPr>
          <w:trHeight w:val="284"/>
          <w:jc w:val="center"/>
        </w:trPr>
        <w:tc>
          <w:tcPr>
            <w:tcW w:w="5457" w:type="dxa"/>
            <w:tcBorders>
              <w:top w:val="single" w:sz="4" w:space="0" w:color="auto"/>
              <w:bottom w:val="single" w:sz="2" w:space="0" w:color="auto"/>
            </w:tcBorders>
            <w:vAlign w:val="center"/>
          </w:tcPr>
          <w:p w:rsidR="00E67171" w:rsidRPr="004B6102" w:rsidRDefault="00E67171" w:rsidP="004B6102">
            <w:pPr>
              <w:spacing w:after="0"/>
              <w:ind w:firstLine="0"/>
              <w:jc w:val="left"/>
              <w:rPr>
                <w:rFonts w:ascii="Arial Narrow" w:hAnsi="Arial Narrow"/>
                <w:lang w:val="es-ES" w:eastAsia="es-ES"/>
              </w:rPr>
            </w:pPr>
            <w:r w:rsidRPr="004B6102">
              <w:rPr>
                <w:rFonts w:ascii="Arial Narrow" w:hAnsi="Arial Narrow"/>
                <w:lang w:val="es-ES" w:eastAsia="es-ES"/>
              </w:rPr>
              <w:t>Técnico P</w:t>
            </w:r>
            <w:r w:rsidR="004B6102" w:rsidRPr="004B6102">
              <w:rPr>
                <w:rFonts w:ascii="Arial Narrow" w:hAnsi="Arial Narrow"/>
                <w:lang w:val="es-ES" w:eastAsia="es-ES"/>
              </w:rPr>
              <w:t xml:space="preserve">uesto </w:t>
            </w:r>
            <w:r w:rsidRPr="004B6102">
              <w:rPr>
                <w:rFonts w:ascii="Arial Narrow" w:hAnsi="Arial Narrow"/>
                <w:lang w:val="es-ES" w:eastAsia="es-ES"/>
              </w:rPr>
              <w:t>B</w:t>
            </w:r>
            <w:r w:rsidR="004B6102" w:rsidRPr="004B6102">
              <w:rPr>
                <w:rFonts w:ascii="Arial Narrow" w:hAnsi="Arial Narrow"/>
                <w:lang w:val="es-ES" w:eastAsia="es-ES"/>
              </w:rPr>
              <w:t>ase</w:t>
            </w:r>
            <w:r w:rsidRPr="004B6102">
              <w:rPr>
                <w:rFonts w:ascii="Arial Narrow" w:hAnsi="Arial Narrow"/>
                <w:lang w:val="es-ES" w:eastAsia="es-ES"/>
              </w:rPr>
              <w:t xml:space="preserve"> (Servicio informático)</w:t>
            </w:r>
          </w:p>
        </w:tc>
        <w:tc>
          <w:tcPr>
            <w:tcW w:w="2155" w:type="dxa"/>
            <w:tcBorders>
              <w:top w:val="single" w:sz="4" w:space="0" w:color="auto"/>
              <w:bottom w:val="single" w:sz="2" w:space="0" w:color="auto"/>
            </w:tcBorders>
            <w:vAlign w:val="center"/>
          </w:tcPr>
          <w:p w:rsidR="00E67171" w:rsidRPr="004B6102" w:rsidRDefault="00E67171" w:rsidP="005F01DB">
            <w:pPr>
              <w:spacing w:after="0"/>
              <w:ind w:firstLine="0"/>
              <w:jc w:val="center"/>
              <w:rPr>
                <w:rFonts w:ascii="Arial Narrow" w:hAnsi="Arial Narrow"/>
                <w:lang w:val="es-ES" w:eastAsia="es-ES"/>
              </w:rPr>
            </w:pPr>
            <w:r w:rsidRPr="004B6102">
              <w:rPr>
                <w:rFonts w:ascii="Arial Narrow" w:hAnsi="Arial Narrow"/>
                <w:lang w:val="es-ES" w:eastAsia="es-ES"/>
              </w:rPr>
              <w:t>A</w:t>
            </w:r>
          </w:p>
        </w:tc>
        <w:tc>
          <w:tcPr>
            <w:tcW w:w="1354" w:type="dxa"/>
            <w:tcBorders>
              <w:top w:val="single" w:sz="4" w:space="0" w:color="auto"/>
              <w:bottom w:val="single" w:sz="2" w:space="0" w:color="auto"/>
            </w:tcBorders>
            <w:vAlign w:val="center"/>
          </w:tcPr>
          <w:p w:rsidR="00E67171" w:rsidRPr="004B6102" w:rsidRDefault="00E67171" w:rsidP="005F01DB">
            <w:pPr>
              <w:spacing w:after="0"/>
              <w:ind w:firstLine="0"/>
              <w:jc w:val="right"/>
              <w:rPr>
                <w:rFonts w:ascii="Arial Narrow" w:hAnsi="Arial Narrow"/>
                <w:lang w:val="es-ES" w:eastAsia="es-ES"/>
              </w:rPr>
            </w:pPr>
            <w:r w:rsidRPr="004B6102">
              <w:rPr>
                <w:rFonts w:ascii="Arial Narrow" w:hAnsi="Arial Narrow"/>
                <w:lang w:val="es-ES" w:eastAsia="es-ES"/>
              </w:rPr>
              <w:t>1</w:t>
            </w:r>
          </w:p>
        </w:tc>
      </w:tr>
      <w:tr w:rsidR="00E67171" w:rsidRPr="004B6102" w:rsidTr="005F01DB">
        <w:trPr>
          <w:trHeight w:val="284"/>
          <w:jc w:val="center"/>
        </w:trPr>
        <w:tc>
          <w:tcPr>
            <w:tcW w:w="5457" w:type="dxa"/>
            <w:tcBorders>
              <w:top w:val="single" w:sz="4" w:space="0" w:color="auto"/>
              <w:bottom w:val="single" w:sz="2" w:space="0" w:color="auto"/>
            </w:tcBorders>
            <w:vAlign w:val="center"/>
          </w:tcPr>
          <w:p w:rsidR="00E67171" w:rsidRPr="004B6102" w:rsidRDefault="00E67171" w:rsidP="004B6102">
            <w:pPr>
              <w:spacing w:after="0"/>
              <w:ind w:firstLine="0"/>
              <w:jc w:val="left"/>
              <w:rPr>
                <w:rFonts w:ascii="Arial Narrow" w:hAnsi="Arial Narrow"/>
                <w:lang w:val="es-ES" w:eastAsia="es-ES"/>
              </w:rPr>
            </w:pPr>
            <w:r w:rsidRPr="004B6102">
              <w:rPr>
                <w:rFonts w:ascii="Arial Narrow" w:hAnsi="Arial Narrow"/>
                <w:lang w:val="es-ES" w:eastAsia="es-ES"/>
              </w:rPr>
              <w:t>Técnico P</w:t>
            </w:r>
            <w:r w:rsidR="004B6102" w:rsidRPr="004B6102">
              <w:rPr>
                <w:rFonts w:ascii="Arial Narrow" w:hAnsi="Arial Narrow"/>
                <w:lang w:val="es-ES" w:eastAsia="es-ES"/>
              </w:rPr>
              <w:t xml:space="preserve">uesto </w:t>
            </w:r>
            <w:r w:rsidRPr="004B6102">
              <w:rPr>
                <w:rFonts w:ascii="Arial Narrow" w:hAnsi="Arial Narrow"/>
                <w:lang w:val="es-ES" w:eastAsia="es-ES"/>
              </w:rPr>
              <w:t>B</w:t>
            </w:r>
            <w:r w:rsidR="004B6102" w:rsidRPr="004B6102">
              <w:rPr>
                <w:rFonts w:ascii="Arial Narrow" w:hAnsi="Arial Narrow"/>
                <w:lang w:val="es-ES" w:eastAsia="es-ES"/>
              </w:rPr>
              <w:t>ase</w:t>
            </w:r>
            <w:r w:rsidRPr="004B6102">
              <w:rPr>
                <w:rFonts w:ascii="Arial Narrow" w:hAnsi="Arial Narrow"/>
                <w:lang w:val="es-ES" w:eastAsia="es-ES"/>
              </w:rPr>
              <w:t xml:space="preserve"> (Investigación)</w:t>
            </w:r>
          </w:p>
        </w:tc>
        <w:tc>
          <w:tcPr>
            <w:tcW w:w="2155" w:type="dxa"/>
            <w:tcBorders>
              <w:top w:val="single" w:sz="4" w:space="0" w:color="auto"/>
              <w:bottom w:val="single" w:sz="2" w:space="0" w:color="auto"/>
            </w:tcBorders>
            <w:vAlign w:val="center"/>
          </w:tcPr>
          <w:p w:rsidR="00E67171" w:rsidRPr="004B6102" w:rsidRDefault="00E67171" w:rsidP="005F01DB">
            <w:pPr>
              <w:spacing w:after="0"/>
              <w:ind w:firstLine="0"/>
              <w:jc w:val="center"/>
              <w:rPr>
                <w:rFonts w:ascii="Arial Narrow" w:hAnsi="Arial Narrow"/>
                <w:lang w:val="es-ES" w:eastAsia="es-ES"/>
              </w:rPr>
            </w:pPr>
            <w:r w:rsidRPr="004B6102">
              <w:rPr>
                <w:rFonts w:ascii="Arial Narrow" w:hAnsi="Arial Narrow"/>
                <w:lang w:val="es-ES" w:eastAsia="es-ES"/>
              </w:rPr>
              <w:t>A</w:t>
            </w:r>
          </w:p>
        </w:tc>
        <w:tc>
          <w:tcPr>
            <w:tcW w:w="1354" w:type="dxa"/>
            <w:tcBorders>
              <w:top w:val="single" w:sz="4" w:space="0" w:color="auto"/>
              <w:bottom w:val="single" w:sz="2" w:space="0" w:color="auto"/>
            </w:tcBorders>
            <w:vAlign w:val="center"/>
          </w:tcPr>
          <w:p w:rsidR="00E67171" w:rsidRPr="004B6102" w:rsidRDefault="00E67171" w:rsidP="005F01DB">
            <w:pPr>
              <w:spacing w:after="0"/>
              <w:ind w:firstLine="0"/>
              <w:jc w:val="right"/>
              <w:rPr>
                <w:rFonts w:ascii="Arial Narrow" w:hAnsi="Arial Narrow"/>
                <w:lang w:val="es-ES" w:eastAsia="es-ES"/>
              </w:rPr>
            </w:pPr>
            <w:r w:rsidRPr="004B6102">
              <w:rPr>
                <w:rFonts w:ascii="Arial Narrow" w:hAnsi="Arial Narrow"/>
                <w:lang w:val="es-ES" w:eastAsia="es-ES"/>
              </w:rPr>
              <w:t>2</w:t>
            </w:r>
          </w:p>
        </w:tc>
      </w:tr>
      <w:tr w:rsidR="00E67171" w:rsidRPr="00730AE6" w:rsidTr="005F01DB">
        <w:trPr>
          <w:trHeight w:val="284"/>
          <w:jc w:val="center"/>
        </w:trPr>
        <w:tc>
          <w:tcPr>
            <w:tcW w:w="5457" w:type="dxa"/>
            <w:tcBorders>
              <w:top w:val="single" w:sz="4" w:space="0" w:color="auto"/>
              <w:bottom w:val="single" w:sz="2" w:space="0" w:color="auto"/>
            </w:tcBorders>
            <w:shd w:val="clear" w:color="auto" w:fill="A8CBEE" w:themeFill="accent2" w:themeFillTint="66"/>
            <w:vAlign w:val="center"/>
          </w:tcPr>
          <w:p w:rsidR="00E67171" w:rsidRPr="00730AE6" w:rsidRDefault="00E67171" w:rsidP="00FE3A2D">
            <w:pPr>
              <w:spacing w:after="0"/>
              <w:ind w:firstLine="0"/>
              <w:jc w:val="left"/>
              <w:rPr>
                <w:rFonts w:ascii="Arial" w:hAnsi="Arial" w:cs="Arial"/>
                <w:sz w:val="18"/>
                <w:szCs w:val="18"/>
                <w:lang w:val="es-ES" w:eastAsia="es-ES"/>
              </w:rPr>
            </w:pPr>
            <w:r>
              <w:rPr>
                <w:rFonts w:ascii="Arial" w:hAnsi="Arial" w:cs="Arial"/>
                <w:sz w:val="18"/>
                <w:szCs w:val="18"/>
                <w:lang w:val="es-ES" w:eastAsia="es-ES"/>
              </w:rPr>
              <w:t xml:space="preserve">Total </w:t>
            </w:r>
          </w:p>
        </w:tc>
        <w:tc>
          <w:tcPr>
            <w:tcW w:w="2155" w:type="dxa"/>
            <w:tcBorders>
              <w:top w:val="single" w:sz="4" w:space="0" w:color="auto"/>
              <w:bottom w:val="single" w:sz="2" w:space="0" w:color="auto"/>
            </w:tcBorders>
            <w:shd w:val="clear" w:color="auto" w:fill="A8CBEE" w:themeFill="accent2" w:themeFillTint="66"/>
            <w:vAlign w:val="center"/>
          </w:tcPr>
          <w:p w:rsidR="00E67171" w:rsidRPr="00730AE6" w:rsidRDefault="00E67171" w:rsidP="005F01DB">
            <w:pPr>
              <w:spacing w:after="0"/>
              <w:ind w:firstLine="0"/>
              <w:jc w:val="center"/>
              <w:rPr>
                <w:rFonts w:ascii="Arial" w:hAnsi="Arial" w:cs="Arial"/>
                <w:sz w:val="18"/>
                <w:szCs w:val="18"/>
                <w:lang w:val="es-ES" w:eastAsia="es-ES"/>
              </w:rPr>
            </w:pPr>
          </w:p>
        </w:tc>
        <w:tc>
          <w:tcPr>
            <w:tcW w:w="1354" w:type="dxa"/>
            <w:tcBorders>
              <w:top w:val="single" w:sz="4" w:space="0" w:color="auto"/>
              <w:bottom w:val="single" w:sz="2" w:space="0" w:color="auto"/>
            </w:tcBorders>
            <w:shd w:val="clear" w:color="auto" w:fill="A8CBEE" w:themeFill="accent2" w:themeFillTint="66"/>
            <w:vAlign w:val="center"/>
          </w:tcPr>
          <w:p w:rsidR="00E67171" w:rsidRPr="00730AE6" w:rsidRDefault="00E67171" w:rsidP="005F01DB">
            <w:pPr>
              <w:spacing w:after="0"/>
              <w:ind w:firstLine="0"/>
              <w:jc w:val="right"/>
              <w:rPr>
                <w:rFonts w:ascii="Arial" w:hAnsi="Arial" w:cs="Arial"/>
                <w:sz w:val="18"/>
                <w:szCs w:val="18"/>
                <w:lang w:val="es-ES" w:eastAsia="es-ES"/>
              </w:rPr>
            </w:pPr>
            <w:r>
              <w:rPr>
                <w:rFonts w:ascii="Arial" w:hAnsi="Arial" w:cs="Arial"/>
                <w:sz w:val="18"/>
                <w:szCs w:val="18"/>
                <w:lang w:val="es-ES" w:eastAsia="es-ES"/>
              </w:rPr>
              <w:t>3</w:t>
            </w:r>
          </w:p>
        </w:tc>
      </w:tr>
    </w:tbl>
    <w:p w:rsidR="00233B6A" w:rsidRDefault="00C41089" w:rsidP="00670292">
      <w:pPr>
        <w:pStyle w:val="texto"/>
        <w:spacing w:before="240" w:after="240"/>
      </w:pPr>
      <w:r w:rsidRPr="004218A3">
        <w:t>A la fecha de redacción de este informe, no se han convocado las plazas de PAS anteriores</w:t>
      </w:r>
      <w:r w:rsidR="00AB5DBC" w:rsidRPr="004218A3">
        <w:t xml:space="preserve">. </w:t>
      </w:r>
      <w:r w:rsidR="004218A3" w:rsidRPr="004218A3">
        <w:t>Este retraso ha sido motivado, principalmente</w:t>
      </w:r>
      <w:r w:rsidR="007720E5">
        <w:t>,</w:t>
      </w:r>
      <w:r w:rsidR="004218A3" w:rsidRPr="004218A3">
        <w:t xml:space="preserve"> por la necesidad de </w:t>
      </w:r>
      <w:r w:rsidRPr="004218A3">
        <w:t>modifica</w:t>
      </w:r>
      <w:r w:rsidR="004218A3" w:rsidRPr="004218A3">
        <w:t>r</w:t>
      </w:r>
      <w:r w:rsidRPr="004218A3">
        <w:t xml:space="preserve"> los reglamentos de ingreso y provisión de puestos </w:t>
      </w:r>
      <w:r w:rsidR="004218A3" w:rsidRPr="004218A3">
        <w:t xml:space="preserve">de la </w:t>
      </w:r>
      <w:r w:rsidR="009D7DD5">
        <w:t>Universidad</w:t>
      </w:r>
      <w:r w:rsidR="004218A3" w:rsidRPr="004218A3">
        <w:t xml:space="preserve"> para adaptar dicha normativa a la sentencia del Tribunal Superior de Justicia de Navarra en el sentido de considerar el sistema de oposición como preferente en el acceso a la </w:t>
      </w:r>
      <w:r w:rsidR="009D7DD5">
        <w:t>Universidad</w:t>
      </w:r>
      <w:r w:rsidR="004218A3" w:rsidRPr="004218A3">
        <w:t>.</w:t>
      </w:r>
    </w:p>
    <w:p w:rsidR="000962EC" w:rsidRPr="000962EC" w:rsidRDefault="000962EC" w:rsidP="00616D28">
      <w:pPr>
        <w:pStyle w:val="atitulo3"/>
      </w:pPr>
      <w:r w:rsidRPr="000962EC">
        <w:t>Personal empleado investigador</w:t>
      </w:r>
    </w:p>
    <w:p w:rsidR="000962EC" w:rsidRDefault="000962EC" w:rsidP="00616D28">
      <w:pPr>
        <w:pStyle w:val="texto"/>
        <w:spacing w:before="120" w:after="240"/>
      </w:pPr>
      <w:r w:rsidRPr="000962EC">
        <w:t xml:space="preserve">Además del </w:t>
      </w:r>
      <w:r>
        <w:t xml:space="preserve">personal PDI y PAS, </w:t>
      </w:r>
      <w:r w:rsidRPr="000962EC">
        <w:t xml:space="preserve">a 31 de diciembre de 2017 prestan sus servicios </w:t>
      </w:r>
      <w:r>
        <w:t xml:space="preserve">a la Universidad </w:t>
      </w:r>
      <w:r w:rsidRPr="000962EC">
        <w:t xml:space="preserve">personas ligadas a actividades de investigación, esto es, personal investigador en formación, personal investigador y personal técnico de apoyo con cargo a proyectos de investigación, contratos del artículo 83 </w:t>
      </w:r>
      <w:r w:rsidR="001A0675">
        <w:t xml:space="preserve">de la LOU </w:t>
      </w:r>
      <w:r w:rsidRPr="000962EC">
        <w:t>o convenios de colaboración.</w:t>
      </w:r>
      <w:r w:rsidR="00A75D0C">
        <w:t xml:space="preserve"> Su número asciende a 241</w:t>
      </w:r>
      <w:r w:rsidR="00301DB9">
        <w:t xml:space="preserve"> personas</w:t>
      </w:r>
      <w:r w:rsidR="00A75D0C">
        <w:t>.</w:t>
      </w:r>
    </w:p>
    <w:p w:rsidR="00616D28" w:rsidRDefault="00616D28">
      <w:pPr>
        <w:spacing w:after="0"/>
        <w:ind w:firstLine="0"/>
        <w:jc w:val="left"/>
        <w:rPr>
          <w:rFonts w:ascii="Arial" w:hAnsi="Arial"/>
          <w:i/>
          <w:iCs/>
          <w:color w:val="000000"/>
          <w:spacing w:val="10"/>
          <w:kern w:val="28"/>
          <w:sz w:val="25"/>
          <w:szCs w:val="26"/>
        </w:rPr>
      </w:pPr>
      <w:r>
        <w:br w:type="page"/>
      </w:r>
    </w:p>
    <w:p w:rsidR="000962EC" w:rsidRPr="000962EC" w:rsidRDefault="000962EC" w:rsidP="00616D28">
      <w:pPr>
        <w:pStyle w:val="atitulo3"/>
      </w:pPr>
      <w:r w:rsidRPr="000962EC">
        <w:t>Personal efectivo a 31 de diciembre de 2017</w:t>
      </w:r>
    </w:p>
    <w:p w:rsidR="00E93D0B" w:rsidRDefault="00E93D0B" w:rsidP="00E033C5">
      <w:pPr>
        <w:pStyle w:val="texto"/>
        <w:tabs>
          <w:tab w:val="clear" w:pos="2835"/>
          <w:tab w:val="clear" w:pos="3969"/>
          <w:tab w:val="clear" w:pos="5103"/>
          <w:tab w:val="clear" w:pos="6237"/>
          <w:tab w:val="clear" w:pos="7371"/>
          <w:tab w:val="num" w:pos="300"/>
        </w:tabs>
        <w:spacing w:after="120"/>
        <w:rPr>
          <w:szCs w:val="26"/>
        </w:rPr>
      </w:pPr>
      <w:r w:rsidRPr="00A12FF8">
        <w:rPr>
          <w:szCs w:val="26"/>
        </w:rPr>
        <w:t xml:space="preserve">A 31 de diciembre de 2017, trabajan en la </w:t>
      </w:r>
      <w:r w:rsidR="009D7DD5" w:rsidRPr="00A12FF8">
        <w:rPr>
          <w:szCs w:val="26"/>
        </w:rPr>
        <w:t>Universidad</w:t>
      </w:r>
      <w:r w:rsidRPr="00A12FF8">
        <w:rPr>
          <w:szCs w:val="26"/>
        </w:rPr>
        <w:t xml:space="preserve"> un total de 1.61</w:t>
      </w:r>
      <w:r w:rsidR="00047D2C" w:rsidRPr="00A12FF8">
        <w:rPr>
          <w:szCs w:val="26"/>
        </w:rPr>
        <w:t>5</w:t>
      </w:r>
      <w:r w:rsidRPr="00A12FF8">
        <w:rPr>
          <w:szCs w:val="26"/>
        </w:rPr>
        <w:t xml:space="preserve"> personas, de acuerdo con el siguiente detalle:</w:t>
      </w:r>
    </w:p>
    <w:tbl>
      <w:tblPr>
        <w:tblW w:w="8848" w:type="dxa"/>
        <w:jc w:val="center"/>
        <w:tblInd w:w="2655" w:type="dxa"/>
        <w:tblLayout w:type="fixed"/>
        <w:tblLook w:val="01E0" w:firstRow="1" w:lastRow="1" w:firstColumn="1" w:lastColumn="1" w:noHBand="0" w:noVBand="0"/>
      </w:tblPr>
      <w:tblGrid>
        <w:gridCol w:w="3960"/>
        <w:gridCol w:w="1601"/>
        <w:gridCol w:w="1602"/>
        <w:gridCol w:w="1685"/>
      </w:tblGrid>
      <w:tr w:rsidR="004E0920" w:rsidRPr="005F01DB" w:rsidTr="00B838BB">
        <w:trPr>
          <w:trHeight w:val="284"/>
          <w:jc w:val="center"/>
        </w:trPr>
        <w:tc>
          <w:tcPr>
            <w:tcW w:w="3960" w:type="dxa"/>
            <w:tcBorders>
              <w:top w:val="single" w:sz="4" w:space="0" w:color="auto"/>
              <w:bottom w:val="single" w:sz="2" w:space="0" w:color="auto"/>
            </w:tcBorders>
            <w:shd w:val="clear" w:color="auto" w:fill="ACCBF9" w:themeFill="background2"/>
            <w:vAlign w:val="center"/>
          </w:tcPr>
          <w:p w:rsidR="004E0920" w:rsidRPr="005F01DB" w:rsidRDefault="004E0920" w:rsidP="00E26241">
            <w:pPr>
              <w:spacing w:after="0"/>
              <w:ind w:firstLine="0"/>
              <w:jc w:val="left"/>
              <w:rPr>
                <w:rFonts w:ascii="Arial" w:hAnsi="Arial" w:cs="Arial"/>
                <w:sz w:val="18"/>
                <w:szCs w:val="18"/>
                <w:lang w:val="es-ES" w:eastAsia="es-ES"/>
              </w:rPr>
            </w:pPr>
            <w:r w:rsidRPr="005F01DB">
              <w:rPr>
                <w:rFonts w:ascii="Arial" w:hAnsi="Arial" w:cs="Arial"/>
                <w:sz w:val="18"/>
                <w:szCs w:val="18"/>
                <w:lang w:val="es-ES" w:eastAsia="es-ES"/>
              </w:rPr>
              <w:t>Empleados Universidad 31/12/2107</w:t>
            </w:r>
          </w:p>
        </w:tc>
        <w:tc>
          <w:tcPr>
            <w:tcW w:w="1601" w:type="dxa"/>
            <w:tcBorders>
              <w:top w:val="single" w:sz="4" w:space="0" w:color="auto"/>
              <w:bottom w:val="single" w:sz="2" w:space="0" w:color="auto"/>
            </w:tcBorders>
            <w:shd w:val="clear" w:color="auto" w:fill="ACCBF9" w:themeFill="background2"/>
            <w:vAlign w:val="center"/>
          </w:tcPr>
          <w:p w:rsidR="004E0920" w:rsidRPr="005F01DB" w:rsidRDefault="004E0920" w:rsidP="00004F6D">
            <w:pPr>
              <w:tabs>
                <w:tab w:val="left" w:pos="1278"/>
              </w:tabs>
              <w:spacing w:after="0"/>
              <w:ind w:firstLine="0"/>
              <w:jc w:val="right"/>
              <w:rPr>
                <w:rFonts w:ascii="Arial" w:hAnsi="Arial" w:cs="Arial"/>
                <w:sz w:val="18"/>
                <w:szCs w:val="18"/>
                <w:lang w:val="es-ES" w:eastAsia="es-ES"/>
              </w:rPr>
            </w:pPr>
            <w:r w:rsidRPr="005F01DB">
              <w:rPr>
                <w:rFonts w:ascii="Arial" w:hAnsi="Arial" w:cs="Arial"/>
                <w:sz w:val="18"/>
                <w:szCs w:val="18"/>
                <w:lang w:val="es-ES" w:eastAsia="es-ES"/>
              </w:rPr>
              <w:t>Funcionarios</w:t>
            </w:r>
          </w:p>
        </w:tc>
        <w:tc>
          <w:tcPr>
            <w:tcW w:w="1602" w:type="dxa"/>
            <w:tcBorders>
              <w:top w:val="single" w:sz="4" w:space="0" w:color="auto"/>
              <w:bottom w:val="single" w:sz="2" w:space="0" w:color="auto"/>
            </w:tcBorders>
            <w:shd w:val="clear" w:color="auto" w:fill="ACCBF9" w:themeFill="background2"/>
            <w:vAlign w:val="center"/>
          </w:tcPr>
          <w:p w:rsidR="004E0920" w:rsidRPr="005F01DB" w:rsidRDefault="004E0920" w:rsidP="00B838BB">
            <w:pPr>
              <w:spacing w:after="0"/>
              <w:ind w:firstLine="0"/>
              <w:jc w:val="right"/>
              <w:rPr>
                <w:rFonts w:ascii="Arial" w:hAnsi="Arial" w:cs="Arial"/>
                <w:sz w:val="18"/>
                <w:szCs w:val="18"/>
                <w:lang w:val="es-ES" w:eastAsia="es-ES"/>
              </w:rPr>
            </w:pPr>
            <w:r w:rsidRPr="005F01DB">
              <w:rPr>
                <w:rFonts w:ascii="Arial" w:hAnsi="Arial" w:cs="Arial"/>
                <w:sz w:val="18"/>
                <w:szCs w:val="18"/>
                <w:lang w:val="es-ES" w:eastAsia="es-ES"/>
              </w:rPr>
              <w:t>Contratados</w:t>
            </w:r>
          </w:p>
        </w:tc>
        <w:tc>
          <w:tcPr>
            <w:tcW w:w="1685" w:type="dxa"/>
            <w:tcBorders>
              <w:top w:val="single" w:sz="4" w:space="0" w:color="auto"/>
              <w:bottom w:val="single" w:sz="2" w:space="0" w:color="auto"/>
            </w:tcBorders>
            <w:shd w:val="clear" w:color="auto" w:fill="ACCBF9" w:themeFill="background2"/>
            <w:vAlign w:val="center"/>
          </w:tcPr>
          <w:p w:rsidR="004E0920" w:rsidRPr="005F01DB" w:rsidRDefault="004E0920" w:rsidP="00004F6D">
            <w:pPr>
              <w:tabs>
                <w:tab w:val="left" w:pos="1619"/>
              </w:tabs>
              <w:spacing w:after="0"/>
              <w:ind w:firstLine="0"/>
              <w:jc w:val="right"/>
              <w:rPr>
                <w:rFonts w:ascii="Arial" w:hAnsi="Arial" w:cs="Arial"/>
                <w:sz w:val="18"/>
                <w:szCs w:val="18"/>
                <w:lang w:val="es-ES" w:eastAsia="es-ES"/>
              </w:rPr>
            </w:pPr>
            <w:r w:rsidRPr="005F01DB">
              <w:rPr>
                <w:rFonts w:ascii="Arial" w:hAnsi="Arial" w:cs="Arial"/>
                <w:sz w:val="18"/>
                <w:szCs w:val="18"/>
                <w:lang w:val="es-ES" w:eastAsia="es-ES"/>
              </w:rPr>
              <w:t>Total</w:t>
            </w:r>
          </w:p>
        </w:tc>
      </w:tr>
      <w:tr w:rsidR="004E0920" w:rsidRPr="00BD5BE5" w:rsidTr="00B838BB">
        <w:trPr>
          <w:trHeight w:val="284"/>
          <w:jc w:val="center"/>
        </w:trPr>
        <w:tc>
          <w:tcPr>
            <w:tcW w:w="3960" w:type="dxa"/>
            <w:tcBorders>
              <w:top w:val="single" w:sz="4" w:space="0" w:color="auto"/>
              <w:bottom w:val="single" w:sz="2" w:space="0" w:color="auto"/>
            </w:tcBorders>
            <w:vAlign w:val="center"/>
          </w:tcPr>
          <w:p w:rsidR="004E0920" w:rsidRPr="007720E5" w:rsidRDefault="004E0920" w:rsidP="00E26241">
            <w:pPr>
              <w:spacing w:after="0"/>
              <w:ind w:firstLine="0"/>
              <w:jc w:val="left"/>
              <w:rPr>
                <w:rFonts w:ascii="Arial Narrow" w:hAnsi="Arial Narrow"/>
                <w:lang w:val="es-ES" w:eastAsia="es-ES"/>
              </w:rPr>
            </w:pPr>
            <w:r w:rsidRPr="007720E5">
              <w:rPr>
                <w:rFonts w:ascii="Arial Narrow" w:hAnsi="Arial Narrow"/>
                <w:lang w:val="es-ES" w:eastAsia="es-ES"/>
              </w:rPr>
              <w:t>Personal Docente e Investigador (PDI)</w:t>
            </w:r>
          </w:p>
        </w:tc>
        <w:tc>
          <w:tcPr>
            <w:tcW w:w="1601" w:type="dxa"/>
            <w:tcBorders>
              <w:top w:val="single" w:sz="4" w:space="0" w:color="auto"/>
              <w:bottom w:val="single" w:sz="2" w:space="0" w:color="auto"/>
            </w:tcBorders>
            <w:vAlign w:val="center"/>
          </w:tcPr>
          <w:p w:rsidR="004E0920" w:rsidRPr="007720E5" w:rsidRDefault="004E0920" w:rsidP="00004F6D">
            <w:pPr>
              <w:tabs>
                <w:tab w:val="left" w:pos="1278"/>
              </w:tabs>
              <w:spacing w:after="0"/>
              <w:ind w:firstLine="0"/>
              <w:jc w:val="right"/>
              <w:rPr>
                <w:rFonts w:ascii="Arial Narrow" w:hAnsi="Arial Narrow"/>
                <w:lang w:val="es-ES" w:eastAsia="es-ES"/>
              </w:rPr>
            </w:pPr>
            <w:r w:rsidRPr="007720E5">
              <w:rPr>
                <w:rFonts w:ascii="Arial Narrow" w:hAnsi="Arial Narrow"/>
                <w:lang w:val="es-ES" w:eastAsia="es-ES"/>
              </w:rPr>
              <w:t>33</w:t>
            </w:r>
            <w:r>
              <w:rPr>
                <w:rFonts w:ascii="Arial Narrow" w:hAnsi="Arial Narrow"/>
                <w:lang w:val="es-ES" w:eastAsia="es-ES"/>
              </w:rPr>
              <w:t>5</w:t>
            </w:r>
          </w:p>
        </w:tc>
        <w:tc>
          <w:tcPr>
            <w:tcW w:w="1602" w:type="dxa"/>
            <w:tcBorders>
              <w:top w:val="single" w:sz="4" w:space="0" w:color="auto"/>
              <w:bottom w:val="single" w:sz="2" w:space="0" w:color="auto"/>
            </w:tcBorders>
            <w:vAlign w:val="center"/>
          </w:tcPr>
          <w:p w:rsidR="004E0920" w:rsidRPr="005F01DB" w:rsidRDefault="004E0920" w:rsidP="00B838BB">
            <w:pPr>
              <w:spacing w:after="0"/>
              <w:ind w:firstLine="0"/>
              <w:jc w:val="right"/>
              <w:rPr>
                <w:rFonts w:ascii="Arial Narrow" w:hAnsi="Arial Narrow"/>
                <w:lang w:val="es-ES" w:eastAsia="es-ES"/>
              </w:rPr>
            </w:pPr>
            <w:r w:rsidRPr="005F01DB">
              <w:rPr>
                <w:rFonts w:ascii="Arial Narrow" w:hAnsi="Arial Narrow"/>
                <w:lang w:val="es-ES" w:eastAsia="es-ES"/>
              </w:rPr>
              <w:t>570</w:t>
            </w:r>
          </w:p>
        </w:tc>
        <w:tc>
          <w:tcPr>
            <w:tcW w:w="1685" w:type="dxa"/>
            <w:tcBorders>
              <w:top w:val="single" w:sz="4" w:space="0" w:color="auto"/>
              <w:bottom w:val="single" w:sz="2" w:space="0" w:color="auto"/>
            </w:tcBorders>
            <w:vAlign w:val="center"/>
          </w:tcPr>
          <w:p w:rsidR="004E0920" w:rsidRPr="007720E5" w:rsidRDefault="004E0920" w:rsidP="00004F6D">
            <w:pPr>
              <w:tabs>
                <w:tab w:val="left" w:pos="1619"/>
              </w:tabs>
              <w:spacing w:after="0"/>
              <w:ind w:firstLine="0"/>
              <w:jc w:val="right"/>
              <w:rPr>
                <w:rFonts w:ascii="Arial Narrow" w:hAnsi="Arial Narrow"/>
                <w:lang w:val="es-ES" w:eastAsia="es-ES"/>
              </w:rPr>
            </w:pPr>
            <w:r w:rsidRPr="007720E5">
              <w:rPr>
                <w:rFonts w:ascii="Arial Narrow" w:hAnsi="Arial Narrow"/>
                <w:lang w:val="es-ES" w:eastAsia="es-ES"/>
              </w:rPr>
              <w:t>905</w:t>
            </w:r>
          </w:p>
        </w:tc>
      </w:tr>
      <w:tr w:rsidR="004E0920" w:rsidRPr="00BD5BE5" w:rsidTr="00B838BB">
        <w:trPr>
          <w:trHeight w:val="284"/>
          <w:jc w:val="center"/>
        </w:trPr>
        <w:tc>
          <w:tcPr>
            <w:tcW w:w="3960" w:type="dxa"/>
            <w:tcBorders>
              <w:top w:val="single" w:sz="4" w:space="0" w:color="auto"/>
              <w:bottom w:val="single" w:sz="2" w:space="0" w:color="auto"/>
            </w:tcBorders>
            <w:vAlign w:val="center"/>
          </w:tcPr>
          <w:p w:rsidR="004E0920" w:rsidRPr="007720E5" w:rsidRDefault="004E0920" w:rsidP="00E26241">
            <w:pPr>
              <w:spacing w:after="0"/>
              <w:ind w:firstLine="0"/>
              <w:jc w:val="left"/>
              <w:rPr>
                <w:rFonts w:ascii="Arial Narrow" w:hAnsi="Arial Narrow"/>
                <w:lang w:val="es-ES" w:eastAsia="es-ES"/>
              </w:rPr>
            </w:pPr>
            <w:r w:rsidRPr="007720E5">
              <w:rPr>
                <w:rFonts w:ascii="Arial Narrow" w:hAnsi="Arial Narrow"/>
                <w:lang w:val="es-ES" w:eastAsia="es-ES"/>
              </w:rPr>
              <w:t>Personal de Administración y Servicios (PAS)</w:t>
            </w:r>
          </w:p>
        </w:tc>
        <w:tc>
          <w:tcPr>
            <w:tcW w:w="1601" w:type="dxa"/>
            <w:tcBorders>
              <w:top w:val="single" w:sz="4" w:space="0" w:color="auto"/>
              <w:bottom w:val="single" w:sz="2" w:space="0" w:color="auto"/>
            </w:tcBorders>
            <w:vAlign w:val="center"/>
          </w:tcPr>
          <w:p w:rsidR="004E0920" w:rsidRPr="007720E5" w:rsidRDefault="004E0920" w:rsidP="00004F6D">
            <w:pPr>
              <w:tabs>
                <w:tab w:val="left" w:pos="1278"/>
              </w:tabs>
              <w:spacing w:after="0"/>
              <w:ind w:firstLine="0"/>
              <w:jc w:val="right"/>
              <w:rPr>
                <w:rFonts w:ascii="Arial Narrow" w:hAnsi="Arial Narrow"/>
                <w:lang w:val="es-ES" w:eastAsia="es-ES"/>
              </w:rPr>
            </w:pPr>
            <w:r w:rsidRPr="007720E5">
              <w:rPr>
                <w:rFonts w:ascii="Arial Narrow" w:hAnsi="Arial Narrow"/>
                <w:lang w:val="es-ES" w:eastAsia="es-ES"/>
              </w:rPr>
              <w:t>326</w:t>
            </w:r>
          </w:p>
        </w:tc>
        <w:tc>
          <w:tcPr>
            <w:tcW w:w="1602" w:type="dxa"/>
            <w:tcBorders>
              <w:top w:val="single" w:sz="4" w:space="0" w:color="auto"/>
              <w:bottom w:val="single" w:sz="2" w:space="0" w:color="auto"/>
            </w:tcBorders>
            <w:vAlign w:val="center"/>
          </w:tcPr>
          <w:p w:rsidR="004E0920" w:rsidRPr="005F01DB" w:rsidRDefault="004E0920" w:rsidP="00B838BB">
            <w:pPr>
              <w:spacing w:after="0"/>
              <w:ind w:firstLine="0"/>
              <w:jc w:val="right"/>
              <w:rPr>
                <w:rFonts w:ascii="Arial Narrow" w:hAnsi="Arial Narrow"/>
                <w:lang w:val="es-ES" w:eastAsia="es-ES"/>
              </w:rPr>
            </w:pPr>
            <w:r w:rsidRPr="005F01DB">
              <w:rPr>
                <w:rFonts w:ascii="Arial Narrow" w:hAnsi="Arial Narrow"/>
                <w:lang w:val="es-ES" w:eastAsia="es-ES"/>
              </w:rPr>
              <w:t>143</w:t>
            </w:r>
          </w:p>
        </w:tc>
        <w:tc>
          <w:tcPr>
            <w:tcW w:w="1685" w:type="dxa"/>
            <w:tcBorders>
              <w:top w:val="single" w:sz="4" w:space="0" w:color="auto"/>
              <w:bottom w:val="single" w:sz="2" w:space="0" w:color="auto"/>
            </w:tcBorders>
            <w:vAlign w:val="center"/>
          </w:tcPr>
          <w:p w:rsidR="004E0920" w:rsidRPr="007720E5" w:rsidRDefault="004E0920" w:rsidP="00004F6D">
            <w:pPr>
              <w:tabs>
                <w:tab w:val="left" w:pos="1619"/>
              </w:tabs>
              <w:spacing w:after="0"/>
              <w:ind w:firstLine="0"/>
              <w:jc w:val="right"/>
              <w:rPr>
                <w:rFonts w:ascii="Arial Narrow" w:hAnsi="Arial Narrow"/>
                <w:lang w:val="es-ES" w:eastAsia="es-ES"/>
              </w:rPr>
            </w:pPr>
            <w:r w:rsidRPr="007720E5">
              <w:rPr>
                <w:rFonts w:ascii="Arial Narrow" w:hAnsi="Arial Narrow"/>
                <w:lang w:val="es-ES" w:eastAsia="es-ES"/>
              </w:rPr>
              <w:t>469</w:t>
            </w:r>
          </w:p>
        </w:tc>
      </w:tr>
      <w:tr w:rsidR="004E0920" w:rsidRPr="00BD5BE5" w:rsidTr="00B838BB">
        <w:trPr>
          <w:trHeight w:val="284"/>
          <w:jc w:val="center"/>
        </w:trPr>
        <w:tc>
          <w:tcPr>
            <w:tcW w:w="3960" w:type="dxa"/>
            <w:tcBorders>
              <w:top w:val="single" w:sz="4" w:space="0" w:color="auto"/>
              <w:bottom w:val="single" w:sz="2" w:space="0" w:color="auto"/>
            </w:tcBorders>
            <w:vAlign w:val="center"/>
          </w:tcPr>
          <w:p w:rsidR="004E0920" w:rsidRPr="007720E5" w:rsidRDefault="004E0920" w:rsidP="00E26241">
            <w:pPr>
              <w:spacing w:after="0"/>
              <w:ind w:firstLine="0"/>
              <w:jc w:val="left"/>
              <w:rPr>
                <w:rFonts w:ascii="Arial Narrow" w:hAnsi="Arial Narrow"/>
                <w:lang w:val="es-ES" w:eastAsia="es-ES"/>
              </w:rPr>
            </w:pPr>
            <w:r w:rsidRPr="007720E5">
              <w:rPr>
                <w:rFonts w:ascii="Arial Narrow" w:hAnsi="Arial Narrow"/>
                <w:lang w:val="es-ES" w:eastAsia="es-ES"/>
              </w:rPr>
              <w:t>Personal empleado investigador (PEI)</w:t>
            </w:r>
          </w:p>
        </w:tc>
        <w:tc>
          <w:tcPr>
            <w:tcW w:w="1601" w:type="dxa"/>
            <w:tcBorders>
              <w:top w:val="single" w:sz="4" w:space="0" w:color="auto"/>
              <w:bottom w:val="single" w:sz="2" w:space="0" w:color="auto"/>
            </w:tcBorders>
            <w:vAlign w:val="center"/>
          </w:tcPr>
          <w:p w:rsidR="004E0920" w:rsidRPr="007720E5" w:rsidRDefault="004E0920" w:rsidP="00004F6D">
            <w:pPr>
              <w:tabs>
                <w:tab w:val="left" w:pos="1278"/>
              </w:tabs>
              <w:spacing w:after="0"/>
              <w:ind w:firstLine="0"/>
              <w:jc w:val="right"/>
              <w:rPr>
                <w:rFonts w:ascii="Arial Narrow" w:hAnsi="Arial Narrow"/>
                <w:lang w:val="es-ES" w:eastAsia="es-ES"/>
              </w:rPr>
            </w:pPr>
            <w:r w:rsidRPr="007720E5">
              <w:rPr>
                <w:rFonts w:ascii="Arial Narrow" w:hAnsi="Arial Narrow"/>
                <w:lang w:val="es-ES" w:eastAsia="es-ES"/>
              </w:rPr>
              <w:t>-</w:t>
            </w:r>
          </w:p>
        </w:tc>
        <w:tc>
          <w:tcPr>
            <w:tcW w:w="1602" w:type="dxa"/>
            <w:tcBorders>
              <w:top w:val="single" w:sz="4" w:space="0" w:color="auto"/>
              <w:bottom w:val="single" w:sz="2" w:space="0" w:color="auto"/>
            </w:tcBorders>
            <w:vAlign w:val="center"/>
          </w:tcPr>
          <w:p w:rsidR="004E0920" w:rsidRPr="005F01DB" w:rsidRDefault="004E0920" w:rsidP="00B838BB">
            <w:pPr>
              <w:spacing w:after="0"/>
              <w:ind w:firstLine="0"/>
              <w:jc w:val="right"/>
              <w:rPr>
                <w:rFonts w:ascii="Arial Narrow" w:hAnsi="Arial Narrow"/>
                <w:lang w:val="es-ES" w:eastAsia="es-ES"/>
              </w:rPr>
            </w:pPr>
            <w:r w:rsidRPr="005F01DB">
              <w:rPr>
                <w:rFonts w:ascii="Arial Narrow" w:hAnsi="Arial Narrow"/>
                <w:lang w:val="es-ES" w:eastAsia="es-ES"/>
              </w:rPr>
              <w:t>241</w:t>
            </w:r>
          </w:p>
        </w:tc>
        <w:tc>
          <w:tcPr>
            <w:tcW w:w="1685" w:type="dxa"/>
            <w:tcBorders>
              <w:top w:val="single" w:sz="4" w:space="0" w:color="auto"/>
              <w:bottom w:val="single" w:sz="2" w:space="0" w:color="auto"/>
            </w:tcBorders>
            <w:vAlign w:val="center"/>
          </w:tcPr>
          <w:p w:rsidR="004E0920" w:rsidRPr="007720E5" w:rsidRDefault="004E0920" w:rsidP="00004F6D">
            <w:pPr>
              <w:tabs>
                <w:tab w:val="left" w:pos="1619"/>
              </w:tabs>
              <w:spacing w:after="0"/>
              <w:ind w:firstLine="0"/>
              <w:jc w:val="right"/>
              <w:rPr>
                <w:rFonts w:ascii="Arial Narrow" w:hAnsi="Arial Narrow"/>
                <w:lang w:val="es-ES" w:eastAsia="es-ES"/>
              </w:rPr>
            </w:pPr>
            <w:r w:rsidRPr="007720E5">
              <w:rPr>
                <w:rFonts w:ascii="Arial Narrow" w:hAnsi="Arial Narrow"/>
                <w:lang w:val="es-ES" w:eastAsia="es-ES"/>
              </w:rPr>
              <w:t>241</w:t>
            </w:r>
          </w:p>
        </w:tc>
      </w:tr>
      <w:tr w:rsidR="004E0920" w:rsidRPr="005F01DB" w:rsidTr="00B838BB">
        <w:trPr>
          <w:trHeight w:val="284"/>
          <w:jc w:val="center"/>
        </w:trPr>
        <w:tc>
          <w:tcPr>
            <w:tcW w:w="3960" w:type="dxa"/>
            <w:tcBorders>
              <w:top w:val="single" w:sz="4" w:space="0" w:color="auto"/>
              <w:bottom w:val="single" w:sz="2" w:space="0" w:color="auto"/>
            </w:tcBorders>
            <w:shd w:val="clear" w:color="auto" w:fill="A8CBEE" w:themeFill="accent2" w:themeFillTint="66"/>
            <w:vAlign w:val="center"/>
          </w:tcPr>
          <w:p w:rsidR="004E0920" w:rsidRPr="005F01DB" w:rsidRDefault="004E0920" w:rsidP="00E26241">
            <w:pPr>
              <w:spacing w:after="0"/>
              <w:ind w:firstLine="0"/>
              <w:jc w:val="left"/>
              <w:rPr>
                <w:rFonts w:ascii="Arial" w:hAnsi="Arial" w:cs="Arial"/>
                <w:sz w:val="18"/>
                <w:szCs w:val="18"/>
                <w:lang w:val="es-ES" w:eastAsia="es-ES"/>
              </w:rPr>
            </w:pPr>
            <w:r w:rsidRPr="005F01DB">
              <w:rPr>
                <w:rFonts w:ascii="Arial" w:hAnsi="Arial" w:cs="Arial"/>
                <w:sz w:val="18"/>
                <w:szCs w:val="18"/>
                <w:lang w:val="es-ES" w:eastAsia="es-ES"/>
              </w:rPr>
              <w:t>Total Personal</w:t>
            </w:r>
          </w:p>
        </w:tc>
        <w:tc>
          <w:tcPr>
            <w:tcW w:w="1601" w:type="dxa"/>
            <w:tcBorders>
              <w:top w:val="single" w:sz="4" w:space="0" w:color="auto"/>
              <w:bottom w:val="single" w:sz="2" w:space="0" w:color="auto"/>
            </w:tcBorders>
            <w:shd w:val="clear" w:color="auto" w:fill="A8CBEE" w:themeFill="accent2" w:themeFillTint="66"/>
            <w:vAlign w:val="center"/>
          </w:tcPr>
          <w:p w:rsidR="004E0920" w:rsidRPr="005F01DB" w:rsidRDefault="004E0920" w:rsidP="00A75D0C">
            <w:pPr>
              <w:tabs>
                <w:tab w:val="left" w:pos="1278"/>
              </w:tabs>
              <w:spacing w:after="0"/>
              <w:ind w:firstLine="0"/>
              <w:jc w:val="right"/>
              <w:rPr>
                <w:rFonts w:ascii="Arial" w:hAnsi="Arial" w:cs="Arial"/>
                <w:sz w:val="18"/>
                <w:szCs w:val="18"/>
                <w:lang w:val="es-ES" w:eastAsia="es-ES"/>
              </w:rPr>
            </w:pPr>
            <w:r w:rsidRPr="005F01DB">
              <w:rPr>
                <w:rFonts w:ascii="Arial" w:hAnsi="Arial" w:cs="Arial"/>
                <w:sz w:val="18"/>
                <w:szCs w:val="18"/>
                <w:lang w:val="es-ES" w:eastAsia="es-ES"/>
              </w:rPr>
              <w:t>6</w:t>
            </w:r>
            <w:r w:rsidR="00A75D0C">
              <w:rPr>
                <w:rFonts w:ascii="Arial" w:hAnsi="Arial" w:cs="Arial"/>
                <w:sz w:val="18"/>
                <w:szCs w:val="18"/>
                <w:lang w:val="es-ES" w:eastAsia="es-ES"/>
              </w:rPr>
              <w:t>61</w:t>
            </w:r>
          </w:p>
        </w:tc>
        <w:tc>
          <w:tcPr>
            <w:tcW w:w="1602" w:type="dxa"/>
            <w:tcBorders>
              <w:top w:val="single" w:sz="4" w:space="0" w:color="auto"/>
              <w:bottom w:val="single" w:sz="2" w:space="0" w:color="auto"/>
            </w:tcBorders>
            <w:shd w:val="clear" w:color="auto" w:fill="A8CBEE" w:themeFill="accent2" w:themeFillTint="66"/>
            <w:vAlign w:val="center"/>
          </w:tcPr>
          <w:p w:rsidR="004E0920" w:rsidRPr="005F01DB" w:rsidRDefault="00A75D0C" w:rsidP="00A75D0C">
            <w:pPr>
              <w:spacing w:after="0"/>
              <w:ind w:firstLine="0"/>
              <w:jc w:val="right"/>
              <w:rPr>
                <w:rFonts w:ascii="Arial" w:hAnsi="Arial" w:cs="Arial"/>
                <w:sz w:val="18"/>
                <w:szCs w:val="18"/>
                <w:lang w:val="es-ES" w:eastAsia="es-ES"/>
              </w:rPr>
            </w:pPr>
            <w:r>
              <w:rPr>
                <w:rFonts w:ascii="Arial" w:hAnsi="Arial" w:cs="Arial"/>
                <w:sz w:val="18"/>
                <w:szCs w:val="18"/>
                <w:lang w:val="es-ES" w:eastAsia="es-ES"/>
              </w:rPr>
              <w:t>954</w:t>
            </w:r>
          </w:p>
        </w:tc>
        <w:tc>
          <w:tcPr>
            <w:tcW w:w="1685" w:type="dxa"/>
            <w:tcBorders>
              <w:top w:val="single" w:sz="4" w:space="0" w:color="auto"/>
              <w:bottom w:val="single" w:sz="2" w:space="0" w:color="auto"/>
            </w:tcBorders>
            <w:shd w:val="clear" w:color="auto" w:fill="A8CBEE" w:themeFill="accent2" w:themeFillTint="66"/>
            <w:vAlign w:val="center"/>
          </w:tcPr>
          <w:p w:rsidR="004E0920" w:rsidRPr="005F01DB" w:rsidRDefault="004E0920" w:rsidP="00004F6D">
            <w:pPr>
              <w:tabs>
                <w:tab w:val="left" w:pos="1619"/>
              </w:tabs>
              <w:spacing w:after="0"/>
              <w:ind w:firstLine="0"/>
              <w:jc w:val="right"/>
              <w:rPr>
                <w:rFonts w:ascii="Arial" w:hAnsi="Arial" w:cs="Arial"/>
                <w:sz w:val="18"/>
                <w:szCs w:val="18"/>
                <w:lang w:val="es-ES" w:eastAsia="es-ES"/>
              </w:rPr>
            </w:pPr>
            <w:r w:rsidRPr="005F01DB">
              <w:rPr>
                <w:rFonts w:ascii="Arial" w:hAnsi="Arial" w:cs="Arial"/>
                <w:sz w:val="18"/>
                <w:szCs w:val="18"/>
                <w:lang w:val="es-ES" w:eastAsia="es-ES"/>
              </w:rPr>
              <w:t>1.615</w:t>
            </w:r>
          </w:p>
        </w:tc>
      </w:tr>
    </w:tbl>
    <w:p w:rsidR="00672145" w:rsidRDefault="00502CD0" w:rsidP="00616D28">
      <w:pPr>
        <w:pStyle w:val="texto"/>
        <w:tabs>
          <w:tab w:val="clear" w:pos="2835"/>
          <w:tab w:val="clear" w:pos="3969"/>
          <w:tab w:val="clear" w:pos="5103"/>
          <w:tab w:val="clear" w:pos="6237"/>
          <w:tab w:val="clear" w:pos="7371"/>
          <w:tab w:val="num" w:pos="300"/>
        </w:tabs>
        <w:spacing w:before="240"/>
        <w:rPr>
          <w:szCs w:val="26"/>
        </w:rPr>
      </w:pPr>
      <w:r>
        <w:rPr>
          <w:szCs w:val="26"/>
        </w:rPr>
        <w:t>El 56 por ciento del personal corresponde al PDI, el 29 por ciento al PAS y, el resto, un 15 por ciento</w:t>
      </w:r>
      <w:r w:rsidR="00D65B0E">
        <w:rPr>
          <w:szCs w:val="26"/>
        </w:rPr>
        <w:t xml:space="preserve">, </w:t>
      </w:r>
      <w:r>
        <w:rPr>
          <w:szCs w:val="26"/>
        </w:rPr>
        <w:t>al PEI.</w:t>
      </w:r>
    </w:p>
    <w:p w:rsidR="006A32BC" w:rsidRDefault="00672145" w:rsidP="00290CF6">
      <w:pPr>
        <w:pStyle w:val="texto"/>
        <w:tabs>
          <w:tab w:val="clear" w:pos="2835"/>
          <w:tab w:val="clear" w:pos="3969"/>
          <w:tab w:val="clear" w:pos="5103"/>
          <w:tab w:val="clear" w:pos="6237"/>
          <w:tab w:val="clear" w:pos="7371"/>
          <w:tab w:val="num" w:pos="300"/>
        </w:tabs>
        <w:spacing w:before="120" w:after="120"/>
        <w:rPr>
          <w:szCs w:val="26"/>
        </w:rPr>
      </w:pPr>
      <w:r w:rsidRPr="00672145">
        <w:rPr>
          <w:szCs w:val="26"/>
        </w:rPr>
        <w:t>Asimismo, el porcentaje de</w:t>
      </w:r>
      <w:r w:rsidR="000E3F8C" w:rsidRPr="00672145">
        <w:rPr>
          <w:szCs w:val="26"/>
        </w:rPr>
        <w:t xml:space="preserve">l </w:t>
      </w:r>
      <w:r w:rsidRPr="00672145">
        <w:rPr>
          <w:szCs w:val="26"/>
        </w:rPr>
        <w:t>p</w:t>
      </w:r>
      <w:r w:rsidR="000E3F8C" w:rsidRPr="00672145">
        <w:rPr>
          <w:szCs w:val="26"/>
        </w:rPr>
        <w:t xml:space="preserve">ersonal PAS contratado </w:t>
      </w:r>
      <w:r w:rsidRPr="00672145">
        <w:rPr>
          <w:szCs w:val="26"/>
        </w:rPr>
        <w:t xml:space="preserve">sobre el total del personal </w:t>
      </w:r>
      <w:r w:rsidR="00BC774F">
        <w:rPr>
          <w:szCs w:val="26"/>
        </w:rPr>
        <w:t xml:space="preserve">PAS </w:t>
      </w:r>
      <w:r>
        <w:rPr>
          <w:szCs w:val="26"/>
        </w:rPr>
        <w:t xml:space="preserve">es </w:t>
      </w:r>
      <w:r w:rsidR="00BC774F">
        <w:rPr>
          <w:szCs w:val="26"/>
        </w:rPr>
        <w:t>del</w:t>
      </w:r>
      <w:r>
        <w:rPr>
          <w:szCs w:val="26"/>
        </w:rPr>
        <w:t xml:space="preserve"> </w:t>
      </w:r>
      <w:r w:rsidR="00504B8F">
        <w:rPr>
          <w:szCs w:val="26"/>
        </w:rPr>
        <w:t>44</w:t>
      </w:r>
      <w:r>
        <w:rPr>
          <w:szCs w:val="26"/>
        </w:rPr>
        <w:t xml:space="preserve"> por ciento.</w:t>
      </w:r>
    </w:p>
    <w:p w:rsidR="00504B8F" w:rsidRDefault="00D03FD8" w:rsidP="00290CF6">
      <w:pPr>
        <w:pStyle w:val="texto"/>
        <w:tabs>
          <w:tab w:val="clear" w:pos="2835"/>
          <w:tab w:val="clear" w:pos="3969"/>
          <w:tab w:val="clear" w:pos="5103"/>
          <w:tab w:val="clear" w:pos="6237"/>
          <w:tab w:val="clear" w:pos="7371"/>
          <w:tab w:val="num" w:pos="300"/>
        </w:tabs>
        <w:spacing w:before="120" w:after="120"/>
        <w:rPr>
          <w:szCs w:val="26"/>
        </w:rPr>
      </w:pPr>
      <w:r w:rsidRPr="006A5683">
        <w:rPr>
          <w:szCs w:val="26"/>
        </w:rPr>
        <w:t xml:space="preserve">Sobre 2016, el personal </w:t>
      </w:r>
      <w:r w:rsidR="00B85DB2">
        <w:rPr>
          <w:szCs w:val="26"/>
        </w:rPr>
        <w:t xml:space="preserve">efectivo de la Universidad </w:t>
      </w:r>
      <w:r w:rsidRPr="006A5683">
        <w:rPr>
          <w:szCs w:val="26"/>
        </w:rPr>
        <w:t>se ha incrementado en 7</w:t>
      </w:r>
      <w:r>
        <w:rPr>
          <w:szCs w:val="26"/>
        </w:rPr>
        <w:t>3</w:t>
      </w:r>
      <w:r w:rsidRPr="006A5683">
        <w:rPr>
          <w:szCs w:val="26"/>
        </w:rPr>
        <w:t xml:space="preserve"> personas: 1</w:t>
      </w:r>
      <w:r>
        <w:rPr>
          <w:szCs w:val="26"/>
        </w:rPr>
        <w:t>6</w:t>
      </w:r>
      <w:r w:rsidRPr="006A5683">
        <w:rPr>
          <w:szCs w:val="26"/>
        </w:rPr>
        <w:t xml:space="preserve"> del </w:t>
      </w:r>
      <w:r w:rsidR="00504B8F">
        <w:rPr>
          <w:szCs w:val="26"/>
        </w:rPr>
        <w:t>PDI, 13 del PAS y 44 del PEI.</w:t>
      </w:r>
    </w:p>
    <w:p w:rsidR="00D03FD8" w:rsidRDefault="00504B8F" w:rsidP="00616D28">
      <w:pPr>
        <w:pStyle w:val="texto"/>
        <w:tabs>
          <w:tab w:val="clear" w:pos="2835"/>
          <w:tab w:val="clear" w:pos="3969"/>
          <w:tab w:val="clear" w:pos="5103"/>
          <w:tab w:val="clear" w:pos="6237"/>
          <w:tab w:val="clear" w:pos="7371"/>
          <w:tab w:val="num" w:pos="300"/>
        </w:tabs>
        <w:spacing w:before="120" w:after="240"/>
        <w:rPr>
          <w:szCs w:val="26"/>
        </w:rPr>
      </w:pPr>
      <w:r>
        <w:rPr>
          <w:szCs w:val="26"/>
        </w:rPr>
        <w:t xml:space="preserve">En el Anexo </w:t>
      </w:r>
      <w:r w:rsidR="00C021F6">
        <w:rPr>
          <w:szCs w:val="26"/>
        </w:rPr>
        <w:t>I</w:t>
      </w:r>
      <w:r>
        <w:rPr>
          <w:szCs w:val="26"/>
        </w:rPr>
        <w:t>I que acompaña a este informe se recoge la evolución del personal efectivo de la Universidad a 31 de diciembre.</w:t>
      </w:r>
    </w:p>
    <w:p w:rsidR="00D66410" w:rsidRPr="00897E01" w:rsidRDefault="00897E01" w:rsidP="00616D28">
      <w:pPr>
        <w:pStyle w:val="atitulo3"/>
      </w:pPr>
      <w:r w:rsidRPr="00897E01">
        <w:t>Muestra realizada</w:t>
      </w:r>
    </w:p>
    <w:p w:rsidR="008804F0" w:rsidRDefault="00897E01" w:rsidP="00B838BB">
      <w:pPr>
        <w:pStyle w:val="texto"/>
        <w:spacing w:before="120" w:after="120"/>
      </w:pPr>
      <w:r w:rsidRPr="00897E01">
        <w:t xml:space="preserve">Hemos </w:t>
      </w:r>
      <w:r w:rsidR="00856985">
        <w:t>analizado</w:t>
      </w:r>
      <w:r w:rsidRPr="00897E01">
        <w:t xml:space="preserve"> una muestra de </w:t>
      </w:r>
      <w:r w:rsidR="00132ADD">
        <w:t xml:space="preserve">gastos de </w:t>
      </w:r>
      <w:r w:rsidRPr="00897E01">
        <w:t xml:space="preserve">personal de la </w:t>
      </w:r>
      <w:r w:rsidR="009D7DD5">
        <w:t>Universidad</w:t>
      </w:r>
      <w:r w:rsidR="00FE3A2D">
        <w:t xml:space="preserve"> y del examen efectuado concluimos que, en general, los expedientes están completos, los gastos están correctamente contabilizados, las retribuciones abonadas son las establecidas para el puesto de trabajo desempeñado y las retenciones practicadas son correctas</w:t>
      </w:r>
      <w:r w:rsidR="003679F9">
        <w:t>. Sin embargo, debemos señalar que:</w:t>
      </w:r>
    </w:p>
    <w:p w:rsidR="00F717FC" w:rsidRDefault="00F717FC" w:rsidP="00B838B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90"/>
        <w:rPr>
          <w:szCs w:val="26"/>
        </w:rPr>
      </w:pPr>
      <w:r>
        <w:rPr>
          <w:szCs w:val="26"/>
        </w:rPr>
        <w:t xml:space="preserve">En algunos expedientes de personal </w:t>
      </w:r>
      <w:r w:rsidR="00504B8F">
        <w:rPr>
          <w:szCs w:val="26"/>
        </w:rPr>
        <w:t xml:space="preserve">PAS </w:t>
      </w:r>
      <w:r>
        <w:rPr>
          <w:szCs w:val="26"/>
        </w:rPr>
        <w:t>no consta el reconocimiento expreso de la antigüedad, de los servicios prestados o de los méritos individuales.</w:t>
      </w:r>
    </w:p>
    <w:p w:rsidR="002E75AB" w:rsidRPr="003D150A" w:rsidRDefault="00132ADD" w:rsidP="00B838B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90"/>
        <w:rPr>
          <w:szCs w:val="26"/>
        </w:rPr>
      </w:pPr>
      <w:r>
        <w:rPr>
          <w:szCs w:val="26"/>
        </w:rPr>
        <w:t>Los</w:t>
      </w:r>
      <w:r w:rsidR="003D150A">
        <w:rPr>
          <w:szCs w:val="26"/>
        </w:rPr>
        <w:t xml:space="preserve"> honorarios </w:t>
      </w:r>
      <w:r>
        <w:rPr>
          <w:szCs w:val="26"/>
        </w:rPr>
        <w:t xml:space="preserve">abonados </w:t>
      </w:r>
      <w:r w:rsidR="00856985" w:rsidRPr="003D150A">
        <w:rPr>
          <w:szCs w:val="26"/>
        </w:rPr>
        <w:t>a los investigadores por contratos OTRI (VI.5.</w:t>
      </w:r>
      <w:r w:rsidR="00D005C9" w:rsidRPr="003D150A">
        <w:rPr>
          <w:szCs w:val="26"/>
        </w:rPr>
        <w:t>6</w:t>
      </w:r>
      <w:r w:rsidR="00856985" w:rsidRPr="003D150A">
        <w:rPr>
          <w:szCs w:val="26"/>
        </w:rPr>
        <w:t xml:space="preserve"> de este informe)</w:t>
      </w:r>
      <w:r w:rsidR="003D150A">
        <w:rPr>
          <w:szCs w:val="26"/>
        </w:rPr>
        <w:t xml:space="preserve"> s</w:t>
      </w:r>
      <w:r w:rsidR="003D150A" w:rsidRPr="003D150A">
        <w:rPr>
          <w:szCs w:val="26"/>
        </w:rPr>
        <w:t xml:space="preserve">e </w:t>
      </w:r>
      <w:r w:rsidR="007A16C9">
        <w:rPr>
          <w:szCs w:val="26"/>
        </w:rPr>
        <w:t xml:space="preserve">incluyen </w:t>
      </w:r>
      <w:r w:rsidR="003D150A" w:rsidRPr="003D150A">
        <w:rPr>
          <w:szCs w:val="26"/>
        </w:rPr>
        <w:t>en nómina</w:t>
      </w:r>
      <w:r w:rsidR="00E17EFE" w:rsidRPr="003D150A">
        <w:rPr>
          <w:szCs w:val="26"/>
        </w:rPr>
        <w:t xml:space="preserve">. Estos pagos se justifican </w:t>
      </w:r>
      <w:r w:rsidR="00A77DDF" w:rsidRPr="003D150A">
        <w:rPr>
          <w:szCs w:val="26"/>
        </w:rPr>
        <w:t xml:space="preserve">mensualmente </w:t>
      </w:r>
      <w:r w:rsidR="00E17EFE" w:rsidRPr="003D150A">
        <w:rPr>
          <w:szCs w:val="26"/>
        </w:rPr>
        <w:t xml:space="preserve">mediante </w:t>
      </w:r>
      <w:r w:rsidR="002E75AB" w:rsidRPr="003D150A">
        <w:rPr>
          <w:szCs w:val="26"/>
        </w:rPr>
        <w:t xml:space="preserve">una </w:t>
      </w:r>
      <w:r w:rsidR="00E17EFE" w:rsidRPr="003D150A">
        <w:rPr>
          <w:szCs w:val="26"/>
        </w:rPr>
        <w:t xml:space="preserve">relación elaborada </w:t>
      </w:r>
      <w:r w:rsidR="00A77DDF" w:rsidRPr="003D150A">
        <w:rPr>
          <w:szCs w:val="26"/>
        </w:rPr>
        <w:t>por el servicio de investigación y firmada por el jefe de la sección de transferencia del conocimiento</w:t>
      </w:r>
      <w:r w:rsidR="00963945" w:rsidRPr="003D150A">
        <w:rPr>
          <w:szCs w:val="26"/>
        </w:rPr>
        <w:t xml:space="preserve">. </w:t>
      </w:r>
    </w:p>
    <w:p w:rsidR="00430A95" w:rsidRPr="00E033C5" w:rsidRDefault="008B0601" w:rsidP="003D150A">
      <w:pPr>
        <w:pStyle w:val="texto"/>
        <w:spacing w:before="120" w:after="120"/>
        <w:rPr>
          <w:spacing w:val="0"/>
        </w:rPr>
      </w:pPr>
      <w:r w:rsidRPr="00E033C5">
        <w:rPr>
          <w:spacing w:val="0"/>
        </w:rPr>
        <w:t xml:space="preserve">En </w:t>
      </w:r>
      <w:r w:rsidR="003D150A" w:rsidRPr="00E033C5">
        <w:rPr>
          <w:spacing w:val="0"/>
        </w:rPr>
        <w:t xml:space="preserve">los presupuestos de </w:t>
      </w:r>
      <w:r w:rsidRPr="00E033C5">
        <w:rPr>
          <w:spacing w:val="0"/>
        </w:rPr>
        <w:t>algunos contratos no constan los honorarios a percibir por los investigadores y</w:t>
      </w:r>
      <w:r w:rsidR="007179ED" w:rsidRPr="00E033C5">
        <w:rPr>
          <w:spacing w:val="0"/>
        </w:rPr>
        <w:t>,</w:t>
      </w:r>
      <w:r w:rsidRPr="00E033C5">
        <w:rPr>
          <w:spacing w:val="0"/>
        </w:rPr>
        <w:t xml:space="preserve"> en otros</w:t>
      </w:r>
      <w:r w:rsidR="003D150A" w:rsidRPr="00E033C5">
        <w:rPr>
          <w:spacing w:val="0"/>
        </w:rPr>
        <w:t>,</w:t>
      </w:r>
      <w:r w:rsidRPr="00E033C5">
        <w:rPr>
          <w:spacing w:val="0"/>
        </w:rPr>
        <w:t xml:space="preserve"> los importes abonados han </w:t>
      </w:r>
      <w:r w:rsidR="001624BE" w:rsidRPr="00E033C5">
        <w:rPr>
          <w:spacing w:val="0"/>
        </w:rPr>
        <w:t xml:space="preserve">sido superiores a los señalados en los </w:t>
      </w:r>
      <w:r w:rsidR="003D150A" w:rsidRPr="00E033C5">
        <w:rPr>
          <w:spacing w:val="0"/>
        </w:rPr>
        <w:t>mismos, sin que en ningún caso e</w:t>
      </w:r>
      <w:r w:rsidR="006C61B5" w:rsidRPr="00E033C5">
        <w:rPr>
          <w:spacing w:val="0"/>
        </w:rPr>
        <w:t>l</w:t>
      </w:r>
      <w:r w:rsidR="00337288" w:rsidRPr="00E033C5">
        <w:rPr>
          <w:spacing w:val="0"/>
        </w:rPr>
        <w:t xml:space="preserve"> importe abonado por honorarios a cada investigador </w:t>
      </w:r>
      <w:r w:rsidR="006C61B5" w:rsidRPr="00E033C5">
        <w:rPr>
          <w:spacing w:val="0"/>
        </w:rPr>
        <w:t>ha</w:t>
      </w:r>
      <w:r w:rsidR="003D150A" w:rsidRPr="00E033C5">
        <w:rPr>
          <w:spacing w:val="0"/>
        </w:rPr>
        <w:t>ya</w:t>
      </w:r>
      <w:r w:rsidR="006C61B5" w:rsidRPr="00E033C5">
        <w:rPr>
          <w:spacing w:val="0"/>
        </w:rPr>
        <w:t xml:space="preserve"> </w:t>
      </w:r>
      <w:r w:rsidR="00337288" w:rsidRPr="00E033C5">
        <w:rPr>
          <w:spacing w:val="0"/>
        </w:rPr>
        <w:t>supera</w:t>
      </w:r>
      <w:r w:rsidR="006C61B5" w:rsidRPr="00E033C5">
        <w:rPr>
          <w:spacing w:val="0"/>
        </w:rPr>
        <w:t>do</w:t>
      </w:r>
      <w:r w:rsidR="00337288" w:rsidRPr="00E033C5">
        <w:rPr>
          <w:spacing w:val="0"/>
        </w:rPr>
        <w:t xml:space="preserve"> el importe máximo, 1,5 veces la retribución anual de la máxima categoría</w:t>
      </w:r>
      <w:r w:rsidR="003D150A" w:rsidRPr="00E033C5">
        <w:rPr>
          <w:spacing w:val="0"/>
        </w:rPr>
        <w:t xml:space="preserve"> docente-académica</w:t>
      </w:r>
      <w:r w:rsidR="00337288" w:rsidRPr="00E033C5">
        <w:rPr>
          <w:spacing w:val="0"/>
        </w:rPr>
        <w:t>, establecido en el reglamento de investigación de la Universidad. En el año 2017 este importe asciende a 136.692 euros.</w:t>
      </w:r>
    </w:p>
    <w:p w:rsidR="005E5E3C" w:rsidRDefault="00F717FC" w:rsidP="00E033C5">
      <w:pPr>
        <w:pStyle w:val="texto"/>
        <w:spacing w:before="120" w:after="120"/>
        <w:rPr>
          <w:i/>
          <w:szCs w:val="26"/>
        </w:rPr>
      </w:pPr>
      <w:r w:rsidRPr="00E033C5">
        <w:rPr>
          <w:i/>
          <w:szCs w:val="26"/>
        </w:rPr>
        <w:t>Recomendamos</w:t>
      </w:r>
      <w:r w:rsidR="00E033C5" w:rsidRPr="00E033C5">
        <w:rPr>
          <w:i/>
          <w:szCs w:val="26"/>
        </w:rPr>
        <w:t xml:space="preserve"> </w:t>
      </w:r>
      <w:r w:rsidR="005E5E3C" w:rsidRPr="00F717FC">
        <w:rPr>
          <w:i/>
          <w:szCs w:val="26"/>
        </w:rPr>
        <w:t xml:space="preserve">Completar </w:t>
      </w:r>
      <w:r w:rsidRPr="00F717FC">
        <w:rPr>
          <w:i/>
          <w:szCs w:val="26"/>
        </w:rPr>
        <w:t>los expedientes de personal incluyendo todos los actos administrativos dictados en relación con los trabajadores.</w:t>
      </w:r>
    </w:p>
    <w:p w:rsidR="00035BAF" w:rsidRPr="00EE6D65" w:rsidRDefault="00035BAF" w:rsidP="00EE6D65">
      <w:pPr>
        <w:pStyle w:val="atitulo3"/>
        <w:tabs>
          <w:tab w:val="left" w:pos="3930"/>
        </w:tabs>
        <w:spacing w:before="240"/>
        <w:rPr>
          <w:i w:val="0"/>
        </w:rPr>
      </w:pPr>
      <w:r w:rsidRPr="00EE6D65">
        <w:rPr>
          <w:i w:val="0"/>
        </w:rPr>
        <w:t>V</w:t>
      </w:r>
      <w:r w:rsidR="00613F68" w:rsidRPr="00EE6D65">
        <w:rPr>
          <w:i w:val="0"/>
        </w:rPr>
        <w:t>I</w:t>
      </w:r>
      <w:r w:rsidRPr="00EE6D65">
        <w:rPr>
          <w:i w:val="0"/>
        </w:rPr>
        <w:t>.</w:t>
      </w:r>
      <w:r w:rsidR="00E037D2">
        <w:rPr>
          <w:i w:val="0"/>
        </w:rPr>
        <w:t>4</w:t>
      </w:r>
      <w:r w:rsidRPr="00EE6D65">
        <w:rPr>
          <w:i w:val="0"/>
        </w:rPr>
        <w:t>.</w:t>
      </w:r>
      <w:r w:rsidR="00553025" w:rsidRPr="00EE6D65">
        <w:rPr>
          <w:i w:val="0"/>
        </w:rPr>
        <w:t>2</w:t>
      </w:r>
      <w:r w:rsidRPr="00EE6D65">
        <w:rPr>
          <w:i w:val="0"/>
        </w:rPr>
        <w:t>. Gastos corrientes en bienes y servicios</w:t>
      </w:r>
    </w:p>
    <w:p w:rsidR="00B37F18" w:rsidRDefault="00035BAF" w:rsidP="001904B4">
      <w:pPr>
        <w:pStyle w:val="texto"/>
        <w:spacing w:before="120" w:after="120"/>
      </w:pPr>
      <w:r>
        <w:t>Los gastos corrientes en bienes y servicios del ejercicio 2017 ascendieron a 13,75 millones de euros y suponen el 1</w:t>
      </w:r>
      <w:r w:rsidR="00A0108C">
        <w:t>8</w:t>
      </w:r>
      <w:r>
        <w:t xml:space="preserve"> por ciento del total de gastos de la </w:t>
      </w:r>
      <w:r w:rsidR="00A32A9C">
        <w:t>Universidad</w:t>
      </w:r>
      <w:r>
        <w:t xml:space="preserve">. El grado de ejecución en 2017 </w:t>
      </w:r>
      <w:r w:rsidR="00A97BF1">
        <w:t>fue</w:t>
      </w:r>
      <w:r>
        <w:t xml:space="preserve"> del 6</w:t>
      </w:r>
      <w:r w:rsidR="00AF369F">
        <w:t>9</w:t>
      </w:r>
      <w:r>
        <w:t xml:space="preserve"> por ciento y al cierre del ejercicio se había pagado el 8</w:t>
      </w:r>
      <w:r w:rsidR="00A0108C">
        <w:t>6</w:t>
      </w:r>
      <w:r>
        <w:t xml:space="preserve"> por ciento</w:t>
      </w:r>
      <w:r w:rsidR="00AF369F">
        <w:t xml:space="preserve"> de estos gastos.</w:t>
      </w:r>
    </w:p>
    <w:p w:rsidR="00573B25" w:rsidRDefault="00573B25" w:rsidP="001904B4">
      <w:pPr>
        <w:pStyle w:val="texto"/>
        <w:spacing w:before="120" w:after="120"/>
      </w:pPr>
      <w:r>
        <w:t>El gasto por artículos económicos y su comparación con el ejercicio anterior es la siguiente:</w:t>
      </w:r>
    </w:p>
    <w:p w:rsidR="00573B25" w:rsidRPr="00200D7D" w:rsidRDefault="0000117B" w:rsidP="00EE6D65">
      <w:pPr>
        <w:pStyle w:val="texto"/>
        <w:tabs>
          <w:tab w:val="clear" w:pos="2835"/>
          <w:tab w:val="clear" w:pos="3969"/>
          <w:tab w:val="clear" w:pos="5103"/>
          <w:tab w:val="clear" w:pos="6237"/>
          <w:tab w:val="clear" w:pos="7371"/>
          <w:tab w:val="left" w:pos="480"/>
          <w:tab w:val="num" w:pos="928"/>
          <w:tab w:val="num" w:pos="6597"/>
        </w:tabs>
        <w:spacing w:before="120" w:after="0"/>
        <w:ind w:left="568" w:firstLine="0"/>
        <w:jc w:val="right"/>
        <w:rPr>
          <w:rFonts w:ascii="Arial" w:hAnsi="Arial" w:cs="Arial"/>
          <w:sz w:val="18"/>
          <w:szCs w:val="18"/>
        </w:rPr>
      </w:pPr>
      <w:r w:rsidRPr="00200D7D">
        <w:rPr>
          <w:rFonts w:ascii="Arial" w:hAnsi="Arial" w:cs="Arial"/>
          <w:sz w:val="18"/>
          <w:szCs w:val="18"/>
        </w:rPr>
        <w:t>(En miles de euros)</w:t>
      </w:r>
    </w:p>
    <w:tbl>
      <w:tblPr>
        <w:tblW w:w="9060"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3636"/>
        <w:gridCol w:w="2085"/>
        <w:gridCol w:w="2049"/>
        <w:gridCol w:w="1290"/>
      </w:tblGrid>
      <w:tr w:rsidR="00573B25" w:rsidRPr="001D4811" w:rsidTr="00BD41E7">
        <w:trPr>
          <w:trHeight w:val="284"/>
          <w:jc w:val="center"/>
        </w:trPr>
        <w:tc>
          <w:tcPr>
            <w:tcW w:w="3636" w:type="dxa"/>
            <w:tcBorders>
              <w:top w:val="single" w:sz="4" w:space="0" w:color="auto"/>
              <w:bottom w:val="single" w:sz="4" w:space="0" w:color="auto"/>
            </w:tcBorders>
            <w:shd w:val="clear" w:color="auto" w:fill="A8CBEE" w:themeFill="accent2" w:themeFillTint="66"/>
            <w:noWrap/>
            <w:vAlign w:val="center"/>
          </w:tcPr>
          <w:p w:rsidR="00573B25" w:rsidRPr="001D4811" w:rsidRDefault="000D4AC6" w:rsidP="008E025F">
            <w:pPr>
              <w:pStyle w:val="cuadroCabe"/>
              <w:rPr>
                <w:rFonts w:cs="Arial"/>
                <w:szCs w:val="18"/>
                <w:lang w:val="es-ES" w:eastAsia="es-ES"/>
              </w:rPr>
            </w:pPr>
            <w:r w:rsidRPr="001D4811">
              <w:rPr>
                <w:rFonts w:cs="Arial"/>
                <w:szCs w:val="18"/>
                <w:lang w:val="es-ES" w:eastAsia="es-ES"/>
              </w:rPr>
              <w:t>Artículo</w:t>
            </w:r>
          </w:p>
        </w:tc>
        <w:tc>
          <w:tcPr>
            <w:tcW w:w="2085" w:type="dxa"/>
            <w:tcBorders>
              <w:top w:val="single" w:sz="4" w:space="0" w:color="auto"/>
              <w:bottom w:val="single" w:sz="4" w:space="0" w:color="auto"/>
            </w:tcBorders>
            <w:shd w:val="clear" w:color="auto" w:fill="A8CBEE" w:themeFill="accent2" w:themeFillTint="66"/>
            <w:vAlign w:val="center"/>
          </w:tcPr>
          <w:p w:rsidR="00200D7D" w:rsidRDefault="001D4811" w:rsidP="008E025F">
            <w:pPr>
              <w:spacing w:after="0"/>
              <w:ind w:firstLine="0"/>
              <w:jc w:val="right"/>
              <w:rPr>
                <w:rFonts w:ascii="Arial" w:hAnsi="Arial" w:cs="Arial"/>
                <w:bCs/>
                <w:sz w:val="18"/>
                <w:szCs w:val="18"/>
                <w:lang w:val="es-ES" w:eastAsia="es-ES"/>
              </w:rPr>
            </w:pPr>
            <w:r w:rsidRPr="001D4811">
              <w:rPr>
                <w:rFonts w:ascii="Arial" w:hAnsi="Arial" w:cs="Arial"/>
                <w:bCs/>
                <w:sz w:val="18"/>
                <w:szCs w:val="18"/>
                <w:lang w:val="es-ES" w:eastAsia="es-ES"/>
              </w:rPr>
              <w:t>Oblig</w:t>
            </w:r>
            <w:r w:rsidR="00BD41E7">
              <w:rPr>
                <w:rFonts w:ascii="Arial" w:hAnsi="Arial" w:cs="Arial"/>
                <w:bCs/>
                <w:sz w:val="18"/>
                <w:szCs w:val="18"/>
                <w:lang w:val="es-ES" w:eastAsia="es-ES"/>
              </w:rPr>
              <w:t>ac</w:t>
            </w:r>
            <w:r w:rsidR="00200D7D">
              <w:rPr>
                <w:rFonts w:ascii="Arial" w:hAnsi="Arial" w:cs="Arial"/>
                <w:bCs/>
                <w:sz w:val="18"/>
                <w:szCs w:val="18"/>
                <w:lang w:val="es-ES" w:eastAsia="es-ES"/>
              </w:rPr>
              <w:t>iones</w:t>
            </w:r>
          </w:p>
          <w:p w:rsidR="00573B25" w:rsidRPr="001D4811" w:rsidRDefault="00BD41E7" w:rsidP="00200D7D">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 xml:space="preserve"> </w:t>
            </w:r>
            <w:r w:rsidR="001D4811" w:rsidRPr="001D4811">
              <w:rPr>
                <w:rFonts w:ascii="Arial" w:hAnsi="Arial" w:cs="Arial"/>
                <w:bCs/>
                <w:sz w:val="18"/>
                <w:szCs w:val="18"/>
                <w:lang w:val="es-ES" w:eastAsia="es-ES"/>
              </w:rPr>
              <w:t>Reconocidas</w:t>
            </w:r>
            <w:r w:rsidR="00200D7D">
              <w:rPr>
                <w:rFonts w:ascii="Arial" w:hAnsi="Arial" w:cs="Arial"/>
                <w:bCs/>
                <w:sz w:val="18"/>
                <w:szCs w:val="18"/>
                <w:lang w:val="es-ES" w:eastAsia="es-ES"/>
              </w:rPr>
              <w:t xml:space="preserve"> </w:t>
            </w:r>
            <w:r w:rsidR="00573B25" w:rsidRPr="001D4811">
              <w:rPr>
                <w:rFonts w:ascii="Arial" w:hAnsi="Arial" w:cs="Arial"/>
                <w:bCs/>
                <w:sz w:val="18"/>
                <w:szCs w:val="18"/>
                <w:lang w:val="es-ES" w:eastAsia="es-ES"/>
              </w:rPr>
              <w:t>2016</w:t>
            </w:r>
            <w:r w:rsidR="002E04BF" w:rsidRPr="001D4811">
              <w:rPr>
                <w:rFonts w:ascii="Arial" w:hAnsi="Arial" w:cs="Arial"/>
                <w:bCs/>
                <w:sz w:val="18"/>
                <w:szCs w:val="18"/>
                <w:lang w:val="es-ES" w:eastAsia="es-ES"/>
              </w:rPr>
              <w:t>*</w:t>
            </w:r>
          </w:p>
        </w:tc>
        <w:tc>
          <w:tcPr>
            <w:tcW w:w="2049" w:type="dxa"/>
            <w:tcBorders>
              <w:top w:val="single" w:sz="4" w:space="0" w:color="auto"/>
              <w:bottom w:val="single" w:sz="4" w:space="0" w:color="auto"/>
            </w:tcBorders>
            <w:shd w:val="clear" w:color="auto" w:fill="A8CBEE" w:themeFill="accent2" w:themeFillTint="66"/>
            <w:noWrap/>
            <w:vAlign w:val="center"/>
          </w:tcPr>
          <w:p w:rsidR="00200D7D" w:rsidRDefault="00BD41E7" w:rsidP="008E025F">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Obligac</w:t>
            </w:r>
            <w:r w:rsidR="00200D7D">
              <w:rPr>
                <w:rFonts w:ascii="Arial" w:hAnsi="Arial" w:cs="Arial"/>
                <w:bCs/>
                <w:color w:val="000000"/>
                <w:sz w:val="18"/>
                <w:szCs w:val="18"/>
                <w:lang w:val="es-ES" w:eastAsia="es-ES"/>
              </w:rPr>
              <w:t>iones</w:t>
            </w:r>
            <w:r>
              <w:rPr>
                <w:rFonts w:ascii="Arial" w:hAnsi="Arial" w:cs="Arial"/>
                <w:bCs/>
                <w:color w:val="000000"/>
                <w:sz w:val="18"/>
                <w:szCs w:val="18"/>
                <w:lang w:val="es-ES" w:eastAsia="es-ES"/>
              </w:rPr>
              <w:t xml:space="preserve"> </w:t>
            </w:r>
          </w:p>
          <w:p w:rsidR="00573B25" w:rsidRPr="001D4811" w:rsidRDefault="001D4811" w:rsidP="00200D7D">
            <w:pPr>
              <w:spacing w:after="0"/>
              <w:ind w:firstLine="0"/>
              <w:jc w:val="right"/>
              <w:rPr>
                <w:rFonts w:ascii="Arial" w:hAnsi="Arial" w:cs="Arial"/>
                <w:bCs/>
                <w:color w:val="000000"/>
                <w:sz w:val="18"/>
                <w:szCs w:val="18"/>
                <w:lang w:val="es-ES" w:eastAsia="es-ES"/>
              </w:rPr>
            </w:pPr>
            <w:r w:rsidRPr="001D4811">
              <w:rPr>
                <w:rFonts w:ascii="Arial" w:hAnsi="Arial" w:cs="Arial"/>
                <w:bCs/>
                <w:color w:val="000000"/>
                <w:sz w:val="18"/>
                <w:szCs w:val="18"/>
                <w:lang w:val="es-ES" w:eastAsia="es-ES"/>
              </w:rPr>
              <w:t>Reconocidas</w:t>
            </w:r>
            <w:r w:rsidR="00200D7D">
              <w:rPr>
                <w:rFonts w:ascii="Arial" w:hAnsi="Arial" w:cs="Arial"/>
                <w:bCs/>
                <w:color w:val="000000"/>
                <w:sz w:val="18"/>
                <w:szCs w:val="18"/>
                <w:lang w:val="es-ES" w:eastAsia="es-ES"/>
              </w:rPr>
              <w:t xml:space="preserve"> </w:t>
            </w:r>
            <w:r w:rsidR="00573B25" w:rsidRPr="001D4811">
              <w:rPr>
                <w:rFonts w:ascii="Arial" w:hAnsi="Arial" w:cs="Arial"/>
                <w:bCs/>
                <w:color w:val="000000"/>
                <w:sz w:val="18"/>
                <w:szCs w:val="18"/>
                <w:lang w:val="es-ES" w:eastAsia="es-ES"/>
              </w:rPr>
              <w:t>2017</w:t>
            </w:r>
          </w:p>
        </w:tc>
        <w:tc>
          <w:tcPr>
            <w:tcW w:w="1290" w:type="dxa"/>
            <w:tcBorders>
              <w:top w:val="single" w:sz="4" w:space="0" w:color="auto"/>
              <w:bottom w:val="single" w:sz="4" w:space="0" w:color="auto"/>
            </w:tcBorders>
            <w:shd w:val="clear" w:color="auto" w:fill="A8CBEE" w:themeFill="accent2" w:themeFillTint="66"/>
            <w:noWrap/>
            <w:vAlign w:val="center"/>
          </w:tcPr>
          <w:p w:rsidR="002935D7" w:rsidRPr="001D4811" w:rsidRDefault="00573B25" w:rsidP="008E025F">
            <w:pPr>
              <w:spacing w:after="0"/>
              <w:ind w:firstLine="0"/>
              <w:jc w:val="right"/>
              <w:rPr>
                <w:rFonts w:ascii="Arial" w:hAnsi="Arial" w:cs="Arial"/>
                <w:bCs/>
                <w:color w:val="000000"/>
                <w:sz w:val="18"/>
                <w:szCs w:val="18"/>
                <w:lang w:val="es-ES" w:eastAsia="es-ES"/>
              </w:rPr>
            </w:pPr>
            <w:r w:rsidRPr="001D4811">
              <w:rPr>
                <w:rFonts w:ascii="Arial" w:hAnsi="Arial" w:cs="Arial"/>
                <w:bCs/>
                <w:color w:val="000000"/>
                <w:sz w:val="18"/>
                <w:szCs w:val="18"/>
                <w:lang w:val="es-ES" w:eastAsia="es-ES"/>
              </w:rPr>
              <w:t xml:space="preserve">% variación </w:t>
            </w:r>
          </w:p>
          <w:p w:rsidR="00573B25" w:rsidRPr="001D4811" w:rsidRDefault="00573B25" w:rsidP="008E025F">
            <w:pPr>
              <w:spacing w:after="0"/>
              <w:ind w:firstLine="0"/>
              <w:jc w:val="right"/>
              <w:rPr>
                <w:rFonts w:ascii="Arial" w:hAnsi="Arial" w:cs="Arial"/>
                <w:bCs/>
                <w:color w:val="000000"/>
                <w:sz w:val="18"/>
                <w:szCs w:val="18"/>
                <w:lang w:val="es-ES" w:eastAsia="es-ES"/>
              </w:rPr>
            </w:pPr>
            <w:r w:rsidRPr="001D4811">
              <w:rPr>
                <w:rFonts w:ascii="Arial" w:hAnsi="Arial" w:cs="Arial"/>
                <w:bCs/>
                <w:color w:val="000000"/>
                <w:sz w:val="18"/>
                <w:szCs w:val="18"/>
                <w:lang w:val="es-ES" w:eastAsia="es-ES"/>
              </w:rPr>
              <w:t>2017/2016</w:t>
            </w:r>
          </w:p>
        </w:tc>
      </w:tr>
      <w:tr w:rsidR="00573B25" w:rsidRPr="002935D7" w:rsidTr="00BD41E7">
        <w:trPr>
          <w:trHeight w:val="284"/>
          <w:jc w:val="center"/>
        </w:trPr>
        <w:tc>
          <w:tcPr>
            <w:tcW w:w="3636" w:type="dxa"/>
            <w:tcBorders>
              <w:top w:val="single" w:sz="4" w:space="0" w:color="auto"/>
              <w:bottom w:val="single" w:sz="2" w:space="0" w:color="auto"/>
            </w:tcBorders>
            <w:shd w:val="clear" w:color="auto" w:fill="auto"/>
            <w:noWrap/>
            <w:vAlign w:val="center"/>
          </w:tcPr>
          <w:p w:rsidR="00573B25" w:rsidRPr="00804520" w:rsidRDefault="00573B25" w:rsidP="008E025F">
            <w:pPr>
              <w:spacing w:after="0"/>
              <w:ind w:firstLine="0"/>
              <w:jc w:val="left"/>
              <w:rPr>
                <w:rFonts w:ascii="Arial Narrow" w:hAnsi="Arial Narrow"/>
                <w:lang w:val="es-ES" w:eastAsia="es-ES"/>
              </w:rPr>
            </w:pPr>
            <w:r w:rsidRPr="00804520">
              <w:rPr>
                <w:rFonts w:ascii="Arial Narrow" w:hAnsi="Arial Narrow"/>
                <w:lang w:val="es-ES" w:eastAsia="es-ES"/>
              </w:rPr>
              <w:t>Arrendamientos</w:t>
            </w:r>
          </w:p>
        </w:tc>
        <w:tc>
          <w:tcPr>
            <w:tcW w:w="2085" w:type="dxa"/>
            <w:tcBorders>
              <w:top w:val="single" w:sz="4" w:space="0" w:color="auto"/>
              <w:bottom w:val="single" w:sz="2" w:space="0" w:color="auto"/>
            </w:tcBorders>
            <w:vAlign w:val="center"/>
          </w:tcPr>
          <w:p w:rsidR="00573B25" w:rsidRPr="00804520" w:rsidRDefault="00573B25" w:rsidP="008E025F">
            <w:pPr>
              <w:spacing w:after="0"/>
              <w:ind w:firstLine="0"/>
              <w:jc w:val="right"/>
              <w:rPr>
                <w:rFonts w:ascii="Arial Narrow" w:hAnsi="Arial Narrow"/>
                <w:lang w:val="es-ES" w:eastAsia="es-ES"/>
              </w:rPr>
            </w:pPr>
            <w:r w:rsidRPr="00804520">
              <w:rPr>
                <w:rFonts w:ascii="Arial Narrow" w:hAnsi="Arial Narrow"/>
                <w:lang w:val="es-ES" w:eastAsia="es-ES"/>
              </w:rPr>
              <w:t>51</w:t>
            </w:r>
          </w:p>
        </w:tc>
        <w:tc>
          <w:tcPr>
            <w:tcW w:w="2049" w:type="dxa"/>
            <w:tcBorders>
              <w:top w:val="single" w:sz="4" w:space="0" w:color="auto"/>
              <w:bottom w:val="single" w:sz="2" w:space="0" w:color="auto"/>
            </w:tcBorders>
            <w:shd w:val="clear" w:color="auto" w:fill="auto"/>
            <w:noWrap/>
            <w:vAlign w:val="center"/>
          </w:tcPr>
          <w:p w:rsidR="00573B25" w:rsidRPr="00804520" w:rsidRDefault="00D820B8" w:rsidP="008E025F">
            <w:pPr>
              <w:spacing w:after="0"/>
              <w:ind w:firstLine="0"/>
              <w:jc w:val="right"/>
              <w:rPr>
                <w:rFonts w:ascii="Arial Narrow" w:hAnsi="Arial Narrow"/>
                <w:lang w:val="es-ES" w:eastAsia="es-ES"/>
              </w:rPr>
            </w:pPr>
            <w:r w:rsidRPr="00804520">
              <w:rPr>
                <w:rFonts w:ascii="Arial Narrow" w:hAnsi="Arial Narrow"/>
                <w:lang w:val="es-ES" w:eastAsia="es-ES"/>
              </w:rPr>
              <w:t>68</w:t>
            </w:r>
          </w:p>
        </w:tc>
        <w:tc>
          <w:tcPr>
            <w:tcW w:w="1290" w:type="dxa"/>
            <w:tcBorders>
              <w:top w:val="single" w:sz="4" w:space="0" w:color="auto"/>
              <w:bottom w:val="single" w:sz="2" w:space="0" w:color="auto"/>
            </w:tcBorders>
            <w:shd w:val="clear" w:color="auto" w:fill="auto"/>
            <w:noWrap/>
            <w:vAlign w:val="center"/>
          </w:tcPr>
          <w:p w:rsidR="00573B25" w:rsidRPr="00804520" w:rsidRDefault="00D820B8" w:rsidP="00EB383A">
            <w:pPr>
              <w:spacing w:after="0"/>
              <w:ind w:firstLine="0"/>
              <w:jc w:val="right"/>
              <w:rPr>
                <w:rFonts w:ascii="Arial Narrow" w:hAnsi="Arial Narrow"/>
                <w:lang w:val="es-ES" w:eastAsia="es-ES"/>
              </w:rPr>
            </w:pPr>
            <w:r w:rsidRPr="00804520">
              <w:rPr>
                <w:rFonts w:ascii="Arial Narrow" w:hAnsi="Arial Narrow"/>
                <w:lang w:val="es-ES" w:eastAsia="es-ES"/>
              </w:rPr>
              <w:t>3</w:t>
            </w:r>
            <w:r w:rsidR="00EB383A">
              <w:rPr>
                <w:rFonts w:ascii="Arial Narrow" w:hAnsi="Arial Narrow"/>
                <w:lang w:val="es-ES" w:eastAsia="es-ES"/>
              </w:rPr>
              <w:t>3</w:t>
            </w:r>
          </w:p>
        </w:tc>
      </w:tr>
      <w:tr w:rsidR="00573B25" w:rsidRPr="002935D7" w:rsidTr="00BD41E7">
        <w:trPr>
          <w:trHeight w:val="284"/>
          <w:jc w:val="center"/>
        </w:trPr>
        <w:tc>
          <w:tcPr>
            <w:tcW w:w="3636" w:type="dxa"/>
            <w:tcBorders>
              <w:top w:val="single" w:sz="2" w:space="0" w:color="auto"/>
              <w:bottom w:val="single" w:sz="2" w:space="0" w:color="auto"/>
            </w:tcBorders>
            <w:shd w:val="clear" w:color="auto" w:fill="auto"/>
            <w:noWrap/>
            <w:vAlign w:val="center"/>
          </w:tcPr>
          <w:p w:rsidR="00573B25" w:rsidRPr="00804520" w:rsidRDefault="00573B25" w:rsidP="008E025F">
            <w:pPr>
              <w:spacing w:after="0"/>
              <w:ind w:firstLine="0"/>
              <w:jc w:val="left"/>
              <w:rPr>
                <w:rFonts w:ascii="Arial Narrow" w:hAnsi="Arial Narrow"/>
                <w:lang w:val="es-ES" w:eastAsia="es-ES"/>
              </w:rPr>
            </w:pPr>
            <w:r w:rsidRPr="00804520">
              <w:rPr>
                <w:rFonts w:ascii="Arial Narrow" w:hAnsi="Arial Narrow"/>
                <w:lang w:val="es-ES" w:eastAsia="es-ES"/>
              </w:rPr>
              <w:t>Reparación y conservación</w:t>
            </w:r>
          </w:p>
        </w:tc>
        <w:tc>
          <w:tcPr>
            <w:tcW w:w="2085" w:type="dxa"/>
            <w:tcBorders>
              <w:top w:val="single" w:sz="2" w:space="0" w:color="auto"/>
              <w:bottom w:val="single" w:sz="2" w:space="0" w:color="auto"/>
            </w:tcBorders>
            <w:vAlign w:val="center"/>
          </w:tcPr>
          <w:p w:rsidR="00573B25" w:rsidRPr="00804520" w:rsidRDefault="00EB383A" w:rsidP="008E025F">
            <w:pPr>
              <w:spacing w:after="0"/>
              <w:ind w:firstLine="0"/>
              <w:jc w:val="right"/>
              <w:rPr>
                <w:rFonts w:ascii="Arial Narrow" w:hAnsi="Arial Narrow"/>
                <w:lang w:val="es-ES" w:eastAsia="es-ES"/>
              </w:rPr>
            </w:pPr>
            <w:r>
              <w:rPr>
                <w:rFonts w:ascii="Arial Narrow" w:hAnsi="Arial Narrow"/>
                <w:lang w:val="es-ES" w:eastAsia="es-ES"/>
              </w:rPr>
              <w:t>2.218</w:t>
            </w:r>
          </w:p>
        </w:tc>
        <w:tc>
          <w:tcPr>
            <w:tcW w:w="2049" w:type="dxa"/>
            <w:tcBorders>
              <w:top w:val="single" w:sz="2" w:space="0" w:color="auto"/>
              <w:bottom w:val="single" w:sz="2" w:space="0" w:color="auto"/>
            </w:tcBorders>
            <w:shd w:val="clear" w:color="auto" w:fill="auto"/>
            <w:noWrap/>
            <w:vAlign w:val="center"/>
          </w:tcPr>
          <w:p w:rsidR="00573B25" w:rsidRPr="00804520" w:rsidRDefault="00D820B8" w:rsidP="008E025F">
            <w:pPr>
              <w:spacing w:after="0"/>
              <w:ind w:firstLine="0"/>
              <w:jc w:val="right"/>
              <w:rPr>
                <w:rFonts w:ascii="Arial Narrow" w:hAnsi="Arial Narrow"/>
                <w:lang w:val="es-ES" w:eastAsia="es-ES"/>
              </w:rPr>
            </w:pPr>
            <w:r w:rsidRPr="00804520">
              <w:rPr>
                <w:rFonts w:ascii="Arial Narrow" w:hAnsi="Arial Narrow"/>
                <w:lang w:val="es-ES" w:eastAsia="es-ES"/>
              </w:rPr>
              <w:t>2.245</w:t>
            </w:r>
          </w:p>
        </w:tc>
        <w:tc>
          <w:tcPr>
            <w:tcW w:w="1290" w:type="dxa"/>
            <w:tcBorders>
              <w:top w:val="single" w:sz="2" w:space="0" w:color="auto"/>
              <w:bottom w:val="single" w:sz="2" w:space="0" w:color="auto"/>
            </w:tcBorders>
            <w:shd w:val="clear" w:color="auto" w:fill="auto"/>
            <w:noWrap/>
            <w:vAlign w:val="center"/>
          </w:tcPr>
          <w:p w:rsidR="00573B25" w:rsidRPr="00804520" w:rsidRDefault="00D820B8" w:rsidP="008E025F">
            <w:pPr>
              <w:spacing w:after="0"/>
              <w:ind w:firstLine="0"/>
              <w:jc w:val="right"/>
              <w:rPr>
                <w:rFonts w:ascii="Arial Narrow" w:hAnsi="Arial Narrow"/>
                <w:lang w:val="es-ES" w:eastAsia="es-ES"/>
              </w:rPr>
            </w:pPr>
            <w:r w:rsidRPr="00804520">
              <w:rPr>
                <w:rFonts w:ascii="Arial Narrow" w:hAnsi="Arial Narrow"/>
                <w:lang w:val="es-ES" w:eastAsia="es-ES"/>
              </w:rPr>
              <w:t>1</w:t>
            </w:r>
          </w:p>
        </w:tc>
      </w:tr>
      <w:tr w:rsidR="00573B25" w:rsidRPr="002935D7" w:rsidTr="00BD41E7">
        <w:trPr>
          <w:trHeight w:val="284"/>
          <w:jc w:val="center"/>
        </w:trPr>
        <w:tc>
          <w:tcPr>
            <w:tcW w:w="3636" w:type="dxa"/>
            <w:tcBorders>
              <w:top w:val="single" w:sz="2" w:space="0" w:color="auto"/>
              <w:bottom w:val="single" w:sz="2" w:space="0" w:color="auto"/>
            </w:tcBorders>
            <w:shd w:val="clear" w:color="auto" w:fill="auto"/>
            <w:noWrap/>
            <w:vAlign w:val="center"/>
          </w:tcPr>
          <w:p w:rsidR="00573B25" w:rsidRPr="00804520" w:rsidRDefault="00573B25" w:rsidP="008E025F">
            <w:pPr>
              <w:spacing w:after="0"/>
              <w:ind w:firstLine="0"/>
              <w:jc w:val="left"/>
              <w:rPr>
                <w:rFonts w:ascii="Arial Narrow" w:hAnsi="Arial Narrow"/>
                <w:lang w:val="es-ES" w:eastAsia="es-ES"/>
              </w:rPr>
            </w:pPr>
            <w:r w:rsidRPr="00804520">
              <w:rPr>
                <w:rFonts w:ascii="Arial Narrow" w:hAnsi="Arial Narrow"/>
                <w:lang w:val="es-ES" w:eastAsia="es-ES"/>
              </w:rPr>
              <w:t>Material, suministros y otros</w:t>
            </w:r>
          </w:p>
        </w:tc>
        <w:tc>
          <w:tcPr>
            <w:tcW w:w="2085" w:type="dxa"/>
            <w:tcBorders>
              <w:top w:val="single" w:sz="2" w:space="0" w:color="auto"/>
              <w:bottom w:val="single" w:sz="2" w:space="0" w:color="auto"/>
            </w:tcBorders>
            <w:vAlign w:val="center"/>
          </w:tcPr>
          <w:p w:rsidR="00573B25" w:rsidRPr="00804520" w:rsidRDefault="00573B25" w:rsidP="008E025F">
            <w:pPr>
              <w:spacing w:after="0"/>
              <w:ind w:firstLine="0"/>
              <w:jc w:val="right"/>
              <w:rPr>
                <w:rFonts w:ascii="Arial Narrow" w:hAnsi="Arial Narrow"/>
                <w:lang w:val="es-ES" w:eastAsia="es-ES"/>
              </w:rPr>
            </w:pPr>
            <w:r w:rsidRPr="00804520">
              <w:rPr>
                <w:rFonts w:ascii="Arial Narrow" w:hAnsi="Arial Narrow"/>
                <w:lang w:val="es-ES" w:eastAsia="es-ES"/>
              </w:rPr>
              <w:t>9.380</w:t>
            </w:r>
          </w:p>
        </w:tc>
        <w:tc>
          <w:tcPr>
            <w:tcW w:w="2049" w:type="dxa"/>
            <w:tcBorders>
              <w:top w:val="single" w:sz="2" w:space="0" w:color="auto"/>
              <w:bottom w:val="single" w:sz="2" w:space="0" w:color="auto"/>
            </w:tcBorders>
            <w:shd w:val="clear" w:color="auto" w:fill="auto"/>
            <w:noWrap/>
            <w:vAlign w:val="center"/>
          </w:tcPr>
          <w:p w:rsidR="00573B25" w:rsidRPr="00804520" w:rsidRDefault="00D820B8" w:rsidP="008E025F">
            <w:pPr>
              <w:spacing w:after="0"/>
              <w:ind w:firstLine="0"/>
              <w:jc w:val="right"/>
              <w:rPr>
                <w:rFonts w:ascii="Arial Narrow" w:hAnsi="Arial Narrow"/>
                <w:lang w:val="es-ES" w:eastAsia="es-ES"/>
              </w:rPr>
            </w:pPr>
            <w:r w:rsidRPr="00804520">
              <w:rPr>
                <w:rFonts w:ascii="Arial Narrow" w:hAnsi="Arial Narrow"/>
                <w:lang w:val="es-ES" w:eastAsia="es-ES"/>
              </w:rPr>
              <w:t>10.137</w:t>
            </w:r>
          </w:p>
        </w:tc>
        <w:tc>
          <w:tcPr>
            <w:tcW w:w="1290" w:type="dxa"/>
            <w:tcBorders>
              <w:top w:val="single" w:sz="2" w:space="0" w:color="auto"/>
              <w:bottom w:val="single" w:sz="2" w:space="0" w:color="auto"/>
            </w:tcBorders>
            <w:shd w:val="clear" w:color="auto" w:fill="auto"/>
            <w:noWrap/>
            <w:vAlign w:val="center"/>
          </w:tcPr>
          <w:p w:rsidR="00573B25" w:rsidRPr="00804520" w:rsidRDefault="00D820B8" w:rsidP="008E025F">
            <w:pPr>
              <w:spacing w:after="0"/>
              <w:ind w:firstLine="0"/>
              <w:jc w:val="right"/>
              <w:rPr>
                <w:rFonts w:ascii="Arial Narrow" w:hAnsi="Arial Narrow"/>
                <w:lang w:val="es-ES" w:eastAsia="es-ES"/>
              </w:rPr>
            </w:pPr>
            <w:r w:rsidRPr="00804520">
              <w:rPr>
                <w:rFonts w:ascii="Arial Narrow" w:hAnsi="Arial Narrow"/>
                <w:lang w:val="es-ES" w:eastAsia="es-ES"/>
              </w:rPr>
              <w:t>8</w:t>
            </w:r>
          </w:p>
        </w:tc>
      </w:tr>
      <w:tr w:rsidR="00573B25" w:rsidRPr="002935D7" w:rsidTr="00BD41E7">
        <w:trPr>
          <w:trHeight w:val="284"/>
          <w:jc w:val="center"/>
        </w:trPr>
        <w:tc>
          <w:tcPr>
            <w:tcW w:w="3636" w:type="dxa"/>
            <w:tcBorders>
              <w:top w:val="single" w:sz="2" w:space="0" w:color="auto"/>
              <w:bottom w:val="single" w:sz="2" w:space="0" w:color="auto"/>
            </w:tcBorders>
            <w:shd w:val="clear" w:color="auto" w:fill="auto"/>
            <w:noWrap/>
            <w:vAlign w:val="center"/>
          </w:tcPr>
          <w:p w:rsidR="00573B25" w:rsidRPr="00804520" w:rsidRDefault="00573B25" w:rsidP="008E025F">
            <w:pPr>
              <w:spacing w:after="0"/>
              <w:ind w:firstLine="0"/>
              <w:jc w:val="left"/>
              <w:rPr>
                <w:rFonts w:ascii="Arial Narrow" w:hAnsi="Arial Narrow"/>
                <w:lang w:val="es-ES" w:eastAsia="es-ES"/>
              </w:rPr>
            </w:pPr>
            <w:r w:rsidRPr="00804520">
              <w:rPr>
                <w:rFonts w:ascii="Arial Narrow" w:hAnsi="Arial Narrow"/>
                <w:lang w:val="es-ES" w:eastAsia="es-ES"/>
              </w:rPr>
              <w:t>Indemnización por razón de servicio</w:t>
            </w:r>
          </w:p>
        </w:tc>
        <w:tc>
          <w:tcPr>
            <w:tcW w:w="2085" w:type="dxa"/>
            <w:tcBorders>
              <w:top w:val="single" w:sz="2" w:space="0" w:color="auto"/>
              <w:bottom w:val="single" w:sz="2" w:space="0" w:color="auto"/>
            </w:tcBorders>
            <w:vAlign w:val="center"/>
          </w:tcPr>
          <w:p w:rsidR="00573B25" w:rsidRPr="00804520" w:rsidRDefault="00573B25" w:rsidP="008E025F">
            <w:pPr>
              <w:spacing w:after="0"/>
              <w:ind w:firstLine="0"/>
              <w:jc w:val="right"/>
              <w:rPr>
                <w:rFonts w:ascii="Arial Narrow" w:hAnsi="Arial Narrow"/>
                <w:lang w:val="es-ES" w:eastAsia="es-ES"/>
              </w:rPr>
            </w:pPr>
            <w:r w:rsidRPr="00804520">
              <w:rPr>
                <w:rFonts w:ascii="Arial Narrow" w:hAnsi="Arial Narrow"/>
                <w:lang w:val="es-ES" w:eastAsia="es-ES"/>
              </w:rPr>
              <w:t>508</w:t>
            </w:r>
          </w:p>
        </w:tc>
        <w:tc>
          <w:tcPr>
            <w:tcW w:w="2049" w:type="dxa"/>
            <w:tcBorders>
              <w:top w:val="single" w:sz="2" w:space="0" w:color="auto"/>
              <w:bottom w:val="single" w:sz="2" w:space="0" w:color="auto"/>
            </w:tcBorders>
            <w:shd w:val="clear" w:color="auto" w:fill="auto"/>
            <w:noWrap/>
            <w:vAlign w:val="center"/>
          </w:tcPr>
          <w:p w:rsidR="00573B25" w:rsidRPr="00804520" w:rsidRDefault="00D820B8" w:rsidP="008E025F">
            <w:pPr>
              <w:spacing w:after="0"/>
              <w:ind w:firstLine="0"/>
              <w:jc w:val="right"/>
              <w:rPr>
                <w:rFonts w:ascii="Arial Narrow" w:hAnsi="Arial Narrow"/>
                <w:lang w:val="es-ES" w:eastAsia="es-ES"/>
              </w:rPr>
            </w:pPr>
            <w:r w:rsidRPr="00804520">
              <w:rPr>
                <w:rFonts w:ascii="Arial Narrow" w:hAnsi="Arial Narrow"/>
                <w:lang w:val="es-ES" w:eastAsia="es-ES"/>
              </w:rPr>
              <w:t>501</w:t>
            </w:r>
          </w:p>
        </w:tc>
        <w:tc>
          <w:tcPr>
            <w:tcW w:w="1290" w:type="dxa"/>
            <w:tcBorders>
              <w:top w:val="single" w:sz="2" w:space="0" w:color="auto"/>
              <w:bottom w:val="single" w:sz="2" w:space="0" w:color="auto"/>
            </w:tcBorders>
            <w:shd w:val="clear" w:color="auto" w:fill="auto"/>
            <w:noWrap/>
            <w:vAlign w:val="center"/>
          </w:tcPr>
          <w:p w:rsidR="00573B25" w:rsidRPr="00804520" w:rsidRDefault="00D820B8" w:rsidP="008E025F">
            <w:pPr>
              <w:spacing w:after="0"/>
              <w:ind w:firstLine="0"/>
              <w:jc w:val="right"/>
              <w:rPr>
                <w:rFonts w:ascii="Arial Narrow" w:hAnsi="Arial Narrow"/>
                <w:lang w:val="es-ES" w:eastAsia="es-ES"/>
              </w:rPr>
            </w:pPr>
            <w:r w:rsidRPr="00804520">
              <w:rPr>
                <w:rFonts w:ascii="Arial Narrow" w:hAnsi="Arial Narrow"/>
                <w:lang w:val="es-ES" w:eastAsia="es-ES"/>
              </w:rPr>
              <w:t>-1</w:t>
            </w:r>
          </w:p>
        </w:tc>
      </w:tr>
      <w:tr w:rsidR="00573B25" w:rsidRPr="002935D7" w:rsidTr="00BD41E7">
        <w:trPr>
          <w:trHeight w:val="284"/>
          <w:jc w:val="center"/>
        </w:trPr>
        <w:tc>
          <w:tcPr>
            <w:tcW w:w="3636" w:type="dxa"/>
            <w:tcBorders>
              <w:top w:val="single" w:sz="2" w:space="0" w:color="auto"/>
              <w:bottom w:val="single" w:sz="2" w:space="0" w:color="auto"/>
            </w:tcBorders>
            <w:shd w:val="clear" w:color="auto" w:fill="auto"/>
            <w:noWrap/>
            <w:vAlign w:val="center"/>
          </w:tcPr>
          <w:p w:rsidR="00573B25" w:rsidRPr="00804520" w:rsidRDefault="00573B25" w:rsidP="008E025F">
            <w:pPr>
              <w:spacing w:after="0"/>
              <w:ind w:firstLine="0"/>
              <w:jc w:val="left"/>
              <w:rPr>
                <w:rFonts w:ascii="Arial Narrow" w:hAnsi="Arial Narrow"/>
                <w:lang w:val="es-ES" w:eastAsia="es-ES"/>
              </w:rPr>
            </w:pPr>
            <w:r w:rsidRPr="00804520">
              <w:rPr>
                <w:rFonts w:ascii="Arial Narrow" w:hAnsi="Arial Narrow"/>
                <w:lang w:val="es-ES" w:eastAsia="es-ES"/>
              </w:rPr>
              <w:t>Edición y distribución de publicaciones</w:t>
            </w:r>
          </w:p>
        </w:tc>
        <w:tc>
          <w:tcPr>
            <w:tcW w:w="2085" w:type="dxa"/>
            <w:tcBorders>
              <w:top w:val="single" w:sz="2" w:space="0" w:color="auto"/>
              <w:bottom w:val="single" w:sz="2" w:space="0" w:color="auto"/>
            </w:tcBorders>
            <w:vAlign w:val="center"/>
          </w:tcPr>
          <w:p w:rsidR="00573B25" w:rsidRPr="00804520" w:rsidRDefault="00573B25" w:rsidP="008E025F">
            <w:pPr>
              <w:spacing w:after="0"/>
              <w:ind w:firstLine="0"/>
              <w:jc w:val="right"/>
              <w:rPr>
                <w:rFonts w:ascii="Arial Narrow" w:hAnsi="Arial Narrow"/>
                <w:lang w:val="es-ES" w:eastAsia="es-ES"/>
              </w:rPr>
            </w:pPr>
            <w:r w:rsidRPr="00804520">
              <w:rPr>
                <w:rFonts w:ascii="Arial Narrow" w:hAnsi="Arial Narrow"/>
                <w:lang w:val="es-ES" w:eastAsia="es-ES"/>
              </w:rPr>
              <w:t>44</w:t>
            </w:r>
          </w:p>
        </w:tc>
        <w:tc>
          <w:tcPr>
            <w:tcW w:w="2049" w:type="dxa"/>
            <w:tcBorders>
              <w:top w:val="single" w:sz="2" w:space="0" w:color="auto"/>
              <w:bottom w:val="single" w:sz="2" w:space="0" w:color="auto"/>
            </w:tcBorders>
            <w:shd w:val="clear" w:color="auto" w:fill="auto"/>
            <w:noWrap/>
            <w:vAlign w:val="center"/>
          </w:tcPr>
          <w:p w:rsidR="00573B25" w:rsidRPr="00804520" w:rsidRDefault="00D820B8" w:rsidP="008E025F">
            <w:pPr>
              <w:spacing w:after="0"/>
              <w:ind w:firstLine="0"/>
              <w:jc w:val="right"/>
              <w:rPr>
                <w:rFonts w:ascii="Arial Narrow" w:hAnsi="Arial Narrow"/>
                <w:lang w:val="es-ES" w:eastAsia="es-ES"/>
              </w:rPr>
            </w:pPr>
            <w:r w:rsidRPr="00804520">
              <w:rPr>
                <w:rFonts w:ascii="Arial Narrow" w:hAnsi="Arial Narrow"/>
                <w:lang w:val="es-ES" w:eastAsia="es-ES"/>
              </w:rPr>
              <w:t>3</w:t>
            </w:r>
            <w:r w:rsidR="00EB383A">
              <w:rPr>
                <w:rFonts w:ascii="Arial Narrow" w:hAnsi="Arial Narrow"/>
                <w:lang w:val="es-ES" w:eastAsia="es-ES"/>
              </w:rPr>
              <w:t>4</w:t>
            </w:r>
          </w:p>
        </w:tc>
        <w:tc>
          <w:tcPr>
            <w:tcW w:w="1290" w:type="dxa"/>
            <w:tcBorders>
              <w:top w:val="single" w:sz="2" w:space="0" w:color="auto"/>
              <w:bottom w:val="single" w:sz="2" w:space="0" w:color="auto"/>
            </w:tcBorders>
            <w:shd w:val="clear" w:color="auto" w:fill="auto"/>
            <w:noWrap/>
            <w:vAlign w:val="center"/>
          </w:tcPr>
          <w:p w:rsidR="00573B25" w:rsidRPr="00804520" w:rsidRDefault="00D820B8" w:rsidP="00EB383A">
            <w:pPr>
              <w:spacing w:after="0"/>
              <w:ind w:firstLine="0"/>
              <w:jc w:val="right"/>
              <w:rPr>
                <w:rFonts w:ascii="Arial Narrow" w:hAnsi="Arial Narrow"/>
                <w:lang w:val="es-ES" w:eastAsia="es-ES"/>
              </w:rPr>
            </w:pPr>
            <w:r w:rsidRPr="00804520">
              <w:rPr>
                <w:rFonts w:ascii="Arial Narrow" w:hAnsi="Arial Narrow"/>
                <w:lang w:val="es-ES" w:eastAsia="es-ES"/>
              </w:rPr>
              <w:t>-2</w:t>
            </w:r>
            <w:r w:rsidR="00EB383A">
              <w:rPr>
                <w:rFonts w:ascii="Arial Narrow" w:hAnsi="Arial Narrow"/>
                <w:lang w:val="es-ES" w:eastAsia="es-ES"/>
              </w:rPr>
              <w:t>3</w:t>
            </w:r>
          </w:p>
        </w:tc>
      </w:tr>
      <w:tr w:rsidR="00573B25" w:rsidRPr="002935D7" w:rsidTr="00BD41E7">
        <w:trPr>
          <w:trHeight w:val="284"/>
          <w:jc w:val="center"/>
        </w:trPr>
        <w:tc>
          <w:tcPr>
            <w:tcW w:w="3636" w:type="dxa"/>
            <w:tcBorders>
              <w:top w:val="single" w:sz="2" w:space="0" w:color="auto"/>
              <w:bottom w:val="single" w:sz="2" w:space="0" w:color="auto"/>
            </w:tcBorders>
            <w:shd w:val="clear" w:color="auto" w:fill="auto"/>
            <w:noWrap/>
            <w:vAlign w:val="center"/>
          </w:tcPr>
          <w:p w:rsidR="00573B25" w:rsidRPr="00804520" w:rsidRDefault="00573B25" w:rsidP="002935D7">
            <w:pPr>
              <w:tabs>
                <w:tab w:val="left" w:pos="3617"/>
              </w:tabs>
              <w:spacing w:after="0"/>
              <w:ind w:right="-109" w:firstLine="0"/>
              <w:jc w:val="left"/>
              <w:rPr>
                <w:rFonts w:ascii="Arial Narrow" w:hAnsi="Arial Narrow"/>
                <w:lang w:eastAsia="es-ES"/>
              </w:rPr>
            </w:pPr>
            <w:r w:rsidRPr="00804520">
              <w:rPr>
                <w:rFonts w:ascii="Arial Narrow" w:hAnsi="Arial Narrow"/>
                <w:lang w:eastAsia="es-ES"/>
              </w:rPr>
              <w:t xml:space="preserve">Acuerdos con </w:t>
            </w:r>
            <w:r w:rsidR="009D7DD5">
              <w:rPr>
                <w:rFonts w:ascii="Arial Narrow" w:hAnsi="Arial Narrow"/>
                <w:lang w:eastAsia="es-ES"/>
              </w:rPr>
              <w:t>Universidad</w:t>
            </w:r>
            <w:r w:rsidRPr="00804520">
              <w:rPr>
                <w:rFonts w:ascii="Arial Narrow" w:hAnsi="Arial Narrow"/>
                <w:lang w:eastAsia="es-ES"/>
              </w:rPr>
              <w:t>es, programas internacionales y otros</w:t>
            </w:r>
          </w:p>
        </w:tc>
        <w:tc>
          <w:tcPr>
            <w:tcW w:w="2085" w:type="dxa"/>
            <w:tcBorders>
              <w:top w:val="single" w:sz="2" w:space="0" w:color="auto"/>
              <w:bottom w:val="single" w:sz="2" w:space="0" w:color="auto"/>
            </w:tcBorders>
            <w:vAlign w:val="center"/>
          </w:tcPr>
          <w:p w:rsidR="00573B25" w:rsidRPr="00804520" w:rsidRDefault="00573B25" w:rsidP="008E025F">
            <w:pPr>
              <w:spacing w:after="0"/>
              <w:ind w:firstLine="0"/>
              <w:jc w:val="right"/>
              <w:rPr>
                <w:rFonts w:ascii="Arial Narrow" w:hAnsi="Arial Narrow"/>
                <w:lang w:val="es-ES" w:eastAsia="es-ES"/>
              </w:rPr>
            </w:pPr>
            <w:r w:rsidRPr="00804520">
              <w:rPr>
                <w:rFonts w:ascii="Arial Narrow" w:hAnsi="Arial Narrow"/>
                <w:lang w:val="es-ES" w:eastAsia="es-ES"/>
              </w:rPr>
              <w:t>910</w:t>
            </w:r>
          </w:p>
        </w:tc>
        <w:tc>
          <w:tcPr>
            <w:tcW w:w="2049" w:type="dxa"/>
            <w:tcBorders>
              <w:top w:val="single" w:sz="2" w:space="0" w:color="auto"/>
              <w:bottom w:val="single" w:sz="2" w:space="0" w:color="auto"/>
            </w:tcBorders>
            <w:shd w:val="clear" w:color="auto" w:fill="auto"/>
            <w:noWrap/>
            <w:vAlign w:val="center"/>
          </w:tcPr>
          <w:p w:rsidR="00573B25" w:rsidRPr="00804520" w:rsidRDefault="00D820B8" w:rsidP="008E025F">
            <w:pPr>
              <w:spacing w:after="0"/>
              <w:ind w:firstLine="0"/>
              <w:jc w:val="right"/>
              <w:rPr>
                <w:rFonts w:ascii="Arial Narrow" w:hAnsi="Arial Narrow"/>
                <w:lang w:val="es-ES" w:eastAsia="es-ES"/>
              </w:rPr>
            </w:pPr>
            <w:r w:rsidRPr="00804520">
              <w:rPr>
                <w:rFonts w:ascii="Arial Narrow" w:hAnsi="Arial Narrow"/>
                <w:lang w:val="es-ES" w:eastAsia="es-ES"/>
              </w:rPr>
              <w:t>769</w:t>
            </w:r>
          </w:p>
        </w:tc>
        <w:tc>
          <w:tcPr>
            <w:tcW w:w="1290" w:type="dxa"/>
            <w:tcBorders>
              <w:top w:val="single" w:sz="2" w:space="0" w:color="auto"/>
              <w:bottom w:val="single" w:sz="2" w:space="0" w:color="auto"/>
            </w:tcBorders>
            <w:shd w:val="clear" w:color="auto" w:fill="auto"/>
            <w:noWrap/>
            <w:vAlign w:val="center"/>
          </w:tcPr>
          <w:p w:rsidR="00573B25" w:rsidRPr="00804520" w:rsidRDefault="00D820B8" w:rsidP="008E025F">
            <w:pPr>
              <w:spacing w:after="0"/>
              <w:ind w:firstLine="0"/>
              <w:jc w:val="right"/>
              <w:rPr>
                <w:rFonts w:ascii="Arial Narrow" w:hAnsi="Arial Narrow"/>
                <w:lang w:val="es-ES" w:eastAsia="es-ES"/>
              </w:rPr>
            </w:pPr>
            <w:r w:rsidRPr="00804520">
              <w:rPr>
                <w:rFonts w:ascii="Arial Narrow" w:hAnsi="Arial Narrow"/>
                <w:lang w:val="es-ES" w:eastAsia="es-ES"/>
              </w:rPr>
              <w:t>-15</w:t>
            </w:r>
          </w:p>
        </w:tc>
      </w:tr>
      <w:tr w:rsidR="00573B25" w:rsidRPr="00004F6D" w:rsidTr="00004F6D">
        <w:trPr>
          <w:trHeight w:val="284"/>
          <w:jc w:val="center"/>
        </w:trPr>
        <w:tc>
          <w:tcPr>
            <w:tcW w:w="3636" w:type="dxa"/>
            <w:tcBorders>
              <w:top w:val="single" w:sz="2" w:space="0" w:color="auto"/>
              <w:bottom w:val="single" w:sz="2" w:space="0" w:color="auto"/>
            </w:tcBorders>
            <w:shd w:val="clear" w:color="auto" w:fill="A0C3E3" w:themeFill="accent1" w:themeFillTint="99"/>
            <w:noWrap/>
            <w:vAlign w:val="center"/>
          </w:tcPr>
          <w:p w:rsidR="00573B25" w:rsidRPr="00004F6D" w:rsidRDefault="00573B25" w:rsidP="008E025F">
            <w:pPr>
              <w:pStyle w:val="cuadroCabe"/>
              <w:rPr>
                <w:rFonts w:cs="Arial"/>
                <w:szCs w:val="18"/>
                <w:lang w:val="es-ES" w:eastAsia="es-ES"/>
              </w:rPr>
            </w:pPr>
            <w:r w:rsidRPr="00004F6D">
              <w:rPr>
                <w:rFonts w:cs="Arial"/>
                <w:szCs w:val="18"/>
                <w:lang w:val="es-ES" w:eastAsia="es-ES"/>
              </w:rPr>
              <w:t>Total</w:t>
            </w:r>
          </w:p>
        </w:tc>
        <w:tc>
          <w:tcPr>
            <w:tcW w:w="2085" w:type="dxa"/>
            <w:tcBorders>
              <w:top w:val="single" w:sz="2" w:space="0" w:color="auto"/>
              <w:bottom w:val="single" w:sz="2" w:space="0" w:color="auto"/>
            </w:tcBorders>
            <w:shd w:val="clear" w:color="auto" w:fill="A0C3E3" w:themeFill="accent1" w:themeFillTint="99"/>
            <w:vAlign w:val="center"/>
          </w:tcPr>
          <w:p w:rsidR="00573B25" w:rsidRPr="00004F6D" w:rsidRDefault="00D820B8" w:rsidP="008E025F">
            <w:pPr>
              <w:pStyle w:val="cuadroCabe"/>
              <w:jc w:val="right"/>
              <w:rPr>
                <w:rFonts w:cs="Arial"/>
                <w:szCs w:val="18"/>
                <w:lang w:val="es-ES" w:eastAsia="es-ES"/>
              </w:rPr>
            </w:pPr>
            <w:r w:rsidRPr="00004F6D">
              <w:rPr>
                <w:rFonts w:cs="Arial"/>
                <w:szCs w:val="18"/>
                <w:lang w:val="es-ES" w:eastAsia="es-ES"/>
              </w:rPr>
              <w:t>13.111</w:t>
            </w:r>
          </w:p>
        </w:tc>
        <w:tc>
          <w:tcPr>
            <w:tcW w:w="2049" w:type="dxa"/>
            <w:tcBorders>
              <w:top w:val="single" w:sz="2" w:space="0" w:color="auto"/>
              <w:bottom w:val="single" w:sz="2" w:space="0" w:color="auto"/>
            </w:tcBorders>
            <w:shd w:val="clear" w:color="auto" w:fill="A0C3E3" w:themeFill="accent1" w:themeFillTint="99"/>
            <w:noWrap/>
            <w:vAlign w:val="center"/>
          </w:tcPr>
          <w:p w:rsidR="00573B25" w:rsidRPr="00004F6D" w:rsidRDefault="00D820B8" w:rsidP="008E025F">
            <w:pPr>
              <w:pStyle w:val="cuadroCabe"/>
              <w:jc w:val="right"/>
              <w:rPr>
                <w:rFonts w:cs="Arial"/>
                <w:szCs w:val="18"/>
                <w:lang w:val="es-ES" w:eastAsia="es-ES"/>
              </w:rPr>
            </w:pPr>
            <w:r w:rsidRPr="00004F6D">
              <w:rPr>
                <w:rFonts w:cs="Arial"/>
                <w:szCs w:val="18"/>
                <w:lang w:val="es-ES" w:eastAsia="es-ES"/>
              </w:rPr>
              <w:t>13.754</w:t>
            </w:r>
          </w:p>
        </w:tc>
        <w:tc>
          <w:tcPr>
            <w:tcW w:w="1290" w:type="dxa"/>
            <w:tcBorders>
              <w:top w:val="single" w:sz="2" w:space="0" w:color="auto"/>
              <w:bottom w:val="single" w:sz="2" w:space="0" w:color="auto"/>
            </w:tcBorders>
            <w:shd w:val="clear" w:color="auto" w:fill="A0C3E3" w:themeFill="accent1" w:themeFillTint="99"/>
            <w:noWrap/>
            <w:vAlign w:val="center"/>
          </w:tcPr>
          <w:p w:rsidR="00573B25" w:rsidRPr="00004F6D" w:rsidRDefault="00D820B8" w:rsidP="008E025F">
            <w:pPr>
              <w:pStyle w:val="cuadroCabe"/>
              <w:jc w:val="right"/>
              <w:rPr>
                <w:rFonts w:cs="Arial"/>
                <w:szCs w:val="18"/>
                <w:lang w:val="es-ES" w:eastAsia="es-ES"/>
              </w:rPr>
            </w:pPr>
            <w:r w:rsidRPr="00004F6D">
              <w:rPr>
                <w:rFonts w:cs="Arial"/>
                <w:szCs w:val="18"/>
                <w:lang w:val="es-ES" w:eastAsia="es-ES"/>
              </w:rPr>
              <w:t>5</w:t>
            </w:r>
          </w:p>
        </w:tc>
      </w:tr>
    </w:tbl>
    <w:p w:rsidR="002E04BF" w:rsidRPr="00200D7D" w:rsidRDefault="002E04BF" w:rsidP="00650441">
      <w:pPr>
        <w:pStyle w:val="texto"/>
        <w:tabs>
          <w:tab w:val="clear" w:pos="2835"/>
          <w:tab w:val="clear" w:pos="3969"/>
          <w:tab w:val="clear" w:pos="5103"/>
          <w:tab w:val="clear" w:pos="6237"/>
          <w:tab w:val="clear" w:pos="7371"/>
          <w:tab w:val="left" w:pos="480"/>
          <w:tab w:val="num" w:pos="928"/>
          <w:tab w:val="num" w:pos="6597"/>
        </w:tabs>
        <w:spacing w:before="60"/>
        <w:ind w:firstLine="0"/>
        <w:rPr>
          <w:rFonts w:ascii="Arial" w:hAnsi="Arial" w:cs="Arial"/>
          <w:sz w:val="14"/>
          <w:szCs w:val="14"/>
        </w:rPr>
      </w:pPr>
      <w:r w:rsidRPr="00200D7D">
        <w:rPr>
          <w:rFonts w:ascii="Arial" w:hAnsi="Arial" w:cs="Arial"/>
          <w:sz w:val="14"/>
          <w:szCs w:val="14"/>
        </w:rPr>
        <w:t>*Ejercicio no auditado</w:t>
      </w:r>
    </w:p>
    <w:p w:rsidR="004E2FF1" w:rsidRPr="004E366A" w:rsidRDefault="004E2FF1" w:rsidP="00004F6D">
      <w:pPr>
        <w:pStyle w:val="texto"/>
        <w:spacing w:before="240"/>
      </w:pPr>
      <w:r>
        <w:t xml:space="preserve">Respecto al ejercicio 2016, estos gastos </w:t>
      </w:r>
      <w:r w:rsidR="001904B4">
        <w:t>aumentan</w:t>
      </w:r>
      <w:r>
        <w:t xml:space="preserve"> un cinco por ciento, cambiando la tendencia descendente en la ejecución de los mismos desde 2009. </w:t>
      </w:r>
    </w:p>
    <w:p w:rsidR="00B37F18" w:rsidRDefault="00804520" w:rsidP="00004F6D">
      <w:pPr>
        <w:pStyle w:val="texto"/>
        <w:spacing w:before="120"/>
      </w:pPr>
      <w:r w:rsidRPr="00D9766F">
        <w:t xml:space="preserve">Los gastos de </w:t>
      </w:r>
      <w:r w:rsidR="00536483" w:rsidRPr="00D9766F">
        <w:t>m</w:t>
      </w:r>
      <w:r w:rsidR="000D4AC6" w:rsidRPr="00D9766F">
        <w:t>aterial, suministros y otros</w:t>
      </w:r>
      <w:r w:rsidRPr="00D9766F">
        <w:t>,</w:t>
      </w:r>
      <w:r w:rsidR="000D4AC6" w:rsidRPr="00D9766F">
        <w:t xml:space="preserve"> con un importe de 10,14 millones</w:t>
      </w:r>
      <w:r w:rsidRPr="00D9766F">
        <w:t>,</w:t>
      </w:r>
      <w:r w:rsidR="000D4AC6" w:rsidRPr="00D9766F">
        <w:t xml:space="preserve"> </w:t>
      </w:r>
      <w:r w:rsidR="004276A5" w:rsidRPr="00D9766F">
        <w:t>representan</w:t>
      </w:r>
      <w:r w:rsidR="000D4AC6" w:rsidRPr="00D9766F">
        <w:t xml:space="preserve"> el 74 por ciento del capítulo </w:t>
      </w:r>
      <w:r w:rsidR="001A5453">
        <w:t xml:space="preserve">y experimentan </w:t>
      </w:r>
      <w:r w:rsidR="000D4AC6" w:rsidRPr="00D9766F">
        <w:t xml:space="preserve">un aumento del ocho por ciento respecto al </w:t>
      </w:r>
      <w:r w:rsidR="004276A5" w:rsidRPr="00D9766F">
        <w:t>año anterior.</w:t>
      </w:r>
      <w:r w:rsidR="004E2FF1" w:rsidRPr="00D9766F">
        <w:t xml:space="preserve"> </w:t>
      </w:r>
      <w:r w:rsidR="004E366A" w:rsidRPr="004E366A">
        <w:t xml:space="preserve">Por concepto </w:t>
      </w:r>
      <w:r w:rsidR="004276A5">
        <w:t xml:space="preserve">económico </w:t>
      </w:r>
      <w:r w:rsidR="004E366A">
        <w:t xml:space="preserve">destacan </w:t>
      </w:r>
      <w:r w:rsidR="00B37F18" w:rsidRPr="004E366A">
        <w:t xml:space="preserve">los gastos derivados de trabajos realizados por otras empresas (contratos de limpieza, seguridad…) </w:t>
      </w:r>
      <w:r w:rsidR="004276A5">
        <w:t>con</w:t>
      </w:r>
      <w:r w:rsidR="00B37F18" w:rsidRPr="004E366A">
        <w:t xml:space="preserve"> 4,46 millones, suministros con 2,19 millones y los gastos asociados a proyectos y contratos de investiga</w:t>
      </w:r>
      <w:r w:rsidR="004E366A">
        <w:t xml:space="preserve">ción con 2,14 millones, que representan el 64 por ciento del gasto </w:t>
      </w:r>
      <w:r w:rsidR="00A97BF1">
        <w:t xml:space="preserve">total </w:t>
      </w:r>
      <w:r w:rsidR="004E366A">
        <w:t>del capítulo.</w:t>
      </w:r>
    </w:p>
    <w:p w:rsidR="00D36691" w:rsidRPr="00D9766F" w:rsidRDefault="007A16C9" w:rsidP="00215F32">
      <w:pPr>
        <w:pStyle w:val="texto"/>
        <w:spacing w:before="120" w:after="240"/>
      </w:pPr>
      <w:r>
        <w:t>L</w:t>
      </w:r>
      <w:r w:rsidR="00D36691" w:rsidRPr="00D9766F">
        <w:t>os gastos corrientes</w:t>
      </w:r>
      <w:r w:rsidR="001904B4">
        <w:t xml:space="preserve"> por</w:t>
      </w:r>
      <w:r w:rsidR="00D36691" w:rsidRPr="00D9766F">
        <w:t xml:space="preserve"> </w:t>
      </w:r>
      <w:r w:rsidR="001904B4">
        <w:t>a</w:t>
      </w:r>
      <w:r w:rsidR="00D36691" w:rsidRPr="00D9766F">
        <w:t>cuerdo</w:t>
      </w:r>
      <w:r w:rsidR="001904B4">
        <w:t>s con universidades</w:t>
      </w:r>
      <w:r w:rsidR="00D36691" w:rsidRPr="00D9766F">
        <w:t xml:space="preserve"> </w:t>
      </w:r>
      <w:r w:rsidR="001904B4">
        <w:t>y programas internacionales</w:t>
      </w:r>
      <w:r w:rsidR="00D36691" w:rsidRPr="00D9766F">
        <w:t xml:space="preserve"> descienden un 15 por ciento</w:t>
      </w:r>
      <w:r w:rsidR="00D36691">
        <w:t>; e</w:t>
      </w:r>
      <w:r w:rsidR="00D36691" w:rsidRPr="00D9766F">
        <w:t>sta disminución se debe</w:t>
      </w:r>
      <w:r w:rsidR="001904B4">
        <w:t>, principalmente,</w:t>
      </w:r>
      <w:r w:rsidR="00D36691" w:rsidRPr="00D9766F">
        <w:t xml:space="preserve"> a que los gastos de personal interno de la </w:t>
      </w:r>
      <w:r w:rsidR="009D7DD5">
        <w:t>Universidad</w:t>
      </w:r>
      <w:r w:rsidR="00D36691" w:rsidRPr="00D9766F">
        <w:t xml:space="preserve"> que participa en las actividades de la </w:t>
      </w:r>
      <w:r w:rsidR="00723883">
        <w:t>Fundación</w:t>
      </w:r>
      <w:r w:rsidR="00207FD7">
        <w:t xml:space="preserve"> se han contabilizado </w:t>
      </w:r>
      <w:r w:rsidR="00D36691" w:rsidRPr="00D9766F">
        <w:t xml:space="preserve">en el concepto otras retribuciones del capítulo </w:t>
      </w:r>
      <w:r w:rsidR="001904B4">
        <w:t>de gastos de personal</w:t>
      </w:r>
      <w:r w:rsidR="00D36691" w:rsidRPr="00D9766F">
        <w:t>.</w:t>
      </w:r>
    </w:p>
    <w:p w:rsidR="00670292" w:rsidRDefault="00670292">
      <w:pPr>
        <w:spacing w:after="0"/>
        <w:ind w:firstLine="0"/>
        <w:jc w:val="left"/>
        <w:rPr>
          <w:rFonts w:ascii="Arial" w:hAnsi="Arial"/>
          <w:i/>
          <w:iCs/>
          <w:color w:val="000000"/>
          <w:spacing w:val="10"/>
          <w:kern w:val="28"/>
          <w:sz w:val="25"/>
          <w:szCs w:val="26"/>
        </w:rPr>
      </w:pPr>
      <w:r>
        <w:br w:type="page"/>
      </w:r>
    </w:p>
    <w:p w:rsidR="00A057E7" w:rsidRPr="00207D65" w:rsidRDefault="00207D65" w:rsidP="00200D7D">
      <w:pPr>
        <w:pStyle w:val="atitulo3"/>
      </w:pPr>
      <w:r w:rsidRPr="00207D65">
        <w:t>Revisión muestra expedientes de contratación</w:t>
      </w:r>
    </w:p>
    <w:p w:rsidR="00A057E7" w:rsidRPr="001D56C7" w:rsidRDefault="00207D65" w:rsidP="00B37F18">
      <w:pPr>
        <w:pStyle w:val="texto"/>
        <w:spacing w:after="240"/>
        <w:rPr>
          <w:spacing w:val="0"/>
          <w:szCs w:val="26"/>
        </w:rPr>
      </w:pPr>
      <w:r w:rsidRPr="001D56C7">
        <w:rPr>
          <w:spacing w:val="0"/>
          <w:szCs w:val="26"/>
        </w:rPr>
        <w:t>Hemos fiscalizado los siguientes expedientes de contratación tramitados en 2017:</w:t>
      </w:r>
    </w:p>
    <w:tbl>
      <w:tblPr>
        <w:tblW w:w="9026" w:type="dxa"/>
        <w:jc w:val="center"/>
        <w:tblLayout w:type="fixed"/>
        <w:tblLook w:val="01E0" w:firstRow="1" w:lastRow="1" w:firstColumn="1" w:lastColumn="1" w:noHBand="0" w:noVBand="0"/>
      </w:tblPr>
      <w:tblGrid>
        <w:gridCol w:w="1911"/>
        <w:gridCol w:w="1080"/>
        <w:gridCol w:w="1442"/>
        <w:gridCol w:w="1201"/>
        <w:gridCol w:w="1172"/>
        <w:gridCol w:w="1052"/>
        <w:gridCol w:w="1168"/>
      </w:tblGrid>
      <w:tr w:rsidR="009E3EC8" w:rsidRPr="00BD41E7" w:rsidTr="00004F6D">
        <w:trPr>
          <w:trHeight w:val="284"/>
          <w:jc w:val="center"/>
        </w:trPr>
        <w:tc>
          <w:tcPr>
            <w:tcW w:w="1911" w:type="dxa"/>
            <w:tcBorders>
              <w:top w:val="single" w:sz="4" w:space="0" w:color="auto"/>
              <w:bottom w:val="single" w:sz="2" w:space="0" w:color="auto"/>
            </w:tcBorders>
            <w:shd w:val="clear" w:color="auto" w:fill="A0C3E3" w:themeFill="accent1" w:themeFillTint="99"/>
            <w:vAlign w:val="center"/>
          </w:tcPr>
          <w:p w:rsidR="009E3EC8" w:rsidRPr="00BD41E7" w:rsidRDefault="009E3EC8" w:rsidP="00674B10">
            <w:pPr>
              <w:pStyle w:val="cuatexto"/>
              <w:tabs>
                <w:tab w:val="clear" w:pos="2835"/>
              </w:tabs>
              <w:ind w:right="-6"/>
              <w:jc w:val="left"/>
              <w:rPr>
                <w:sz w:val="18"/>
                <w:szCs w:val="18"/>
              </w:rPr>
            </w:pPr>
            <w:r w:rsidRPr="00BD41E7">
              <w:rPr>
                <w:sz w:val="18"/>
                <w:szCs w:val="18"/>
              </w:rPr>
              <w:t>Contrato</w:t>
            </w:r>
          </w:p>
        </w:tc>
        <w:tc>
          <w:tcPr>
            <w:tcW w:w="1080" w:type="dxa"/>
            <w:tcBorders>
              <w:top w:val="single" w:sz="4" w:space="0" w:color="auto"/>
              <w:bottom w:val="single" w:sz="2" w:space="0" w:color="auto"/>
            </w:tcBorders>
            <w:shd w:val="clear" w:color="auto" w:fill="A0C3E3" w:themeFill="accent1" w:themeFillTint="99"/>
            <w:vAlign w:val="center"/>
          </w:tcPr>
          <w:p w:rsidR="009E3EC8" w:rsidRPr="00BD41E7" w:rsidRDefault="009E3EC8" w:rsidP="009E3EC8">
            <w:pPr>
              <w:pStyle w:val="cuatexto"/>
              <w:tabs>
                <w:tab w:val="clear" w:pos="2835"/>
              </w:tabs>
              <w:ind w:right="-6"/>
              <w:jc w:val="center"/>
              <w:rPr>
                <w:sz w:val="18"/>
                <w:szCs w:val="18"/>
              </w:rPr>
            </w:pPr>
            <w:r w:rsidRPr="00BD41E7">
              <w:rPr>
                <w:sz w:val="18"/>
                <w:szCs w:val="18"/>
              </w:rPr>
              <w:t>Tipo</w:t>
            </w:r>
          </w:p>
        </w:tc>
        <w:tc>
          <w:tcPr>
            <w:tcW w:w="1442" w:type="dxa"/>
            <w:tcBorders>
              <w:top w:val="single" w:sz="4" w:space="0" w:color="auto"/>
              <w:bottom w:val="single" w:sz="2" w:space="0" w:color="auto"/>
            </w:tcBorders>
            <w:shd w:val="clear" w:color="auto" w:fill="A0C3E3" w:themeFill="accent1" w:themeFillTint="99"/>
            <w:vAlign w:val="center"/>
          </w:tcPr>
          <w:p w:rsidR="009E3EC8" w:rsidRPr="00BD41E7" w:rsidRDefault="009E3EC8" w:rsidP="00867C01">
            <w:pPr>
              <w:pStyle w:val="cuatexto"/>
              <w:tabs>
                <w:tab w:val="clear" w:pos="2835"/>
              </w:tabs>
              <w:jc w:val="center"/>
              <w:rPr>
                <w:sz w:val="18"/>
                <w:szCs w:val="18"/>
              </w:rPr>
            </w:pPr>
            <w:r w:rsidRPr="00BD41E7">
              <w:rPr>
                <w:sz w:val="18"/>
                <w:szCs w:val="18"/>
              </w:rPr>
              <w:t xml:space="preserve">Procedimiento </w:t>
            </w:r>
          </w:p>
        </w:tc>
        <w:tc>
          <w:tcPr>
            <w:tcW w:w="1201" w:type="dxa"/>
            <w:tcBorders>
              <w:top w:val="single" w:sz="4" w:space="0" w:color="auto"/>
              <w:bottom w:val="single" w:sz="2" w:space="0" w:color="auto"/>
            </w:tcBorders>
            <w:shd w:val="clear" w:color="auto" w:fill="A0C3E3" w:themeFill="accent1" w:themeFillTint="99"/>
            <w:vAlign w:val="center"/>
          </w:tcPr>
          <w:p w:rsidR="009E3EC8" w:rsidRPr="00BD41E7" w:rsidRDefault="009E3EC8" w:rsidP="00A93ADD">
            <w:pPr>
              <w:pStyle w:val="cuatexto"/>
              <w:tabs>
                <w:tab w:val="clear" w:pos="2835"/>
              </w:tabs>
              <w:jc w:val="right"/>
              <w:rPr>
                <w:sz w:val="18"/>
                <w:szCs w:val="18"/>
              </w:rPr>
            </w:pPr>
            <w:r w:rsidRPr="00BD41E7">
              <w:rPr>
                <w:sz w:val="18"/>
                <w:szCs w:val="18"/>
              </w:rPr>
              <w:t>Criterio</w:t>
            </w:r>
          </w:p>
          <w:p w:rsidR="009E3EC8" w:rsidRPr="00BD41E7" w:rsidRDefault="009E3EC8" w:rsidP="00A93ADD">
            <w:pPr>
              <w:pStyle w:val="cuatexto"/>
              <w:tabs>
                <w:tab w:val="clear" w:pos="2835"/>
              </w:tabs>
              <w:ind w:left="-108"/>
              <w:jc w:val="right"/>
              <w:rPr>
                <w:sz w:val="18"/>
                <w:szCs w:val="18"/>
              </w:rPr>
            </w:pPr>
            <w:r w:rsidRPr="00BD41E7">
              <w:rPr>
                <w:sz w:val="18"/>
                <w:szCs w:val="18"/>
              </w:rPr>
              <w:t>adjudicación</w:t>
            </w:r>
          </w:p>
        </w:tc>
        <w:tc>
          <w:tcPr>
            <w:tcW w:w="1172" w:type="dxa"/>
            <w:tcBorders>
              <w:top w:val="single" w:sz="4" w:space="0" w:color="auto"/>
              <w:bottom w:val="single" w:sz="2" w:space="0" w:color="auto"/>
            </w:tcBorders>
            <w:shd w:val="clear" w:color="auto" w:fill="A0C3E3" w:themeFill="accent1" w:themeFillTint="99"/>
            <w:vAlign w:val="center"/>
          </w:tcPr>
          <w:p w:rsidR="009E3EC8" w:rsidRPr="00BD41E7" w:rsidRDefault="009E3EC8" w:rsidP="00BD41E7">
            <w:pPr>
              <w:pStyle w:val="cuatexto"/>
              <w:tabs>
                <w:tab w:val="clear" w:pos="2835"/>
                <w:tab w:val="left" w:pos="409"/>
                <w:tab w:val="left" w:pos="780"/>
              </w:tabs>
              <w:ind w:right="56" w:firstLine="71"/>
              <w:jc w:val="right"/>
              <w:rPr>
                <w:sz w:val="18"/>
                <w:szCs w:val="18"/>
              </w:rPr>
            </w:pPr>
            <w:r w:rsidRPr="00BD41E7">
              <w:rPr>
                <w:sz w:val="18"/>
                <w:szCs w:val="18"/>
              </w:rPr>
              <w:t>Nº</w:t>
            </w:r>
          </w:p>
          <w:p w:rsidR="009E3EC8" w:rsidRPr="00BD41E7" w:rsidRDefault="00035E05" w:rsidP="00BD41E7">
            <w:pPr>
              <w:pStyle w:val="cuatexto"/>
              <w:tabs>
                <w:tab w:val="clear" w:pos="2835"/>
                <w:tab w:val="left" w:pos="267"/>
                <w:tab w:val="left" w:pos="780"/>
              </w:tabs>
              <w:ind w:right="56" w:firstLine="71"/>
              <w:jc w:val="right"/>
              <w:rPr>
                <w:sz w:val="18"/>
                <w:szCs w:val="18"/>
              </w:rPr>
            </w:pPr>
            <w:r w:rsidRPr="00BD41E7">
              <w:rPr>
                <w:sz w:val="18"/>
                <w:szCs w:val="18"/>
              </w:rPr>
              <w:t>L</w:t>
            </w:r>
            <w:r w:rsidR="009E3EC8" w:rsidRPr="00BD41E7">
              <w:rPr>
                <w:sz w:val="18"/>
                <w:szCs w:val="18"/>
              </w:rPr>
              <w:t>icitadores</w:t>
            </w:r>
          </w:p>
        </w:tc>
        <w:tc>
          <w:tcPr>
            <w:tcW w:w="1052" w:type="dxa"/>
            <w:tcBorders>
              <w:top w:val="single" w:sz="4" w:space="0" w:color="auto"/>
              <w:bottom w:val="single" w:sz="2" w:space="0" w:color="auto"/>
            </w:tcBorders>
            <w:shd w:val="clear" w:color="auto" w:fill="A0C3E3" w:themeFill="accent1" w:themeFillTint="99"/>
            <w:vAlign w:val="center"/>
          </w:tcPr>
          <w:p w:rsidR="00035E05" w:rsidRPr="00BD41E7" w:rsidRDefault="009E3EC8" w:rsidP="000D2722">
            <w:pPr>
              <w:pStyle w:val="cuatexto"/>
              <w:tabs>
                <w:tab w:val="clear" w:pos="2835"/>
              </w:tabs>
              <w:ind w:left="-366" w:right="-107"/>
              <w:jc w:val="right"/>
              <w:rPr>
                <w:sz w:val="18"/>
                <w:szCs w:val="18"/>
              </w:rPr>
            </w:pPr>
            <w:r w:rsidRPr="00BD41E7">
              <w:rPr>
                <w:sz w:val="18"/>
                <w:szCs w:val="18"/>
              </w:rPr>
              <w:t>Importe</w:t>
            </w:r>
          </w:p>
          <w:p w:rsidR="009E3EC8" w:rsidRPr="00BD41E7" w:rsidRDefault="009E3EC8" w:rsidP="00035E05">
            <w:pPr>
              <w:pStyle w:val="cuatexto"/>
              <w:tabs>
                <w:tab w:val="clear" w:pos="2835"/>
              </w:tabs>
              <w:ind w:left="-366" w:right="-107"/>
              <w:jc w:val="right"/>
              <w:rPr>
                <w:sz w:val="18"/>
                <w:szCs w:val="18"/>
              </w:rPr>
            </w:pPr>
            <w:r w:rsidRPr="00BD41E7">
              <w:rPr>
                <w:sz w:val="18"/>
                <w:szCs w:val="18"/>
              </w:rPr>
              <w:t>adjudicación</w:t>
            </w:r>
          </w:p>
        </w:tc>
        <w:tc>
          <w:tcPr>
            <w:tcW w:w="1168" w:type="dxa"/>
            <w:tcBorders>
              <w:top w:val="single" w:sz="4" w:space="0" w:color="auto"/>
              <w:bottom w:val="single" w:sz="2" w:space="0" w:color="auto"/>
            </w:tcBorders>
            <w:shd w:val="clear" w:color="auto" w:fill="A0C3E3" w:themeFill="accent1" w:themeFillTint="99"/>
            <w:vAlign w:val="center"/>
          </w:tcPr>
          <w:p w:rsidR="009E3EC8" w:rsidRPr="00BD41E7" w:rsidRDefault="009E3EC8" w:rsidP="00004F6D">
            <w:pPr>
              <w:pStyle w:val="cuatexto"/>
              <w:tabs>
                <w:tab w:val="clear" w:pos="2835"/>
              </w:tabs>
              <w:ind w:right="-33"/>
              <w:jc w:val="right"/>
              <w:rPr>
                <w:sz w:val="18"/>
                <w:szCs w:val="18"/>
              </w:rPr>
            </w:pPr>
            <w:r w:rsidRPr="00BD41E7">
              <w:rPr>
                <w:sz w:val="18"/>
                <w:szCs w:val="18"/>
              </w:rPr>
              <w:t>% baja adjudicación</w:t>
            </w:r>
          </w:p>
        </w:tc>
      </w:tr>
      <w:tr w:rsidR="009E3EC8" w:rsidRPr="00BD41E7" w:rsidTr="00004F6D">
        <w:trPr>
          <w:trHeight w:val="284"/>
          <w:jc w:val="center"/>
        </w:trPr>
        <w:tc>
          <w:tcPr>
            <w:tcW w:w="1911" w:type="dxa"/>
            <w:tcBorders>
              <w:top w:val="single" w:sz="2" w:space="0" w:color="auto"/>
              <w:bottom w:val="single" w:sz="2" w:space="0" w:color="auto"/>
            </w:tcBorders>
            <w:vAlign w:val="center"/>
          </w:tcPr>
          <w:p w:rsidR="009E3EC8" w:rsidRPr="00BD41E7" w:rsidRDefault="009E3EC8" w:rsidP="00446FF7">
            <w:pPr>
              <w:pStyle w:val="cuatexto"/>
              <w:tabs>
                <w:tab w:val="clear" w:pos="2835"/>
              </w:tabs>
              <w:ind w:right="49"/>
              <w:jc w:val="left"/>
              <w:rPr>
                <w:sz w:val="16"/>
                <w:szCs w:val="16"/>
              </w:rPr>
            </w:pPr>
            <w:r w:rsidRPr="00BD41E7">
              <w:rPr>
                <w:sz w:val="16"/>
                <w:szCs w:val="16"/>
              </w:rPr>
              <w:t>Acuerdo Marco suministro energía eléctrica</w:t>
            </w:r>
          </w:p>
        </w:tc>
        <w:tc>
          <w:tcPr>
            <w:tcW w:w="1080" w:type="dxa"/>
            <w:tcBorders>
              <w:top w:val="single" w:sz="2" w:space="0" w:color="auto"/>
              <w:bottom w:val="single" w:sz="2" w:space="0" w:color="auto"/>
            </w:tcBorders>
            <w:vAlign w:val="center"/>
          </w:tcPr>
          <w:p w:rsidR="009E3EC8" w:rsidRPr="00BD41E7" w:rsidRDefault="009E3EC8" w:rsidP="000C13B1">
            <w:pPr>
              <w:pStyle w:val="cuatexto"/>
              <w:tabs>
                <w:tab w:val="clear" w:pos="2835"/>
              </w:tabs>
              <w:ind w:right="-1"/>
              <w:jc w:val="left"/>
              <w:rPr>
                <w:sz w:val="16"/>
                <w:szCs w:val="16"/>
              </w:rPr>
            </w:pPr>
            <w:r w:rsidRPr="00BD41E7">
              <w:rPr>
                <w:sz w:val="16"/>
                <w:szCs w:val="16"/>
              </w:rPr>
              <w:t xml:space="preserve">Suministro </w:t>
            </w:r>
          </w:p>
        </w:tc>
        <w:tc>
          <w:tcPr>
            <w:tcW w:w="1442" w:type="dxa"/>
            <w:tcBorders>
              <w:top w:val="single" w:sz="2" w:space="0" w:color="auto"/>
              <w:bottom w:val="single" w:sz="2" w:space="0" w:color="auto"/>
            </w:tcBorders>
            <w:vAlign w:val="center"/>
          </w:tcPr>
          <w:p w:rsidR="0025021D" w:rsidRPr="00BD41E7" w:rsidRDefault="009E3EC8" w:rsidP="00867C01">
            <w:pPr>
              <w:pStyle w:val="cuatexto"/>
              <w:tabs>
                <w:tab w:val="clear" w:pos="2835"/>
              </w:tabs>
              <w:jc w:val="right"/>
              <w:rPr>
                <w:sz w:val="16"/>
                <w:szCs w:val="16"/>
              </w:rPr>
            </w:pPr>
            <w:r w:rsidRPr="00BD41E7">
              <w:rPr>
                <w:sz w:val="16"/>
                <w:szCs w:val="16"/>
              </w:rPr>
              <w:t>Abierto</w:t>
            </w:r>
          </w:p>
          <w:p w:rsidR="0025021D" w:rsidRPr="00BD41E7" w:rsidRDefault="009E3EC8" w:rsidP="00867C01">
            <w:pPr>
              <w:pStyle w:val="cuatexto"/>
              <w:tabs>
                <w:tab w:val="clear" w:pos="2835"/>
              </w:tabs>
              <w:jc w:val="right"/>
              <w:rPr>
                <w:sz w:val="16"/>
                <w:szCs w:val="16"/>
              </w:rPr>
            </w:pPr>
            <w:r w:rsidRPr="00BD41E7">
              <w:rPr>
                <w:sz w:val="16"/>
                <w:szCs w:val="16"/>
              </w:rPr>
              <w:t xml:space="preserve">con publicidad </w:t>
            </w:r>
          </w:p>
          <w:p w:rsidR="009E3EC8" w:rsidRPr="00BD41E7" w:rsidRDefault="00552795" w:rsidP="00867C01">
            <w:pPr>
              <w:pStyle w:val="cuatexto"/>
              <w:tabs>
                <w:tab w:val="clear" w:pos="2835"/>
              </w:tabs>
              <w:jc w:val="right"/>
              <w:rPr>
                <w:sz w:val="16"/>
                <w:szCs w:val="16"/>
              </w:rPr>
            </w:pPr>
            <w:r w:rsidRPr="00BD41E7">
              <w:rPr>
                <w:sz w:val="16"/>
                <w:szCs w:val="16"/>
              </w:rPr>
              <w:t>comunitaria</w:t>
            </w:r>
          </w:p>
        </w:tc>
        <w:tc>
          <w:tcPr>
            <w:tcW w:w="1201" w:type="dxa"/>
            <w:tcBorders>
              <w:top w:val="single" w:sz="2" w:space="0" w:color="auto"/>
              <w:bottom w:val="single" w:sz="2" w:space="0" w:color="auto"/>
            </w:tcBorders>
            <w:vAlign w:val="center"/>
          </w:tcPr>
          <w:p w:rsidR="009E3EC8" w:rsidRPr="00BD41E7" w:rsidRDefault="00A93ADD" w:rsidP="00A93ADD">
            <w:pPr>
              <w:pStyle w:val="cuatexto"/>
              <w:tabs>
                <w:tab w:val="clear" w:pos="2835"/>
              </w:tabs>
              <w:ind w:right="-1"/>
              <w:jc w:val="right"/>
              <w:rPr>
                <w:sz w:val="16"/>
                <w:szCs w:val="16"/>
              </w:rPr>
            </w:pPr>
            <w:r w:rsidRPr="00BD41E7">
              <w:rPr>
                <w:sz w:val="16"/>
                <w:szCs w:val="16"/>
              </w:rPr>
              <w:t>Oferta más ventajosa</w:t>
            </w:r>
          </w:p>
        </w:tc>
        <w:tc>
          <w:tcPr>
            <w:tcW w:w="1172" w:type="dxa"/>
            <w:tcBorders>
              <w:top w:val="single" w:sz="2" w:space="0" w:color="auto"/>
              <w:bottom w:val="single" w:sz="2" w:space="0" w:color="auto"/>
            </w:tcBorders>
            <w:vAlign w:val="center"/>
          </w:tcPr>
          <w:p w:rsidR="009E3EC8" w:rsidRPr="00BD41E7" w:rsidRDefault="00A93ADD" w:rsidP="00BD41E7">
            <w:pPr>
              <w:pStyle w:val="cuatexto"/>
              <w:tabs>
                <w:tab w:val="clear" w:pos="2835"/>
                <w:tab w:val="left" w:pos="780"/>
              </w:tabs>
              <w:ind w:right="56" w:firstLine="71"/>
              <w:jc w:val="right"/>
              <w:rPr>
                <w:sz w:val="16"/>
                <w:szCs w:val="16"/>
              </w:rPr>
            </w:pPr>
            <w:r w:rsidRPr="00BD41E7">
              <w:rPr>
                <w:sz w:val="16"/>
                <w:szCs w:val="16"/>
              </w:rPr>
              <w:t>12</w:t>
            </w:r>
          </w:p>
        </w:tc>
        <w:tc>
          <w:tcPr>
            <w:tcW w:w="1052" w:type="dxa"/>
            <w:tcBorders>
              <w:top w:val="single" w:sz="2" w:space="0" w:color="auto"/>
              <w:bottom w:val="single" w:sz="2" w:space="0" w:color="auto"/>
            </w:tcBorders>
            <w:vAlign w:val="center"/>
          </w:tcPr>
          <w:p w:rsidR="009E3EC8" w:rsidRPr="00BD41E7" w:rsidRDefault="009E3EC8" w:rsidP="00207D65">
            <w:pPr>
              <w:pStyle w:val="cuatexto"/>
              <w:tabs>
                <w:tab w:val="clear" w:pos="2835"/>
              </w:tabs>
              <w:ind w:right="-1"/>
              <w:jc w:val="right"/>
              <w:rPr>
                <w:sz w:val="16"/>
                <w:szCs w:val="16"/>
              </w:rPr>
            </w:pPr>
            <w:r w:rsidRPr="00BD41E7">
              <w:rPr>
                <w:sz w:val="16"/>
                <w:szCs w:val="16"/>
              </w:rPr>
              <w:t>1.146.643</w:t>
            </w:r>
            <w:r w:rsidR="001A449C" w:rsidRPr="00BD41E7">
              <w:rPr>
                <w:sz w:val="16"/>
                <w:szCs w:val="16"/>
              </w:rPr>
              <w:t>*</w:t>
            </w:r>
          </w:p>
        </w:tc>
        <w:tc>
          <w:tcPr>
            <w:tcW w:w="1168" w:type="dxa"/>
            <w:tcBorders>
              <w:top w:val="single" w:sz="2" w:space="0" w:color="auto"/>
              <w:bottom w:val="single" w:sz="2" w:space="0" w:color="auto"/>
            </w:tcBorders>
            <w:vAlign w:val="center"/>
          </w:tcPr>
          <w:p w:rsidR="009E3EC8" w:rsidRPr="00BD41E7" w:rsidRDefault="00A93ADD" w:rsidP="00004F6D">
            <w:pPr>
              <w:pStyle w:val="cuatexto"/>
              <w:tabs>
                <w:tab w:val="clear" w:pos="2835"/>
              </w:tabs>
              <w:ind w:right="-33"/>
              <w:jc w:val="right"/>
              <w:rPr>
                <w:sz w:val="16"/>
                <w:szCs w:val="16"/>
              </w:rPr>
            </w:pPr>
            <w:r w:rsidRPr="00BD41E7">
              <w:rPr>
                <w:sz w:val="16"/>
                <w:szCs w:val="16"/>
              </w:rPr>
              <w:t>*</w:t>
            </w:r>
          </w:p>
        </w:tc>
      </w:tr>
      <w:tr w:rsidR="009E3EC8" w:rsidRPr="00BD41E7" w:rsidTr="00004F6D">
        <w:trPr>
          <w:trHeight w:val="284"/>
          <w:jc w:val="center"/>
        </w:trPr>
        <w:tc>
          <w:tcPr>
            <w:tcW w:w="1911" w:type="dxa"/>
            <w:tcBorders>
              <w:top w:val="single" w:sz="2" w:space="0" w:color="auto"/>
              <w:bottom w:val="single" w:sz="2" w:space="0" w:color="auto"/>
            </w:tcBorders>
            <w:vAlign w:val="center"/>
          </w:tcPr>
          <w:p w:rsidR="009E3EC8" w:rsidRPr="00BD41E7" w:rsidRDefault="009E3EC8" w:rsidP="00446FF7">
            <w:pPr>
              <w:pStyle w:val="cuatexto"/>
              <w:tabs>
                <w:tab w:val="clear" w:pos="2835"/>
              </w:tabs>
              <w:ind w:right="49"/>
              <w:jc w:val="left"/>
              <w:rPr>
                <w:sz w:val="16"/>
                <w:szCs w:val="16"/>
              </w:rPr>
            </w:pPr>
            <w:r w:rsidRPr="00BD41E7">
              <w:rPr>
                <w:sz w:val="16"/>
                <w:szCs w:val="16"/>
              </w:rPr>
              <w:t>Acuerdo Marco suministro Gas Natural</w:t>
            </w:r>
          </w:p>
        </w:tc>
        <w:tc>
          <w:tcPr>
            <w:tcW w:w="1080" w:type="dxa"/>
            <w:tcBorders>
              <w:top w:val="single" w:sz="2" w:space="0" w:color="auto"/>
              <w:bottom w:val="single" w:sz="2" w:space="0" w:color="auto"/>
            </w:tcBorders>
            <w:vAlign w:val="center"/>
          </w:tcPr>
          <w:p w:rsidR="009E3EC8" w:rsidRPr="00BD41E7" w:rsidRDefault="009E3EC8" w:rsidP="000C13B1">
            <w:pPr>
              <w:pStyle w:val="cuatexto"/>
              <w:tabs>
                <w:tab w:val="clear" w:pos="2835"/>
              </w:tabs>
              <w:ind w:right="-1"/>
              <w:jc w:val="left"/>
              <w:rPr>
                <w:sz w:val="16"/>
                <w:szCs w:val="16"/>
              </w:rPr>
            </w:pPr>
            <w:r w:rsidRPr="00BD41E7">
              <w:rPr>
                <w:sz w:val="16"/>
                <w:szCs w:val="16"/>
              </w:rPr>
              <w:t xml:space="preserve">Suministro </w:t>
            </w:r>
          </w:p>
        </w:tc>
        <w:tc>
          <w:tcPr>
            <w:tcW w:w="1442" w:type="dxa"/>
            <w:tcBorders>
              <w:top w:val="single" w:sz="2" w:space="0" w:color="auto"/>
              <w:bottom w:val="single" w:sz="2" w:space="0" w:color="auto"/>
            </w:tcBorders>
            <w:vAlign w:val="center"/>
          </w:tcPr>
          <w:p w:rsidR="0025021D" w:rsidRPr="00BD41E7" w:rsidRDefault="009E3EC8" w:rsidP="00867C01">
            <w:pPr>
              <w:pStyle w:val="cuatexto"/>
              <w:tabs>
                <w:tab w:val="clear" w:pos="2835"/>
              </w:tabs>
              <w:jc w:val="right"/>
              <w:rPr>
                <w:sz w:val="16"/>
                <w:szCs w:val="16"/>
              </w:rPr>
            </w:pPr>
            <w:r w:rsidRPr="00BD41E7">
              <w:rPr>
                <w:sz w:val="16"/>
                <w:szCs w:val="16"/>
              </w:rPr>
              <w:t>Abierto</w:t>
            </w:r>
          </w:p>
          <w:p w:rsidR="0025021D" w:rsidRPr="00BD41E7" w:rsidRDefault="009E3EC8" w:rsidP="00867C01">
            <w:pPr>
              <w:pStyle w:val="cuatexto"/>
              <w:tabs>
                <w:tab w:val="clear" w:pos="2835"/>
              </w:tabs>
              <w:jc w:val="right"/>
              <w:rPr>
                <w:sz w:val="16"/>
                <w:szCs w:val="16"/>
              </w:rPr>
            </w:pPr>
            <w:r w:rsidRPr="00BD41E7">
              <w:rPr>
                <w:sz w:val="16"/>
                <w:szCs w:val="16"/>
              </w:rPr>
              <w:t xml:space="preserve"> con publicidad </w:t>
            </w:r>
          </w:p>
          <w:p w:rsidR="009E3EC8" w:rsidRPr="00BD41E7" w:rsidRDefault="00552795" w:rsidP="00867C01">
            <w:pPr>
              <w:pStyle w:val="cuatexto"/>
              <w:tabs>
                <w:tab w:val="clear" w:pos="2835"/>
              </w:tabs>
              <w:jc w:val="right"/>
              <w:rPr>
                <w:sz w:val="16"/>
                <w:szCs w:val="16"/>
              </w:rPr>
            </w:pPr>
            <w:r w:rsidRPr="00BD41E7">
              <w:rPr>
                <w:sz w:val="16"/>
                <w:szCs w:val="16"/>
              </w:rPr>
              <w:t>comunitaria</w:t>
            </w:r>
          </w:p>
        </w:tc>
        <w:tc>
          <w:tcPr>
            <w:tcW w:w="1201" w:type="dxa"/>
            <w:tcBorders>
              <w:top w:val="single" w:sz="2" w:space="0" w:color="auto"/>
              <w:bottom w:val="single" w:sz="2" w:space="0" w:color="auto"/>
            </w:tcBorders>
            <w:vAlign w:val="center"/>
          </w:tcPr>
          <w:p w:rsidR="009E3EC8" w:rsidRPr="00BD41E7" w:rsidRDefault="00596F02" w:rsidP="00A93ADD">
            <w:pPr>
              <w:pStyle w:val="cuatexto"/>
              <w:tabs>
                <w:tab w:val="clear" w:pos="2835"/>
              </w:tabs>
              <w:ind w:right="-1"/>
              <w:jc w:val="right"/>
              <w:rPr>
                <w:sz w:val="16"/>
                <w:szCs w:val="16"/>
              </w:rPr>
            </w:pPr>
            <w:r w:rsidRPr="00BD41E7">
              <w:rPr>
                <w:sz w:val="16"/>
                <w:szCs w:val="16"/>
              </w:rPr>
              <w:t>Oferta más ventajosa</w:t>
            </w:r>
          </w:p>
        </w:tc>
        <w:tc>
          <w:tcPr>
            <w:tcW w:w="1172" w:type="dxa"/>
            <w:tcBorders>
              <w:top w:val="single" w:sz="2" w:space="0" w:color="auto"/>
              <w:bottom w:val="single" w:sz="2" w:space="0" w:color="auto"/>
            </w:tcBorders>
            <w:vAlign w:val="center"/>
          </w:tcPr>
          <w:p w:rsidR="009E3EC8" w:rsidRPr="00BD41E7" w:rsidRDefault="00596F02" w:rsidP="00BD41E7">
            <w:pPr>
              <w:pStyle w:val="cuatexto"/>
              <w:tabs>
                <w:tab w:val="clear" w:pos="2835"/>
                <w:tab w:val="left" w:pos="780"/>
              </w:tabs>
              <w:ind w:right="56" w:firstLine="71"/>
              <w:jc w:val="right"/>
              <w:rPr>
                <w:sz w:val="16"/>
                <w:szCs w:val="16"/>
              </w:rPr>
            </w:pPr>
            <w:r w:rsidRPr="00BD41E7">
              <w:rPr>
                <w:sz w:val="16"/>
                <w:szCs w:val="16"/>
              </w:rPr>
              <w:t>6</w:t>
            </w:r>
          </w:p>
        </w:tc>
        <w:tc>
          <w:tcPr>
            <w:tcW w:w="1052" w:type="dxa"/>
            <w:tcBorders>
              <w:top w:val="single" w:sz="2" w:space="0" w:color="auto"/>
              <w:bottom w:val="single" w:sz="2" w:space="0" w:color="auto"/>
            </w:tcBorders>
            <w:vAlign w:val="center"/>
          </w:tcPr>
          <w:p w:rsidR="009E3EC8" w:rsidRPr="00BD41E7" w:rsidRDefault="009E3EC8" w:rsidP="00207D65">
            <w:pPr>
              <w:pStyle w:val="cuatexto"/>
              <w:tabs>
                <w:tab w:val="clear" w:pos="2835"/>
              </w:tabs>
              <w:ind w:right="-1"/>
              <w:jc w:val="right"/>
              <w:rPr>
                <w:sz w:val="16"/>
                <w:szCs w:val="16"/>
              </w:rPr>
            </w:pPr>
            <w:r w:rsidRPr="00BD41E7">
              <w:rPr>
                <w:sz w:val="16"/>
                <w:szCs w:val="16"/>
              </w:rPr>
              <w:t>537.878</w:t>
            </w:r>
            <w:r w:rsidR="00596F02" w:rsidRPr="00BD41E7">
              <w:rPr>
                <w:sz w:val="16"/>
                <w:szCs w:val="16"/>
              </w:rPr>
              <w:t>**</w:t>
            </w:r>
          </w:p>
        </w:tc>
        <w:tc>
          <w:tcPr>
            <w:tcW w:w="1168" w:type="dxa"/>
            <w:tcBorders>
              <w:top w:val="single" w:sz="2" w:space="0" w:color="auto"/>
              <w:bottom w:val="single" w:sz="2" w:space="0" w:color="auto"/>
            </w:tcBorders>
            <w:vAlign w:val="center"/>
          </w:tcPr>
          <w:p w:rsidR="009E3EC8" w:rsidRPr="00BD41E7" w:rsidRDefault="00A93ADD" w:rsidP="00004F6D">
            <w:pPr>
              <w:pStyle w:val="cuatexto"/>
              <w:tabs>
                <w:tab w:val="clear" w:pos="2835"/>
              </w:tabs>
              <w:ind w:right="-33"/>
              <w:jc w:val="right"/>
              <w:rPr>
                <w:sz w:val="16"/>
                <w:szCs w:val="16"/>
              </w:rPr>
            </w:pPr>
            <w:r w:rsidRPr="00BD41E7">
              <w:rPr>
                <w:sz w:val="16"/>
                <w:szCs w:val="16"/>
              </w:rPr>
              <w:t>*</w:t>
            </w:r>
            <w:r w:rsidR="00596F02" w:rsidRPr="00BD41E7">
              <w:rPr>
                <w:sz w:val="16"/>
                <w:szCs w:val="16"/>
              </w:rPr>
              <w:t>*</w:t>
            </w:r>
          </w:p>
        </w:tc>
      </w:tr>
      <w:tr w:rsidR="009E3EC8" w:rsidRPr="00BD41E7" w:rsidTr="00004F6D">
        <w:trPr>
          <w:trHeight w:val="284"/>
          <w:jc w:val="center"/>
        </w:trPr>
        <w:tc>
          <w:tcPr>
            <w:tcW w:w="1911" w:type="dxa"/>
            <w:tcBorders>
              <w:top w:val="single" w:sz="2" w:space="0" w:color="auto"/>
              <w:bottom w:val="single" w:sz="2" w:space="0" w:color="auto"/>
            </w:tcBorders>
            <w:vAlign w:val="center"/>
          </w:tcPr>
          <w:p w:rsidR="009E3EC8" w:rsidRPr="00BD41E7" w:rsidRDefault="009E3EC8" w:rsidP="00446FF7">
            <w:pPr>
              <w:pStyle w:val="cuatexto"/>
              <w:tabs>
                <w:tab w:val="clear" w:pos="2835"/>
              </w:tabs>
              <w:ind w:right="49"/>
              <w:jc w:val="left"/>
              <w:rPr>
                <w:sz w:val="16"/>
                <w:szCs w:val="16"/>
              </w:rPr>
            </w:pPr>
            <w:r w:rsidRPr="00BD41E7">
              <w:rPr>
                <w:sz w:val="16"/>
                <w:szCs w:val="16"/>
              </w:rPr>
              <w:t>Vigilancia y Seguridad</w:t>
            </w:r>
          </w:p>
        </w:tc>
        <w:tc>
          <w:tcPr>
            <w:tcW w:w="1080" w:type="dxa"/>
            <w:tcBorders>
              <w:top w:val="single" w:sz="2" w:space="0" w:color="auto"/>
              <w:bottom w:val="single" w:sz="2" w:space="0" w:color="auto"/>
            </w:tcBorders>
            <w:vAlign w:val="center"/>
          </w:tcPr>
          <w:p w:rsidR="009E3EC8" w:rsidRPr="00BD41E7" w:rsidRDefault="009E3EC8" w:rsidP="000C13B1">
            <w:pPr>
              <w:pStyle w:val="cuatexto"/>
              <w:tabs>
                <w:tab w:val="clear" w:pos="2835"/>
              </w:tabs>
              <w:ind w:right="-1"/>
              <w:jc w:val="left"/>
              <w:rPr>
                <w:sz w:val="16"/>
                <w:szCs w:val="16"/>
              </w:rPr>
            </w:pPr>
            <w:r w:rsidRPr="00BD41E7">
              <w:rPr>
                <w:sz w:val="16"/>
                <w:szCs w:val="16"/>
              </w:rPr>
              <w:t>Asistencia</w:t>
            </w:r>
          </w:p>
        </w:tc>
        <w:tc>
          <w:tcPr>
            <w:tcW w:w="1442" w:type="dxa"/>
            <w:tcBorders>
              <w:top w:val="single" w:sz="2" w:space="0" w:color="auto"/>
              <w:bottom w:val="single" w:sz="2" w:space="0" w:color="auto"/>
            </w:tcBorders>
            <w:vAlign w:val="center"/>
          </w:tcPr>
          <w:p w:rsidR="0025021D" w:rsidRPr="00BD41E7" w:rsidRDefault="009E3EC8" w:rsidP="00867C01">
            <w:pPr>
              <w:pStyle w:val="cuatexto"/>
              <w:tabs>
                <w:tab w:val="clear" w:pos="2835"/>
              </w:tabs>
              <w:ind w:left="234" w:hanging="234"/>
              <w:jc w:val="right"/>
              <w:rPr>
                <w:sz w:val="16"/>
                <w:szCs w:val="16"/>
              </w:rPr>
            </w:pPr>
            <w:r w:rsidRPr="00BD41E7">
              <w:rPr>
                <w:sz w:val="16"/>
                <w:szCs w:val="16"/>
              </w:rPr>
              <w:t xml:space="preserve">Abierto </w:t>
            </w:r>
          </w:p>
          <w:p w:rsidR="0025021D" w:rsidRPr="00BD41E7" w:rsidRDefault="00552795" w:rsidP="00867C01">
            <w:pPr>
              <w:pStyle w:val="cuatexto"/>
              <w:tabs>
                <w:tab w:val="clear" w:pos="2835"/>
              </w:tabs>
              <w:ind w:left="234" w:hanging="234"/>
              <w:jc w:val="right"/>
              <w:rPr>
                <w:sz w:val="16"/>
                <w:szCs w:val="16"/>
              </w:rPr>
            </w:pPr>
            <w:r w:rsidRPr="00BD41E7">
              <w:rPr>
                <w:sz w:val="16"/>
                <w:szCs w:val="16"/>
              </w:rPr>
              <w:t>sin</w:t>
            </w:r>
            <w:r w:rsidR="009E3EC8" w:rsidRPr="00BD41E7">
              <w:rPr>
                <w:sz w:val="16"/>
                <w:szCs w:val="16"/>
              </w:rPr>
              <w:t xml:space="preserve"> publicidad </w:t>
            </w:r>
          </w:p>
          <w:p w:rsidR="009E3EC8" w:rsidRPr="00BD41E7" w:rsidRDefault="00552795" w:rsidP="00867C01">
            <w:pPr>
              <w:pStyle w:val="cuatexto"/>
              <w:tabs>
                <w:tab w:val="clear" w:pos="2835"/>
              </w:tabs>
              <w:ind w:left="234" w:hanging="234"/>
              <w:jc w:val="right"/>
              <w:rPr>
                <w:sz w:val="16"/>
                <w:szCs w:val="16"/>
              </w:rPr>
            </w:pPr>
            <w:r w:rsidRPr="00BD41E7">
              <w:rPr>
                <w:sz w:val="16"/>
                <w:szCs w:val="16"/>
              </w:rPr>
              <w:t>comunitaria</w:t>
            </w:r>
          </w:p>
        </w:tc>
        <w:tc>
          <w:tcPr>
            <w:tcW w:w="1201" w:type="dxa"/>
            <w:tcBorders>
              <w:top w:val="single" w:sz="2" w:space="0" w:color="auto"/>
              <w:bottom w:val="single" w:sz="2" w:space="0" w:color="auto"/>
            </w:tcBorders>
            <w:vAlign w:val="center"/>
          </w:tcPr>
          <w:p w:rsidR="009E3EC8" w:rsidRPr="00BD41E7" w:rsidRDefault="009F654A" w:rsidP="00A93ADD">
            <w:pPr>
              <w:pStyle w:val="cuatexto"/>
              <w:tabs>
                <w:tab w:val="clear" w:pos="2835"/>
              </w:tabs>
              <w:ind w:right="-1"/>
              <w:jc w:val="right"/>
              <w:rPr>
                <w:sz w:val="16"/>
                <w:szCs w:val="16"/>
              </w:rPr>
            </w:pPr>
            <w:r w:rsidRPr="00BD41E7">
              <w:rPr>
                <w:sz w:val="16"/>
                <w:szCs w:val="16"/>
              </w:rPr>
              <w:t>Oferta más ventajosa</w:t>
            </w:r>
          </w:p>
        </w:tc>
        <w:tc>
          <w:tcPr>
            <w:tcW w:w="1172" w:type="dxa"/>
            <w:tcBorders>
              <w:top w:val="single" w:sz="2" w:space="0" w:color="auto"/>
              <w:bottom w:val="single" w:sz="2" w:space="0" w:color="auto"/>
            </w:tcBorders>
            <w:vAlign w:val="center"/>
          </w:tcPr>
          <w:p w:rsidR="009E3EC8" w:rsidRPr="00BD41E7" w:rsidRDefault="00BA0B11" w:rsidP="00BD41E7">
            <w:pPr>
              <w:pStyle w:val="cuatexto"/>
              <w:tabs>
                <w:tab w:val="clear" w:pos="2835"/>
                <w:tab w:val="left" w:pos="780"/>
              </w:tabs>
              <w:ind w:right="56" w:firstLine="71"/>
              <w:jc w:val="right"/>
              <w:rPr>
                <w:sz w:val="16"/>
                <w:szCs w:val="16"/>
              </w:rPr>
            </w:pPr>
            <w:r w:rsidRPr="00BD41E7">
              <w:rPr>
                <w:sz w:val="16"/>
                <w:szCs w:val="16"/>
              </w:rPr>
              <w:t>1</w:t>
            </w:r>
          </w:p>
        </w:tc>
        <w:tc>
          <w:tcPr>
            <w:tcW w:w="1052" w:type="dxa"/>
            <w:tcBorders>
              <w:top w:val="single" w:sz="2" w:space="0" w:color="auto"/>
              <w:bottom w:val="single" w:sz="2" w:space="0" w:color="auto"/>
            </w:tcBorders>
            <w:vAlign w:val="center"/>
          </w:tcPr>
          <w:p w:rsidR="009E3EC8" w:rsidRPr="00BD41E7" w:rsidRDefault="009E3EC8" w:rsidP="00207D65">
            <w:pPr>
              <w:pStyle w:val="cuatexto"/>
              <w:tabs>
                <w:tab w:val="clear" w:pos="2835"/>
              </w:tabs>
              <w:ind w:right="-1"/>
              <w:jc w:val="right"/>
              <w:rPr>
                <w:sz w:val="16"/>
                <w:szCs w:val="16"/>
              </w:rPr>
            </w:pPr>
            <w:r w:rsidRPr="00BD41E7">
              <w:rPr>
                <w:sz w:val="16"/>
                <w:szCs w:val="16"/>
              </w:rPr>
              <w:t>640.800</w:t>
            </w:r>
          </w:p>
        </w:tc>
        <w:tc>
          <w:tcPr>
            <w:tcW w:w="1168" w:type="dxa"/>
            <w:tcBorders>
              <w:top w:val="single" w:sz="2" w:space="0" w:color="auto"/>
              <w:bottom w:val="single" w:sz="2" w:space="0" w:color="auto"/>
            </w:tcBorders>
            <w:vAlign w:val="center"/>
          </w:tcPr>
          <w:p w:rsidR="009E3EC8" w:rsidRPr="00BD41E7" w:rsidRDefault="009F654A" w:rsidP="00004F6D">
            <w:pPr>
              <w:pStyle w:val="cuatexto"/>
              <w:tabs>
                <w:tab w:val="clear" w:pos="2835"/>
              </w:tabs>
              <w:ind w:right="-33"/>
              <w:jc w:val="right"/>
              <w:rPr>
                <w:sz w:val="16"/>
                <w:szCs w:val="16"/>
              </w:rPr>
            </w:pPr>
            <w:r w:rsidRPr="00BD41E7">
              <w:rPr>
                <w:sz w:val="16"/>
                <w:szCs w:val="16"/>
              </w:rPr>
              <w:t>0,11</w:t>
            </w:r>
          </w:p>
        </w:tc>
      </w:tr>
      <w:tr w:rsidR="009E3EC8" w:rsidRPr="00BD41E7" w:rsidTr="00004F6D">
        <w:trPr>
          <w:trHeight w:val="284"/>
          <w:jc w:val="center"/>
        </w:trPr>
        <w:tc>
          <w:tcPr>
            <w:tcW w:w="1911" w:type="dxa"/>
            <w:tcBorders>
              <w:top w:val="single" w:sz="2" w:space="0" w:color="auto"/>
              <w:bottom w:val="single" w:sz="2" w:space="0" w:color="auto"/>
            </w:tcBorders>
            <w:vAlign w:val="center"/>
          </w:tcPr>
          <w:p w:rsidR="009E3EC8" w:rsidRPr="00BD41E7" w:rsidRDefault="009E3EC8" w:rsidP="00446FF7">
            <w:pPr>
              <w:pStyle w:val="cuatexto"/>
              <w:tabs>
                <w:tab w:val="clear" w:pos="2835"/>
              </w:tabs>
              <w:ind w:right="49"/>
              <w:jc w:val="left"/>
              <w:rPr>
                <w:sz w:val="16"/>
                <w:szCs w:val="16"/>
              </w:rPr>
            </w:pPr>
            <w:r w:rsidRPr="00BD41E7">
              <w:rPr>
                <w:sz w:val="16"/>
                <w:szCs w:val="16"/>
              </w:rPr>
              <w:t xml:space="preserve">Servicios auxiliares </w:t>
            </w:r>
          </w:p>
        </w:tc>
        <w:tc>
          <w:tcPr>
            <w:tcW w:w="1080" w:type="dxa"/>
            <w:tcBorders>
              <w:top w:val="single" w:sz="2" w:space="0" w:color="auto"/>
              <w:bottom w:val="single" w:sz="2" w:space="0" w:color="auto"/>
            </w:tcBorders>
            <w:vAlign w:val="center"/>
          </w:tcPr>
          <w:p w:rsidR="009E3EC8" w:rsidRPr="00BD41E7" w:rsidRDefault="009E3EC8" w:rsidP="000C13B1">
            <w:pPr>
              <w:pStyle w:val="cuatexto"/>
              <w:tabs>
                <w:tab w:val="clear" w:pos="2835"/>
              </w:tabs>
              <w:ind w:right="-1"/>
              <w:jc w:val="left"/>
              <w:rPr>
                <w:sz w:val="16"/>
                <w:szCs w:val="16"/>
              </w:rPr>
            </w:pPr>
            <w:r w:rsidRPr="00BD41E7">
              <w:rPr>
                <w:sz w:val="16"/>
                <w:szCs w:val="16"/>
              </w:rPr>
              <w:t>Asistencia</w:t>
            </w:r>
          </w:p>
        </w:tc>
        <w:tc>
          <w:tcPr>
            <w:tcW w:w="1442" w:type="dxa"/>
            <w:tcBorders>
              <w:top w:val="single" w:sz="2" w:space="0" w:color="auto"/>
              <w:bottom w:val="single" w:sz="2" w:space="0" w:color="auto"/>
            </w:tcBorders>
            <w:vAlign w:val="center"/>
          </w:tcPr>
          <w:p w:rsidR="0025021D" w:rsidRPr="00BD41E7" w:rsidRDefault="009E3EC8" w:rsidP="00867C01">
            <w:pPr>
              <w:pStyle w:val="cuatexto"/>
              <w:tabs>
                <w:tab w:val="clear" w:pos="2835"/>
              </w:tabs>
              <w:ind w:left="356" w:hanging="476"/>
              <w:jc w:val="right"/>
              <w:rPr>
                <w:sz w:val="16"/>
                <w:szCs w:val="16"/>
              </w:rPr>
            </w:pPr>
            <w:r w:rsidRPr="00BD41E7">
              <w:rPr>
                <w:sz w:val="16"/>
                <w:szCs w:val="16"/>
              </w:rPr>
              <w:t>Negociado</w:t>
            </w:r>
          </w:p>
          <w:p w:rsidR="009E3EC8" w:rsidRPr="00BD41E7" w:rsidRDefault="009E3EC8" w:rsidP="00867C01">
            <w:pPr>
              <w:pStyle w:val="cuatexto"/>
              <w:tabs>
                <w:tab w:val="clear" w:pos="2835"/>
              </w:tabs>
              <w:ind w:left="356" w:hanging="476"/>
              <w:jc w:val="right"/>
              <w:rPr>
                <w:sz w:val="16"/>
                <w:szCs w:val="16"/>
              </w:rPr>
            </w:pPr>
            <w:r w:rsidRPr="00BD41E7">
              <w:rPr>
                <w:sz w:val="16"/>
                <w:szCs w:val="16"/>
              </w:rPr>
              <w:t xml:space="preserve"> sin publicidad</w:t>
            </w:r>
          </w:p>
        </w:tc>
        <w:tc>
          <w:tcPr>
            <w:tcW w:w="1201" w:type="dxa"/>
            <w:tcBorders>
              <w:top w:val="single" w:sz="2" w:space="0" w:color="auto"/>
              <w:bottom w:val="single" w:sz="2" w:space="0" w:color="auto"/>
            </w:tcBorders>
            <w:vAlign w:val="center"/>
          </w:tcPr>
          <w:p w:rsidR="009E3EC8" w:rsidRPr="00BD41E7" w:rsidRDefault="00F973DD" w:rsidP="00A93ADD">
            <w:pPr>
              <w:pStyle w:val="cuatexto"/>
              <w:tabs>
                <w:tab w:val="clear" w:pos="2835"/>
              </w:tabs>
              <w:ind w:right="-1"/>
              <w:jc w:val="right"/>
              <w:rPr>
                <w:sz w:val="16"/>
                <w:szCs w:val="16"/>
              </w:rPr>
            </w:pPr>
            <w:r w:rsidRPr="00BD41E7">
              <w:rPr>
                <w:sz w:val="16"/>
                <w:szCs w:val="16"/>
              </w:rPr>
              <w:t>Oferta más ventajosa</w:t>
            </w:r>
          </w:p>
        </w:tc>
        <w:tc>
          <w:tcPr>
            <w:tcW w:w="1172" w:type="dxa"/>
            <w:tcBorders>
              <w:top w:val="single" w:sz="2" w:space="0" w:color="auto"/>
              <w:bottom w:val="single" w:sz="2" w:space="0" w:color="auto"/>
            </w:tcBorders>
            <w:vAlign w:val="center"/>
          </w:tcPr>
          <w:p w:rsidR="009E3EC8" w:rsidRPr="00BD41E7" w:rsidRDefault="00A03CF5" w:rsidP="00BD41E7">
            <w:pPr>
              <w:pStyle w:val="cuatexto"/>
              <w:tabs>
                <w:tab w:val="clear" w:pos="2835"/>
                <w:tab w:val="left" w:pos="780"/>
              </w:tabs>
              <w:ind w:right="56" w:firstLine="71"/>
              <w:jc w:val="right"/>
              <w:rPr>
                <w:sz w:val="16"/>
                <w:szCs w:val="16"/>
              </w:rPr>
            </w:pPr>
            <w:r w:rsidRPr="00BD41E7">
              <w:rPr>
                <w:sz w:val="16"/>
                <w:szCs w:val="16"/>
              </w:rPr>
              <w:t>1</w:t>
            </w:r>
          </w:p>
        </w:tc>
        <w:tc>
          <w:tcPr>
            <w:tcW w:w="1052" w:type="dxa"/>
            <w:tcBorders>
              <w:top w:val="single" w:sz="2" w:space="0" w:color="auto"/>
              <w:bottom w:val="single" w:sz="2" w:space="0" w:color="auto"/>
            </w:tcBorders>
            <w:vAlign w:val="center"/>
          </w:tcPr>
          <w:p w:rsidR="009E3EC8" w:rsidRPr="00BD41E7" w:rsidRDefault="009E3EC8" w:rsidP="00207D65">
            <w:pPr>
              <w:pStyle w:val="cuatexto"/>
              <w:tabs>
                <w:tab w:val="clear" w:pos="2835"/>
              </w:tabs>
              <w:ind w:right="-1"/>
              <w:jc w:val="right"/>
              <w:rPr>
                <w:sz w:val="16"/>
                <w:szCs w:val="16"/>
              </w:rPr>
            </w:pPr>
            <w:r w:rsidRPr="00BD41E7">
              <w:rPr>
                <w:sz w:val="16"/>
                <w:szCs w:val="16"/>
              </w:rPr>
              <w:t>66.000</w:t>
            </w:r>
          </w:p>
        </w:tc>
        <w:tc>
          <w:tcPr>
            <w:tcW w:w="1168" w:type="dxa"/>
            <w:tcBorders>
              <w:top w:val="single" w:sz="2" w:space="0" w:color="auto"/>
              <w:bottom w:val="single" w:sz="2" w:space="0" w:color="auto"/>
            </w:tcBorders>
            <w:vAlign w:val="center"/>
          </w:tcPr>
          <w:p w:rsidR="009E3EC8" w:rsidRPr="00BD41E7" w:rsidRDefault="00A03CF5" w:rsidP="00004F6D">
            <w:pPr>
              <w:pStyle w:val="cuatexto"/>
              <w:tabs>
                <w:tab w:val="clear" w:pos="2835"/>
              </w:tabs>
              <w:ind w:right="-33"/>
              <w:jc w:val="right"/>
              <w:rPr>
                <w:sz w:val="16"/>
                <w:szCs w:val="16"/>
              </w:rPr>
            </w:pPr>
            <w:r w:rsidRPr="00BD41E7">
              <w:rPr>
                <w:sz w:val="16"/>
                <w:szCs w:val="16"/>
              </w:rPr>
              <w:t>2,22</w:t>
            </w:r>
          </w:p>
        </w:tc>
      </w:tr>
      <w:tr w:rsidR="000C13B1" w:rsidRPr="00BD41E7" w:rsidTr="00004F6D">
        <w:trPr>
          <w:trHeight w:val="284"/>
          <w:jc w:val="center"/>
        </w:trPr>
        <w:tc>
          <w:tcPr>
            <w:tcW w:w="1911" w:type="dxa"/>
            <w:tcBorders>
              <w:top w:val="single" w:sz="2" w:space="0" w:color="auto"/>
              <w:bottom w:val="single" w:sz="2" w:space="0" w:color="auto"/>
            </w:tcBorders>
            <w:vAlign w:val="center"/>
          </w:tcPr>
          <w:p w:rsidR="000C13B1" w:rsidRPr="00BD41E7" w:rsidRDefault="000C13B1" w:rsidP="00446FF7">
            <w:pPr>
              <w:pStyle w:val="cuatexto"/>
              <w:tabs>
                <w:tab w:val="clear" w:pos="2835"/>
              </w:tabs>
              <w:ind w:right="49"/>
              <w:jc w:val="left"/>
              <w:rPr>
                <w:sz w:val="16"/>
                <w:szCs w:val="16"/>
              </w:rPr>
            </w:pPr>
            <w:r w:rsidRPr="00BD41E7">
              <w:rPr>
                <w:sz w:val="16"/>
                <w:szCs w:val="16"/>
              </w:rPr>
              <w:t>Servicio de cafeterías y comedores</w:t>
            </w:r>
            <w:r w:rsidR="00542D14" w:rsidRPr="00BD41E7">
              <w:rPr>
                <w:sz w:val="16"/>
                <w:szCs w:val="16"/>
              </w:rPr>
              <w:t>***</w:t>
            </w:r>
          </w:p>
        </w:tc>
        <w:tc>
          <w:tcPr>
            <w:tcW w:w="1080" w:type="dxa"/>
            <w:tcBorders>
              <w:top w:val="single" w:sz="2" w:space="0" w:color="auto"/>
              <w:bottom w:val="single" w:sz="2" w:space="0" w:color="auto"/>
            </w:tcBorders>
            <w:vAlign w:val="center"/>
          </w:tcPr>
          <w:p w:rsidR="000C13B1" w:rsidRPr="00BD41E7" w:rsidRDefault="00B03105" w:rsidP="00B03105">
            <w:pPr>
              <w:pStyle w:val="cuatexto"/>
              <w:tabs>
                <w:tab w:val="clear" w:pos="2835"/>
              </w:tabs>
              <w:ind w:right="-166"/>
              <w:jc w:val="left"/>
              <w:rPr>
                <w:sz w:val="16"/>
                <w:szCs w:val="16"/>
              </w:rPr>
            </w:pPr>
            <w:r w:rsidRPr="00BD41E7">
              <w:rPr>
                <w:sz w:val="16"/>
                <w:szCs w:val="16"/>
              </w:rPr>
              <w:t>Concesión de s</w:t>
            </w:r>
            <w:r w:rsidR="000C13B1" w:rsidRPr="00BD41E7">
              <w:rPr>
                <w:sz w:val="16"/>
                <w:szCs w:val="16"/>
              </w:rPr>
              <w:t>ervicios</w:t>
            </w:r>
          </w:p>
        </w:tc>
        <w:tc>
          <w:tcPr>
            <w:tcW w:w="1442" w:type="dxa"/>
            <w:tcBorders>
              <w:top w:val="single" w:sz="2" w:space="0" w:color="auto"/>
              <w:bottom w:val="single" w:sz="2" w:space="0" w:color="auto"/>
            </w:tcBorders>
            <w:vAlign w:val="center"/>
          </w:tcPr>
          <w:p w:rsidR="0025021D" w:rsidRPr="00BD41E7" w:rsidRDefault="000C13B1" w:rsidP="00867C01">
            <w:pPr>
              <w:pStyle w:val="cuatexto"/>
              <w:tabs>
                <w:tab w:val="clear" w:pos="2835"/>
              </w:tabs>
              <w:ind w:left="356" w:hanging="476"/>
              <w:jc w:val="right"/>
              <w:rPr>
                <w:sz w:val="16"/>
                <w:szCs w:val="16"/>
              </w:rPr>
            </w:pPr>
            <w:r w:rsidRPr="00BD41E7">
              <w:rPr>
                <w:sz w:val="16"/>
                <w:szCs w:val="16"/>
              </w:rPr>
              <w:t>Abierto</w:t>
            </w:r>
          </w:p>
          <w:p w:rsidR="0025021D" w:rsidRPr="00BD41E7" w:rsidRDefault="000C13B1" w:rsidP="00867C01">
            <w:pPr>
              <w:pStyle w:val="cuatexto"/>
              <w:tabs>
                <w:tab w:val="clear" w:pos="2835"/>
              </w:tabs>
              <w:ind w:left="356" w:hanging="476"/>
              <w:jc w:val="right"/>
              <w:rPr>
                <w:sz w:val="16"/>
                <w:szCs w:val="16"/>
              </w:rPr>
            </w:pPr>
            <w:r w:rsidRPr="00BD41E7">
              <w:rPr>
                <w:sz w:val="16"/>
                <w:szCs w:val="16"/>
              </w:rPr>
              <w:t xml:space="preserve"> sin public</w:t>
            </w:r>
            <w:r w:rsidR="0025021D" w:rsidRPr="00BD41E7">
              <w:rPr>
                <w:sz w:val="16"/>
                <w:szCs w:val="16"/>
              </w:rPr>
              <w:t>i</w:t>
            </w:r>
            <w:r w:rsidRPr="00BD41E7">
              <w:rPr>
                <w:sz w:val="16"/>
                <w:szCs w:val="16"/>
              </w:rPr>
              <w:t>dad</w:t>
            </w:r>
          </w:p>
          <w:p w:rsidR="000C13B1" w:rsidRPr="00BD41E7" w:rsidRDefault="000C13B1" w:rsidP="00867C01">
            <w:pPr>
              <w:pStyle w:val="cuatexto"/>
              <w:tabs>
                <w:tab w:val="clear" w:pos="2835"/>
              </w:tabs>
              <w:ind w:left="356" w:hanging="476"/>
              <w:jc w:val="right"/>
              <w:rPr>
                <w:sz w:val="16"/>
                <w:szCs w:val="16"/>
              </w:rPr>
            </w:pPr>
            <w:r w:rsidRPr="00BD41E7">
              <w:rPr>
                <w:sz w:val="16"/>
                <w:szCs w:val="16"/>
              </w:rPr>
              <w:t xml:space="preserve"> comunitaria</w:t>
            </w:r>
          </w:p>
        </w:tc>
        <w:tc>
          <w:tcPr>
            <w:tcW w:w="1201" w:type="dxa"/>
            <w:tcBorders>
              <w:top w:val="single" w:sz="2" w:space="0" w:color="auto"/>
              <w:bottom w:val="single" w:sz="2" w:space="0" w:color="auto"/>
            </w:tcBorders>
            <w:vAlign w:val="center"/>
          </w:tcPr>
          <w:p w:rsidR="000C13B1" w:rsidRPr="00BD41E7" w:rsidRDefault="00542D14" w:rsidP="00A93ADD">
            <w:pPr>
              <w:pStyle w:val="cuatexto"/>
              <w:tabs>
                <w:tab w:val="clear" w:pos="2835"/>
              </w:tabs>
              <w:ind w:right="-1"/>
              <w:jc w:val="right"/>
              <w:rPr>
                <w:sz w:val="16"/>
                <w:szCs w:val="16"/>
              </w:rPr>
            </w:pPr>
            <w:r w:rsidRPr="00BD41E7">
              <w:rPr>
                <w:sz w:val="16"/>
                <w:szCs w:val="16"/>
              </w:rPr>
              <w:t>Oferta más ventajosa</w:t>
            </w:r>
          </w:p>
        </w:tc>
        <w:tc>
          <w:tcPr>
            <w:tcW w:w="1172" w:type="dxa"/>
            <w:tcBorders>
              <w:top w:val="single" w:sz="2" w:space="0" w:color="auto"/>
              <w:bottom w:val="single" w:sz="2" w:space="0" w:color="auto"/>
            </w:tcBorders>
            <w:vAlign w:val="center"/>
          </w:tcPr>
          <w:p w:rsidR="000C13B1" w:rsidRPr="00BD41E7" w:rsidRDefault="00542D14" w:rsidP="00BD41E7">
            <w:pPr>
              <w:pStyle w:val="cuatexto"/>
              <w:tabs>
                <w:tab w:val="clear" w:pos="2835"/>
                <w:tab w:val="left" w:pos="780"/>
              </w:tabs>
              <w:ind w:right="56" w:firstLine="71"/>
              <w:jc w:val="right"/>
              <w:rPr>
                <w:sz w:val="16"/>
                <w:szCs w:val="16"/>
              </w:rPr>
            </w:pPr>
            <w:r w:rsidRPr="00BD41E7">
              <w:rPr>
                <w:sz w:val="16"/>
                <w:szCs w:val="16"/>
              </w:rPr>
              <w:t>0</w:t>
            </w:r>
          </w:p>
        </w:tc>
        <w:tc>
          <w:tcPr>
            <w:tcW w:w="1052" w:type="dxa"/>
            <w:tcBorders>
              <w:top w:val="single" w:sz="2" w:space="0" w:color="auto"/>
              <w:bottom w:val="single" w:sz="2" w:space="0" w:color="auto"/>
            </w:tcBorders>
            <w:vAlign w:val="center"/>
          </w:tcPr>
          <w:p w:rsidR="000C13B1" w:rsidRPr="00BD41E7" w:rsidRDefault="00542D14" w:rsidP="00207D65">
            <w:pPr>
              <w:pStyle w:val="cuatexto"/>
              <w:tabs>
                <w:tab w:val="clear" w:pos="2835"/>
              </w:tabs>
              <w:ind w:right="-1"/>
              <w:jc w:val="right"/>
              <w:rPr>
                <w:sz w:val="16"/>
                <w:szCs w:val="16"/>
              </w:rPr>
            </w:pPr>
            <w:r w:rsidRPr="00BD41E7">
              <w:rPr>
                <w:sz w:val="16"/>
                <w:szCs w:val="16"/>
              </w:rPr>
              <w:t>-</w:t>
            </w:r>
          </w:p>
        </w:tc>
        <w:tc>
          <w:tcPr>
            <w:tcW w:w="1168" w:type="dxa"/>
            <w:tcBorders>
              <w:top w:val="single" w:sz="2" w:space="0" w:color="auto"/>
              <w:bottom w:val="single" w:sz="2" w:space="0" w:color="auto"/>
            </w:tcBorders>
            <w:vAlign w:val="center"/>
          </w:tcPr>
          <w:p w:rsidR="000C13B1" w:rsidRPr="00BD41E7" w:rsidRDefault="00542D14" w:rsidP="00004F6D">
            <w:pPr>
              <w:pStyle w:val="cuatexto"/>
              <w:tabs>
                <w:tab w:val="clear" w:pos="2835"/>
              </w:tabs>
              <w:ind w:right="-33"/>
              <w:jc w:val="right"/>
              <w:rPr>
                <w:sz w:val="16"/>
                <w:szCs w:val="16"/>
              </w:rPr>
            </w:pPr>
            <w:r w:rsidRPr="00BD41E7">
              <w:rPr>
                <w:sz w:val="16"/>
                <w:szCs w:val="16"/>
              </w:rPr>
              <w:t>-</w:t>
            </w:r>
          </w:p>
        </w:tc>
      </w:tr>
    </w:tbl>
    <w:p w:rsidR="00207D65" w:rsidRPr="00215F32" w:rsidRDefault="00A93ADD" w:rsidP="00BD41E7">
      <w:pPr>
        <w:pStyle w:val="texto"/>
        <w:spacing w:before="60" w:after="0"/>
        <w:ind w:firstLine="0"/>
        <w:rPr>
          <w:rFonts w:ascii="Arial" w:hAnsi="Arial" w:cs="Arial"/>
          <w:spacing w:val="2"/>
          <w:sz w:val="14"/>
          <w:szCs w:val="14"/>
        </w:rPr>
      </w:pPr>
      <w:r w:rsidRPr="00215F32">
        <w:rPr>
          <w:rFonts w:ascii="Arial" w:hAnsi="Arial" w:cs="Arial"/>
          <w:spacing w:val="2"/>
          <w:sz w:val="14"/>
          <w:szCs w:val="14"/>
        </w:rPr>
        <w:t>*</w:t>
      </w:r>
      <w:r w:rsidR="001A449C" w:rsidRPr="00215F32">
        <w:rPr>
          <w:rFonts w:ascii="Arial" w:hAnsi="Arial" w:cs="Arial"/>
          <w:spacing w:val="2"/>
          <w:sz w:val="14"/>
          <w:szCs w:val="14"/>
        </w:rPr>
        <w:t xml:space="preserve"> </w:t>
      </w:r>
      <w:r w:rsidR="00666CF1" w:rsidRPr="00215F32">
        <w:rPr>
          <w:rFonts w:ascii="Arial" w:hAnsi="Arial" w:cs="Arial"/>
          <w:spacing w:val="2"/>
          <w:sz w:val="14"/>
          <w:szCs w:val="14"/>
        </w:rPr>
        <w:t xml:space="preserve">Importe </w:t>
      </w:r>
      <w:r w:rsidR="00057A16" w:rsidRPr="00215F32">
        <w:rPr>
          <w:rFonts w:ascii="Arial" w:hAnsi="Arial" w:cs="Arial"/>
          <w:spacing w:val="2"/>
          <w:sz w:val="14"/>
          <w:szCs w:val="14"/>
        </w:rPr>
        <w:t>adjudicad</w:t>
      </w:r>
      <w:r w:rsidR="00666CF1" w:rsidRPr="00215F32">
        <w:rPr>
          <w:rFonts w:ascii="Arial" w:hAnsi="Arial" w:cs="Arial"/>
          <w:spacing w:val="2"/>
          <w:sz w:val="14"/>
          <w:szCs w:val="14"/>
        </w:rPr>
        <w:t xml:space="preserve">o para el primer año de contrato. </w:t>
      </w:r>
      <w:r w:rsidR="001A449C" w:rsidRPr="00215F32">
        <w:rPr>
          <w:rFonts w:ascii="Arial" w:hAnsi="Arial" w:cs="Arial"/>
          <w:spacing w:val="2"/>
          <w:sz w:val="14"/>
          <w:szCs w:val="14"/>
        </w:rPr>
        <w:t xml:space="preserve">En este caso el importe estimado del contrato fue de 4,36 millones de euros, pero al ser un acuerdo marco que va a derivar en la formalización de varios contratos no existe un importe de adjudicación en sí mismo. </w:t>
      </w:r>
    </w:p>
    <w:p w:rsidR="00596F02" w:rsidRPr="00215F32" w:rsidRDefault="00596F02" w:rsidP="00BD41E7">
      <w:pPr>
        <w:pStyle w:val="texto"/>
        <w:spacing w:before="60" w:after="0"/>
        <w:ind w:firstLine="0"/>
        <w:rPr>
          <w:rFonts w:ascii="Arial" w:hAnsi="Arial" w:cs="Arial"/>
          <w:spacing w:val="2"/>
          <w:sz w:val="14"/>
          <w:szCs w:val="14"/>
        </w:rPr>
      </w:pPr>
      <w:r w:rsidRPr="00215F32">
        <w:rPr>
          <w:rFonts w:ascii="Arial" w:hAnsi="Arial" w:cs="Arial"/>
          <w:sz w:val="14"/>
          <w:szCs w:val="14"/>
        </w:rPr>
        <w:t xml:space="preserve">** </w:t>
      </w:r>
      <w:r w:rsidRPr="00215F32">
        <w:rPr>
          <w:rFonts w:ascii="Arial" w:hAnsi="Arial" w:cs="Arial"/>
          <w:spacing w:val="2"/>
          <w:sz w:val="14"/>
          <w:szCs w:val="14"/>
        </w:rPr>
        <w:t xml:space="preserve">Importe </w:t>
      </w:r>
      <w:r w:rsidR="00057A16" w:rsidRPr="00215F32">
        <w:rPr>
          <w:rFonts w:ascii="Arial" w:hAnsi="Arial" w:cs="Arial"/>
          <w:spacing w:val="2"/>
          <w:sz w:val="14"/>
          <w:szCs w:val="14"/>
        </w:rPr>
        <w:t>adjudicad</w:t>
      </w:r>
      <w:r w:rsidRPr="00215F32">
        <w:rPr>
          <w:rFonts w:ascii="Arial" w:hAnsi="Arial" w:cs="Arial"/>
          <w:spacing w:val="2"/>
          <w:sz w:val="14"/>
          <w:szCs w:val="14"/>
        </w:rPr>
        <w:t>o para el primer año de contrato. En este caso el importe estimado del contrato fue de 2,2 millones de euros, pero al ser un acuerdo marco que va a derivar en la formalización de varios contratos no existe un importe de adjudicación en sí mismo.</w:t>
      </w:r>
    </w:p>
    <w:p w:rsidR="00542D14" w:rsidRPr="00215F32" w:rsidRDefault="00542D14" w:rsidP="00BD41E7">
      <w:pPr>
        <w:pStyle w:val="texto"/>
        <w:spacing w:before="60" w:after="0"/>
        <w:ind w:firstLine="0"/>
        <w:rPr>
          <w:rFonts w:ascii="Arial" w:hAnsi="Arial" w:cs="Arial"/>
          <w:sz w:val="14"/>
          <w:szCs w:val="14"/>
        </w:rPr>
      </w:pPr>
      <w:r w:rsidRPr="00215F32">
        <w:rPr>
          <w:rFonts w:ascii="Arial" w:hAnsi="Arial" w:cs="Arial"/>
          <w:sz w:val="14"/>
          <w:szCs w:val="14"/>
        </w:rPr>
        <w:t>*** Adjudicación desierta</w:t>
      </w:r>
    </w:p>
    <w:p w:rsidR="00095011" w:rsidRDefault="00095011" w:rsidP="00215F32">
      <w:pPr>
        <w:pStyle w:val="texto"/>
        <w:spacing w:before="240" w:after="240"/>
        <w:rPr>
          <w:szCs w:val="26"/>
        </w:rPr>
      </w:pPr>
      <w:r>
        <w:rPr>
          <w:szCs w:val="26"/>
        </w:rPr>
        <w:t>De la revisión de los expediente de contratación señalados, concluimos que, en general, se tramitaron de conformidad con la normativa aplicable</w:t>
      </w:r>
      <w:r w:rsidR="006A5EDE">
        <w:rPr>
          <w:szCs w:val="26"/>
        </w:rPr>
        <w:t>.</w:t>
      </w:r>
      <w:r>
        <w:rPr>
          <w:szCs w:val="26"/>
        </w:rPr>
        <w:t xml:space="preserve"> </w:t>
      </w:r>
    </w:p>
    <w:p w:rsidR="008C22E9" w:rsidRDefault="008C22E9" w:rsidP="00215F32">
      <w:pPr>
        <w:pStyle w:val="atitulo3"/>
      </w:pPr>
      <w:r w:rsidRPr="00A057E7">
        <w:t>Revisión de una muestra de gastos</w:t>
      </w:r>
    </w:p>
    <w:p w:rsidR="008C22E9" w:rsidRDefault="008C22E9" w:rsidP="008C22E9">
      <w:pPr>
        <w:pStyle w:val="texto"/>
        <w:spacing w:after="240"/>
        <w:rPr>
          <w:szCs w:val="26"/>
        </w:rPr>
      </w:pPr>
      <w:r>
        <w:rPr>
          <w:szCs w:val="26"/>
        </w:rPr>
        <w:t xml:space="preserve">Hemos revisado los gastos del servicio de limpieza correspondientes a 2017 que ascienden a 1,82 millones de euros. Dichos gastos están autorizados, intervenidos, justificados, correctamente contabilizados y </w:t>
      </w:r>
      <w:r w:rsidRPr="00D152CE">
        <w:rPr>
          <w:szCs w:val="26"/>
        </w:rPr>
        <w:t>abonados en plazo.</w:t>
      </w:r>
    </w:p>
    <w:p w:rsidR="00553025" w:rsidRPr="009F32D5" w:rsidRDefault="00553025" w:rsidP="0069588B">
      <w:pPr>
        <w:pStyle w:val="atitulo3"/>
        <w:spacing w:before="240"/>
        <w:rPr>
          <w:i w:val="0"/>
        </w:rPr>
      </w:pPr>
      <w:r w:rsidRPr="009F32D5">
        <w:rPr>
          <w:i w:val="0"/>
        </w:rPr>
        <w:t>V</w:t>
      </w:r>
      <w:r w:rsidR="00613F68">
        <w:rPr>
          <w:i w:val="0"/>
        </w:rPr>
        <w:t>I</w:t>
      </w:r>
      <w:r w:rsidRPr="009F32D5">
        <w:rPr>
          <w:i w:val="0"/>
        </w:rPr>
        <w:t>.</w:t>
      </w:r>
      <w:r w:rsidR="00E037D2">
        <w:rPr>
          <w:i w:val="0"/>
        </w:rPr>
        <w:t>4</w:t>
      </w:r>
      <w:r w:rsidRPr="009F32D5">
        <w:rPr>
          <w:i w:val="0"/>
        </w:rPr>
        <w:t>.</w:t>
      </w:r>
      <w:r>
        <w:rPr>
          <w:i w:val="0"/>
        </w:rPr>
        <w:t>3</w:t>
      </w:r>
      <w:r w:rsidRPr="009F32D5">
        <w:rPr>
          <w:i w:val="0"/>
        </w:rPr>
        <w:t xml:space="preserve">. </w:t>
      </w:r>
      <w:r>
        <w:rPr>
          <w:i w:val="0"/>
        </w:rPr>
        <w:t xml:space="preserve">Transferencias corrientes </w:t>
      </w:r>
    </w:p>
    <w:p w:rsidR="006E62EB" w:rsidRPr="00730AE6" w:rsidRDefault="006E62EB" w:rsidP="00BD41E7">
      <w:pPr>
        <w:pStyle w:val="texto"/>
        <w:tabs>
          <w:tab w:val="clear" w:pos="2835"/>
          <w:tab w:val="clear" w:pos="3969"/>
          <w:tab w:val="clear" w:pos="5103"/>
          <w:tab w:val="clear" w:pos="6237"/>
          <w:tab w:val="clear" w:pos="7371"/>
        </w:tabs>
        <w:spacing w:after="0"/>
        <w:rPr>
          <w:szCs w:val="26"/>
        </w:rPr>
      </w:pPr>
      <w:r w:rsidRPr="00730AE6">
        <w:rPr>
          <w:szCs w:val="26"/>
        </w:rPr>
        <w:t xml:space="preserve">Las transferencias corrientes ascienden a 2,05 millones, con </w:t>
      </w:r>
      <w:r>
        <w:rPr>
          <w:szCs w:val="26"/>
        </w:rPr>
        <w:t xml:space="preserve">un grado de ejecución del 73 por ciento y </w:t>
      </w:r>
      <w:r w:rsidRPr="00730AE6">
        <w:rPr>
          <w:szCs w:val="26"/>
        </w:rPr>
        <w:t>un aumento del 23 por ciento respecto al ejercicio anterior</w:t>
      </w:r>
      <w:r>
        <w:rPr>
          <w:szCs w:val="26"/>
        </w:rPr>
        <w:t>. Este aumento está</w:t>
      </w:r>
      <w:r w:rsidRPr="00730AE6">
        <w:rPr>
          <w:szCs w:val="26"/>
        </w:rPr>
        <w:t xml:space="preserve"> motivado</w:t>
      </w:r>
      <w:r w:rsidR="006F3312">
        <w:rPr>
          <w:szCs w:val="26"/>
        </w:rPr>
        <w:t>,</w:t>
      </w:r>
      <w:r w:rsidRPr="00730AE6">
        <w:rPr>
          <w:szCs w:val="26"/>
        </w:rPr>
        <w:t xml:space="preserve"> principalmente</w:t>
      </w:r>
      <w:r w:rsidR="006F3312">
        <w:rPr>
          <w:szCs w:val="26"/>
        </w:rPr>
        <w:t>,</w:t>
      </w:r>
      <w:r w:rsidRPr="00730AE6">
        <w:rPr>
          <w:szCs w:val="26"/>
        </w:rPr>
        <w:t xml:space="preserve"> por el incremento de becas y ayudas a estudian</w:t>
      </w:r>
      <w:r>
        <w:rPr>
          <w:szCs w:val="26"/>
        </w:rPr>
        <w:t>tes y, más concretamente, por las ayudas de los programas de Movilidad Erasmus.</w:t>
      </w:r>
    </w:p>
    <w:p w:rsidR="00215F32" w:rsidRDefault="00215F32">
      <w:pPr>
        <w:spacing w:after="0"/>
        <w:ind w:firstLine="0"/>
        <w:jc w:val="left"/>
        <w:rPr>
          <w:spacing w:val="6"/>
          <w:sz w:val="26"/>
          <w:szCs w:val="26"/>
        </w:rPr>
      </w:pPr>
      <w:r>
        <w:rPr>
          <w:szCs w:val="26"/>
        </w:rPr>
        <w:br w:type="page"/>
      </w:r>
    </w:p>
    <w:p w:rsidR="006E62EB" w:rsidRDefault="00BD306B" w:rsidP="00215F32">
      <w:pPr>
        <w:pStyle w:val="texto"/>
        <w:tabs>
          <w:tab w:val="clear" w:pos="2835"/>
          <w:tab w:val="clear" w:pos="3969"/>
          <w:tab w:val="clear" w:pos="5103"/>
          <w:tab w:val="clear" w:pos="6237"/>
          <w:tab w:val="clear" w:pos="7371"/>
        </w:tabs>
        <w:spacing w:after="120"/>
        <w:rPr>
          <w:szCs w:val="26"/>
        </w:rPr>
      </w:pPr>
      <w:r>
        <w:rPr>
          <w:szCs w:val="26"/>
        </w:rPr>
        <w:t xml:space="preserve">El </w:t>
      </w:r>
      <w:r w:rsidR="006E62EB">
        <w:rPr>
          <w:szCs w:val="26"/>
        </w:rPr>
        <w:t xml:space="preserve">gasto de este capítulo </w:t>
      </w:r>
      <w:r w:rsidR="00650441">
        <w:rPr>
          <w:szCs w:val="26"/>
        </w:rPr>
        <w:t xml:space="preserve">y su comparación con </w:t>
      </w:r>
      <w:r>
        <w:rPr>
          <w:szCs w:val="26"/>
        </w:rPr>
        <w:t>el año 2016</w:t>
      </w:r>
      <w:r w:rsidR="00650441">
        <w:rPr>
          <w:szCs w:val="26"/>
        </w:rPr>
        <w:t xml:space="preserve"> es </w:t>
      </w:r>
      <w:r>
        <w:rPr>
          <w:szCs w:val="26"/>
        </w:rPr>
        <w:t>el</w:t>
      </w:r>
      <w:r w:rsidR="00650441">
        <w:rPr>
          <w:szCs w:val="26"/>
        </w:rPr>
        <w:t xml:space="preserve"> </w:t>
      </w:r>
      <w:r w:rsidR="006E62EB">
        <w:rPr>
          <w:szCs w:val="26"/>
        </w:rPr>
        <w:t>siguiente:</w:t>
      </w:r>
    </w:p>
    <w:p w:rsidR="006A5EDE" w:rsidRPr="00215F32" w:rsidRDefault="0000117B" w:rsidP="006A5EDE">
      <w:pPr>
        <w:pStyle w:val="texto"/>
        <w:tabs>
          <w:tab w:val="clear" w:pos="2835"/>
          <w:tab w:val="clear" w:pos="3969"/>
          <w:tab w:val="clear" w:pos="5103"/>
          <w:tab w:val="clear" w:pos="6237"/>
          <w:tab w:val="clear" w:pos="7371"/>
          <w:tab w:val="left" w:pos="480"/>
          <w:tab w:val="num" w:pos="928"/>
          <w:tab w:val="num" w:pos="6597"/>
        </w:tabs>
        <w:spacing w:before="120" w:after="0"/>
        <w:ind w:left="568" w:firstLine="0"/>
        <w:jc w:val="right"/>
        <w:rPr>
          <w:rFonts w:ascii="Arial" w:hAnsi="Arial" w:cs="Arial"/>
          <w:sz w:val="18"/>
          <w:szCs w:val="18"/>
        </w:rPr>
      </w:pPr>
      <w:r w:rsidRPr="00215F32">
        <w:rPr>
          <w:rFonts w:ascii="Arial" w:hAnsi="Arial" w:cs="Arial"/>
          <w:sz w:val="18"/>
          <w:szCs w:val="18"/>
        </w:rPr>
        <w:t>(En miles de euros)</w:t>
      </w:r>
    </w:p>
    <w:tbl>
      <w:tblPr>
        <w:tblW w:w="8890"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3351"/>
        <w:gridCol w:w="2015"/>
        <w:gridCol w:w="2192"/>
        <w:gridCol w:w="1332"/>
      </w:tblGrid>
      <w:tr w:rsidR="006E62EB" w:rsidRPr="00730AE6" w:rsidTr="007179ED">
        <w:trPr>
          <w:trHeight w:val="255"/>
          <w:jc w:val="center"/>
        </w:trPr>
        <w:tc>
          <w:tcPr>
            <w:tcW w:w="3351" w:type="dxa"/>
            <w:tcBorders>
              <w:top w:val="single" w:sz="4" w:space="0" w:color="auto"/>
              <w:bottom w:val="single" w:sz="4" w:space="0" w:color="auto"/>
            </w:tcBorders>
            <w:shd w:val="clear" w:color="auto" w:fill="A0C3E3" w:themeFill="accent1" w:themeFillTint="99"/>
            <w:noWrap/>
            <w:vAlign w:val="center"/>
          </w:tcPr>
          <w:p w:rsidR="006E62EB" w:rsidRPr="00730AE6" w:rsidRDefault="006A5EDE" w:rsidP="006E62EB">
            <w:pPr>
              <w:pStyle w:val="cuadroCabe"/>
              <w:rPr>
                <w:lang w:val="es-ES" w:eastAsia="es-ES"/>
              </w:rPr>
            </w:pPr>
            <w:r w:rsidRPr="006A5EDE">
              <w:rPr>
                <w:sz w:val="22"/>
                <w:szCs w:val="22"/>
              </w:rPr>
              <w:t xml:space="preserve"> </w:t>
            </w:r>
            <w:r w:rsidR="006E62EB">
              <w:rPr>
                <w:lang w:val="es-ES" w:eastAsia="es-ES"/>
              </w:rPr>
              <w:t>Concepto</w:t>
            </w:r>
          </w:p>
        </w:tc>
        <w:tc>
          <w:tcPr>
            <w:tcW w:w="2015" w:type="dxa"/>
            <w:tcBorders>
              <w:top w:val="single" w:sz="4" w:space="0" w:color="auto"/>
              <w:bottom w:val="single" w:sz="4" w:space="0" w:color="auto"/>
            </w:tcBorders>
            <w:shd w:val="clear" w:color="auto" w:fill="A0C3E3" w:themeFill="accent1" w:themeFillTint="99"/>
            <w:vAlign w:val="center"/>
          </w:tcPr>
          <w:p w:rsidR="00215F32" w:rsidRDefault="001D4811" w:rsidP="006E62EB">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Obligac</w:t>
            </w:r>
            <w:r w:rsidR="00215F32">
              <w:rPr>
                <w:rFonts w:ascii="Arial" w:hAnsi="Arial" w:cs="Arial"/>
                <w:bCs/>
                <w:sz w:val="18"/>
                <w:szCs w:val="18"/>
                <w:lang w:val="es-ES" w:eastAsia="es-ES"/>
              </w:rPr>
              <w:t>iones</w:t>
            </w:r>
          </w:p>
          <w:p w:rsidR="006E62EB" w:rsidRPr="005140B9" w:rsidRDefault="00215F32" w:rsidP="00215F32">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R</w:t>
            </w:r>
            <w:r w:rsidR="001D4811">
              <w:rPr>
                <w:rFonts w:ascii="Arial" w:hAnsi="Arial" w:cs="Arial"/>
                <w:bCs/>
                <w:sz w:val="18"/>
                <w:szCs w:val="18"/>
                <w:lang w:val="es-ES" w:eastAsia="es-ES"/>
              </w:rPr>
              <w:t>econocidas</w:t>
            </w:r>
            <w:r>
              <w:rPr>
                <w:rFonts w:ascii="Arial" w:hAnsi="Arial" w:cs="Arial"/>
                <w:bCs/>
                <w:sz w:val="18"/>
                <w:szCs w:val="18"/>
                <w:lang w:val="es-ES" w:eastAsia="es-ES"/>
              </w:rPr>
              <w:t xml:space="preserve"> </w:t>
            </w:r>
            <w:r w:rsidR="006E62EB" w:rsidRPr="005140B9">
              <w:rPr>
                <w:rFonts w:ascii="Arial" w:hAnsi="Arial" w:cs="Arial"/>
                <w:bCs/>
                <w:sz w:val="18"/>
                <w:szCs w:val="18"/>
                <w:lang w:val="es-ES" w:eastAsia="es-ES"/>
              </w:rPr>
              <w:t>2016</w:t>
            </w:r>
            <w:r w:rsidR="002E04BF">
              <w:rPr>
                <w:rFonts w:ascii="Arial" w:hAnsi="Arial" w:cs="Arial"/>
                <w:bCs/>
                <w:sz w:val="18"/>
                <w:szCs w:val="18"/>
                <w:lang w:val="es-ES" w:eastAsia="es-ES"/>
              </w:rPr>
              <w:t>*</w:t>
            </w:r>
          </w:p>
        </w:tc>
        <w:tc>
          <w:tcPr>
            <w:tcW w:w="2192" w:type="dxa"/>
            <w:tcBorders>
              <w:top w:val="single" w:sz="4" w:space="0" w:color="auto"/>
              <w:bottom w:val="single" w:sz="4" w:space="0" w:color="auto"/>
            </w:tcBorders>
            <w:shd w:val="clear" w:color="auto" w:fill="A0C3E3" w:themeFill="accent1" w:themeFillTint="99"/>
            <w:noWrap/>
            <w:vAlign w:val="center"/>
          </w:tcPr>
          <w:p w:rsidR="00215F32" w:rsidRDefault="001D4811" w:rsidP="006E62EB">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Obligac</w:t>
            </w:r>
            <w:r w:rsidR="00215F32">
              <w:rPr>
                <w:rFonts w:ascii="Arial" w:hAnsi="Arial" w:cs="Arial"/>
                <w:bCs/>
                <w:color w:val="000000"/>
                <w:sz w:val="18"/>
                <w:szCs w:val="18"/>
                <w:lang w:val="es-ES" w:eastAsia="es-ES"/>
              </w:rPr>
              <w:t>iones</w:t>
            </w:r>
          </w:p>
          <w:p w:rsidR="006E62EB" w:rsidRPr="00730AE6" w:rsidRDefault="00BD41E7" w:rsidP="00215F32">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 xml:space="preserve"> </w:t>
            </w:r>
            <w:r w:rsidR="00215F32">
              <w:rPr>
                <w:rFonts w:ascii="Arial" w:hAnsi="Arial" w:cs="Arial"/>
                <w:bCs/>
                <w:color w:val="000000"/>
                <w:sz w:val="18"/>
                <w:szCs w:val="18"/>
                <w:lang w:val="es-ES" w:eastAsia="es-ES"/>
              </w:rPr>
              <w:t>R</w:t>
            </w:r>
            <w:r w:rsidR="001D4811">
              <w:rPr>
                <w:rFonts w:ascii="Arial" w:hAnsi="Arial" w:cs="Arial"/>
                <w:bCs/>
                <w:color w:val="000000"/>
                <w:sz w:val="18"/>
                <w:szCs w:val="18"/>
                <w:lang w:val="es-ES" w:eastAsia="es-ES"/>
              </w:rPr>
              <w:t>econocidas</w:t>
            </w:r>
            <w:r w:rsidR="00215F32">
              <w:rPr>
                <w:rFonts w:ascii="Arial" w:hAnsi="Arial" w:cs="Arial"/>
                <w:bCs/>
                <w:color w:val="000000"/>
                <w:sz w:val="18"/>
                <w:szCs w:val="18"/>
                <w:lang w:val="es-ES" w:eastAsia="es-ES"/>
              </w:rPr>
              <w:t xml:space="preserve"> </w:t>
            </w:r>
            <w:r w:rsidR="006E62EB" w:rsidRPr="00730AE6">
              <w:rPr>
                <w:rFonts w:ascii="Arial" w:hAnsi="Arial" w:cs="Arial"/>
                <w:bCs/>
                <w:color w:val="000000"/>
                <w:sz w:val="18"/>
                <w:szCs w:val="18"/>
                <w:lang w:val="es-ES" w:eastAsia="es-ES"/>
              </w:rPr>
              <w:t>2017</w:t>
            </w:r>
          </w:p>
        </w:tc>
        <w:tc>
          <w:tcPr>
            <w:tcW w:w="1332" w:type="dxa"/>
            <w:tcBorders>
              <w:top w:val="single" w:sz="4" w:space="0" w:color="auto"/>
              <w:bottom w:val="single" w:sz="4" w:space="0" w:color="auto"/>
            </w:tcBorders>
            <w:shd w:val="clear" w:color="auto" w:fill="A0C3E3" w:themeFill="accent1" w:themeFillTint="99"/>
            <w:noWrap/>
            <w:vAlign w:val="center"/>
          </w:tcPr>
          <w:p w:rsidR="006A5EDE" w:rsidRDefault="006E62EB" w:rsidP="006E62EB">
            <w:pPr>
              <w:spacing w:after="0"/>
              <w:ind w:firstLine="0"/>
              <w:jc w:val="right"/>
              <w:rPr>
                <w:rFonts w:ascii="Arial" w:hAnsi="Arial" w:cs="Arial"/>
                <w:bCs/>
                <w:color w:val="000000"/>
                <w:sz w:val="18"/>
                <w:szCs w:val="18"/>
                <w:lang w:val="es-ES" w:eastAsia="es-ES"/>
              </w:rPr>
            </w:pPr>
            <w:r w:rsidRPr="00730AE6">
              <w:rPr>
                <w:rFonts w:ascii="Arial" w:hAnsi="Arial" w:cs="Arial"/>
                <w:bCs/>
                <w:color w:val="000000"/>
                <w:sz w:val="18"/>
                <w:szCs w:val="18"/>
                <w:lang w:val="es-ES" w:eastAsia="es-ES"/>
              </w:rPr>
              <w:t>%</w:t>
            </w:r>
            <w:r>
              <w:rPr>
                <w:rFonts w:ascii="Arial" w:hAnsi="Arial" w:cs="Arial"/>
                <w:bCs/>
                <w:color w:val="000000"/>
                <w:sz w:val="18"/>
                <w:szCs w:val="18"/>
                <w:lang w:val="es-ES" w:eastAsia="es-ES"/>
              </w:rPr>
              <w:t xml:space="preserve"> variación </w:t>
            </w:r>
          </w:p>
          <w:p w:rsidR="006E62EB" w:rsidRPr="00730AE6" w:rsidRDefault="006E62EB" w:rsidP="006E62EB">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2017/2016</w:t>
            </w:r>
          </w:p>
        </w:tc>
      </w:tr>
      <w:tr w:rsidR="006E62EB" w:rsidRPr="00730AE6" w:rsidTr="007179ED">
        <w:trPr>
          <w:trHeight w:val="255"/>
          <w:jc w:val="center"/>
        </w:trPr>
        <w:tc>
          <w:tcPr>
            <w:tcW w:w="3351" w:type="dxa"/>
            <w:tcBorders>
              <w:top w:val="single" w:sz="4" w:space="0" w:color="auto"/>
              <w:bottom w:val="single" w:sz="2" w:space="0" w:color="auto"/>
            </w:tcBorders>
            <w:shd w:val="clear" w:color="auto" w:fill="auto"/>
            <w:noWrap/>
            <w:vAlign w:val="center"/>
          </w:tcPr>
          <w:p w:rsidR="006E62EB" w:rsidRPr="00730AE6" w:rsidRDefault="006E62EB" w:rsidP="006E62EB">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Becas y ayudas a estudiantes</w:t>
            </w:r>
          </w:p>
        </w:tc>
        <w:tc>
          <w:tcPr>
            <w:tcW w:w="2015" w:type="dxa"/>
            <w:tcBorders>
              <w:top w:val="single" w:sz="4" w:space="0" w:color="auto"/>
              <w:bottom w:val="single" w:sz="2" w:space="0" w:color="auto"/>
            </w:tcBorders>
            <w:vAlign w:val="center"/>
          </w:tcPr>
          <w:p w:rsidR="006E62EB" w:rsidRPr="005140B9" w:rsidRDefault="006E62EB" w:rsidP="006E62EB">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965</w:t>
            </w:r>
          </w:p>
        </w:tc>
        <w:tc>
          <w:tcPr>
            <w:tcW w:w="2192" w:type="dxa"/>
            <w:tcBorders>
              <w:top w:val="single" w:sz="4" w:space="0" w:color="auto"/>
              <w:bottom w:val="single" w:sz="2" w:space="0" w:color="auto"/>
            </w:tcBorders>
            <w:shd w:val="clear" w:color="auto" w:fill="auto"/>
            <w:noWrap/>
            <w:vAlign w:val="center"/>
          </w:tcPr>
          <w:p w:rsidR="006E62EB" w:rsidRPr="00730AE6" w:rsidRDefault="006E62EB" w:rsidP="006E62EB">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1.211</w:t>
            </w:r>
          </w:p>
        </w:tc>
        <w:tc>
          <w:tcPr>
            <w:tcW w:w="1332" w:type="dxa"/>
            <w:tcBorders>
              <w:top w:val="single" w:sz="4" w:space="0" w:color="auto"/>
              <w:bottom w:val="single" w:sz="2" w:space="0" w:color="auto"/>
            </w:tcBorders>
            <w:shd w:val="clear" w:color="auto" w:fill="auto"/>
            <w:noWrap/>
            <w:vAlign w:val="center"/>
          </w:tcPr>
          <w:p w:rsidR="006E62EB" w:rsidRPr="00730AE6" w:rsidRDefault="006E62EB" w:rsidP="006E62EB">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25</w:t>
            </w:r>
          </w:p>
        </w:tc>
      </w:tr>
      <w:tr w:rsidR="006E62EB" w:rsidRPr="00730AE6" w:rsidTr="007179ED">
        <w:trPr>
          <w:trHeight w:val="255"/>
          <w:jc w:val="center"/>
        </w:trPr>
        <w:tc>
          <w:tcPr>
            <w:tcW w:w="3351" w:type="dxa"/>
            <w:tcBorders>
              <w:top w:val="single" w:sz="2" w:space="0" w:color="auto"/>
              <w:bottom w:val="single" w:sz="2" w:space="0" w:color="auto"/>
            </w:tcBorders>
            <w:shd w:val="clear" w:color="auto" w:fill="auto"/>
            <w:noWrap/>
            <w:vAlign w:val="center"/>
          </w:tcPr>
          <w:p w:rsidR="006E62EB" w:rsidRPr="001239D2" w:rsidRDefault="006E62EB" w:rsidP="006E62EB">
            <w:pPr>
              <w:spacing w:after="0"/>
              <w:ind w:firstLine="0"/>
              <w:jc w:val="left"/>
              <w:rPr>
                <w:rFonts w:ascii="Arial Narrow" w:hAnsi="Arial Narrow"/>
                <w:sz w:val="18"/>
                <w:szCs w:val="18"/>
                <w:lang w:eastAsia="es-ES"/>
              </w:rPr>
            </w:pPr>
            <w:r>
              <w:rPr>
                <w:rFonts w:ascii="Arial Narrow" w:hAnsi="Arial Narrow"/>
                <w:sz w:val="18"/>
                <w:szCs w:val="18"/>
                <w:lang w:eastAsia="es-ES"/>
              </w:rPr>
              <w:t>Becas y ayudas a PDI y PAS</w:t>
            </w:r>
          </w:p>
        </w:tc>
        <w:tc>
          <w:tcPr>
            <w:tcW w:w="2015" w:type="dxa"/>
            <w:tcBorders>
              <w:top w:val="single" w:sz="2" w:space="0" w:color="auto"/>
              <w:bottom w:val="single" w:sz="2" w:space="0" w:color="auto"/>
            </w:tcBorders>
            <w:vAlign w:val="center"/>
          </w:tcPr>
          <w:p w:rsidR="006E62EB" w:rsidRPr="005140B9" w:rsidRDefault="006E62EB" w:rsidP="006E62EB">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155</w:t>
            </w:r>
          </w:p>
        </w:tc>
        <w:tc>
          <w:tcPr>
            <w:tcW w:w="2192" w:type="dxa"/>
            <w:tcBorders>
              <w:top w:val="single" w:sz="2" w:space="0" w:color="auto"/>
              <w:bottom w:val="single" w:sz="2" w:space="0" w:color="auto"/>
            </w:tcBorders>
            <w:shd w:val="clear" w:color="auto" w:fill="auto"/>
            <w:noWrap/>
            <w:vAlign w:val="center"/>
          </w:tcPr>
          <w:p w:rsidR="006E62EB" w:rsidRPr="00730AE6" w:rsidRDefault="006E62EB" w:rsidP="006E62EB">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199</w:t>
            </w:r>
          </w:p>
        </w:tc>
        <w:tc>
          <w:tcPr>
            <w:tcW w:w="1332" w:type="dxa"/>
            <w:tcBorders>
              <w:top w:val="single" w:sz="2" w:space="0" w:color="auto"/>
              <w:bottom w:val="single" w:sz="2" w:space="0" w:color="auto"/>
            </w:tcBorders>
            <w:shd w:val="clear" w:color="auto" w:fill="auto"/>
            <w:noWrap/>
            <w:vAlign w:val="center"/>
          </w:tcPr>
          <w:p w:rsidR="006E62EB" w:rsidRPr="00730AE6" w:rsidRDefault="006E62EB" w:rsidP="006E62EB">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28</w:t>
            </w:r>
          </w:p>
        </w:tc>
      </w:tr>
      <w:tr w:rsidR="006E62EB" w:rsidRPr="00730AE6" w:rsidTr="007179ED">
        <w:trPr>
          <w:trHeight w:val="255"/>
          <w:jc w:val="center"/>
        </w:trPr>
        <w:tc>
          <w:tcPr>
            <w:tcW w:w="3351" w:type="dxa"/>
            <w:tcBorders>
              <w:top w:val="single" w:sz="2" w:space="0" w:color="auto"/>
              <w:bottom w:val="single" w:sz="2" w:space="0" w:color="auto"/>
            </w:tcBorders>
            <w:shd w:val="clear" w:color="auto" w:fill="auto"/>
            <w:noWrap/>
            <w:vAlign w:val="center"/>
          </w:tcPr>
          <w:p w:rsidR="006E62EB" w:rsidRPr="00730AE6" w:rsidRDefault="006E62EB" w:rsidP="006E62EB">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Transferencias a instituciones sin ánimo de lucro</w:t>
            </w:r>
          </w:p>
        </w:tc>
        <w:tc>
          <w:tcPr>
            <w:tcW w:w="2015" w:type="dxa"/>
            <w:tcBorders>
              <w:top w:val="single" w:sz="2" w:space="0" w:color="auto"/>
              <w:bottom w:val="single" w:sz="2" w:space="0" w:color="auto"/>
            </w:tcBorders>
            <w:vAlign w:val="center"/>
          </w:tcPr>
          <w:p w:rsidR="006E62EB" w:rsidRPr="005140B9" w:rsidRDefault="006E62EB" w:rsidP="006E62EB">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533</w:t>
            </w:r>
          </w:p>
        </w:tc>
        <w:tc>
          <w:tcPr>
            <w:tcW w:w="2192" w:type="dxa"/>
            <w:tcBorders>
              <w:top w:val="single" w:sz="2" w:space="0" w:color="auto"/>
              <w:bottom w:val="single" w:sz="2" w:space="0" w:color="auto"/>
            </w:tcBorders>
            <w:shd w:val="clear" w:color="auto" w:fill="auto"/>
            <w:noWrap/>
            <w:vAlign w:val="center"/>
          </w:tcPr>
          <w:p w:rsidR="006E62EB" w:rsidRPr="00730AE6" w:rsidRDefault="006E62EB" w:rsidP="006E62EB">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625</w:t>
            </w:r>
          </w:p>
        </w:tc>
        <w:tc>
          <w:tcPr>
            <w:tcW w:w="1332" w:type="dxa"/>
            <w:tcBorders>
              <w:top w:val="single" w:sz="2" w:space="0" w:color="auto"/>
              <w:bottom w:val="single" w:sz="2" w:space="0" w:color="auto"/>
            </w:tcBorders>
            <w:shd w:val="clear" w:color="auto" w:fill="auto"/>
            <w:noWrap/>
            <w:vAlign w:val="center"/>
          </w:tcPr>
          <w:p w:rsidR="006E62EB" w:rsidRPr="00730AE6" w:rsidRDefault="006E62EB" w:rsidP="006E62EB">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17</w:t>
            </w:r>
          </w:p>
        </w:tc>
      </w:tr>
      <w:tr w:rsidR="006E62EB" w:rsidRPr="00730AE6" w:rsidTr="007179ED">
        <w:trPr>
          <w:trHeight w:val="255"/>
          <w:jc w:val="center"/>
        </w:trPr>
        <w:tc>
          <w:tcPr>
            <w:tcW w:w="3351" w:type="dxa"/>
            <w:tcBorders>
              <w:top w:val="single" w:sz="2" w:space="0" w:color="auto"/>
              <w:bottom w:val="single" w:sz="2" w:space="0" w:color="auto"/>
            </w:tcBorders>
            <w:shd w:val="clear" w:color="auto" w:fill="auto"/>
            <w:noWrap/>
            <w:vAlign w:val="center"/>
          </w:tcPr>
          <w:p w:rsidR="006E62EB" w:rsidRPr="00730AE6" w:rsidRDefault="006E62EB" w:rsidP="006E62EB">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Ayudas a asociaciones y otras representaciones</w:t>
            </w:r>
          </w:p>
        </w:tc>
        <w:tc>
          <w:tcPr>
            <w:tcW w:w="2015" w:type="dxa"/>
            <w:tcBorders>
              <w:top w:val="single" w:sz="2" w:space="0" w:color="auto"/>
              <w:bottom w:val="single" w:sz="2" w:space="0" w:color="auto"/>
            </w:tcBorders>
            <w:vAlign w:val="center"/>
          </w:tcPr>
          <w:p w:rsidR="006E62EB" w:rsidRPr="005140B9" w:rsidRDefault="006E62EB" w:rsidP="006E62EB">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11</w:t>
            </w:r>
          </w:p>
        </w:tc>
        <w:tc>
          <w:tcPr>
            <w:tcW w:w="2192" w:type="dxa"/>
            <w:tcBorders>
              <w:top w:val="single" w:sz="2" w:space="0" w:color="auto"/>
              <w:bottom w:val="single" w:sz="2" w:space="0" w:color="auto"/>
            </w:tcBorders>
            <w:shd w:val="clear" w:color="auto" w:fill="auto"/>
            <w:noWrap/>
            <w:vAlign w:val="center"/>
          </w:tcPr>
          <w:p w:rsidR="006E62EB" w:rsidRPr="00730AE6" w:rsidRDefault="006E62EB" w:rsidP="006E62EB">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12</w:t>
            </w:r>
          </w:p>
        </w:tc>
        <w:tc>
          <w:tcPr>
            <w:tcW w:w="1332" w:type="dxa"/>
            <w:tcBorders>
              <w:top w:val="single" w:sz="2" w:space="0" w:color="auto"/>
              <w:bottom w:val="single" w:sz="2" w:space="0" w:color="auto"/>
            </w:tcBorders>
            <w:shd w:val="clear" w:color="auto" w:fill="auto"/>
            <w:noWrap/>
            <w:vAlign w:val="center"/>
          </w:tcPr>
          <w:p w:rsidR="006E62EB" w:rsidRPr="00730AE6" w:rsidRDefault="006E62EB" w:rsidP="006E62EB">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9</w:t>
            </w:r>
          </w:p>
        </w:tc>
      </w:tr>
      <w:tr w:rsidR="006E62EB" w:rsidRPr="00730AE6" w:rsidTr="007179ED">
        <w:trPr>
          <w:trHeight w:val="255"/>
          <w:jc w:val="center"/>
        </w:trPr>
        <w:tc>
          <w:tcPr>
            <w:tcW w:w="3351" w:type="dxa"/>
            <w:tcBorders>
              <w:top w:val="single" w:sz="2" w:space="0" w:color="auto"/>
              <w:bottom w:val="single" w:sz="2" w:space="0" w:color="auto"/>
            </w:tcBorders>
            <w:shd w:val="clear" w:color="auto" w:fill="A8CBEE" w:themeFill="accent2" w:themeFillTint="66"/>
            <w:noWrap/>
            <w:vAlign w:val="center"/>
          </w:tcPr>
          <w:p w:rsidR="006E62EB" w:rsidRPr="00730AE6" w:rsidRDefault="006E62EB" w:rsidP="006E62EB">
            <w:pPr>
              <w:pStyle w:val="cuadroCabe"/>
              <w:rPr>
                <w:lang w:val="es-ES" w:eastAsia="es-ES"/>
              </w:rPr>
            </w:pPr>
            <w:r>
              <w:rPr>
                <w:lang w:val="es-ES" w:eastAsia="es-ES"/>
              </w:rPr>
              <w:t>Total</w:t>
            </w:r>
          </w:p>
        </w:tc>
        <w:tc>
          <w:tcPr>
            <w:tcW w:w="2015" w:type="dxa"/>
            <w:tcBorders>
              <w:top w:val="single" w:sz="2" w:space="0" w:color="auto"/>
              <w:bottom w:val="single" w:sz="2" w:space="0" w:color="auto"/>
            </w:tcBorders>
            <w:shd w:val="clear" w:color="auto" w:fill="A8CBEE" w:themeFill="accent2" w:themeFillTint="66"/>
            <w:vAlign w:val="center"/>
          </w:tcPr>
          <w:p w:rsidR="006E62EB" w:rsidRPr="005140B9" w:rsidRDefault="006E62EB" w:rsidP="006E62EB">
            <w:pPr>
              <w:pStyle w:val="cuadroCabe"/>
              <w:jc w:val="right"/>
              <w:rPr>
                <w:lang w:val="es-ES" w:eastAsia="es-ES"/>
              </w:rPr>
            </w:pPr>
            <w:r>
              <w:rPr>
                <w:lang w:val="es-ES" w:eastAsia="es-ES"/>
              </w:rPr>
              <w:t>1.664</w:t>
            </w:r>
          </w:p>
        </w:tc>
        <w:tc>
          <w:tcPr>
            <w:tcW w:w="2192" w:type="dxa"/>
            <w:tcBorders>
              <w:top w:val="single" w:sz="2" w:space="0" w:color="auto"/>
              <w:bottom w:val="single" w:sz="2" w:space="0" w:color="auto"/>
            </w:tcBorders>
            <w:shd w:val="clear" w:color="auto" w:fill="A8CBEE" w:themeFill="accent2" w:themeFillTint="66"/>
            <w:noWrap/>
            <w:vAlign w:val="center"/>
          </w:tcPr>
          <w:p w:rsidR="006E62EB" w:rsidRPr="00730AE6" w:rsidRDefault="006E62EB" w:rsidP="006E62EB">
            <w:pPr>
              <w:pStyle w:val="cuadroCabe"/>
              <w:jc w:val="right"/>
              <w:rPr>
                <w:lang w:val="es-ES" w:eastAsia="es-ES"/>
              </w:rPr>
            </w:pPr>
            <w:r>
              <w:rPr>
                <w:lang w:val="es-ES" w:eastAsia="es-ES"/>
              </w:rPr>
              <w:t>2.047</w:t>
            </w:r>
          </w:p>
        </w:tc>
        <w:tc>
          <w:tcPr>
            <w:tcW w:w="1332" w:type="dxa"/>
            <w:tcBorders>
              <w:top w:val="single" w:sz="2" w:space="0" w:color="auto"/>
              <w:bottom w:val="single" w:sz="2" w:space="0" w:color="auto"/>
            </w:tcBorders>
            <w:shd w:val="clear" w:color="auto" w:fill="A8CBEE" w:themeFill="accent2" w:themeFillTint="66"/>
            <w:noWrap/>
            <w:vAlign w:val="center"/>
          </w:tcPr>
          <w:p w:rsidR="006E62EB" w:rsidRPr="00730AE6" w:rsidRDefault="006E62EB" w:rsidP="006E62EB">
            <w:pPr>
              <w:pStyle w:val="cuadroCabe"/>
              <w:jc w:val="right"/>
              <w:rPr>
                <w:lang w:val="es-ES" w:eastAsia="es-ES"/>
              </w:rPr>
            </w:pPr>
            <w:r>
              <w:rPr>
                <w:lang w:val="es-ES" w:eastAsia="es-ES"/>
              </w:rPr>
              <w:t>23</w:t>
            </w:r>
          </w:p>
        </w:tc>
      </w:tr>
    </w:tbl>
    <w:p w:rsidR="002E04BF" w:rsidRPr="00215F32" w:rsidRDefault="002E04BF" w:rsidP="001D56C7">
      <w:pPr>
        <w:pStyle w:val="texto"/>
        <w:tabs>
          <w:tab w:val="clear" w:pos="2835"/>
          <w:tab w:val="clear" w:pos="3969"/>
          <w:tab w:val="clear" w:pos="5103"/>
          <w:tab w:val="clear" w:pos="6237"/>
          <w:tab w:val="clear" w:pos="7371"/>
          <w:tab w:val="left" w:pos="480"/>
          <w:tab w:val="num" w:pos="928"/>
          <w:tab w:val="num" w:pos="6597"/>
        </w:tabs>
        <w:spacing w:before="60" w:after="0"/>
        <w:ind w:left="142" w:firstLine="0"/>
        <w:rPr>
          <w:rFonts w:ascii="Arial" w:hAnsi="Arial" w:cs="Arial"/>
          <w:sz w:val="14"/>
          <w:szCs w:val="14"/>
        </w:rPr>
      </w:pPr>
      <w:r w:rsidRPr="00215F32">
        <w:rPr>
          <w:rFonts w:ascii="Arial" w:hAnsi="Arial" w:cs="Arial"/>
          <w:sz w:val="14"/>
          <w:szCs w:val="14"/>
        </w:rPr>
        <w:t>*Ejercicio no auditado</w:t>
      </w:r>
    </w:p>
    <w:p w:rsidR="006E62EB" w:rsidRPr="00D152CE" w:rsidRDefault="006E62EB" w:rsidP="00215F32">
      <w:pPr>
        <w:pStyle w:val="texto"/>
        <w:spacing w:before="120"/>
        <w:rPr>
          <w:szCs w:val="26"/>
        </w:rPr>
      </w:pPr>
      <w:r>
        <w:rPr>
          <w:szCs w:val="26"/>
        </w:rPr>
        <w:t xml:space="preserve">Dentro de las transferencias a instituciones sin ánimo de lucro se incluye la destinada a la </w:t>
      </w:r>
      <w:r w:rsidR="00B17471">
        <w:rPr>
          <w:szCs w:val="26"/>
        </w:rPr>
        <w:t>F</w:t>
      </w:r>
      <w:r>
        <w:rPr>
          <w:szCs w:val="26"/>
        </w:rPr>
        <w:t xml:space="preserve">undación </w:t>
      </w:r>
      <w:r w:rsidR="009D7DD5">
        <w:rPr>
          <w:szCs w:val="26"/>
        </w:rPr>
        <w:t>Universidad</w:t>
      </w:r>
      <w:r>
        <w:rPr>
          <w:szCs w:val="26"/>
        </w:rPr>
        <w:t xml:space="preserve">-Sociedad con 0,43 millones. </w:t>
      </w:r>
      <w:r w:rsidRPr="00D152CE">
        <w:rPr>
          <w:szCs w:val="26"/>
        </w:rPr>
        <w:t xml:space="preserve">Este importe se destina, dentro de la encomienda, </w:t>
      </w:r>
      <w:r w:rsidR="00B8178C" w:rsidRPr="00D152CE">
        <w:rPr>
          <w:szCs w:val="26"/>
        </w:rPr>
        <w:t xml:space="preserve">a </w:t>
      </w:r>
      <w:r w:rsidRPr="00D152CE">
        <w:rPr>
          <w:szCs w:val="26"/>
        </w:rPr>
        <w:t>las actividades del Centro Superior de Idiomas, el Programa Alumni y el Centro I+D.</w:t>
      </w:r>
    </w:p>
    <w:p w:rsidR="006E62EB" w:rsidRDefault="006E62EB" w:rsidP="007179ED">
      <w:pPr>
        <w:pStyle w:val="texto"/>
        <w:spacing w:after="120"/>
        <w:rPr>
          <w:szCs w:val="26"/>
        </w:rPr>
      </w:pPr>
      <w:r w:rsidRPr="00266FA5">
        <w:rPr>
          <w:szCs w:val="26"/>
        </w:rPr>
        <w:t>La muestra revisada de transferencias corrientes concedidas en</w:t>
      </w:r>
      <w:r>
        <w:rPr>
          <w:szCs w:val="26"/>
        </w:rPr>
        <w:t xml:space="preserve"> </w:t>
      </w:r>
      <w:r w:rsidRPr="00266FA5">
        <w:rPr>
          <w:szCs w:val="26"/>
        </w:rPr>
        <w:t>2017 ha sido la siguiente:</w:t>
      </w:r>
    </w:p>
    <w:tbl>
      <w:tblPr>
        <w:tblW w:w="8823" w:type="dxa"/>
        <w:tblInd w:w="113" w:type="dxa"/>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4210"/>
        <w:gridCol w:w="1587"/>
        <w:gridCol w:w="1531"/>
        <w:gridCol w:w="1495"/>
      </w:tblGrid>
      <w:tr w:rsidR="001D56C7" w:rsidRPr="00730AE6" w:rsidTr="00215F32">
        <w:trPr>
          <w:trHeight w:val="255"/>
        </w:trPr>
        <w:tc>
          <w:tcPr>
            <w:tcW w:w="4210" w:type="dxa"/>
            <w:tcBorders>
              <w:top w:val="single" w:sz="4" w:space="0" w:color="auto"/>
              <w:bottom w:val="single" w:sz="4" w:space="0" w:color="auto"/>
            </w:tcBorders>
            <w:shd w:val="clear" w:color="auto" w:fill="A0C3E3" w:themeFill="accent1" w:themeFillTint="99"/>
            <w:noWrap/>
            <w:vAlign w:val="center"/>
          </w:tcPr>
          <w:p w:rsidR="001D56C7" w:rsidRPr="00730AE6" w:rsidRDefault="001D56C7" w:rsidP="006E62EB">
            <w:pPr>
              <w:pStyle w:val="cuadroCabe"/>
              <w:rPr>
                <w:lang w:val="es-ES" w:eastAsia="es-ES"/>
              </w:rPr>
            </w:pPr>
            <w:r>
              <w:rPr>
                <w:lang w:val="es-ES" w:eastAsia="es-ES"/>
              </w:rPr>
              <w:t>Concepto</w:t>
            </w:r>
          </w:p>
        </w:tc>
        <w:tc>
          <w:tcPr>
            <w:tcW w:w="1587" w:type="dxa"/>
            <w:tcBorders>
              <w:top w:val="single" w:sz="4" w:space="0" w:color="auto"/>
              <w:bottom w:val="single" w:sz="4" w:space="0" w:color="auto"/>
            </w:tcBorders>
            <w:shd w:val="clear" w:color="auto" w:fill="A0C3E3" w:themeFill="accent1" w:themeFillTint="99"/>
            <w:vAlign w:val="center"/>
          </w:tcPr>
          <w:p w:rsidR="001D56C7" w:rsidRPr="00730AE6" w:rsidRDefault="001D56C7" w:rsidP="001D4811">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Gasto 2016*</w:t>
            </w:r>
          </w:p>
        </w:tc>
        <w:tc>
          <w:tcPr>
            <w:tcW w:w="1531" w:type="dxa"/>
            <w:tcBorders>
              <w:top w:val="single" w:sz="4" w:space="0" w:color="auto"/>
              <w:bottom w:val="single" w:sz="4" w:space="0" w:color="auto"/>
            </w:tcBorders>
            <w:shd w:val="clear" w:color="auto" w:fill="A0C3E3" w:themeFill="accent1" w:themeFillTint="99"/>
            <w:vAlign w:val="center"/>
          </w:tcPr>
          <w:p w:rsidR="001D56C7" w:rsidRPr="00730AE6" w:rsidRDefault="001D56C7" w:rsidP="001D6679">
            <w:pPr>
              <w:spacing w:after="0"/>
              <w:ind w:left="-148"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Gasto 2017</w:t>
            </w:r>
          </w:p>
        </w:tc>
        <w:tc>
          <w:tcPr>
            <w:tcW w:w="1495" w:type="dxa"/>
            <w:tcBorders>
              <w:top w:val="single" w:sz="4" w:space="0" w:color="auto"/>
              <w:bottom w:val="single" w:sz="4" w:space="0" w:color="auto"/>
            </w:tcBorders>
            <w:shd w:val="clear" w:color="auto" w:fill="A0C3E3" w:themeFill="accent1" w:themeFillTint="99"/>
            <w:vAlign w:val="center"/>
          </w:tcPr>
          <w:p w:rsidR="001D56C7" w:rsidRDefault="001D56C7" w:rsidP="00A24DBB">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 variación</w:t>
            </w:r>
          </w:p>
          <w:p w:rsidR="001D56C7" w:rsidRPr="00730AE6" w:rsidRDefault="001D56C7" w:rsidP="00A24DBB">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2017/2016</w:t>
            </w:r>
          </w:p>
        </w:tc>
      </w:tr>
      <w:tr w:rsidR="001D56C7" w:rsidRPr="00730AE6" w:rsidTr="00215F32">
        <w:trPr>
          <w:trHeight w:val="255"/>
        </w:trPr>
        <w:tc>
          <w:tcPr>
            <w:tcW w:w="4210" w:type="dxa"/>
            <w:tcBorders>
              <w:top w:val="single" w:sz="4" w:space="0" w:color="auto"/>
              <w:bottom w:val="single" w:sz="2" w:space="0" w:color="auto"/>
            </w:tcBorders>
            <w:shd w:val="clear" w:color="auto" w:fill="auto"/>
            <w:noWrap/>
            <w:vAlign w:val="center"/>
          </w:tcPr>
          <w:p w:rsidR="001D56C7" w:rsidRPr="00730AE6" w:rsidRDefault="001D56C7" w:rsidP="006E62EB">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Becas y ayudas a estudiantes por matrícula</w:t>
            </w:r>
          </w:p>
        </w:tc>
        <w:tc>
          <w:tcPr>
            <w:tcW w:w="1587" w:type="dxa"/>
            <w:tcBorders>
              <w:top w:val="single" w:sz="4" w:space="0" w:color="auto"/>
              <w:bottom w:val="single" w:sz="2" w:space="0" w:color="auto"/>
            </w:tcBorders>
            <w:vAlign w:val="center"/>
          </w:tcPr>
          <w:p w:rsidR="001D56C7" w:rsidRPr="00730AE6" w:rsidRDefault="001D56C7" w:rsidP="00A24DBB">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55.553</w:t>
            </w:r>
          </w:p>
        </w:tc>
        <w:tc>
          <w:tcPr>
            <w:tcW w:w="1531" w:type="dxa"/>
            <w:tcBorders>
              <w:top w:val="single" w:sz="4" w:space="0" w:color="auto"/>
              <w:bottom w:val="single" w:sz="2" w:space="0" w:color="auto"/>
            </w:tcBorders>
            <w:vAlign w:val="center"/>
          </w:tcPr>
          <w:p w:rsidR="001D56C7" w:rsidRPr="00730AE6" w:rsidRDefault="001D56C7" w:rsidP="001D6679">
            <w:pPr>
              <w:spacing w:after="0"/>
              <w:ind w:left="-148" w:firstLine="0"/>
              <w:jc w:val="right"/>
              <w:rPr>
                <w:rFonts w:ascii="Arial Narrow" w:hAnsi="Arial Narrow"/>
                <w:sz w:val="18"/>
                <w:szCs w:val="18"/>
                <w:lang w:val="es-ES" w:eastAsia="es-ES"/>
              </w:rPr>
            </w:pPr>
            <w:r>
              <w:rPr>
                <w:rFonts w:ascii="Arial Narrow" w:hAnsi="Arial Narrow"/>
                <w:sz w:val="18"/>
                <w:szCs w:val="18"/>
                <w:lang w:val="es-ES" w:eastAsia="es-ES"/>
              </w:rPr>
              <w:t>39.107</w:t>
            </w:r>
          </w:p>
        </w:tc>
        <w:tc>
          <w:tcPr>
            <w:tcW w:w="1495" w:type="dxa"/>
            <w:tcBorders>
              <w:top w:val="single" w:sz="4" w:space="0" w:color="auto"/>
              <w:bottom w:val="single" w:sz="2" w:space="0" w:color="auto"/>
            </w:tcBorders>
            <w:vAlign w:val="center"/>
          </w:tcPr>
          <w:p w:rsidR="001D56C7" w:rsidRPr="00730AE6" w:rsidRDefault="001D56C7" w:rsidP="00EB383A">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-30</w:t>
            </w:r>
          </w:p>
        </w:tc>
      </w:tr>
      <w:tr w:rsidR="001D56C7" w:rsidRPr="00730AE6" w:rsidTr="00215F32">
        <w:trPr>
          <w:trHeight w:val="255"/>
        </w:trPr>
        <w:tc>
          <w:tcPr>
            <w:tcW w:w="4210" w:type="dxa"/>
            <w:tcBorders>
              <w:top w:val="single" w:sz="2" w:space="0" w:color="auto"/>
              <w:bottom w:val="single" w:sz="2" w:space="0" w:color="auto"/>
            </w:tcBorders>
            <w:shd w:val="clear" w:color="auto" w:fill="auto"/>
            <w:noWrap/>
            <w:vAlign w:val="center"/>
          </w:tcPr>
          <w:p w:rsidR="001D56C7" w:rsidRPr="001239D2" w:rsidRDefault="001D56C7" w:rsidP="006E62EB">
            <w:pPr>
              <w:spacing w:after="0"/>
              <w:ind w:firstLine="0"/>
              <w:jc w:val="left"/>
              <w:rPr>
                <w:rFonts w:ascii="Arial Narrow" w:hAnsi="Arial Narrow"/>
                <w:sz w:val="18"/>
                <w:szCs w:val="18"/>
                <w:lang w:eastAsia="es-ES"/>
              </w:rPr>
            </w:pPr>
            <w:r>
              <w:rPr>
                <w:rFonts w:ascii="Arial Narrow" w:hAnsi="Arial Narrow"/>
                <w:sz w:val="18"/>
                <w:szCs w:val="18"/>
                <w:lang w:eastAsia="es-ES"/>
              </w:rPr>
              <w:t>Becas cátedra</w:t>
            </w:r>
          </w:p>
        </w:tc>
        <w:tc>
          <w:tcPr>
            <w:tcW w:w="1587" w:type="dxa"/>
            <w:tcBorders>
              <w:top w:val="single" w:sz="2" w:space="0" w:color="auto"/>
              <w:bottom w:val="single" w:sz="2" w:space="0" w:color="auto"/>
            </w:tcBorders>
            <w:vAlign w:val="center"/>
          </w:tcPr>
          <w:p w:rsidR="001D56C7" w:rsidRPr="00730AE6" w:rsidRDefault="001D56C7" w:rsidP="00A24DBB">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47.222</w:t>
            </w:r>
          </w:p>
        </w:tc>
        <w:tc>
          <w:tcPr>
            <w:tcW w:w="1531" w:type="dxa"/>
            <w:tcBorders>
              <w:top w:val="single" w:sz="2" w:space="0" w:color="auto"/>
              <w:bottom w:val="single" w:sz="2" w:space="0" w:color="auto"/>
            </w:tcBorders>
            <w:vAlign w:val="center"/>
          </w:tcPr>
          <w:p w:rsidR="001D56C7" w:rsidRPr="00730AE6" w:rsidRDefault="001D56C7" w:rsidP="001D6679">
            <w:pPr>
              <w:spacing w:after="0"/>
              <w:ind w:left="-148" w:firstLine="0"/>
              <w:jc w:val="right"/>
              <w:rPr>
                <w:rFonts w:ascii="Arial Narrow" w:hAnsi="Arial Narrow"/>
                <w:sz w:val="18"/>
                <w:szCs w:val="18"/>
                <w:lang w:val="es-ES" w:eastAsia="es-ES"/>
              </w:rPr>
            </w:pPr>
            <w:r>
              <w:rPr>
                <w:rFonts w:ascii="Arial Narrow" w:hAnsi="Arial Narrow"/>
                <w:sz w:val="18"/>
                <w:szCs w:val="18"/>
                <w:lang w:val="es-ES" w:eastAsia="es-ES"/>
              </w:rPr>
              <w:t>59.685</w:t>
            </w:r>
          </w:p>
        </w:tc>
        <w:tc>
          <w:tcPr>
            <w:tcW w:w="1495" w:type="dxa"/>
            <w:tcBorders>
              <w:top w:val="single" w:sz="2" w:space="0" w:color="auto"/>
              <w:bottom w:val="single" w:sz="2" w:space="0" w:color="auto"/>
            </w:tcBorders>
            <w:vAlign w:val="center"/>
          </w:tcPr>
          <w:p w:rsidR="001D56C7" w:rsidRPr="00730AE6" w:rsidRDefault="001D56C7" w:rsidP="00A24DBB">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26</w:t>
            </w:r>
          </w:p>
        </w:tc>
      </w:tr>
      <w:tr w:rsidR="001D56C7" w:rsidRPr="00730AE6" w:rsidTr="00215F32">
        <w:trPr>
          <w:trHeight w:val="255"/>
        </w:trPr>
        <w:tc>
          <w:tcPr>
            <w:tcW w:w="4210" w:type="dxa"/>
            <w:tcBorders>
              <w:top w:val="single" w:sz="2" w:space="0" w:color="auto"/>
              <w:bottom w:val="single" w:sz="4" w:space="0" w:color="auto"/>
            </w:tcBorders>
            <w:shd w:val="clear" w:color="auto" w:fill="auto"/>
            <w:noWrap/>
            <w:vAlign w:val="center"/>
          </w:tcPr>
          <w:p w:rsidR="001D56C7" w:rsidRPr="00730AE6" w:rsidRDefault="001D56C7" w:rsidP="006E62EB">
            <w:pPr>
              <w:spacing w:after="0"/>
              <w:ind w:right="-215" w:firstLine="0"/>
              <w:jc w:val="left"/>
              <w:rPr>
                <w:rFonts w:ascii="Arial Narrow" w:hAnsi="Arial Narrow"/>
                <w:sz w:val="18"/>
                <w:szCs w:val="18"/>
                <w:lang w:val="es-ES" w:eastAsia="es-ES"/>
              </w:rPr>
            </w:pPr>
            <w:r>
              <w:rPr>
                <w:rFonts w:ascii="Arial Narrow" w:hAnsi="Arial Narrow"/>
                <w:sz w:val="18"/>
                <w:szCs w:val="18"/>
                <w:lang w:val="es-ES" w:eastAsia="es-ES"/>
              </w:rPr>
              <w:t>Ayudas estancia en centros de investigación extranjeros</w:t>
            </w:r>
          </w:p>
        </w:tc>
        <w:tc>
          <w:tcPr>
            <w:tcW w:w="1587" w:type="dxa"/>
            <w:tcBorders>
              <w:top w:val="single" w:sz="2" w:space="0" w:color="auto"/>
              <w:bottom w:val="single" w:sz="4" w:space="0" w:color="auto"/>
            </w:tcBorders>
            <w:vAlign w:val="center"/>
          </w:tcPr>
          <w:p w:rsidR="001D56C7" w:rsidRPr="00730AE6" w:rsidRDefault="001D56C7" w:rsidP="00A24DBB">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124.530</w:t>
            </w:r>
          </w:p>
        </w:tc>
        <w:tc>
          <w:tcPr>
            <w:tcW w:w="1531" w:type="dxa"/>
            <w:tcBorders>
              <w:top w:val="single" w:sz="2" w:space="0" w:color="auto"/>
              <w:bottom w:val="single" w:sz="4" w:space="0" w:color="auto"/>
            </w:tcBorders>
            <w:vAlign w:val="center"/>
          </w:tcPr>
          <w:p w:rsidR="001D56C7" w:rsidRPr="00730AE6" w:rsidRDefault="001D56C7" w:rsidP="001D6679">
            <w:pPr>
              <w:spacing w:after="0"/>
              <w:ind w:left="-148" w:firstLine="0"/>
              <w:jc w:val="right"/>
              <w:rPr>
                <w:rFonts w:ascii="Arial Narrow" w:hAnsi="Arial Narrow"/>
                <w:sz w:val="18"/>
                <w:szCs w:val="18"/>
                <w:lang w:val="es-ES" w:eastAsia="es-ES"/>
              </w:rPr>
            </w:pPr>
            <w:r>
              <w:rPr>
                <w:rFonts w:ascii="Arial Narrow" w:hAnsi="Arial Narrow"/>
                <w:sz w:val="18"/>
                <w:szCs w:val="18"/>
                <w:lang w:val="es-ES" w:eastAsia="es-ES"/>
              </w:rPr>
              <w:t>130.518</w:t>
            </w:r>
          </w:p>
        </w:tc>
        <w:tc>
          <w:tcPr>
            <w:tcW w:w="1495" w:type="dxa"/>
            <w:tcBorders>
              <w:top w:val="single" w:sz="2" w:space="0" w:color="auto"/>
              <w:bottom w:val="single" w:sz="4" w:space="0" w:color="auto"/>
            </w:tcBorders>
            <w:vAlign w:val="center"/>
          </w:tcPr>
          <w:p w:rsidR="001D56C7" w:rsidRPr="00730AE6" w:rsidRDefault="001D56C7" w:rsidP="00A24DBB">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5</w:t>
            </w:r>
          </w:p>
        </w:tc>
      </w:tr>
    </w:tbl>
    <w:p w:rsidR="002F28D7" w:rsidRPr="00215F32" w:rsidRDefault="002F28D7" w:rsidP="00215F32">
      <w:pPr>
        <w:pStyle w:val="texto"/>
        <w:tabs>
          <w:tab w:val="clear" w:pos="2835"/>
          <w:tab w:val="clear" w:pos="3969"/>
          <w:tab w:val="clear" w:pos="5103"/>
          <w:tab w:val="clear" w:pos="6237"/>
          <w:tab w:val="clear" w:pos="7371"/>
          <w:tab w:val="left" w:pos="480"/>
          <w:tab w:val="num" w:pos="928"/>
          <w:tab w:val="num" w:pos="6597"/>
        </w:tabs>
        <w:spacing w:before="60"/>
        <w:ind w:firstLine="0"/>
        <w:rPr>
          <w:rFonts w:ascii="Arial" w:hAnsi="Arial" w:cs="Arial"/>
          <w:sz w:val="14"/>
          <w:szCs w:val="14"/>
        </w:rPr>
      </w:pPr>
      <w:r w:rsidRPr="00215F32">
        <w:rPr>
          <w:rFonts w:ascii="Arial" w:hAnsi="Arial" w:cs="Arial"/>
          <w:sz w:val="14"/>
          <w:szCs w:val="14"/>
        </w:rPr>
        <w:t>*Ejercicio no auditado</w:t>
      </w:r>
    </w:p>
    <w:p w:rsidR="00D152CE" w:rsidRDefault="006E62EB" w:rsidP="00215F32">
      <w:pPr>
        <w:pStyle w:val="texto"/>
        <w:spacing w:before="240"/>
        <w:rPr>
          <w:szCs w:val="26"/>
        </w:rPr>
      </w:pPr>
      <w:r>
        <w:rPr>
          <w:szCs w:val="26"/>
        </w:rPr>
        <w:t>Se ha comprobado que, en general, los gastos revisados están autorizados, intervenidos, justificados y correctamente contabilizados, y la concesión, justificación y abono se realizó conforme a lo establecido en su normativa reguladora</w:t>
      </w:r>
      <w:r w:rsidR="00D127EF">
        <w:rPr>
          <w:szCs w:val="26"/>
        </w:rPr>
        <w:t>.</w:t>
      </w:r>
    </w:p>
    <w:p w:rsidR="003D4D07" w:rsidRPr="009F32D5" w:rsidRDefault="003D4D07" w:rsidP="00215F32">
      <w:pPr>
        <w:pStyle w:val="atitulo3"/>
        <w:spacing w:before="240" w:after="120"/>
        <w:rPr>
          <w:i w:val="0"/>
        </w:rPr>
      </w:pPr>
      <w:r w:rsidRPr="009F32D5">
        <w:rPr>
          <w:i w:val="0"/>
        </w:rPr>
        <w:t>V</w:t>
      </w:r>
      <w:r w:rsidR="00613F68">
        <w:rPr>
          <w:i w:val="0"/>
        </w:rPr>
        <w:t>I</w:t>
      </w:r>
      <w:r w:rsidRPr="009F32D5">
        <w:rPr>
          <w:i w:val="0"/>
        </w:rPr>
        <w:t>.</w:t>
      </w:r>
      <w:r w:rsidR="00E037D2">
        <w:rPr>
          <w:i w:val="0"/>
        </w:rPr>
        <w:t>4</w:t>
      </w:r>
      <w:r w:rsidRPr="009F32D5">
        <w:rPr>
          <w:i w:val="0"/>
        </w:rPr>
        <w:t>.</w:t>
      </w:r>
      <w:r>
        <w:rPr>
          <w:i w:val="0"/>
        </w:rPr>
        <w:t>4</w:t>
      </w:r>
      <w:r w:rsidRPr="009F32D5">
        <w:rPr>
          <w:i w:val="0"/>
        </w:rPr>
        <w:t xml:space="preserve">. </w:t>
      </w:r>
      <w:r>
        <w:rPr>
          <w:i w:val="0"/>
        </w:rPr>
        <w:t>Inversiones</w:t>
      </w:r>
      <w:r w:rsidR="0005233B">
        <w:rPr>
          <w:i w:val="0"/>
        </w:rPr>
        <w:t xml:space="preserve"> </w:t>
      </w:r>
    </w:p>
    <w:p w:rsidR="00C24EFF" w:rsidRDefault="00B37F18" w:rsidP="003D4D07">
      <w:pPr>
        <w:pStyle w:val="texto"/>
        <w:tabs>
          <w:tab w:val="clear" w:pos="2835"/>
          <w:tab w:val="clear" w:pos="3969"/>
          <w:tab w:val="clear" w:pos="5103"/>
          <w:tab w:val="clear" w:pos="6237"/>
          <w:tab w:val="clear" w:pos="7371"/>
        </w:tabs>
        <w:rPr>
          <w:szCs w:val="26"/>
        </w:rPr>
      </w:pPr>
      <w:r w:rsidRPr="00730AE6">
        <w:rPr>
          <w:szCs w:val="26"/>
        </w:rPr>
        <w:t>L</w:t>
      </w:r>
      <w:r w:rsidR="003D4D07">
        <w:rPr>
          <w:szCs w:val="26"/>
        </w:rPr>
        <w:t xml:space="preserve">as </w:t>
      </w:r>
      <w:r w:rsidRPr="00730AE6">
        <w:rPr>
          <w:szCs w:val="26"/>
        </w:rPr>
        <w:t xml:space="preserve">inversiones </w:t>
      </w:r>
      <w:r w:rsidR="003D4D07">
        <w:rPr>
          <w:szCs w:val="26"/>
        </w:rPr>
        <w:t xml:space="preserve">del año 2017 </w:t>
      </w:r>
      <w:r w:rsidRPr="00730AE6">
        <w:rPr>
          <w:szCs w:val="26"/>
        </w:rPr>
        <w:t>han ascendido a 4,81 millones</w:t>
      </w:r>
      <w:r w:rsidR="00844F6E">
        <w:rPr>
          <w:szCs w:val="26"/>
        </w:rPr>
        <w:t xml:space="preserve"> de euros</w:t>
      </w:r>
      <w:r w:rsidRPr="00730AE6">
        <w:rPr>
          <w:szCs w:val="26"/>
        </w:rPr>
        <w:t xml:space="preserve">, el seis por ciento del </w:t>
      </w:r>
      <w:r w:rsidR="003D4D07">
        <w:rPr>
          <w:szCs w:val="26"/>
        </w:rPr>
        <w:t>total de las obligaciones reconocidas, con un grado de ejecución del 93 por ciento.</w:t>
      </w:r>
      <w:r w:rsidR="0031736F">
        <w:rPr>
          <w:szCs w:val="26"/>
        </w:rPr>
        <w:t xml:space="preserve"> </w:t>
      </w:r>
    </w:p>
    <w:p w:rsidR="00B37F18" w:rsidRDefault="0031736F" w:rsidP="001D56C7">
      <w:pPr>
        <w:pStyle w:val="texto"/>
        <w:tabs>
          <w:tab w:val="clear" w:pos="2835"/>
          <w:tab w:val="clear" w:pos="3969"/>
          <w:tab w:val="clear" w:pos="5103"/>
          <w:tab w:val="clear" w:pos="6237"/>
          <w:tab w:val="clear" w:pos="7371"/>
        </w:tabs>
        <w:spacing w:after="0"/>
        <w:rPr>
          <w:szCs w:val="26"/>
        </w:rPr>
      </w:pPr>
      <w:r>
        <w:rPr>
          <w:szCs w:val="26"/>
        </w:rPr>
        <w:t>El gasto por conceptos económicos y su comparación con el ejercicio 2016</w:t>
      </w:r>
      <w:r w:rsidR="00C24EFF">
        <w:rPr>
          <w:szCs w:val="26"/>
        </w:rPr>
        <w:t>,</w:t>
      </w:r>
      <w:r>
        <w:rPr>
          <w:szCs w:val="26"/>
        </w:rPr>
        <w:t xml:space="preserve"> es el siguiente:</w:t>
      </w:r>
    </w:p>
    <w:p w:rsidR="0031736F" w:rsidRPr="00215F32" w:rsidRDefault="0000117B" w:rsidP="0031736F">
      <w:pPr>
        <w:pStyle w:val="texto"/>
        <w:tabs>
          <w:tab w:val="clear" w:pos="2835"/>
          <w:tab w:val="clear" w:pos="3969"/>
          <w:tab w:val="clear" w:pos="5103"/>
          <w:tab w:val="clear" w:pos="6237"/>
          <w:tab w:val="clear" w:pos="7371"/>
          <w:tab w:val="left" w:pos="480"/>
          <w:tab w:val="num" w:pos="928"/>
          <w:tab w:val="num" w:pos="6597"/>
        </w:tabs>
        <w:spacing w:after="0"/>
        <w:ind w:left="568" w:firstLine="0"/>
        <w:jc w:val="right"/>
        <w:rPr>
          <w:rFonts w:ascii="Arial" w:hAnsi="Arial" w:cs="Arial"/>
          <w:sz w:val="18"/>
          <w:szCs w:val="18"/>
        </w:rPr>
      </w:pPr>
      <w:r w:rsidRPr="00215F32">
        <w:rPr>
          <w:rFonts w:ascii="Arial" w:hAnsi="Arial" w:cs="Arial"/>
          <w:sz w:val="18"/>
          <w:szCs w:val="18"/>
        </w:rPr>
        <w:t>(En miles de euros)</w:t>
      </w:r>
    </w:p>
    <w:tbl>
      <w:tblPr>
        <w:tblW w:w="8996"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3542"/>
        <w:gridCol w:w="1771"/>
        <w:gridCol w:w="1933"/>
        <w:gridCol w:w="1750"/>
      </w:tblGrid>
      <w:tr w:rsidR="0031736F" w:rsidRPr="00730AE6" w:rsidTr="007179ED">
        <w:trPr>
          <w:trHeight w:val="227"/>
          <w:jc w:val="center"/>
        </w:trPr>
        <w:tc>
          <w:tcPr>
            <w:tcW w:w="3542" w:type="dxa"/>
            <w:tcBorders>
              <w:top w:val="single" w:sz="4" w:space="0" w:color="auto"/>
              <w:bottom w:val="single" w:sz="4" w:space="0" w:color="auto"/>
            </w:tcBorders>
            <w:shd w:val="clear" w:color="auto" w:fill="A0C3E3" w:themeFill="accent1" w:themeFillTint="99"/>
            <w:noWrap/>
            <w:vAlign w:val="center"/>
          </w:tcPr>
          <w:p w:rsidR="0031736F" w:rsidRPr="00730AE6" w:rsidRDefault="0031736F" w:rsidP="008E025F">
            <w:pPr>
              <w:pStyle w:val="cuadroCabe"/>
              <w:rPr>
                <w:lang w:val="es-ES" w:eastAsia="es-ES"/>
              </w:rPr>
            </w:pPr>
            <w:r>
              <w:rPr>
                <w:lang w:val="es-ES" w:eastAsia="es-ES"/>
              </w:rPr>
              <w:t>Concepto</w:t>
            </w:r>
          </w:p>
        </w:tc>
        <w:tc>
          <w:tcPr>
            <w:tcW w:w="1771" w:type="dxa"/>
            <w:tcBorders>
              <w:top w:val="single" w:sz="4" w:space="0" w:color="auto"/>
              <w:bottom w:val="single" w:sz="4" w:space="0" w:color="auto"/>
            </w:tcBorders>
            <w:shd w:val="clear" w:color="auto" w:fill="A0C3E3" w:themeFill="accent1" w:themeFillTint="99"/>
            <w:vAlign w:val="center"/>
          </w:tcPr>
          <w:p w:rsidR="00215F32" w:rsidRDefault="00FC5547" w:rsidP="008E025F">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Obligac</w:t>
            </w:r>
            <w:r w:rsidR="00215F32">
              <w:rPr>
                <w:rFonts w:ascii="Arial" w:hAnsi="Arial" w:cs="Arial"/>
                <w:bCs/>
                <w:sz w:val="18"/>
                <w:szCs w:val="18"/>
                <w:lang w:val="es-ES" w:eastAsia="es-ES"/>
              </w:rPr>
              <w:t>iones</w:t>
            </w:r>
          </w:p>
          <w:p w:rsidR="0031736F" w:rsidRPr="005140B9" w:rsidRDefault="00215F32" w:rsidP="00215F32">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R</w:t>
            </w:r>
            <w:r w:rsidR="00FC5547">
              <w:rPr>
                <w:rFonts w:ascii="Arial" w:hAnsi="Arial" w:cs="Arial"/>
                <w:bCs/>
                <w:sz w:val="18"/>
                <w:szCs w:val="18"/>
                <w:lang w:val="es-ES" w:eastAsia="es-ES"/>
              </w:rPr>
              <w:t>econocidas</w:t>
            </w:r>
            <w:r>
              <w:rPr>
                <w:rFonts w:ascii="Arial" w:hAnsi="Arial" w:cs="Arial"/>
                <w:bCs/>
                <w:sz w:val="18"/>
                <w:szCs w:val="18"/>
                <w:lang w:val="es-ES" w:eastAsia="es-ES"/>
              </w:rPr>
              <w:t xml:space="preserve"> </w:t>
            </w:r>
            <w:r w:rsidR="0031736F" w:rsidRPr="005140B9">
              <w:rPr>
                <w:rFonts w:ascii="Arial" w:hAnsi="Arial" w:cs="Arial"/>
                <w:bCs/>
                <w:sz w:val="18"/>
                <w:szCs w:val="18"/>
                <w:lang w:val="es-ES" w:eastAsia="es-ES"/>
              </w:rPr>
              <w:t>2016</w:t>
            </w:r>
            <w:r w:rsidR="002E04BF">
              <w:rPr>
                <w:rFonts w:ascii="Arial" w:hAnsi="Arial" w:cs="Arial"/>
                <w:bCs/>
                <w:sz w:val="18"/>
                <w:szCs w:val="18"/>
                <w:lang w:val="es-ES" w:eastAsia="es-ES"/>
              </w:rPr>
              <w:t>*</w:t>
            </w:r>
          </w:p>
        </w:tc>
        <w:tc>
          <w:tcPr>
            <w:tcW w:w="1933" w:type="dxa"/>
            <w:tcBorders>
              <w:top w:val="single" w:sz="4" w:space="0" w:color="auto"/>
              <w:bottom w:val="single" w:sz="4" w:space="0" w:color="auto"/>
            </w:tcBorders>
            <w:shd w:val="clear" w:color="auto" w:fill="A0C3E3" w:themeFill="accent1" w:themeFillTint="99"/>
            <w:noWrap/>
            <w:vAlign w:val="center"/>
          </w:tcPr>
          <w:p w:rsidR="00215F32" w:rsidRDefault="001D56C7" w:rsidP="008E025F">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Obligac</w:t>
            </w:r>
            <w:r w:rsidR="00215F32">
              <w:rPr>
                <w:rFonts w:ascii="Arial" w:hAnsi="Arial" w:cs="Arial"/>
                <w:bCs/>
                <w:color w:val="000000"/>
                <w:sz w:val="18"/>
                <w:szCs w:val="18"/>
                <w:lang w:val="es-ES" w:eastAsia="es-ES"/>
              </w:rPr>
              <w:t>iones</w:t>
            </w:r>
          </w:p>
          <w:p w:rsidR="0031736F" w:rsidRPr="00730AE6" w:rsidRDefault="001D56C7" w:rsidP="00215F32">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 xml:space="preserve"> </w:t>
            </w:r>
            <w:r w:rsidR="00215F32">
              <w:rPr>
                <w:rFonts w:ascii="Arial" w:hAnsi="Arial" w:cs="Arial"/>
                <w:bCs/>
                <w:color w:val="000000"/>
                <w:sz w:val="18"/>
                <w:szCs w:val="18"/>
                <w:lang w:val="es-ES" w:eastAsia="es-ES"/>
              </w:rPr>
              <w:t>R</w:t>
            </w:r>
            <w:r w:rsidR="00FC5547">
              <w:rPr>
                <w:rFonts w:ascii="Arial" w:hAnsi="Arial" w:cs="Arial"/>
                <w:bCs/>
                <w:color w:val="000000"/>
                <w:sz w:val="18"/>
                <w:szCs w:val="18"/>
                <w:lang w:val="es-ES" w:eastAsia="es-ES"/>
              </w:rPr>
              <w:t>econocidas</w:t>
            </w:r>
            <w:r w:rsidR="00215F32">
              <w:rPr>
                <w:rFonts w:ascii="Arial" w:hAnsi="Arial" w:cs="Arial"/>
                <w:bCs/>
                <w:color w:val="000000"/>
                <w:sz w:val="18"/>
                <w:szCs w:val="18"/>
                <w:lang w:val="es-ES" w:eastAsia="es-ES"/>
              </w:rPr>
              <w:t xml:space="preserve"> </w:t>
            </w:r>
            <w:r w:rsidR="0031736F" w:rsidRPr="00730AE6">
              <w:rPr>
                <w:rFonts w:ascii="Arial" w:hAnsi="Arial" w:cs="Arial"/>
                <w:bCs/>
                <w:color w:val="000000"/>
                <w:sz w:val="18"/>
                <w:szCs w:val="18"/>
                <w:lang w:val="es-ES" w:eastAsia="es-ES"/>
              </w:rPr>
              <w:t>2017</w:t>
            </w:r>
          </w:p>
        </w:tc>
        <w:tc>
          <w:tcPr>
            <w:tcW w:w="1750" w:type="dxa"/>
            <w:tcBorders>
              <w:top w:val="single" w:sz="4" w:space="0" w:color="auto"/>
              <w:bottom w:val="single" w:sz="4" w:space="0" w:color="auto"/>
            </w:tcBorders>
            <w:shd w:val="clear" w:color="auto" w:fill="A0C3E3" w:themeFill="accent1" w:themeFillTint="99"/>
            <w:noWrap/>
            <w:vAlign w:val="center"/>
          </w:tcPr>
          <w:p w:rsidR="001D56C7" w:rsidRDefault="0031736F" w:rsidP="008E025F">
            <w:pPr>
              <w:spacing w:after="0"/>
              <w:ind w:firstLine="0"/>
              <w:jc w:val="right"/>
              <w:rPr>
                <w:rFonts w:ascii="Arial" w:hAnsi="Arial" w:cs="Arial"/>
                <w:bCs/>
                <w:color w:val="000000"/>
                <w:sz w:val="18"/>
                <w:szCs w:val="18"/>
                <w:lang w:val="es-ES" w:eastAsia="es-ES"/>
              </w:rPr>
            </w:pPr>
            <w:r w:rsidRPr="00730AE6">
              <w:rPr>
                <w:rFonts w:ascii="Arial" w:hAnsi="Arial" w:cs="Arial"/>
                <w:bCs/>
                <w:color w:val="000000"/>
                <w:sz w:val="18"/>
                <w:szCs w:val="18"/>
                <w:lang w:val="es-ES" w:eastAsia="es-ES"/>
              </w:rPr>
              <w:t>%</w:t>
            </w:r>
            <w:r>
              <w:rPr>
                <w:rFonts w:ascii="Arial" w:hAnsi="Arial" w:cs="Arial"/>
                <w:bCs/>
                <w:color w:val="000000"/>
                <w:sz w:val="18"/>
                <w:szCs w:val="18"/>
                <w:lang w:val="es-ES" w:eastAsia="es-ES"/>
              </w:rPr>
              <w:t xml:space="preserve"> variación </w:t>
            </w:r>
          </w:p>
          <w:p w:rsidR="0031736F" w:rsidRPr="00730AE6" w:rsidRDefault="0031736F" w:rsidP="008E025F">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2017/2016</w:t>
            </w:r>
          </w:p>
        </w:tc>
      </w:tr>
      <w:tr w:rsidR="0031736F" w:rsidRPr="00730AE6" w:rsidTr="007179ED">
        <w:trPr>
          <w:trHeight w:val="227"/>
          <w:jc w:val="center"/>
        </w:trPr>
        <w:tc>
          <w:tcPr>
            <w:tcW w:w="3542" w:type="dxa"/>
            <w:tcBorders>
              <w:top w:val="single" w:sz="4" w:space="0" w:color="auto"/>
              <w:bottom w:val="single" w:sz="2" w:space="0" w:color="auto"/>
            </w:tcBorders>
            <w:shd w:val="clear" w:color="auto" w:fill="auto"/>
            <w:noWrap/>
            <w:vAlign w:val="center"/>
          </w:tcPr>
          <w:p w:rsidR="0031736F" w:rsidRPr="00730AE6" w:rsidRDefault="0031736F" w:rsidP="008E025F">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Edificios y otras construcciones</w:t>
            </w:r>
          </w:p>
        </w:tc>
        <w:tc>
          <w:tcPr>
            <w:tcW w:w="1771" w:type="dxa"/>
            <w:tcBorders>
              <w:top w:val="single" w:sz="4" w:space="0" w:color="auto"/>
              <w:bottom w:val="single" w:sz="2" w:space="0" w:color="auto"/>
            </w:tcBorders>
            <w:vAlign w:val="center"/>
          </w:tcPr>
          <w:p w:rsidR="0031736F" w:rsidRPr="005140B9" w:rsidRDefault="0031736F" w:rsidP="008E025F">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559</w:t>
            </w:r>
          </w:p>
        </w:tc>
        <w:tc>
          <w:tcPr>
            <w:tcW w:w="1933" w:type="dxa"/>
            <w:tcBorders>
              <w:top w:val="single" w:sz="4" w:space="0" w:color="auto"/>
              <w:bottom w:val="single" w:sz="2" w:space="0" w:color="auto"/>
            </w:tcBorders>
            <w:shd w:val="clear" w:color="auto" w:fill="auto"/>
            <w:noWrap/>
            <w:vAlign w:val="center"/>
          </w:tcPr>
          <w:p w:rsidR="0031736F" w:rsidRPr="00730AE6" w:rsidRDefault="0031736F" w:rsidP="008E025F">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425</w:t>
            </w:r>
          </w:p>
        </w:tc>
        <w:tc>
          <w:tcPr>
            <w:tcW w:w="1750" w:type="dxa"/>
            <w:tcBorders>
              <w:top w:val="single" w:sz="4" w:space="0" w:color="auto"/>
              <w:bottom w:val="single" w:sz="2" w:space="0" w:color="auto"/>
            </w:tcBorders>
            <w:shd w:val="clear" w:color="auto" w:fill="auto"/>
            <w:noWrap/>
            <w:vAlign w:val="center"/>
          </w:tcPr>
          <w:p w:rsidR="0031736F" w:rsidRPr="00730AE6" w:rsidRDefault="0031736F" w:rsidP="00AE71DF">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w:t>
            </w:r>
            <w:r w:rsidR="00AE71DF">
              <w:rPr>
                <w:rFonts w:ascii="Arial Narrow" w:hAnsi="Arial Narrow"/>
                <w:sz w:val="18"/>
                <w:szCs w:val="18"/>
                <w:lang w:val="es-ES" w:eastAsia="es-ES"/>
              </w:rPr>
              <w:t>24</w:t>
            </w:r>
          </w:p>
        </w:tc>
      </w:tr>
      <w:tr w:rsidR="0031736F" w:rsidRPr="00730AE6" w:rsidTr="007179ED">
        <w:trPr>
          <w:trHeight w:val="227"/>
          <w:jc w:val="center"/>
        </w:trPr>
        <w:tc>
          <w:tcPr>
            <w:tcW w:w="3542" w:type="dxa"/>
            <w:tcBorders>
              <w:top w:val="single" w:sz="2" w:space="0" w:color="auto"/>
              <w:bottom w:val="single" w:sz="2" w:space="0" w:color="auto"/>
            </w:tcBorders>
            <w:shd w:val="clear" w:color="auto" w:fill="auto"/>
            <w:noWrap/>
            <w:vAlign w:val="center"/>
          </w:tcPr>
          <w:p w:rsidR="0031736F" w:rsidRPr="00730AE6" w:rsidRDefault="0031736F" w:rsidP="008E025F">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Maquinaria, instalaciones y utillaje</w:t>
            </w:r>
          </w:p>
        </w:tc>
        <w:tc>
          <w:tcPr>
            <w:tcW w:w="1771" w:type="dxa"/>
            <w:tcBorders>
              <w:top w:val="single" w:sz="2" w:space="0" w:color="auto"/>
              <w:bottom w:val="single" w:sz="2" w:space="0" w:color="auto"/>
            </w:tcBorders>
            <w:vAlign w:val="center"/>
          </w:tcPr>
          <w:p w:rsidR="0031736F" w:rsidRPr="005140B9" w:rsidRDefault="0031736F" w:rsidP="008E025F">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1.075</w:t>
            </w:r>
          </w:p>
        </w:tc>
        <w:tc>
          <w:tcPr>
            <w:tcW w:w="1933" w:type="dxa"/>
            <w:tcBorders>
              <w:top w:val="single" w:sz="2" w:space="0" w:color="auto"/>
              <w:bottom w:val="single" w:sz="2" w:space="0" w:color="auto"/>
            </w:tcBorders>
            <w:shd w:val="clear" w:color="auto" w:fill="auto"/>
            <w:noWrap/>
            <w:vAlign w:val="center"/>
          </w:tcPr>
          <w:p w:rsidR="0031736F" w:rsidRPr="00730AE6" w:rsidRDefault="0031736F" w:rsidP="008E025F">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829</w:t>
            </w:r>
          </w:p>
        </w:tc>
        <w:tc>
          <w:tcPr>
            <w:tcW w:w="1750" w:type="dxa"/>
            <w:tcBorders>
              <w:top w:val="single" w:sz="2" w:space="0" w:color="auto"/>
              <w:bottom w:val="single" w:sz="2" w:space="0" w:color="auto"/>
            </w:tcBorders>
            <w:shd w:val="clear" w:color="auto" w:fill="auto"/>
            <w:noWrap/>
            <w:vAlign w:val="center"/>
          </w:tcPr>
          <w:p w:rsidR="0031736F" w:rsidRPr="00730AE6" w:rsidRDefault="0031736F" w:rsidP="00AE71DF">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w:t>
            </w:r>
            <w:r w:rsidR="00AE71DF">
              <w:rPr>
                <w:rFonts w:ascii="Arial Narrow" w:hAnsi="Arial Narrow"/>
                <w:sz w:val="18"/>
                <w:szCs w:val="18"/>
                <w:lang w:val="es-ES" w:eastAsia="es-ES"/>
              </w:rPr>
              <w:t>23</w:t>
            </w:r>
          </w:p>
        </w:tc>
      </w:tr>
      <w:tr w:rsidR="0031736F" w:rsidRPr="00730AE6" w:rsidTr="007179ED">
        <w:trPr>
          <w:trHeight w:val="227"/>
          <w:jc w:val="center"/>
        </w:trPr>
        <w:tc>
          <w:tcPr>
            <w:tcW w:w="3542" w:type="dxa"/>
            <w:tcBorders>
              <w:top w:val="single" w:sz="2" w:space="0" w:color="auto"/>
              <w:bottom w:val="single" w:sz="2" w:space="0" w:color="auto"/>
            </w:tcBorders>
            <w:shd w:val="clear" w:color="auto" w:fill="auto"/>
            <w:noWrap/>
            <w:vAlign w:val="center"/>
          </w:tcPr>
          <w:p w:rsidR="0031736F" w:rsidRPr="00730AE6" w:rsidRDefault="0031736F" w:rsidP="008E025F">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Mobiliario y enseres</w:t>
            </w:r>
          </w:p>
        </w:tc>
        <w:tc>
          <w:tcPr>
            <w:tcW w:w="1771" w:type="dxa"/>
            <w:tcBorders>
              <w:top w:val="single" w:sz="2" w:space="0" w:color="auto"/>
              <w:bottom w:val="single" w:sz="2" w:space="0" w:color="auto"/>
            </w:tcBorders>
            <w:vAlign w:val="center"/>
          </w:tcPr>
          <w:p w:rsidR="0031736F" w:rsidRPr="005140B9" w:rsidRDefault="0031736F" w:rsidP="008E025F">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112</w:t>
            </w:r>
          </w:p>
        </w:tc>
        <w:tc>
          <w:tcPr>
            <w:tcW w:w="1933" w:type="dxa"/>
            <w:tcBorders>
              <w:top w:val="single" w:sz="2" w:space="0" w:color="auto"/>
              <w:bottom w:val="single" w:sz="2" w:space="0" w:color="auto"/>
            </w:tcBorders>
            <w:shd w:val="clear" w:color="auto" w:fill="auto"/>
            <w:noWrap/>
            <w:vAlign w:val="center"/>
          </w:tcPr>
          <w:p w:rsidR="0031736F" w:rsidRPr="00730AE6" w:rsidRDefault="0031736F" w:rsidP="008E025F">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205</w:t>
            </w:r>
          </w:p>
        </w:tc>
        <w:tc>
          <w:tcPr>
            <w:tcW w:w="1750" w:type="dxa"/>
            <w:tcBorders>
              <w:top w:val="single" w:sz="2" w:space="0" w:color="auto"/>
              <w:bottom w:val="single" w:sz="2" w:space="0" w:color="auto"/>
            </w:tcBorders>
            <w:shd w:val="clear" w:color="auto" w:fill="auto"/>
            <w:noWrap/>
            <w:vAlign w:val="center"/>
          </w:tcPr>
          <w:p w:rsidR="0031736F" w:rsidRPr="00730AE6" w:rsidRDefault="00AE71DF" w:rsidP="008E025F">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83</w:t>
            </w:r>
          </w:p>
        </w:tc>
      </w:tr>
      <w:tr w:rsidR="0031736F" w:rsidRPr="00730AE6" w:rsidTr="007179ED">
        <w:trPr>
          <w:trHeight w:val="227"/>
          <w:jc w:val="center"/>
        </w:trPr>
        <w:tc>
          <w:tcPr>
            <w:tcW w:w="3542" w:type="dxa"/>
            <w:tcBorders>
              <w:top w:val="single" w:sz="2" w:space="0" w:color="auto"/>
              <w:bottom w:val="single" w:sz="2" w:space="0" w:color="auto"/>
            </w:tcBorders>
            <w:shd w:val="clear" w:color="auto" w:fill="auto"/>
            <w:noWrap/>
            <w:vAlign w:val="center"/>
          </w:tcPr>
          <w:p w:rsidR="0031736F" w:rsidRPr="00730AE6" w:rsidRDefault="0031736F" w:rsidP="008E025F">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Equipos para procesos de información</w:t>
            </w:r>
          </w:p>
        </w:tc>
        <w:tc>
          <w:tcPr>
            <w:tcW w:w="1771" w:type="dxa"/>
            <w:tcBorders>
              <w:top w:val="single" w:sz="2" w:space="0" w:color="auto"/>
              <w:bottom w:val="single" w:sz="2" w:space="0" w:color="auto"/>
            </w:tcBorders>
            <w:vAlign w:val="center"/>
          </w:tcPr>
          <w:p w:rsidR="0031736F" w:rsidRPr="005140B9" w:rsidRDefault="0031736F" w:rsidP="008E025F">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711</w:t>
            </w:r>
          </w:p>
        </w:tc>
        <w:tc>
          <w:tcPr>
            <w:tcW w:w="1933" w:type="dxa"/>
            <w:tcBorders>
              <w:top w:val="single" w:sz="2" w:space="0" w:color="auto"/>
              <w:bottom w:val="single" w:sz="2" w:space="0" w:color="auto"/>
            </w:tcBorders>
            <w:shd w:val="clear" w:color="auto" w:fill="auto"/>
            <w:noWrap/>
            <w:vAlign w:val="center"/>
          </w:tcPr>
          <w:p w:rsidR="0031736F" w:rsidRPr="00730AE6" w:rsidRDefault="0031736F" w:rsidP="008E025F">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88</w:t>
            </w:r>
            <w:r w:rsidR="00EB383A">
              <w:rPr>
                <w:rFonts w:ascii="Arial Narrow" w:hAnsi="Arial Narrow"/>
                <w:sz w:val="18"/>
                <w:szCs w:val="18"/>
                <w:lang w:val="es-ES" w:eastAsia="es-ES"/>
              </w:rPr>
              <w:t>5</w:t>
            </w:r>
          </w:p>
        </w:tc>
        <w:tc>
          <w:tcPr>
            <w:tcW w:w="1750" w:type="dxa"/>
            <w:tcBorders>
              <w:top w:val="single" w:sz="2" w:space="0" w:color="auto"/>
              <w:bottom w:val="single" w:sz="2" w:space="0" w:color="auto"/>
            </w:tcBorders>
            <w:shd w:val="clear" w:color="auto" w:fill="auto"/>
            <w:noWrap/>
            <w:vAlign w:val="center"/>
          </w:tcPr>
          <w:p w:rsidR="0031736F" w:rsidRPr="00730AE6" w:rsidRDefault="00AE71DF" w:rsidP="008E025F">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25</w:t>
            </w:r>
          </w:p>
        </w:tc>
      </w:tr>
      <w:tr w:rsidR="0031736F" w:rsidRPr="00730AE6" w:rsidTr="007179ED">
        <w:trPr>
          <w:trHeight w:val="227"/>
          <w:jc w:val="center"/>
        </w:trPr>
        <w:tc>
          <w:tcPr>
            <w:tcW w:w="3542" w:type="dxa"/>
            <w:tcBorders>
              <w:top w:val="single" w:sz="2" w:space="0" w:color="auto"/>
              <w:bottom w:val="single" w:sz="2" w:space="0" w:color="auto"/>
            </w:tcBorders>
            <w:shd w:val="clear" w:color="auto" w:fill="auto"/>
            <w:noWrap/>
            <w:vAlign w:val="center"/>
          </w:tcPr>
          <w:p w:rsidR="0031736F" w:rsidRPr="00730AE6" w:rsidRDefault="0031736F" w:rsidP="008E025F">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Fondos bibliográficos</w:t>
            </w:r>
          </w:p>
        </w:tc>
        <w:tc>
          <w:tcPr>
            <w:tcW w:w="1771" w:type="dxa"/>
            <w:tcBorders>
              <w:top w:val="single" w:sz="2" w:space="0" w:color="auto"/>
              <w:bottom w:val="single" w:sz="2" w:space="0" w:color="auto"/>
            </w:tcBorders>
            <w:vAlign w:val="center"/>
          </w:tcPr>
          <w:p w:rsidR="0031736F" w:rsidRPr="005140B9" w:rsidRDefault="0031736F" w:rsidP="008E025F">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1.661</w:t>
            </w:r>
          </w:p>
        </w:tc>
        <w:tc>
          <w:tcPr>
            <w:tcW w:w="1933" w:type="dxa"/>
            <w:tcBorders>
              <w:top w:val="single" w:sz="2" w:space="0" w:color="auto"/>
              <w:bottom w:val="single" w:sz="2" w:space="0" w:color="auto"/>
            </w:tcBorders>
            <w:shd w:val="clear" w:color="auto" w:fill="auto"/>
            <w:noWrap/>
            <w:vAlign w:val="center"/>
          </w:tcPr>
          <w:p w:rsidR="0031736F" w:rsidRPr="00730AE6" w:rsidRDefault="0031736F" w:rsidP="008E025F">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1.686</w:t>
            </w:r>
          </w:p>
        </w:tc>
        <w:tc>
          <w:tcPr>
            <w:tcW w:w="1750" w:type="dxa"/>
            <w:tcBorders>
              <w:top w:val="single" w:sz="2" w:space="0" w:color="auto"/>
              <w:bottom w:val="single" w:sz="2" w:space="0" w:color="auto"/>
            </w:tcBorders>
            <w:shd w:val="clear" w:color="auto" w:fill="auto"/>
            <w:noWrap/>
            <w:vAlign w:val="center"/>
          </w:tcPr>
          <w:p w:rsidR="0031736F" w:rsidRPr="00730AE6" w:rsidRDefault="00AE71DF" w:rsidP="008E025F">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w:t>
            </w:r>
          </w:p>
        </w:tc>
      </w:tr>
      <w:tr w:rsidR="0031736F" w:rsidRPr="00730AE6" w:rsidTr="007179ED">
        <w:trPr>
          <w:trHeight w:val="227"/>
          <w:jc w:val="center"/>
        </w:trPr>
        <w:tc>
          <w:tcPr>
            <w:tcW w:w="3542" w:type="dxa"/>
            <w:tcBorders>
              <w:top w:val="single" w:sz="2" w:space="0" w:color="auto"/>
              <w:bottom w:val="single" w:sz="2" w:space="0" w:color="auto"/>
            </w:tcBorders>
            <w:shd w:val="clear" w:color="auto" w:fill="auto"/>
            <w:noWrap/>
            <w:vAlign w:val="center"/>
          </w:tcPr>
          <w:p w:rsidR="0031736F" w:rsidRPr="00730AE6" w:rsidRDefault="0031736F" w:rsidP="008E025F">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Inversiones proyectos y contratos investigación</w:t>
            </w:r>
          </w:p>
        </w:tc>
        <w:tc>
          <w:tcPr>
            <w:tcW w:w="1771" w:type="dxa"/>
            <w:tcBorders>
              <w:top w:val="single" w:sz="2" w:space="0" w:color="auto"/>
              <w:bottom w:val="single" w:sz="2" w:space="0" w:color="auto"/>
            </w:tcBorders>
            <w:vAlign w:val="center"/>
          </w:tcPr>
          <w:p w:rsidR="0031736F" w:rsidRPr="005140B9" w:rsidRDefault="0031736F" w:rsidP="008E025F">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650</w:t>
            </w:r>
          </w:p>
        </w:tc>
        <w:tc>
          <w:tcPr>
            <w:tcW w:w="1933" w:type="dxa"/>
            <w:tcBorders>
              <w:top w:val="single" w:sz="2" w:space="0" w:color="auto"/>
              <w:bottom w:val="single" w:sz="2" w:space="0" w:color="auto"/>
            </w:tcBorders>
            <w:shd w:val="clear" w:color="auto" w:fill="auto"/>
            <w:noWrap/>
            <w:vAlign w:val="center"/>
          </w:tcPr>
          <w:p w:rsidR="0031736F" w:rsidRPr="00730AE6" w:rsidRDefault="0031736F" w:rsidP="008E025F">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404</w:t>
            </w:r>
          </w:p>
        </w:tc>
        <w:tc>
          <w:tcPr>
            <w:tcW w:w="1750" w:type="dxa"/>
            <w:tcBorders>
              <w:top w:val="single" w:sz="2" w:space="0" w:color="auto"/>
              <w:bottom w:val="single" w:sz="2" w:space="0" w:color="auto"/>
            </w:tcBorders>
            <w:shd w:val="clear" w:color="auto" w:fill="auto"/>
            <w:noWrap/>
            <w:vAlign w:val="center"/>
          </w:tcPr>
          <w:p w:rsidR="0031736F" w:rsidRPr="00730AE6" w:rsidRDefault="0031736F" w:rsidP="008E025F">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w:t>
            </w:r>
            <w:r w:rsidR="00AE71DF">
              <w:rPr>
                <w:rFonts w:ascii="Arial Narrow" w:hAnsi="Arial Narrow"/>
                <w:sz w:val="18"/>
                <w:szCs w:val="18"/>
                <w:lang w:val="es-ES" w:eastAsia="es-ES"/>
              </w:rPr>
              <w:t>38</w:t>
            </w:r>
          </w:p>
        </w:tc>
      </w:tr>
      <w:tr w:rsidR="0031736F" w:rsidRPr="00730AE6" w:rsidTr="007179ED">
        <w:trPr>
          <w:trHeight w:val="227"/>
          <w:jc w:val="center"/>
        </w:trPr>
        <w:tc>
          <w:tcPr>
            <w:tcW w:w="3542" w:type="dxa"/>
            <w:tcBorders>
              <w:top w:val="single" w:sz="2" w:space="0" w:color="auto"/>
              <w:bottom w:val="single" w:sz="2" w:space="0" w:color="auto"/>
            </w:tcBorders>
            <w:shd w:val="clear" w:color="auto" w:fill="auto"/>
            <w:noWrap/>
            <w:vAlign w:val="center"/>
          </w:tcPr>
          <w:p w:rsidR="0031736F" w:rsidRDefault="0031736F" w:rsidP="008E025F">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Patentes</w:t>
            </w:r>
          </w:p>
        </w:tc>
        <w:tc>
          <w:tcPr>
            <w:tcW w:w="1771" w:type="dxa"/>
            <w:tcBorders>
              <w:top w:val="single" w:sz="2" w:space="0" w:color="auto"/>
              <w:bottom w:val="single" w:sz="2" w:space="0" w:color="auto"/>
            </w:tcBorders>
            <w:vAlign w:val="center"/>
          </w:tcPr>
          <w:p w:rsidR="0031736F" w:rsidRPr="005140B9" w:rsidRDefault="0031736F" w:rsidP="008E025F">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29</w:t>
            </w:r>
          </w:p>
        </w:tc>
        <w:tc>
          <w:tcPr>
            <w:tcW w:w="1933" w:type="dxa"/>
            <w:tcBorders>
              <w:top w:val="single" w:sz="2" w:space="0" w:color="auto"/>
              <w:bottom w:val="single" w:sz="2" w:space="0" w:color="auto"/>
            </w:tcBorders>
            <w:shd w:val="clear" w:color="auto" w:fill="auto"/>
            <w:noWrap/>
            <w:vAlign w:val="center"/>
          </w:tcPr>
          <w:p w:rsidR="0031736F" w:rsidRPr="00730AE6" w:rsidRDefault="0031736F" w:rsidP="008E025F">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14</w:t>
            </w:r>
          </w:p>
        </w:tc>
        <w:tc>
          <w:tcPr>
            <w:tcW w:w="1750" w:type="dxa"/>
            <w:tcBorders>
              <w:top w:val="single" w:sz="2" w:space="0" w:color="auto"/>
              <w:bottom w:val="single" w:sz="2" w:space="0" w:color="auto"/>
            </w:tcBorders>
            <w:shd w:val="clear" w:color="auto" w:fill="auto"/>
            <w:noWrap/>
            <w:vAlign w:val="center"/>
          </w:tcPr>
          <w:p w:rsidR="0031736F" w:rsidRPr="00730AE6" w:rsidRDefault="0031736F" w:rsidP="008E025F">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w:t>
            </w:r>
            <w:r w:rsidR="00AE71DF">
              <w:rPr>
                <w:rFonts w:ascii="Arial Narrow" w:hAnsi="Arial Narrow"/>
                <w:sz w:val="18"/>
                <w:szCs w:val="18"/>
                <w:lang w:val="es-ES" w:eastAsia="es-ES"/>
              </w:rPr>
              <w:t>52</w:t>
            </w:r>
          </w:p>
        </w:tc>
      </w:tr>
      <w:tr w:rsidR="0031736F" w:rsidRPr="00730AE6" w:rsidTr="007179ED">
        <w:trPr>
          <w:trHeight w:val="227"/>
          <w:jc w:val="center"/>
        </w:trPr>
        <w:tc>
          <w:tcPr>
            <w:tcW w:w="3542" w:type="dxa"/>
            <w:tcBorders>
              <w:top w:val="single" w:sz="2" w:space="0" w:color="auto"/>
              <w:bottom w:val="single" w:sz="2" w:space="0" w:color="auto"/>
            </w:tcBorders>
            <w:shd w:val="clear" w:color="auto" w:fill="auto"/>
            <w:noWrap/>
            <w:vAlign w:val="center"/>
          </w:tcPr>
          <w:p w:rsidR="0031736F" w:rsidRDefault="0031736F" w:rsidP="008E025F">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Patrimonio inmaterial</w:t>
            </w:r>
          </w:p>
        </w:tc>
        <w:tc>
          <w:tcPr>
            <w:tcW w:w="1771" w:type="dxa"/>
            <w:tcBorders>
              <w:top w:val="single" w:sz="2" w:space="0" w:color="auto"/>
              <w:bottom w:val="single" w:sz="2" w:space="0" w:color="auto"/>
            </w:tcBorders>
            <w:vAlign w:val="center"/>
          </w:tcPr>
          <w:p w:rsidR="0031736F" w:rsidRPr="005140B9" w:rsidRDefault="0031736F" w:rsidP="008E025F">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0</w:t>
            </w:r>
          </w:p>
        </w:tc>
        <w:tc>
          <w:tcPr>
            <w:tcW w:w="1933" w:type="dxa"/>
            <w:tcBorders>
              <w:top w:val="single" w:sz="2" w:space="0" w:color="auto"/>
              <w:bottom w:val="single" w:sz="2" w:space="0" w:color="auto"/>
            </w:tcBorders>
            <w:shd w:val="clear" w:color="auto" w:fill="auto"/>
            <w:noWrap/>
            <w:vAlign w:val="center"/>
          </w:tcPr>
          <w:p w:rsidR="0031736F" w:rsidRPr="00730AE6" w:rsidRDefault="0031736F" w:rsidP="008E025F">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65</w:t>
            </w:r>
          </w:p>
        </w:tc>
        <w:tc>
          <w:tcPr>
            <w:tcW w:w="1750" w:type="dxa"/>
            <w:tcBorders>
              <w:top w:val="single" w:sz="2" w:space="0" w:color="auto"/>
              <w:bottom w:val="single" w:sz="2" w:space="0" w:color="auto"/>
            </w:tcBorders>
            <w:shd w:val="clear" w:color="auto" w:fill="auto"/>
            <w:noWrap/>
            <w:vAlign w:val="center"/>
          </w:tcPr>
          <w:p w:rsidR="0031736F" w:rsidRPr="00730AE6" w:rsidRDefault="00AE71DF" w:rsidP="008E025F">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w:t>
            </w:r>
          </w:p>
        </w:tc>
      </w:tr>
      <w:tr w:rsidR="0031736F" w:rsidRPr="00730AE6" w:rsidTr="007179ED">
        <w:trPr>
          <w:trHeight w:val="227"/>
          <w:jc w:val="center"/>
        </w:trPr>
        <w:tc>
          <w:tcPr>
            <w:tcW w:w="3542" w:type="dxa"/>
            <w:tcBorders>
              <w:top w:val="single" w:sz="2" w:space="0" w:color="auto"/>
              <w:bottom w:val="single" w:sz="2" w:space="0" w:color="auto"/>
            </w:tcBorders>
            <w:shd w:val="clear" w:color="auto" w:fill="auto"/>
            <w:noWrap/>
            <w:vAlign w:val="center"/>
          </w:tcPr>
          <w:p w:rsidR="0031736F" w:rsidRDefault="0031736F" w:rsidP="008E025F">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Aplicaciones informáticas</w:t>
            </w:r>
          </w:p>
        </w:tc>
        <w:tc>
          <w:tcPr>
            <w:tcW w:w="1771" w:type="dxa"/>
            <w:tcBorders>
              <w:top w:val="single" w:sz="2" w:space="0" w:color="auto"/>
              <w:bottom w:val="single" w:sz="2" w:space="0" w:color="auto"/>
            </w:tcBorders>
            <w:vAlign w:val="center"/>
          </w:tcPr>
          <w:p w:rsidR="0031736F" w:rsidRPr="005140B9" w:rsidRDefault="0031736F" w:rsidP="008E025F">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172</w:t>
            </w:r>
          </w:p>
        </w:tc>
        <w:tc>
          <w:tcPr>
            <w:tcW w:w="1933" w:type="dxa"/>
            <w:tcBorders>
              <w:top w:val="single" w:sz="2" w:space="0" w:color="auto"/>
              <w:bottom w:val="single" w:sz="2" w:space="0" w:color="auto"/>
            </w:tcBorders>
            <w:shd w:val="clear" w:color="auto" w:fill="auto"/>
            <w:noWrap/>
            <w:vAlign w:val="center"/>
          </w:tcPr>
          <w:p w:rsidR="0031736F" w:rsidRPr="00730AE6" w:rsidRDefault="0031736F" w:rsidP="008E025F">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294</w:t>
            </w:r>
          </w:p>
        </w:tc>
        <w:tc>
          <w:tcPr>
            <w:tcW w:w="1750" w:type="dxa"/>
            <w:tcBorders>
              <w:top w:val="single" w:sz="2" w:space="0" w:color="auto"/>
              <w:bottom w:val="single" w:sz="2" w:space="0" w:color="auto"/>
            </w:tcBorders>
            <w:shd w:val="clear" w:color="auto" w:fill="auto"/>
            <w:noWrap/>
            <w:vAlign w:val="center"/>
          </w:tcPr>
          <w:p w:rsidR="0031736F" w:rsidRPr="00730AE6" w:rsidRDefault="00AE71DF" w:rsidP="008E025F">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71</w:t>
            </w:r>
          </w:p>
        </w:tc>
      </w:tr>
      <w:tr w:rsidR="0031736F" w:rsidRPr="00730AE6" w:rsidTr="007179ED">
        <w:trPr>
          <w:trHeight w:val="227"/>
          <w:jc w:val="center"/>
        </w:trPr>
        <w:tc>
          <w:tcPr>
            <w:tcW w:w="3542" w:type="dxa"/>
            <w:tcBorders>
              <w:top w:val="single" w:sz="2" w:space="0" w:color="auto"/>
              <w:bottom w:val="single" w:sz="2" w:space="0" w:color="auto"/>
            </w:tcBorders>
            <w:shd w:val="clear" w:color="auto" w:fill="A8CBEE" w:themeFill="accent2" w:themeFillTint="66"/>
            <w:noWrap/>
            <w:vAlign w:val="center"/>
          </w:tcPr>
          <w:p w:rsidR="0031736F" w:rsidRPr="00730AE6" w:rsidRDefault="00B65F24" w:rsidP="008E025F">
            <w:pPr>
              <w:pStyle w:val="cuadroCabe"/>
              <w:rPr>
                <w:lang w:val="es-ES" w:eastAsia="es-ES"/>
              </w:rPr>
            </w:pPr>
            <w:r>
              <w:rPr>
                <w:lang w:val="es-ES" w:eastAsia="es-ES"/>
              </w:rPr>
              <w:t>Total</w:t>
            </w:r>
          </w:p>
        </w:tc>
        <w:tc>
          <w:tcPr>
            <w:tcW w:w="1771" w:type="dxa"/>
            <w:tcBorders>
              <w:top w:val="single" w:sz="2" w:space="0" w:color="auto"/>
              <w:bottom w:val="single" w:sz="2" w:space="0" w:color="auto"/>
            </w:tcBorders>
            <w:shd w:val="clear" w:color="auto" w:fill="A8CBEE" w:themeFill="accent2" w:themeFillTint="66"/>
            <w:vAlign w:val="center"/>
          </w:tcPr>
          <w:p w:rsidR="0031736F" w:rsidRPr="005140B9" w:rsidRDefault="0031736F" w:rsidP="008E025F">
            <w:pPr>
              <w:pStyle w:val="cuadroCabe"/>
              <w:jc w:val="right"/>
              <w:rPr>
                <w:lang w:val="es-ES" w:eastAsia="es-ES"/>
              </w:rPr>
            </w:pPr>
            <w:r>
              <w:rPr>
                <w:lang w:val="es-ES" w:eastAsia="es-ES"/>
              </w:rPr>
              <w:t>4.969</w:t>
            </w:r>
          </w:p>
        </w:tc>
        <w:tc>
          <w:tcPr>
            <w:tcW w:w="1933" w:type="dxa"/>
            <w:tcBorders>
              <w:top w:val="single" w:sz="2" w:space="0" w:color="auto"/>
              <w:bottom w:val="single" w:sz="2" w:space="0" w:color="auto"/>
            </w:tcBorders>
            <w:shd w:val="clear" w:color="auto" w:fill="A8CBEE" w:themeFill="accent2" w:themeFillTint="66"/>
            <w:noWrap/>
            <w:vAlign w:val="center"/>
          </w:tcPr>
          <w:p w:rsidR="0031736F" w:rsidRPr="00730AE6" w:rsidRDefault="0031736F" w:rsidP="008E025F">
            <w:pPr>
              <w:pStyle w:val="cuadroCabe"/>
              <w:jc w:val="right"/>
              <w:rPr>
                <w:lang w:val="es-ES" w:eastAsia="es-ES"/>
              </w:rPr>
            </w:pPr>
            <w:r>
              <w:rPr>
                <w:lang w:val="es-ES" w:eastAsia="es-ES"/>
              </w:rPr>
              <w:t>4.807</w:t>
            </w:r>
          </w:p>
        </w:tc>
        <w:tc>
          <w:tcPr>
            <w:tcW w:w="1750" w:type="dxa"/>
            <w:tcBorders>
              <w:top w:val="single" w:sz="2" w:space="0" w:color="auto"/>
              <w:bottom w:val="single" w:sz="2" w:space="0" w:color="auto"/>
            </w:tcBorders>
            <w:shd w:val="clear" w:color="auto" w:fill="A8CBEE" w:themeFill="accent2" w:themeFillTint="66"/>
            <w:noWrap/>
            <w:vAlign w:val="center"/>
          </w:tcPr>
          <w:p w:rsidR="0031736F" w:rsidRPr="00730AE6" w:rsidRDefault="0031736F" w:rsidP="008E025F">
            <w:pPr>
              <w:pStyle w:val="cuadroCabe"/>
              <w:jc w:val="right"/>
              <w:rPr>
                <w:lang w:val="es-ES" w:eastAsia="es-ES"/>
              </w:rPr>
            </w:pPr>
            <w:r>
              <w:rPr>
                <w:lang w:val="es-ES" w:eastAsia="es-ES"/>
              </w:rPr>
              <w:t>-3</w:t>
            </w:r>
          </w:p>
        </w:tc>
      </w:tr>
    </w:tbl>
    <w:p w:rsidR="002E04BF" w:rsidRPr="00215F32" w:rsidRDefault="002E04BF" w:rsidP="00215F32">
      <w:pPr>
        <w:pStyle w:val="texto"/>
        <w:tabs>
          <w:tab w:val="clear" w:pos="2835"/>
          <w:tab w:val="clear" w:pos="3969"/>
          <w:tab w:val="clear" w:pos="5103"/>
          <w:tab w:val="clear" w:pos="6237"/>
          <w:tab w:val="clear" w:pos="7371"/>
          <w:tab w:val="left" w:pos="480"/>
          <w:tab w:val="num" w:pos="928"/>
          <w:tab w:val="num" w:pos="6597"/>
        </w:tabs>
        <w:spacing w:before="60" w:after="0"/>
        <w:ind w:firstLine="0"/>
        <w:rPr>
          <w:rFonts w:ascii="Arial" w:hAnsi="Arial" w:cs="Arial"/>
          <w:sz w:val="14"/>
          <w:szCs w:val="14"/>
        </w:rPr>
      </w:pPr>
      <w:r w:rsidRPr="00215F32">
        <w:rPr>
          <w:rFonts w:ascii="Arial" w:hAnsi="Arial" w:cs="Arial"/>
          <w:sz w:val="14"/>
          <w:szCs w:val="14"/>
        </w:rPr>
        <w:t>*Ejercicio no auditado</w:t>
      </w:r>
    </w:p>
    <w:p w:rsidR="0031736F" w:rsidRDefault="00BD45A8" w:rsidP="00786DEB">
      <w:pPr>
        <w:pStyle w:val="texto"/>
        <w:spacing w:before="240" w:after="240"/>
        <w:rPr>
          <w:szCs w:val="26"/>
        </w:rPr>
      </w:pPr>
      <w:r>
        <w:rPr>
          <w:szCs w:val="26"/>
        </w:rPr>
        <w:t xml:space="preserve">Las principales inversiones corresponden a los siguientes conceptos: </w:t>
      </w:r>
      <w:r w:rsidR="00844F6E">
        <w:rPr>
          <w:szCs w:val="26"/>
        </w:rPr>
        <w:t>el</w:t>
      </w:r>
      <w:r w:rsidR="0031736F" w:rsidRPr="00730AE6">
        <w:rPr>
          <w:szCs w:val="26"/>
        </w:rPr>
        <w:t xml:space="preserve"> 35 por ciento a fondos bibliográficos, el </w:t>
      </w:r>
      <w:r w:rsidR="00B62165">
        <w:rPr>
          <w:szCs w:val="26"/>
        </w:rPr>
        <w:t>25</w:t>
      </w:r>
      <w:r w:rsidR="0031736F" w:rsidRPr="00730AE6">
        <w:rPr>
          <w:szCs w:val="26"/>
        </w:rPr>
        <w:t xml:space="preserve"> por ciento a equipos para procesos de información </w:t>
      </w:r>
      <w:r w:rsidR="00B62165">
        <w:rPr>
          <w:szCs w:val="26"/>
        </w:rPr>
        <w:t xml:space="preserve">y aplicaciones informáticas </w:t>
      </w:r>
      <w:r w:rsidR="0031736F" w:rsidRPr="00730AE6">
        <w:rPr>
          <w:szCs w:val="26"/>
        </w:rPr>
        <w:t>y el 17 por ciento a maquinaria, instalaciones y utillaje</w:t>
      </w:r>
      <w:r>
        <w:rPr>
          <w:szCs w:val="26"/>
        </w:rPr>
        <w:t>.</w:t>
      </w:r>
    </w:p>
    <w:p w:rsidR="00C0054B" w:rsidRPr="00207D65" w:rsidRDefault="00C0054B" w:rsidP="00215F32">
      <w:pPr>
        <w:pStyle w:val="atitulo3"/>
      </w:pPr>
      <w:r w:rsidRPr="00207D65">
        <w:t>Revisión muestra expedientes de contratación</w:t>
      </w:r>
    </w:p>
    <w:p w:rsidR="00E86309" w:rsidRDefault="00C0054B" w:rsidP="00B37F18">
      <w:pPr>
        <w:pStyle w:val="texto"/>
        <w:spacing w:after="240"/>
        <w:rPr>
          <w:szCs w:val="26"/>
        </w:rPr>
      </w:pPr>
      <w:r>
        <w:rPr>
          <w:szCs w:val="26"/>
        </w:rPr>
        <w:t>Hemos revisado la siguiente muestra de expedientes de 2017:</w:t>
      </w:r>
    </w:p>
    <w:tbl>
      <w:tblPr>
        <w:tblW w:w="9153" w:type="dxa"/>
        <w:jc w:val="center"/>
        <w:tblInd w:w="740" w:type="dxa"/>
        <w:tblLayout w:type="fixed"/>
        <w:tblLook w:val="01E0" w:firstRow="1" w:lastRow="1" w:firstColumn="1" w:lastColumn="1" w:noHBand="0" w:noVBand="0"/>
      </w:tblPr>
      <w:tblGrid>
        <w:gridCol w:w="2023"/>
        <w:gridCol w:w="1060"/>
        <w:gridCol w:w="1398"/>
        <w:gridCol w:w="1343"/>
        <w:gridCol w:w="1142"/>
        <w:gridCol w:w="1190"/>
        <w:gridCol w:w="997"/>
      </w:tblGrid>
      <w:tr w:rsidR="00C0054B" w:rsidRPr="001D56C7" w:rsidTr="00301DB9">
        <w:trPr>
          <w:trHeight w:val="255"/>
          <w:jc w:val="center"/>
        </w:trPr>
        <w:tc>
          <w:tcPr>
            <w:tcW w:w="2023" w:type="dxa"/>
            <w:tcBorders>
              <w:top w:val="single" w:sz="4" w:space="0" w:color="auto"/>
              <w:bottom w:val="single" w:sz="4" w:space="0" w:color="auto"/>
            </w:tcBorders>
            <w:shd w:val="clear" w:color="auto" w:fill="A0C3E3" w:themeFill="accent1" w:themeFillTint="99"/>
            <w:vAlign w:val="center"/>
          </w:tcPr>
          <w:p w:rsidR="00C0054B" w:rsidRPr="001D56C7" w:rsidRDefault="00C0054B" w:rsidP="001D56C7">
            <w:pPr>
              <w:pStyle w:val="cuatexto"/>
              <w:tabs>
                <w:tab w:val="clear" w:pos="2835"/>
              </w:tabs>
              <w:ind w:right="-6"/>
              <w:jc w:val="left"/>
              <w:rPr>
                <w:rFonts w:ascii="Arial" w:hAnsi="Arial" w:cs="Arial"/>
                <w:sz w:val="16"/>
                <w:szCs w:val="16"/>
              </w:rPr>
            </w:pPr>
            <w:r w:rsidRPr="001D56C7">
              <w:rPr>
                <w:rFonts w:ascii="Arial" w:hAnsi="Arial" w:cs="Arial"/>
                <w:sz w:val="16"/>
                <w:szCs w:val="16"/>
              </w:rPr>
              <w:t>Contrato</w:t>
            </w:r>
          </w:p>
        </w:tc>
        <w:tc>
          <w:tcPr>
            <w:tcW w:w="1060" w:type="dxa"/>
            <w:tcBorders>
              <w:top w:val="single" w:sz="4" w:space="0" w:color="auto"/>
              <w:bottom w:val="single" w:sz="4" w:space="0" w:color="auto"/>
            </w:tcBorders>
            <w:shd w:val="clear" w:color="auto" w:fill="A0C3E3" w:themeFill="accent1" w:themeFillTint="99"/>
            <w:vAlign w:val="center"/>
          </w:tcPr>
          <w:p w:rsidR="00C0054B" w:rsidRPr="001D56C7" w:rsidRDefault="00C0054B" w:rsidP="008E025F">
            <w:pPr>
              <w:pStyle w:val="cuatexto"/>
              <w:tabs>
                <w:tab w:val="clear" w:pos="2835"/>
              </w:tabs>
              <w:ind w:right="-6"/>
              <w:jc w:val="center"/>
              <w:rPr>
                <w:rFonts w:ascii="Arial" w:hAnsi="Arial" w:cs="Arial"/>
                <w:sz w:val="16"/>
                <w:szCs w:val="16"/>
              </w:rPr>
            </w:pPr>
            <w:r w:rsidRPr="001D56C7">
              <w:rPr>
                <w:rFonts w:ascii="Arial" w:hAnsi="Arial" w:cs="Arial"/>
                <w:sz w:val="16"/>
                <w:szCs w:val="16"/>
              </w:rPr>
              <w:t>Tipo</w:t>
            </w:r>
          </w:p>
        </w:tc>
        <w:tc>
          <w:tcPr>
            <w:tcW w:w="1398" w:type="dxa"/>
            <w:tcBorders>
              <w:top w:val="single" w:sz="4" w:space="0" w:color="auto"/>
              <w:bottom w:val="single" w:sz="4" w:space="0" w:color="auto"/>
            </w:tcBorders>
            <w:shd w:val="clear" w:color="auto" w:fill="A0C3E3" w:themeFill="accent1" w:themeFillTint="99"/>
            <w:vAlign w:val="center"/>
          </w:tcPr>
          <w:p w:rsidR="00C0054B" w:rsidRPr="001D56C7" w:rsidRDefault="00C0054B" w:rsidP="00004F6D">
            <w:pPr>
              <w:pStyle w:val="cuatexto"/>
              <w:tabs>
                <w:tab w:val="clear" w:pos="2835"/>
              </w:tabs>
              <w:jc w:val="right"/>
              <w:rPr>
                <w:rFonts w:ascii="Arial" w:hAnsi="Arial" w:cs="Arial"/>
                <w:sz w:val="16"/>
                <w:szCs w:val="16"/>
              </w:rPr>
            </w:pPr>
            <w:r w:rsidRPr="001D56C7">
              <w:rPr>
                <w:rFonts w:ascii="Arial" w:hAnsi="Arial" w:cs="Arial"/>
                <w:sz w:val="16"/>
                <w:szCs w:val="16"/>
              </w:rPr>
              <w:t>Procedimie</w:t>
            </w:r>
            <w:r w:rsidR="00844F6E" w:rsidRPr="001D56C7">
              <w:rPr>
                <w:rFonts w:ascii="Arial" w:hAnsi="Arial" w:cs="Arial"/>
                <w:sz w:val="16"/>
                <w:szCs w:val="16"/>
              </w:rPr>
              <w:t>n</w:t>
            </w:r>
            <w:r w:rsidRPr="001D56C7">
              <w:rPr>
                <w:rFonts w:ascii="Arial" w:hAnsi="Arial" w:cs="Arial"/>
                <w:sz w:val="16"/>
                <w:szCs w:val="16"/>
              </w:rPr>
              <w:t xml:space="preserve">to </w:t>
            </w:r>
          </w:p>
        </w:tc>
        <w:tc>
          <w:tcPr>
            <w:tcW w:w="1343" w:type="dxa"/>
            <w:tcBorders>
              <w:top w:val="single" w:sz="4" w:space="0" w:color="auto"/>
              <w:bottom w:val="single" w:sz="4" w:space="0" w:color="auto"/>
            </w:tcBorders>
            <w:shd w:val="clear" w:color="auto" w:fill="A0C3E3" w:themeFill="accent1" w:themeFillTint="99"/>
            <w:vAlign w:val="center"/>
          </w:tcPr>
          <w:p w:rsidR="00C0054B" w:rsidRPr="001D56C7" w:rsidRDefault="00C0054B" w:rsidP="00004F6D">
            <w:pPr>
              <w:pStyle w:val="cuatexto"/>
              <w:tabs>
                <w:tab w:val="clear" w:pos="2835"/>
              </w:tabs>
              <w:ind w:right="39"/>
              <w:jc w:val="right"/>
              <w:rPr>
                <w:rFonts w:ascii="Arial" w:hAnsi="Arial" w:cs="Arial"/>
                <w:sz w:val="16"/>
                <w:szCs w:val="16"/>
              </w:rPr>
            </w:pPr>
            <w:r w:rsidRPr="001D56C7">
              <w:rPr>
                <w:rFonts w:ascii="Arial" w:hAnsi="Arial" w:cs="Arial"/>
                <w:sz w:val="16"/>
                <w:szCs w:val="16"/>
              </w:rPr>
              <w:t>Criterio</w:t>
            </w:r>
          </w:p>
          <w:p w:rsidR="00C0054B" w:rsidRPr="001D56C7" w:rsidRDefault="00C0054B" w:rsidP="00004F6D">
            <w:pPr>
              <w:pStyle w:val="cuatexto"/>
              <w:tabs>
                <w:tab w:val="clear" w:pos="2835"/>
              </w:tabs>
              <w:ind w:right="39"/>
              <w:jc w:val="right"/>
              <w:rPr>
                <w:rFonts w:ascii="Arial" w:hAnsi="Arial" w:cs="Arial"/>
                <w:sz w:val="16"/>
                <w:szCs w:val="16"/>
              </w:rPr>
            </w:pPr>
            <w:r w:rsidRPr="001D56C7">
              <w:rPr>
                <w:rFonts w:ascii="Arial" w:hAnsi="Arial" w:cs="Arial"/>
                <w:sz w:val="16"/>
                <w:szCs w:val="16"/>
              </w:rPr>
              <w:t>adjudicación</w:t>
            </w:r>
          </w:p>
        </w:tc>
        <w:tc>
          <w:tcPr>
            <w:tcW w:w="1142" w:type="dxa"/>
            <w:tcBorders>
              <w:top w:val="single" w:sz="4" w:space="0" w:color="auto"/>
              <w:bottom w:val="single" w:sz="4" w:space="0" w:color="auto"/>
            </w:tcBorders>
            <w:shd w:val="clear" w:color="auto" w:fill="A0C3E3" w:themeFill="accent1" w:themeFillTint="99"/>
            <w:vAlign w:val="center"/>
          </w:tcPr>
          <w:p w:rsidR="00C0054B" w:rsidRPr="001D56C7" w:rsidRDefault="00C0054B" w:rsidP="00004F6D">
            <w:pPr>
              <w:pStyle w:val="cuatexto"/>
              <w:tabs>
                <w:tab w:val="clear" w:pos="2835"/>
                <w:tab w:val="left" w:pos="892"/>
              </w:tabs>
              <w:ind w:right="-6"/>
              <w:jc w:val="right"/>
              <w:rPr>
                <w:rFonts w:ascii="Arial" w:hAnsi="Arial" w:cs="Arial"/>
                <w:sz w:val="16"/>
                <w:szCs w:val="16"/>
              </w:rPr>
            </w:pPr>
            <w:r w:rsidRPr="001D56C7">
              <w:rPr>
                <w:rFonts w:ascii="Arial" w:hAnsi="Arial" w:cs="Arial"/>
                <w:sz w:val="16"/>
                <w:szCs w:val="16"/>
              </w:rPr>
              <w:t>Nº</w:t>
            </w:r>
          </w:p>
          <w:p w:rsidR="00C0054B" w:rsidRPr="001D56C7" w:rsidRDefault="001D56C7" w:rsidP="00004F6D">
            <w:pPr>
              <w:pStyle w:val="cuatexto"/>
              <w:tabs>
                <w:tab w:val="clear" w:pos="2835"/>
                <w:tab w:val="left" w:pos="267"/>
                <w:tab w:val="left" w:pos="892"/>
              </w:tabs>
              <w:ind w:right="-6"/>
              <w:jc w:val="right"/>
              <w:rPr>
                <w:rFonts w:ascii="Arial" w:hAnsi="Arial" w:cs="Arial"/>
                <w:sz w:val="16"/>
                <w:szCs w:val="16"/>
              </w:rPr>
            </w:pPr>
            <w:r w:rsidRPr="001D56C7">
              <w:rPr>
                <w:rFonts w:ascii="Arial" w:hAnsi="Arial" w:cs="Arial"/>
                <w:sz w:val="16"/>
                <w:szCs w:val="16"/>
              </w:rPr>
              <w:t>licitadores</w:t>
            </w:r>
          </w:p>
        </w:tc>
        <w:tc>
          <w:tcPr>
            <w:tcW w:w="1190" w:type="dxa"/>
            <w:tcBorders>
              <w:top w:val="single" w:sz="4" w:space="0" w:color="auto"/>
              <w:bottom w:val="single" w:sz="4" w:space="0" w:color="auto"/>
            </w:tcBorders>
            <w:shd w:val="clear" w:color="auto" w:fill="A0C3E3" w:themeFill="accent1" w:themeFillTint="99"/>
            <w:vAlign w:val="center"/>
          </w:tcPr>
          <w:p w:rsidR="002249A1" w:rsidRPr="001D56C7" w:rsidRDefault="00C0054B" w:rsidP="001D56C7">
            <w:pPr>
              <w:pStyle w:val="cuatexto"/>
              <w:tabs>
                <w:tab w:val="clear" w:pos="2835"/>
              </w:tabs>
              <w:ind w:right="-107"/>
              <w:jc w:val="right"/>
              <w:rPr>
                <w:rFonts w:ascii="Arial" w:hAnsi="Arial" w:cs="Arial"/>
                <w:sz w:val="16"/>
                <w:szCs w:val="16"/>
              </w:rPr>
            </w:pPr>
            <w:r w:rsidRPr="001D56C7">
              <w:rPr>
                <w:rFonts w:ascii="Arial" w:hAnsi="Arial" w:cs="Arial"/>
                <w:sz w:val="16"/>
                <w:szCs w:val="16"/>
              </w:rPr>
              <w:t>Importe</w:t>
            </w:r>
          </w:p>
          <w:p w:rsidR="00C0054B" w:rsidRPr="001D56C7" w:rsidRDefault="00C0054B" w:rsidP="001D56C7">
            <w:pPr>
              <w:pStyle w:val="cuatexto"/>
              <w:tabs>
                <w:tab w:val="clear" w:pos="2835"/>
              </w:tabs>
              <w:ind w:right="-107"/>
              <w:jc w:val="right"/>
              <w:rPr>
                <w:rFonts w:ascii="Arial" w:hAnsi="Arial" w:cs="Arial"/>
                <w:sz w:val="16"/>
                <w:szCs w:val="16"/>
              </w:rPr>
            </w:pPr>
            <w:r w:rsidRPr="001D56C7">
              <w:rPr>
                <w:rFonts w:ascii="Arial" w:hAnsi="Arial" w:cs="Arial"/>
                <w:sz w:val="16"/>
                <w:szCs w:val="16"/>
              </w:rPr>
              <w:t xml:space="preserve">  adjudicación</w:t>
            </w:r>
          </w:p>
        </w:tc>
        <w:tc>
          <w:tcPr>
            <w:tcW w:w="997" w:type="dxa"/>
            <w:tcBorders>
              <w:top w:val="single" w:sz="4" w:space="0" w:color="auto"/>
              <w:bottom w:val="single" w:sz="4" w:space="0" w:color="auto"/>
            </w:tcBorders>
            <w:shd w:val="clear" w:color="auto" w:fill="A0C3E3" w:themeFill="accent1" w:themeFillTint="99"/>
            <w:vAlign w:val="center"/>
          </w:tcPr>
          <w:p w:rsidR="00C0054B" w:rsidRPr="001D56C7" w:rsidRDefault="00C0054B" w:rsidP="001D56C7">
            <w:pPr>
              <w:pStyle w:val="cuatexto"/>
              <w:tabs>
                <w:tab w:val="clear" w:pos="2835"/>
                <w:tab w:val="left" w:pos="907"/>
              </w:tabs>
              <w:ind w:right="-33"/>
              <w:jc w:val="right"/>
              <w:rPr>
                <w:rFonts w:ascii="Arial" w:hAnsi="Arial" w:cs="Arial"/>
                <w:sz w:val="16"/>
                <w:szCs w:val="16"/>
              </w:rPr>
            </w:pPr>
            <w:r w:rsidRPr="001D56C7">
              <w:rPr>
                <w:rFonts w:ascii="Arial" w:hAnsi="Arial" w:cs="Arial"/>
                <w:sz w:val="16"/>
                <w:szCs w:val="16"/>
              </w:rPr>
              <w:t>% baja adjudicación</w:t>
            </w:r>
          </w:p>
        </w:tc>
      </w:tr>
      <w:tr w:rsidR="00C0054B" w:rsidRPr="005910B1" w:rsidTr="00301DB9">
        <w:trPr>
          <w:trHeight w:val="255"/>
          <w:jc w:val="center"/>
        </w:trPr>
        <w:tc>
          <w:tcPr>
            <w:tcW w:w="2023" w:type="dxa"/>
            <w:tcBorders>
              <w:top w:val="single" w:sz="4" w:space="0" w:color="auto"/>
              <w:bottom w:val="single" w:sz="2" w:space="0" w:color="auto"/>
            </w:tcBorders>
            <w:vAlign w:val="center"/>
          </w:tcPr>
          <w:p w:rsidR="00C0054B" w:rsidRPr="005910B1" w:rsidRDefault="00C0054B" w:rsidP="008E025F">
            <w:pPr>
              <w:pStyle w:val="cuatexto"/>
              <w:tabs>
                <w:tab w:val="clear" w:pos="2835"/>
              </w:tabs>
              <w:ind w:right="49"/>
              <w:jc w:val="left"/>
              <w:rPr>
                <w:sz w:val="18"/>
                <w:szCs w:val="18"/>
              </w:rPr>
            </w:pPr>
            <w:r w:rsidRPr="005910B1">
              <w:rPr>
                <w:sz w:val="18"/>
                <w:szCs w:val="18"/>
              </w:rPr>
              <w:t>Suscripción revistas</w:t>
            </w:r>
          </w:p>
        </w:tc>
        <w:tc>
          <w:tcPr>
            <w:tcW w:w="1060" w:type="dxa"/>
            <w:tcBorders>
              <w:top w:val="single" w:sz="4" w:space="0" w:color="auto"/>
              <w:bottom w:val="single" w:sz="2" w:space="0" w:color="auto"/>
            </w:tcBorders>
            <w:vAlign w:val="center"/>
          </w:tcPr>
          <w:p w:rsidR="00C0054B" w:rsidRPr="005910B1" w:rsidRDefault="00C0054B" w:rsidP="00C0054B">
            <w:pPr>
              <w:pStyle w:val="cuatexto"/>
              <w:tabs>
                <w:tab w:val="clear" w:pos="2835"/>
              </w:tabs>
              <w:ind w:right="-1"/>
              <w:jc w:val="center"/>
              <w:rPr>
                <w:sz w:val="18"/>
                <w:szCs w:val="18"/>
              </w:rPr>
            </w:pPr>
            <w:r w:rsidRPr="005910B1">
              <w:rPr>
                <w:sz w:val="18"/>
                <w:szCs w:val="18"/>
              </w:rPr>
              <w:t>Suministro</w:t>
            </w:r>
          </w:p>
        </w:tc>
        <w:tc>
          <w:tcPr>
            <w:tcW w:w="1398" w:type="dxa"/>
            <w:tcBorders>
              <w:top w:val="single" w:sz="4" w:space="0" w:color="auto"/>
              <w:bottom w:val="single" w:sz="2" w:space="0" w:color="auto"/>
            </w:tcBorders>
            <w:vAlign w:val="center"/>
          </w:tcPr>
          <w:p w:rsidR="00844F6E" w:rsidRPr="005910B1" w:rsidRDefault="00C0054B" w:rsidP="00004F6D">
            <w:pPr>
              <w:pStyle w:val="cuatexto"/>
              <w:tabs>
                <w:tab w:val="clear" w:pos="2835"/>
              </w:tabs>
              <w:jc w:val="right"/>
              <w:rPr>
                <w:sz w:val="18"/>
                <w:szCs w:val="18"/>
              </w:rPr>
            </w:pPr>
            <w:r w:rsidRPr="005910B1">
              <w:rPr>
                <w:sz w:val="18"/>
                <w:szCs w:val="18"/>
              </w:rPr>
              <w:t>Neg</w:t>
            </w:r>
            <w:r w:rsidR="00844F6E" w:rsidRPr="005910B1">
              <w:rPr>
                <w:sz w:val="18"/>
                <w:szCs w:val="18"/>
              </w:rPr>
              <w:t>ociado</w:t>
            </w:r>
            <w:r w:rsidRPr="005910B1">
              <w:rPr>
                <w:sz w:val="18"/>
                <w:szCs w:val="18"/>
              </w:rPr>
              <w:t xml:space="preserve"> </w:t>
            </w:r>
            <w:r w:rsidR="00844F6E" w:rsidRPr="005910B1">
              <w:rPr>
                <w:sz w:val="18"/>
                <w:szCs w:val="18"/>
              </w:rPr>
              <w:t>s</w:t>
            </w:r>
            <w:r w:rsidRPr="005910B1">
              <w:rPr>
                <w:sz w:val="18"/>
                <w:szCs w:val="18"/>
              </w:rPr>
              <w:t>in</w:t>
            </w:r>
          </w:p>
          <w:p w:rsidR="00C0054B" w:rsidRPr="005910B1" w:rsidRDefault="00C0054B" w:rsidP="00004F6D">
            <w:pPr>
              <w:pStyle w:val="cuatexto"/>
              <w:tabs>
                <w:tab w:val="clear" w:pos="2835"/>
              </w:tabs>
              <w:jc w:val="right"/>
              <w:rPr>
                <w:sz w:val="18"/>
                <w:szCs w:val="18"/>
              </w:rPr>
            </w:pPr>
            <w:r w:rsidRPr="005910B1">
              <w:rPr>
                <w:sz w:val="18"/>
                <w:szCs w:val="18"/>
              </w:rPr>
              <w:t xml:space="preserve"> public</w:t>
            </w:r>
            <w:r w:rsidR="00844F6E" w:rsidRPr="005910B1">
              <w:rPr>
                <w:sz w:val="18"/>
                <w:szCs w:val="18"/>
              </w:rPr>
              <w:t>idad</w:t>
            </w:r>
          </w:p>
        </w:tc>
        <w:tc>
          <w:tcPr>
            <w:tcW w:w="1343" w:type="dxa"/>
            <w:tcBorders>
              <w:top w:val="single" w:sz="4" w:space="0" w:color="auto"/>
              <w:bottom w:val="single" w:sz="2" w:space="0" w:color="auto"/>
            </w:tcBorders>
            <w:vAlign w:val="center"/>
          </w:tcPr>
          <w:p w:rsidR="00C0054B" w:rsidRPr="005910B1" w:rsidRDefault="000D2540" w:rsidP="00004F6D">
            <w:pPr>
              <w:pStyle w:val="cuatexto"/>
              <w:tabs>
                <w:tab w:val="clear" w:pos="2835"/>
              </w:tabs>
              <w:ind w:right="39"/>
              <w:jc w:val="right"/>
              <w:rPr>
                <w:sz w:val="18"/>
                <w:szCs w:val="18"/>
              </w:rPr>
            </w:pPr>
            <w:r w:rsidRPr="005910B1">
              <w:rPr>
                <w:sz w:val="18"/>
                <w:szCs w:val="18"/>
              </w:rPr>
              <w:t>Exclusividad</w:t>
            </w:r>
          </w:p>
        </w:tc>
        <w:tc>
          <w:tcPr>
            <w:tcW w:w="1142" w:type="dxa"/>
            <w:tcBorders>
              <w:top w:val="single" w:sz="4" w:space="0" w:color="auto"/>
              <w:bottom w:val="single" w:sz="2" w:space="0" w:color="auto"/>
            </w:tcBorders>
            <w:vAlign w:val="center"/>
          </w:tcPr>
          <w:p w:rsidR="00C0054B" w:rsidRPr="005910B1" w:rsidRDefault="00C0054B" w:rsidP="00004F6D">
            <w:pPr>
              <w:pStyle w:val="cuatexto"/>
              <w:tabs>
                <w:tab w:val="clear" w:pos="2835"/>
                <w:tab w:val="left" w:pos="892"/>
              </w:tabs>
              <w:ind w:right="-6"/>
              <w:jc w:val="right"/>
              <w:rPr>
                <w:sz w:val="18"/>
                <w:szCs w:val="18"/>
              </w:rPr>
            </w:pPr>
          </w:p>
        </w:tc>
        <w:tc>
          <w:tcPr>
            <w:tcW w:w="1190" w:type="dxa"/>
            <w:tcBorders>
              <w:top w:val="single" w:sz="4" w:space="0" w:color="auto"/>
              <w:bottom w:val="single" w:sz="2" w:space="0" w:color="auto"/>
            </w:tcBorders>
            <w:vAlign w:val="center"/>
          </w:tcPr>
          <w:p w:rsidR="00C0054B" w:rsidRPr="005910B1" w:rsidRDefault="00C0054B" w:rsidP="001D56C7">
            <w:pPr>
              <w:pStyle w:val="cuatexto"/>
              <w:tabs>
                <w:tab w:val="clear" w:pos="2835"/>
              </w:tabs>
              <w:ind w:right="-1"/>
              <w:jc w:val="right"/>
              <w:rPr>
                <w:sz w:val="18"/>
                <w:szCs w:val="18"/>
              </w:rPr>
            </w:pPr>
            <w:r w:rsidRPr="005910B1">
              <w:rPr>
                <w:sz w:val="18"/>
                <w:szCs w:val="18"/>
              </w:rPr>
              <w:t>1.634.255</w:t>
            </w:r>
          </w:p>
        </w:tc>
        <w:tc>
          <w:tcPr>
            <w:tcW w:w="997" w:type="dxa"/>
            <w:tcBorders>
              <w:top w:val="single" w:sz="4" w:space="0" w:color="auto"/>
              <w:bottom w:val="single" w:sz="2" w:space="0" w:color="auto"/>
            </w:tcBorders>
            <w:vAlign w:val="center"/>
          </w:tcPr>
          <w:p w:rsidR="00C0054B" w:rsidRPr="005910B1" w:rsidRDefault="00CF2253" w:rsidP="008E025F">
            <w:pPr>
              <w:pStyle w:val="cuatexto"/>
              <w:tabs>
                <w:tab w:val="clear" w:pos="2835"/>
              </w:tabs>
              <w:ind w:right="-1"/>
              <w:jc w:val="right"/>
              <w:rPr>
                <w:sz w:val="18"/>
                <w:szCs w:val="18"/>
              </w:rPr>
            </w:pPr>
            <w:r w:rsidRPr="005910B1">
              <w:rPr>
                <w:sz w:val="18"/>
                <w:szCs w:val="18"/>
              </w:rPr>
              <w:t>0</w:t>
            </w:r>
          </w:p>
        </w:tc>
      </w:tr>
      <w:tr w:rsidR="00C0054B" w:rsidRPr="005910B1" w:rsidTr="00301DB9">
        <w:trPr>
          <w:trHeight w:val="255"/>
          <w:jc w:val="center"/>
        </w:trPr>
        <w:tc>
          <w:tcPr>
            <w:tcW w:w="2023" w:type="dxa"/>
            <w:tcBorders>
              <w:top w:val="single" w:sz="4" w:space="0" w:color="auto"/>
              <w:bottom w:val="single" w:sz="2" w:space="0" w:color="auto"/>
            </w:tcBorders>
            <w:vAlign w:val="center"/>
          </w:tcPr>
          <w:p w:rsidR="00C0054B" w:rsidRPr="005910B1" w:rsidRDefault="00C0054B" w:rsidP="008E025F">
            <w:pPr>
              <w:pStyle w:val="cuatexto"/>
              <w:tabs>
                <w:tab w:val="clear" w:pos="2835"/>
              </w:tabs>
              <w:ind w:right="49"/>
              <w:jc w:val="left"/>
              <w:rPr>
                <w:sz w:val="18"/>
                <w:szCs w:val="18"/>
              </w:rPr>
            </w:pPr>
            <w:r w:rsidRPr="005910B1">
              <w:rPr>
                <w:sz w:val="18"/>
                <w:szCs w:val="18"/>
              </w:rPr>
              <w:t>Licencia Mathematica</w:t>
            </w:r>
          </w:p>
        </w:tc>
        <w:tc>
          <w:tcPr>
            <w:tcW w:w="1060" w:type="dxa"/>
            <w:tcBorders>
              <w:top w:val="single" w:sz="4" w:space="0" w:color="auto"/>
              <w:bottom w:val="single" w:sz="2" w:space="0" w:color="auto"/>
            </w:tcBorders>
            <w:vAlign w:val="center"/>
          </w:tcPr>
          <w:p w:rsidR="00C0054B" w:rsidRPr="005910B1" w:rsidRDefault="00C0054B" w:rsidP="00C0054B">
            <w:pPr>
              <w:pStyle w:val="cuatexto"/>
              <w:tabs>
                <w:tab w:val="clear" w:pos="2835"/>
              </w:tabs>
              <w:ind w:right="-1"/>
              <w:jc w:val="center"/>
              <w:rPr>
                <w:sz w:val="18"/>
                <w:szCs w:val="18"/>
              </w:rPr>
            </w:pPr>
            <w:r w:rsidRPr="005910B1">
              <w:rPr>
                <w:sz w:val="18"/>
                <w:szCs w:val="18"/>
              </w:rPr>
              <w:t>Asistencia</w:t>
            </w:r>
          </w:p>
        </w:tc>
        <w:tc>
          <w:tcPr>
            <w:tcW w:w="1398" w:type="dxa"/>
            <w:tcBorders>
              <w:top w:val="single" w:sz="4" w:space="0" w:color="auto"/>
              <w:bottom w:val="single" w:sz="2" w:space="0" w:color="auto"/>
            </w:tcBorders>
            <w:vAlign w:val="center"/>
          </w:tcPr>
          <w:p w:rsidR="00844F6E" w:rsidRPr="005910B1" w:rsidRDefault="00844F6E" w:rsidP="00004F6D">
            <w:pPr>
              <w:pStyle w:val="cuatexto"/>
              <w:tabs>
                <w:tab w:val="clear" w:pos="2835"/>
              </w:tabs>
              <w:jc w:val="right"/>
              <w:rPr>
                <w:sz w:val="18"/>
                <w:szCs w:val="18"/>
              </w:rPr>
            </w:pPr>
            <w:r w:rsidRPr="005910B1">
              <w:rPr>
                <w:sz w:val="18"/>
                <w:szCs w:val="18"/>
              </w:rPr>
              <w:t>Negociado sin</w:t>
            </w:r>
          </w:p>
          <w:p w:rsidR="00C0054B" w:rsidRPr="005910B1" w:rsidRDefault="00844F6E" w:rsidP="00004F6D">
            <w:pPr>
              <w:pStyle w:val="cuatexto"/>
              <w:tabs>
                <w:tab w:val="clear" w:pos="2835"/>
              </w:tabs>
              <w:jc w:val="right"/>
              <w:rPr>
                <w:sz w:val="18"/>
                <w:szCs w:val="18"/>
              </w:rPr>
            </w:pPr>
            <w:r w:rsidRPr="005910B1">
              <w:rPr>
                <w:sz w:val="18"/>
                <w:szCs w:val="18"/>
              </w:rPr>
              <w:t xml:space="preserve"> publicidad</w:t>
            </w:r>
          </w:p>
        </w:tc>
        <w:tc>
          <w:tcPr>
            <w:tcW w:w="1343" w:type="dxa"/>
            <w:tcBorders>
              <w:top w:val="single" w:sz="4" w:space="0" w:color="auto"/>
              <w:bottom w:val="single" w:sz="2" w:space="0" w:color="auto"/>
            </w:tcBorders>
            <w:vAlign w:val="center"/>
          </w:tcPr>
          <w:p w:rsidR="00C0054B" w:rsidRPr="005910B1" w:rsidRDefault="000D2540" w:rsidP="00004F6D">
            <w:pPr>
              <w:pStyle w:val="cuatexto"/>
              <w:tabs>
                <w:tab w:val="clear" w:pos="2835"/>
              </w:tabs>
              <w:ind w:right="39"/>
              <w:jc w:val="right"/>
              <w:rPr>
                <w:sz w:val="18"/>
                <w:szCs w:val="18"/>
              </w:rPr>
            </w:pPr>
            <w:r w:rsidRPr="005910B1">
              <w:rPr>
                <w:sz w:val="18"/>
                <w:szCs w:val="18"/>
              </w:rPr>
              <w:t>Exclusividad</w:t>
            </w:r>
          </w:p>
        </w:tc>
        <w:tc>
          <w:tcPr>
            <w:tcW w:w="1142" w:type="dxa"/>
            <w:tcBorders>
              <w:top w:val="single" w:sz="4" w:space="0" w:color="auto"/>
              <w:bottom w:val="single" w:sz="2" w:space="0" w:color="auto"/>
            </w:tcBorders>
            <w:vAlign w:val="center"/>
          </w:tcPr>
          <w:p w:rsidR="00C0054B" w:rsidRPr="005910B1" w:rsidRDefault="00C0054B" w:rsidP="00004F6D">
            <w:pPr>
              <w:pStyle w:val="cuatexto"/>
              <w:tabs>
                <w:tab w:val="clear" w:pos="2835"/>
                <w:tab w:val="left" w:pos="892"/>
              </w:tabs>
              <w:ind w:right="-6"/>
              <w:jc w:val="right"/>
              <w:rPr>
                <w:sz w:val="18"/>
                <w:szCs w:val="18"/>
              </w:rPr>
            </w:pPr>
          </w:p>
        </w:tc>
        <w:tc>
          <w:tcPr>
            <w:tcW w:w="1190" w:type="dxa"/>
            <w:tcBorders>
              <w:top w:val="single" w:sz="4" w:space="0" w:color="auto"/>
              <w:bottom w:val="single" w:sz="2" w:space="0" w:color="auto"/>
            </w:tcBorders>
            <w:vAlign w:val="center"/>
          </w:tcPr>
          <w:p w:rsidR="00C0054B" w:rsidRPr="005910B1" w:rsidRDefault="00C0054B" w:rsidP="001D56C7">
            <w:pPr>
              <w:pStyle w:val="cuatexto"/>
              <w:tabs>
                <w:tab w:val="clear" w:pos="2835"/>
              </w:tabs>
              <w:ind w:right="-1"/>
              <w:jc w:val="right"/>
              <w:rPr>
                <w:sz w:val="18"/>
                <w:szCs w:val="18"/>
              </w:rPr>
            </w:pPr>
            <w:r w:rsidRPr="005910B1">
              <w:rPr>
                <w:sz w:val="18"/>
                <w:szCs w:val="18"/>
              </w:rPr>
              <w:t>73.548</w:t>
            </w:r>
          </w:p>
        </w:tc>
        <w:tc>
          <w:tcPr>
            <w:tcW w:w="997" w:type="dxa"/>
            <w:tcBorders>
              <w:top w:val="single" w:sz="4" w:space="0" w:color="auto"/>
              <w:bottom w:val="single" w:sz="2" w:space="0" w:color="auto"/>
            </w:tcBorders>
            <w:vAlign w:val="center"/>
          </w:tcPr>
          <w:p w:rsidR="00C0054B" w:rsidRPr="005910B1" w:rsidRDefault="00CF2253" w:rsidP="008E025F">
            <w:pPr>
              <w:pStyle w:val="cuatexto"/>
              <w:tabs>
                <w:tab w:val="clear" w:pos="2835"/>
              </w:tabs>
              <w:ind w:right="-1"/>
              <w:jc w:val="right"/>
              <w:rPr>
                <w:sz w:val="18"/>
                <w:szCs w:val="18"/>
              </w:rPr>
            </w:pPr>
            <w:r w:rsidRPr="005910B1">
              <w:rPr>
                <w:sz w:val="18"/>
                <w:szCs w:val="18"/>
              </w:rPr>
              <w:t>0</w:t>
            </w:r>
          </w:p>
        </w:tc>
      </w:tr>
      <w:tr w:rsidR="00C0054B" w:rsidRPr="005910B1" w:rsidTr="00301DB9">
        <w:trPr>
          <w:trHeight w:val="255"/>
          <w:jc w:val="center"/>
        </w:trPr>
        <w:tc>
          <w:tcPr>
            <w:tcW w:w="2023" w:type="dxa"/>
            <w:tcBorders>
              <w:top w:val="single" w:sz="4" w:space="0" w:color="auto"/>
              <w:bottom w:val="single" w:sz="4" w:space="0" w:color="auto"/>
            </w:tcBorders>
            <w:vAlign w:val="center"/>
          </w:tcPr>
          <w:p w:rsidR="00C0054B" w:rsidRPr="005910B1" w:rsidRDefault="00C0054B" w:rsidP="008E025F">
            <w:pPr>
              <w:pStyle w:val="cuatexto"/>
              <w:tabs>
                <w:tab w:val="clear" w:pos="2835"/>
              </w:tabs>
              <w:ind w:right="49"/>
              <w:jc w:val="left"/>
              <w:rPr>
                <w:sz w:val="18"/>
                <w:szCs w:val="18"/>
              </w:rPr>
            </w:pPr>
            <w:r w:rsidRPr="005910B1">
              <w:rPr>
                <w:sz w:val="18"/>
                <w:szCs w:val="18"/>
              </w:rPr>
              <w:t>Equipamiento sala vistas</w:t>
            </w:r>
          </w:p>
        </w:tc>
        <w:tc>
          <w:tcPr>
            <w:tcW w:w="1060" w:type="dxa"/>
            <w:tcBorders>
              <w:top w:val="single" w:sz="4" w:space="0" w:color="auto"/>
              <w:bottom w:val="single" w:sz="4" w:space="0" w:color="auto"/>
            </w:tcBorders>
            <w:vAlign w:val="center"/>
          </w:tcPr>
          <w:p w:rsidR="00C0054B" w:rsidRPr="005910B1" w:rsidRDefault="00C0054B" w:rsidP="00C0054B">
            <w:pPr>
              <w:pStyle w:val="cuatexto"/>
              <w:tabs>
                <w:tab w:val="clear" w:pos="2835"/>
              </w:tabs>
              <w:ind w:right="-1"/>
              <w:jc w:val="center"/>
              <w:rPr>
                <w:sz w:val="18"/>
                <w:szCs w:val="18"/>
              </w:rPr>
            </w:pPr>
            <w:r w:rsidRPr="005910B1">
              <w:rPr>
                <w:sz w:val="18"/>
                <w:szCs w:val="18"/>
              </w:rPr>
              <w:t>Suministro</w:t>
            </w:r>
          </w:p>
        </w:tc>
        <w:tc>
          <w:tcPr>
            <w:tcW w:w="1398" w:type="dxa"/>
            <w:tcBorders>
              <w:top w:val="single" w:sz="4" w:space="0" w:color="auto"/>
              <w:bottom w:val="single" w:sz="4" w:space="0" w:color="auto"/>
            </w:tcBorders>
            <w:vAlign w:val="center"/>
          </w:tcPr>
          <w:p w:rsidR="00844F6E" w:rsidRPr="005910B1" w:rsidRDefault="00844F6E" w:rsidP="00004F6D">
            <w:pPr>
              <w:pStyle w:val="cuatexto"/>
              <w:tabs>
                <w:tab w:val="clear" w:pos="2835"/>
              </w:tabs>
              <w:jc w:val="right"/>
              <w:rPr>
                <w:sz w:val="18"/>
                <w:szCs w:val="18"/>
              </w:rPr>
            </w:pPr>
            <w:r w:rsidRPr="005910B1">
              <w:rPr>
                <w:sz w:val="18"/>
                <w:szCs w:val="18"/>
              </w:rPr>
              <w:t>Negociado sin</w:t>
            </w:r>
          </w:p>
          <w:p w:rsidR="00C0054B" w:rsidRPr="005910B1" w:rsidRDefault="00844F6E" w:rsidP="00004F6D">
            <w:pPr>
              <w:pStyle w:val="cuatexto"/>
              <w:tabs>
                <w:tab w:val="clear" w:pos="2835"/>
              </w:tabs>
              <w:jc w:val="right"/>
              <w:rPr>
                <w:sz w:val="18"/>
                <w:szCs w:val="18"/>
              </w:rPr>
            </w:pPr>
            <w:r w:rsidRPr="005910B1">
              <w:rPr>
                <w:sz w:val="18"/>
                <w:szCs w:val="18"/>
              </w:rPr>
              <w:t xml:space="preserve"> publicidad</w:t>
            </w:r>
          </w:p>
        </w:tc>
        <w:tc>
          <w:tcPr>
            <w:tcW w:w="1343" w:type="dxa"/>
            <w:tcBorders>
              <w:top w:val="single" w:sz="4" w:space="0" w:color="auto"/>
              <w:bottom w:val="single" w:sz="4" w:space="0" w:color="auto"/>
            </w:tcBorders>
            <w:vAlign w:val="center"/>
          </w:tcPr>
          <w:p w:rsidR="00C0054B" w:rsidRPr="005910B1" w:rsidRDefault="006A68B5" w:rsidP="00004F6D">
            <w:pPr>
              <w:pStyle w:val="cuatexto"/>
              <w:tabs>
                <w:tab w:val="clear" w:pos="2835"/>
              </w:tabs>
              <w:ind w:right="39"/>
              <w:jc w:val="right"/>
              <w:rPr>
                <w:sz w:val="18"/>
                <w:szCs w:val="18"/>
              </w:rPr>
            </w:pPr>
            <w:r w:rsidRPr="005910B1">
              <w:rPr>
                <w:sz w:val="18"/>
                <w:szCs w:val="18"/>
              </w:rPr>
              <w:t>Precio</w:t>
            </w:r>
          </w:p>
        </w:tc>
        <w:tc>
          <w:tcPr>
            <w:tcW w:w="1142" w:type="dxa"/>
            <w:tcBorders>
              <w:top w:val="single" w:sz="4" w:space="0" w:color="auto"/>
              <w:bottom w:val="single" w:sz="4" w:space="0" w:color="auto"/>
            </w:tcBorders>
            <w:vAlign w:val="center"/>
          </w:tcPr>
          <w:p w:rsidR="00C0054B" w:rsidRPr="005910B1" w:rsidRDefault="00C0054B" w:rsidP="00004F6D">
            <w:pPr>
              <w:pStyle w:val="cuatexto"/>
              <w:tabs>
                <w:tab w:val="clear" w:pos="2835"/>
                <w:tab w:val="left" w:pos="892"/>
              </w:tabs>
              <w:ind w:right="-6"/>
              <w:jc w:val="right"/>
              <w:rPr>
                <w:sz w:val="18"/>
                <w:szCs w:val="18"/>
              </w:rPr>
            </w:pPr>
          </w:p>
        </w:tc>
        <w:tc>
          <w:tcPr>
            <w:tcW w:w="1190" w:type="dxa"/>
            <w:tcBorders>
              <w:top w:val="single" w:sz="4" w:space="0" w:color="auto"/>
              <w:bottom w:val="single" w:sz="4" w:space="0" w:color="auto"/>
            </w:tcBorders>
            <w:vAlign w:val="center"/>
          </w:tcPr>
          <w:p w:rsidR="00C0054B" w:rsidRPr="005910B1" w:rsidRDefault="00C0054B" w:rsidP="001D56C7">
            <w:pPr>
              <w:pStyle w:val="cuatexto"/>
              <w:tabs>
                <w:tab w:val="clear" w:pos="2835"/>
              </w:tabs>
              <w:ind w:right="-1"/>
              <w:jc w:val="right"/>
              <w:rPr>
                <w:sz w:val="18"/>
                <w:szCs w:val="18"/>
              </w:rPr>
            </w:pPr>
            <w:r w:rsidRPr="005910B1">
              <w:rPr>
                <w:sz w:val="18"/>
                <w:szCs w:val="18"/>
              </w:rPr>
              <w:t>20.457</w:t>
            </w:r>
          </w:p>
        </w:tc>
        <w:tc>
          <w:tcPr>
            <w:tcW w:w="997" w:type="dxa"/>
            <w:tcBorders>
              <w:top w:val="single" w:sz="4" w:space="0" w:color="auto"/>
              <w:bottom w:val="single" w:sz="4" w:space="0" w:color="auto"/>
            </w:tcBorders>
            <w:vAlign w:val="center"/>
          </w:tcPr>
          <w:p w:rsidR="00C0054B" w:rsidRPr="005910B1" w:rsidRDefault="006A68B5" w:rsidP="008E025F">
            <w:pPr>
              <w:pStyle w:val="cuatexto"/>
              <w:tabs>
                <w:tab w:val="clear" w:pos="2835"/>
              </w:tabs>
              <w:ind w:right="-1"/>
              <w:jc w:val="right"/>
              <w:rPr>
                <w:sz w:val="18"/>
                <w:szCs w:val="18"/>
              </w:rPr>
            </w:pPr>
            <w:r w:rsidRPr="005910B1">
              <w:rPr>
                <w:sz w:val="18"/>
                <w:szCs w:val="18"/>
              </w:rPr>
              <w:t>4,8</w:t>
            </w:r>
          </w:p>
        </w:tc>
      </w:tr>
      <w:tr w:rsidR="00C0054B" w:rsidRPr="005910B1" w:rsidTr="00301DB9">
        <w:trPr>
          <w:trHeight w:val="255"/>
          <w:jc w:val="center"/>
        </w:trPr>
        <w:tc>
          <w:tcPr>
            <w:tcW w:w="2023" w:type="dxa"/>
            <w:tcBorders>
              <w:top w:val="single" w:sz="4" w:space="0" w:color="auto"/>
            </w:tcBorders>
            <w:vAlign w:val="center"/>
          </w:tcPr>
          <w:p w:rsidR="00844F6E" w:rsidRPr="005910B1" w:rsidRDefault="00C0054B" w:rsidP="00C0054B">
            <w:pPr>
              <w:pStyle w:val="cuatexto"/>
              <w:tabs>
                <w:tab w:val="clear" w:pos="2835"/>
                <w:tab w:val="left" w:pos="2355"/>
              </w:tabs>
              <w:ind w:left="-55" w:right="-92"/>
              <w:jc w:val="left"/>
              <w:rPr>
                <w:sz w:val="18"/>
                <w:szCs w:val="18"/>
              </w:rPr>
            </w:pPr>
            <w:r w:rsidRPr="005910B1">
              <w:rPr>
                <w:sz w:val="18"/>
                <w:szCs w:val="18"/>
              </w:rPr>
              <w:t>Suministro ordenadores</w:t>
            </w:r>
            <w:r w:rsidR="008D5E75" w:rsidRPr="005910B1">
              <w:rPr>
                <w:sz w:val="18"/>
                <w:szCs w:val="18"/>
              </w:rPr>
              <w:t>*</w:t>
            </w:r>
            <w:r w:rsidRPr="005910B1">
              <w:rPr>
                <w:sz w:val="18"/>
                <w:szCs w:val="18"/>
              </w:rPr>
              <w:t xml:space="preserve"> </w:t>
            </w:r>
          </w:p>
          <w:p w:rsidR="00C0054B" w:rsidRPr="005910B1" w:rsidRDefault="00C0054B" w:rsidP="001D56C7">
            <w:pPr>
              <w:pStyle w:val="cuatexto"/>
              <w:tabs>
                <w:tab w:val="clear" w:pos="2835"/>
                <w:tab w:val="left" w:pos="2355"/>
              </w:tabs>
              <w:ind w:left="-55" w:right="-92"/>
              <w:jc w:val="left"/>
              <w:rPr>
                <w:sz w:val="18"/>
                <w:szCs w:val="18"/>
              </w:rPr>
            </w:pPr>
            <w:r w:rsidRPr="005910B1">
              <w:rPr>
                <w:sz w:val="18"/>
                <w:szCs w:val="18"/>
              </w:rPr>
              <w:t>Semestre febrero-julio</w:t>
            </w:r>
            <w:r w:rsidR="001D56C7" w:rsidRPr="005910B1">
              <w:rPr>
                <w:sz w:val="18"/>
                <w:szCs w:val="18"/>
              </w:rPr>
              <w:t>17</w:t>
            </w:r>
            <w:r w:rsidRPr="005910B1">
              <w:rPr>
                <w:sz w:val="18"/>
                <w:szCs w:val="18"/>
              </w:rPr>
              <w:t xml:space="preserve"> </w:t>
            </w:r>
          </w:p>
        </w:tc>
        <w:tc>
          <w:tcPr>
            <w:tcW w:w="1060" w:type="dxa"/>
            <w:tcBorders>
              <w:top w:val="single" w:sz="4" w:space="0" w:color="auto"/>
            </w:tcBorders>
          </w:tcPr>
          <w:p w:rsidR="00C0054B" w:rsidRPr="005910B1" w:rsidRDefault="00C0054B" w:rsidP="00C0054B">
            <w:pPr>
              <w:pStyle w:val="cuatexto"/>
              <w:tabs>
                <w:tab w:val="clear" w:pos="2835"/>
              </w:tabs>
              <w:ind w:right="-1"/>
              <w:jc w:val="center"/>
              <w:rPr>
                <w:sz w:val="18"/>
                <w:szCs w:val="18"/>
              </w:rPr>
            </w:pPr>
            <w:r w:rsidRPr="005910B1">
              <w:rPr>
                <w:sz w:val="18"/>
                <w:szCs w:val="18"/>
              </w:rPr>
              <w:t>Suministro</w:t>
            </w:r>
          </w:p>
        </w:tc>
        <w:tc>
          <w:tcPr>
            <w:tcW w:w="1398" w:type="dxa"/>
            <w:tcBorders>
              <w:top w:val="single" w:sz="4" w:space="0" w:color="auto"/>
            </w:tcBorders>
          </w:tcPr>
          <w:p w:rsidR="00C0054B" w:rsidRPr="005910B1" w:rsidRDefault="00C0054B" w:rsidP="00004F6D">
            <w:pPr>
              <w:pStyle w:val="cuatexto"/>
              <w:tabs>
                <w:tab w:val="clear" w:pos="2835"/>
              </w:tabs>
              <w:jc w:val="right"/>
              <w:rPr>
                <w:sz w:val="18"/>
                <w:szCs w:val="18"/>
              </w:rPr>
            </w:pPr>
            <w:r w:rsidRPr="005910B1">
              <w:rPr>
                <w:sz w:val="18"/>
                <w:szCs w:val="18"/>
              </w:rPr>
              <w:t xml:space="preserve">Abierto con </w:t>
            </w:r>
            <w:r w:rsidR="001D56C7" w:rsidRPr="005910B1">
              <w:rPr>
                <w:sz w:val="18"/>
                <w:szCs w:val="18"/>
              </w:rPr>
              <w:t xml:space="preserve">  </w:t>
            </w:r>
            <w:r w:rsidRPr="005910B1">
              <w:rPr>
                <w:sz w:val="18"/>
                <w:szCs w:val="18"/>
              </w:rPr>
              <w:t>publicidad</w:t>
            </w:r>
            <w:r w:rsidR="001D56C7" w:rsidRPr="005910B1">
              <w:rPr>
                <w:sz w:val="18"/>
                <w:szCs w:val="18"/>
              </w:rPr>
              <w:t xml:space="preserve"> </w:t>
            </w:r>
            <w:r w:rsidRPr="005910B1">
              <w:rPr>
                <w:sz w:val="18"/>
                <w:szCs w:val="18"/>
              </w:rPr>
              <w:t>com</w:t>
            </w:r>
            <w:r w:rsidR="001D56C7" w:rsidRPr="005910B1">
              <w:rPr>
                <w:sz w:val="18"/>
                <w:szCs w:val="18"/>
              </w:rPr>
              <w:t>.</w:t>
            </w:r>
          </w:p>
        </w:tc>
        <w:tc>
          <w:tcPr>
            <w:tcW w:w="1343" w:type="dxa"/>
            <w:tcBorders>
              <w:top w:val="single" w:sz="4" w:space="0" w:color="auto"/>
            </w:tcBorders>
          </w:tcPr>
          <w:p w:rsidR="00C0054B" w:rsidRPr="005910B1" w:rsidRDefault="00C0054B" w:rsidP="00004F6D">
            <w:pPr>
              <w:pStyle w:val="cuatexto"/>
              <w:tabs>
                <w:tab w:val="clear" w:pos="2835"/>
              </w:tabs>
              <w:ind w:right="39"/>
              <w:jc w:val="right"/>
              <w:rPr>
                <w:sz w:val="18"/>
                <w:szCs w:val="18"/>
              </w:rPr>
            </w:pPr>
          </w:p>
        </w:tc>
        <w:tc>
          <w:tcPr>
            <w:tcW w:w="1142" w:type="dxa"/>
            <w:tcBorders>
              <w:top w:val="single" w:sz="4" w:space="0" w:color="auto"/>
            </w:tcBorders>
            <w:vAlign w:val="center"/>
          </w:tcPr>
          <w:p w:rsidR="00C0054B" w:rsidRPr="005910B1" w:rsidRDefault="00C0054B" w:rsidP="00004F6D">
            <w:pPr>
              <w:pStyle w:val="cuatexto"/>
              <w:tabs>
                <w:tab w:val="clear" w:pos="2835"/>
                <w:tab w:val="left" w:pos="892"/>
              </w:tabs>
              <w:ind w:right="-6"/>
              <w:jc w:val="right"/>
              <w:rPr>
                <w:sz w:val="18"/>
                <w:szCs w:val="18"/>
              </w:rPr>
            </w:pPr>
            <w:r w:rsidRPr="005910B1">
              <w:rPr>
                <w:sz w:val="18"/>
                <w:szCs w:val="18"/>
              </w:rPr>
              <w:t>*</w:t>
            </w:r>
          </w:p>
        </w:tc>
        <w:tc>
          <w:tcPr>
            <w:tcW w:w="1190" w:type="dxa"/>
            <w:tcBorders>
              <w:top w:val="single" w:sz="4" w:space="0" w:color="auto"/>
            </w:tcBorders>
            <w:vAlign w:val="center"/>
          </w:tcPr>
          <w:p w:rsidR="00C0054B" w:rsidRPr="005910B1" w:rsidRDefault="00C0054B" w:rsidP="001D56C7">
            <w:pPr>
              <w:pStyle w:val="cuatexto"/>
              <w:tabs>
                <w:tab w:val="clear" w:pos="2835"/>
              </w:tabs>
              <w:ind w:right="-1"/>
              <w:jc w:val="right"/>
              <w:rPr>
                <w:sz w:val="18"/>
                <w:szCs w:val="18"/>
              </w:rPr>
            </w:pPr>
          </w:p>
        </w:tc>
        <w:tc>
          <w:tcPr>
            <w:tcW w:w="997" w:type="dxa"/>
            <w:tcBorders>
              <w:top w:val="single" w:sz="4" w:space="0" w:color="auto"/>
            </w:tcBorders>
            <w:vAlign w:val="center"/>
          </w:tcPr>
          <w:p w:rsidR="00C0054B" w:rsidRPr="005910B1" w:rsidRDefault="00C0054B" w:rsidP="008E025F">
            <w:pPr>
              <w:pStyle w:val="cuatexto"/>
              <w:tabs>
                <w:tab w:val="clear" w:pos="2835"/>
              </w:tabs>
              <w:ind w:right="-1"/>
              <w:jc w:val="right"/>
              <w:rPr>
                <w:sz w:val="18"/>
                <w:szCs w:val="18"/>
              </w:rPr>
            </w:pPr>
            <w:r w:rsidRPr="005910B1">
              <w:rPr>
                <w:sz w:val="18"/>
                <w:szCs w:val="18"/>
              </w:rPr>
              <w:t>*</w:t>
            </w:r>
          </w:p>
        </w:tc>
      </w:tr>
      <w:tr w:rsidR="00D349E7" w:rsidRPr="005910B1" w:rsidTr="00301DB9">
        <w:trPr>
          <w:trHeight w:val="255"/>
          <w:jc w:val="center"/>
        </w:trPr>
        <w:tc>
          <w:tcPr>
            <w:tcW w:w="2023" w:type="dxa"/>
            <w:vAlign w:val="center"/>
          </w:tcPr>
          <w:p w:rsidR="00D349E7" w:rsidRPr="005910B1" w:rsidRDefault="00D349E7" w:rsidP="00C0054B">
            <w:pPr>
              <w:pStyle w:val="cuatexto"/>
              <w:tabs>
                <w:tab w:val="clear" w:pos="2835"/>
              </w:tabs>
              <w:ind w:left="370" w:right="49"/>
              <w:jc w:val="left"/>
              <w:rPr>
                <w:sz w:val="18"/>
                <w:szCs w:val="18"/>
              </w:rPr>
            </w:pPr>
            <w:r w:rsidRPr="005910B1">
              <w:rPr>
                <w:sz w:val="18"/>
                <w:szCs w:val="18"/>
              </w:rPr>
              <w:t>Lote 1</w:t>
            </w:r>
          </w:p>
        </w:tc>
        <w:tc>
          <w:tcPr>
            <w:tcW w:w="1060" w:type="dxa"/>
          </w:tcPr>
          <w:p w:rsidR="00D349E7" w:rsidRPr="005910B1" w:rsidRDefault="00D349E7" w:rsidP="00C0054B">
            <w:pPr>
              <w:pStyle w:val="cuatexto"/>
              <w:tabs>
                <w:tab w:val="clear" w:pos="2835"/>
              </w:tabs>
              <w:ind w:right="-1"/>
              <w:jc w:val="right"/>
              <w:rPr>
                <w:sz w:val="18"/>
                <w:szCs w:val="18"/>
              </w:rPr>
            </w:pPr>
          </w:p>
        </w:tc>
        <w:tc>
          <w:tcPr>
            <w:tcW w:w="1398" w:type="dxa"/>
          </w:tcPr>
          <w:p w:rsidR="00D349E7" w:rsidRPr="005910B1" w:rsidRDefault="00D349E7" w:rsidP="00004F6D">
            <w:pPr>
              <w:pStyle w:val="cuatexto"/>
              <w:tabs>
                <w:tab w:val="clear" w:pos="2835"/>
              </w:tabs>
              <w:jc w:val="right"/>
              <w:rPr>
                <w:sz w:val="18"/>
                <w:szCs w:val="18"/>
              </w:rPr>
            </w:pPr>
          </w:p>
        </w:tc>
        <w:tc>
          <w:tcPr>
            <w:tcW w:w="1343" w:type="dxa"/>
            <w:vMerge w:val="restart"/>
          </w:tcPr>
          <w:p w:rsidR="00844F6E" w:rsidRPr="005910B1" w:rsidRDefault="00D349E7" w:rsidP="00004F6D">
            <w:pPr>
              <w:pStyle w:val="cuatexto"/>
              <w:tabs>
                <w:tab w:val="clear" w:pos="2835"/>
              </w:tabs>
              <w:ind w:right="39"/>
              <w:jc w:val="right"/>
              <w:rPr>
                <w:sz w:val="18"/>
                <w:szCs w:val="18"/>
              </w:rPr>
            </w:pPr>
            <w:r w:rsidRPr="005910B1">
              <w:rPr>
                <w:sz w:val="18"/>
                <w:szCs w:val="18"/>
              </w:rPr>
              <w:t xml:space="preserve">Oferta más </w:t>
            </w:r>
          </w:p>
          <w:p w:rsidR="00D349E7" w:rsidRPr="005910B1" w:rsidRDefault="00D349E7" w:rsidP="00004F6D">
            <w:pPr>
              <w:pStyle w:val="cuatexto"/>
              <w:tabs>
                <w:tab w:val="clear" w:pos="2835"/>
              </w:tabs>
              <w:ind w:right="39"/>
              <w:jc w:val="right"/>
              <w:rPr>
                <w:sz w:val="18"/>
                <w:szCs w:val="18"/>
              </w:rPr>
            </w:pPr>
            <w:r w:rsidRPr="005910B1">
              <w:rPr>
                <w:sz w:val="18"/>
                <w:szCs w:val="18"/>
              </w:rPr>
              <w:t>ventajosa</w:t>
            </w:r>
          </w:p>
        </w:tc>
        <w:tc>
          <w:tcPr>
            <w:tcW w:w="1142" w:type="dxa"/>
            <w:vAlign w:val="center"/>
          </w:tcPr>
          <w:p w:rsidR="00D349E7" w:rsidRPr="005910B1" w:rsidRDefault="00D349E7" w:rsidP="00004F6D">
            <w:pPr>
              <w:pStyle w:val="cuatexto"/>
              <w:tabs>
                <w:tab w:val="clear" w:pos="2835"/>
                <w:tab w:val="left" w:pos="892"/>
              </w:tabs>
              <w:ind w:right="-6"/>
              <w:jc w:val="right"/>
              <w:rPr>
                <w:sz w:val="18"/>
                <w:szCs w:val="18"/>
              </w:rPr>
            </w:pPr>
            <w:r w:rsidRPr="005910B1">
              <w:rPr>
                <w:sz w:val="18"/>
                <w:szCs w:val="18"/>
              </w:rPr>
              <w:t>4</w:t>
            </w:r>
          </w:p>
        </w:tc>
        <w:tc>
          <w:tcPr>
            <w:tcW w:w="1190" w:type="dxa"/>
            <w:vAlign w:val="center"/>
          </w:tcPr>
          <w:p w:rsidR="00D349E7" w:rsidRPr="005910B1" w:rsidRDefault="00D349E7" w:rsidP="001D56C7">
            <w:pPr>
              <w:pStyle w:val="cuatexto"/>
              <w:tabs>
                <w:tab w:val="clear" w:pos="2835"/>
              </w:tabs>
              <w:ind w:right="-1"/>
              <w:jc w:val="right"/>
              <w:rPr>
                <w:sz w:val="18"/>
                <w:szCs w:val="18"/>
              </w:rPr>
            </w:pPr>
            <w:r w:rsidRPr="005910B1">
              <w:rPr>
                <w:sz w:val="18"/>
                <w:szCs w:val="18"/>
              </w:rPr>
              <w:t>887/889**</w:t>
            </w:r>
          </w:p>
        </w:tc>
        <w:tc>
          <w:tcPr>
            <w:tcW w:w="997" w:type="dxa"/>
            <w:vAlign w:val="center"/>
          </w:tcPr>
          <w:p w:rsidR="00D349E7" w:rsidRPr="005910B1" w:rsidRDefault="00D349E7" w:rsidP="008E025F">
            <w:pPr>
              <w:pStyle w:val="cuatexto"/>
              <w:tabs>
                <w:tab w:val="clear" w:pos="2835"/>
              </w:tabs>
              <w:ind w:right="-1"/>
              <w:jc w:val="right"/>
              <w:rPr>
                <w:sz w:val="18"/>
                <w:szCs w:val="18"/>
              </w:rPr>
            </w:pPr>
          </w:p>
        </w:tc>
      </w:tr>
      <w:tr w:rsidR="00D349E7" w:rsidRPr="005910B1" w:rsidTr="00301DB9">
        <w:trPr>
          <w:trHeight w:val="255"/>
          <w:jc w:val="center"/>
        </w:trPr>
        <w:tc>
          <w:tcPr>
            <w:tcW w:w="2023" w:type="dxa"/>
            <w:vAlign w:val="center"/>
          </w:tcPr>
          <w:p w:rsidR="00D349E7" w:rsidRPr="005910B1" w:rsidRDefault="00D349E7" w:rsidP="00C0054B">
            <w:pPr>
              <w:pStyle w:val="cuatexto"/>
              <w:tabs>
                <w:tab w:val="clear" w:pos="2835"/>
              </w:tabs>
              <w:ind w:left="370" w:right="49"/>
              <w:jc w:val="left"/>
              <w:rPr>
                <w:sz w:val="18"/>
                <w:szCs w:val="18"/>
              </w:rPr>
            </w:pPr>
            <w:r w:rsidRPr="005910B1">
              <w:rPr>
                <w:sz w:val="18"/>
                <w:szCs w:val="18"/>
              </w:rPr>
              <w:t>Lote 2</w:t>
            </w:r>
          </w:p>
        </w:tc>
        <w:tc>
          <w:tcPr>
            <w:tcW w:w="1060" w:type="dxa"/>
          </w:tcPr>
          <w:p w:rsidR="00D349E7" w:rsidRPr="005910B1" w:rsidRDefault="00D349E7" w:rsidP="00C0054B">
            <w:pPr>
              <w:pStyle w:val="cuatexto"/>
              <w:tabs>
                <w:tab w:val="clear" w:pos="2835"/>
              </w:tabs>
              <w:ind w:right="-1"/>
              <w:jc w:val="right"/>
              <w:rPr>
                <w:sz w:val="18"/>
                <w:szCs w:val="18"/>
              </w:rPr>
            </w:pPr>
          </w:p>
        </w:tc>
        <w:tc>
          <w:tcPr>
            <w:tcW w:w="1398" w:type="dxa"/>
          </w:tcPr>
          <w:p w:rsidR="00D349E7" w:rsidRPr="005910B1" w:rsidRDefault="00D349E7" w:rsidP="00004F6D">
            <w:pPr>
              <w:pStyle w:val="cuatexto"/>
              <w:tabs>
                <w:tab w:val="clear" w:pos="2835"/>
              </w:tabs>
              <w:jc w:val="right"/>
              <w:rPr>
                <w:sz w:val="18"/>
                <w:szCs w:val="18"/>
              </w:rPr>
            </w:pPr>
          </w:p>
        </w:tc>
        <w:tc>
          <w:tcPr>
            <w:tcW w:w="1343" w:type="dxa"/>
            <w:vMerge/>
          </w:tcPr>
          <w:p w:rsidR="00D349E7" w:rsidRPr="005910B1" w:rsidRDefault="00D349E7" w:rsidP="00004F6D">
            <w:pPr>
              <w:pStyle w:val="cuatexto"/>
              <w:tabs>
                <w:tab w:val="clear" w:pos="2835"/>
              </w:tabs>
              <w:ind w:right="39"/>
              <w:jc w:val="right"/>
              <w:rPr>
                <w:sz w:val="18"/>
                <w:szCs w:val="18"/>
              </w:rPr>
            </w:pPr>
          </w:p>
        </w:tc>
        <w:tc>
          <w:tcPr>
            <w:tcW w:w="1142" w:type="dxa"/>
            <w:vAlign w:val="center"/>
          </w:tcPr>
          <w:p w:rsidR="00D349E7" w:rsidRPr="005910B1" w:rsidRDefault="00D349E7" w:rsidP="00004F6D">
            <w:pPr>
              <w:pStyle w:val="cuatexto"/>
              <w:tabs>
                <w:tab w:val="clear" w:pos="2835"/>
                <w:tab w:val="left" w:pos="892"/>
              </w:tabs>
              <w:ind w:right="-6"/>
              <w:jc w:val="right"/>
              <w:rPr>
                <w:sz w:val="18"/>
                <w:szCs w:val="18"/>
              </w:rPr>
            </w:pPr>
            <w:r w:rsidRPr="005910B1">
              <w:rPr>
                <w:sz w:val="18"/>
                <w:szCs w:val="18"/>
              </w:rPr>
              <w:t>3</w:t>
            </w:r>
          </w:p>
        </w:tc>
        <w:tc>
          <w:tcPr>
            <w:tcW w:w="1190" w:type="dxa"/>
            <w:vAlign w:val="center"/>
          </w:tcPr>
          <w:p w:rsidR="00D349E7" w:rsidRPr="005910B1" w:rsidRDefault="00D349E7" w:rsidP="001D56C7">
            <w:pPr>
              <w:pStyle w:val="cuatexto"/>
              <w:tabs>
                <w:tab w:val="clear" w:pos="2835"/>
              </w:tabs>
              <w:ind w:right="-1"/>
              <w:jc w:val="right"/>
              <w:rPr>
                <w:sz w:val="18"/>
                <w:szCs w:val="18"/>
              </w:rPr>
            </w:pPr>
            <w:r w:rsidRPr="005910B1">
              <w:rPr>
                <w:sz w:val="18"/>
                <w:szCs w:val="18"/>
              </w:rPr>
              <w:t>889/889**</w:t>
            </w:r>
          </w:p>
        </w:tc>
        <w:tc>
          <w:tcPr>
            <w:tcW w:w="997" w:type="dxa"/>
            <w:vAlign w:val="center"/>
          </w:tcPr>
          <w:p w:rsidR="00D349E7" w:rsidRPr="005910B1" w:rsidRDefault="00D349E7" w:rsidP="008E025F">
            <w:pPr>
              <w:pStyle w:val="cuatexto"/>
              <w:tabs>
                <w:tab w:val="clear" w:pos="2835"/>
              </w:tabs>
              <w:ind w:right="-1"/>
              <w:jc w:val="right"/>
              <w:rPr>
                <w:sz w:val="18"/>
                <w:szCs w:val="18"/>
              </w:rPr>
            </w:pPr>
          </w:p>
        </w:tc>
      </w:tr>
      <w:tr w:rsidR="001D56C7" w:rsidRPr="005910B1" w:rsidTr="00301DB9">
        <w:trPr>
          <w:trHeight w:val="255"/>
          <w:jc w:val="center"/>
        </w:trPr>
        <w:tc>
          <w:tcPr>
            <w:tcW w:w="3083" w:type="dxa"/>
            <w:gridSpan w:val="2"/>
            <w:vAlign w:val="center"/>
          </w:tcPr>
          <w:p w:rsidR="001D56C7" w:rsidRPr="005910B1" w:rsidRDefault="001D56C7" w:rsidP="001D56C7">
            <w:pPr>
              <w:pStyle w:val="cuatexto"/>
              <w:tabs>
                <w:tab w:val="clear" w:pos="2835"/>
              </w:tabs>
              <w:ind w:right="-1"/>
              <w:jc w:val="left"/>
              <w:rPr>
                <w:sz w:val="18"/>
                <w:szCs w:val="18"/>
              </w:rPr>
            </w:pPr>
            <w:r w:rsidRPr="005910B1">
              <w:rPr>
                <w:sz w:val="18"/>
                <w:szCs w:val="18"/>
              </w:rPr>
              <w:t>Semestre agosto17-enero18</w:t>
            </w:r>
          </w:p>
        </w:tc>
        <w:tc>
          <w:tcPr>
            <w:tcW w:w="1398" w:type="dxa"/>
          </w:tcPr>
          <w:p w:rsidR="001D56C7" w:rsidRPr="005910B1" w:rsidRDefault="001D56C7" w:rsidP="00004F6D">
            <w:pPr>
              <w:pStyle w:val="cuatexto"/>
              <w:tabs>
                <w:tab w:val="clear" w:pos="2835"/>
              </w:tabs>
              <w:jc w:val="right"/>
              <w:rPr>
                <w:sz w:val="18"/>
                <w:szCs w:val="18"/>
              </w:rPr>
            </w:pPr>
          </w:p>
        </w:tc>
        <w:tc>
          <w:tcPr>
            <w:tcW w:w="1343" w:type="dxa"/>
          </w:tcPr>
          <w:p w:rsidR="001D56C7" w:rsidRPr="005910B1" w:rsidRDefault="001D56C7" w:rsidP="00004F6D">
            <w:pPr>
              <w:pStyle w:val="cuatexto"/>
              <w:tabs>
                <w:tab w:val="clear" w:pos="2835"/>
              </w:tabs>
              <w:ind w:right="39"/>
              <w:jc w:val="right"/>
              <w:rPr>
                <w:sz w:val="18"/>
                <w:szCs w:val="18"/>
              </w:rPr>
            </w:pPr>
          </w:p>
        </w:tc>
        <w:tc>
          <w:tcPr>
            <w:tcW w:w="1142" w:type="dxa"/>
            <w:vAlign w:val="center"/>
          </w:tcPr>
          <w:p w:rsidR="001D56C7" w:rsidRPr="005910B1" w:rsidRDefault="001D56C7" w:rsidP="00004F6D">
            <w:pPr>
              <w:pStyle w:val="cuatexto"/>
              <w:tabs>
                <w:tab w:val="clear" w:pos="2835"/>
                <w:tab w:val="left" w:pos="892"/>
              </w:tabs>
              <w:ind w:right="-6"/>
              <w:jc w:val="right"/>
              <w:rPr>
                <w:sz w:val="18"/>
                <w:szCs w:val="18"/>
              </w:rPr>
            </w:pPr>
          </w:p>
        </w:tc>
        <w:tc>
          <w:tcPr>
            <w:tcW w:w="1190" w:type="dxa"/>
            <w:vAlign w:val="center"/>
          </w:tcPr>
          <w:p w:rsidR="001D56C7" w:rsidRPr="005910B1" w:rsidRDefault="001D56C7" w:rsidP="001D56C7">
            <w:pPr>
              <w:pStyle w:val="cuatexto"/>
              <w:tabs>
                <w:tab w:val="clear" w:pos="2835"/>
              </w:tabs>
              <w:ind w:right="-1"/>
              <w:jc w:val="right"/>
              <w:rPr>
                <w:sz w:val="18"/>
                <w:szCs w:val="18"/>
              </w:rPr>
            </w:pPr>
          </w:p>
        </w:tc>
        <w:tc>
          <w:tcPr>
            <w:tcW w:w="997" w:type="dxa"/>
            <w:vAlign w:val="center"/>
          </w:tcPr>
          <w:p w:rsidR="001D56C7" w:rsidRPr="005910B1" w:rsidRDefault="001D56C7" w:rsidP="008E025F">
            <w:pPr>
              <w:pStyle w:val="cuatexto"/>
              <w:tabs>
                <w:tab w:val="clear" w:pos="2835"/>
              </w:tabs>
              <w:ind w:right="-1"/>
              <w:jc w:val="right"/>
              <w:rPr>
                <w:sz w:val="18"/>
                <w:szCs w:val="18"/>
              </w:rPr>
            </w:pPr>
          </w:p>
        </w:tc>
      </w:tr>
      <w:tr w:rsidR="00D349E7" w:rsidRPr="005910B1" w:rsidTr="00301DB9">
        <w:trPr>
          <w:trHeight w:val="255"/>
          <w:jc w:val="center"/>
        </w:trPr>
        <w:tc>
          <w:tcPr>
            <w:tcW w:w="2023" w:type="dxa"/>
            <w:vAlign w:val="center"/>
          </w:tcPr>
          <w:p w:rsidR="00D349E7" w:rsidRPr="005910B1" w:rsidRDefault="00D349E7" w:rsidP="008E025F">
            <w:pPr>
              <w:pStyle w:val="cuatexto"/>
              <w:tabs>
                <w:tab w:val="clear" w:pos="2835"/>
              </w:tabs>
              <w:ind w:left="370" w:right="49"/>
              <w:jc w:val="left"/>
              <w:rPr>
                <w:sz w:val="18"/>
                <w:szCs w:val="18"/>
              </w:rPr>
            </w:pPr>
            <w:r w:rsidRPr="005910B1">
              <w:rPr>
                <w:sz w:val="18"/>
                <w:szCs w:val="18"/>
              </w:rPr>
              <w:t>Lote 1</w:t>
            </w:r>
          </w:p>
        </w:tc>
        <w:tc>
          <w:tcPr>
            <w:tcW w:w="1060" w:type="dxa"/>
          </w:tcPr>
          <w:p w:rsidR="00D349E7" w:rsidRPr="005910B1" w:rsidRDefault="00D349E7" w:rsidP="008E025F">
            <w:pPr>
              <w:pStyle w:val="cuatexto"/>
              <w:tabs>
                <w:tab w:val="clear" w:pos="2835"/>
              </w:tabs>
              <w:ind w:right="-1"/>
              <w:jc w:val="right"/>
              <w:rPr>
                <w:sz w:val="18"/>
                <w:szCs w:val="18"/>
              </w:rPr>
            </w:pPr>
          </w:p>
        </w:tc>
        <w:tc>
          <w:tcPr>
            <w:tcW w:w="1398" w:type="dxa"/>
          </w:tcPr>
          <w:p w:rsidR="00D349E7" w:rsidRPr="005910B1" w:rsidRDefault="00D349E7" w:rsidP="00004F6D">
            <w:pPr>
              <w:pStyle w:val="cuatexto"/>
              <w:tabs>
                <w:tab w:val="clear" w:pos="2835"/>
              </w:tabs>
              <w:jc w:val="right"/>
              <w:rPr>
                <w:sz w:val="18"/>
                <w:szCs w:val="18"/>
              </w:rPr>
            </w:pPr>
          </w:p>
        </w:tc>
        <w:tc>
          <w:tcPr>
            <w:tcW w:w="1343" w:type="dxa"/>
            <w:vMerge w:val="restart"/>
          </w:tcPr>
          <w:p w:rsidR="00844F6E" w:rsidRPr="005910B1" w:rsidRDefault="00D349E7" w:rsidP="00004F6D">
            <w:pPr>
              <w:pStyle w:val="cuatexto"/>
              <w:tabs>
                <w:tab w:val="clear" w:pos="2835"/>
              </w:tabs>
              <w:ind w:right="39"/>
              <w:jc w:val="right"/>
              <w:rPr>
                <w:sz w:val="18"/>
                <w:szCs w:val="18"/>
              </w:rPr>
            </w:pPr>
            <w:r w:rsidRPr="005910B1">
              <w:rPr>
                <w:sz w:val="18"/>
                <w:szCs w:val="18"/>
              </w:rPr>
              <w:t xml:space="preserve">Oferta más </w:t>
            </w:r>
          </w:p>
          <w:p w:rsidR="00D349E7" w:rsidRPr="005910B1" w:rsidRDefault="00D349E7" w:rsidP="00004F6D">
            <w:pPr>
              <w:pStyle w:val="cuatexto"/>
              <w:tabs>
                <w:tab w:val="clear" w:pos="2835"/>
              </w:tabs>
              <w:ind w:right="39"/>
              <w:jc w:val="right"/>
              <w:rPr>
                <w:sz w:val="18"/>
                <w:szCs w:val="18"/>
              </w:rPr>
            </w:pPr>
            <w:r w:rsidRPr="005910B1">
              <w:rPr>
                <w:sz w:val="18"/>
                <w:szCs w:val="18"/>
              </w:rPr>
              <w:t>ventajosa</w:t>
            </w:r>
          </w:p>
        </w:tc>
        <w:tc>
          <w:tcPr>
            <w:tcW w:w="1142" w:type="dxa"/>
            <w:vAlign w:val="center"/>
          </w:tcPr>
          <w:p w:rsidR="00D349E7" w:rsidRPr="005910B1" w:rsidRDefault="00D349E7" w:rsidP="00004F6D">
            <w:pPr>
              <w:pStyle w:val="cuatexto"/>
              <w:tabs>
                <w:tab w:val="clear" w:pos="2835"/>
                <w:tab w:val="left" w:pos="892"/>
              </w:tabs>
              <w:ind w:right="-6"/>
              <w:jc w:val="right"/>
              <w:rPr>
                <w:sz w:val="18"/>
                <w:szCs w:val="18"/>
              </w:rPr>
            </w:pPr>
            <w:r w:rsidRPr="005910B1">
              <w:rPr>
                <w:sz w:val="18"/>
                <w:szCs w:val="18"/>
              </w:rPr>
              <w:t>3</w:t>
            </w:r>
          </w:p>
        </w:tc>
        <w:tc>
          <w:tcPr>
            <w:tcW w:w="1190" w:type="dxa"/>
            <w:vAlign w:val="center"/>
          </w:tcPr>
          <w:p w:rsidR="00D349E7" w:rsidRPr="005910B1" w:rsidRDefault="00D349E7" w:rsidP="001D56C7">
            <w:pPr>
              <w:pStyle w:val="cuatexto"/>
              <w:tabs>
                <w:tab w:val="clear" w:pos="2835"/>
              </w:tabs>
              <w:ind w:right="-1"/>
              <w:jc w:val="right"/>
              <w:rPr>
                <w:sz w:val="18"/>
                <w:szCs w:val="18"/>
              </w:rPr>
            </w:pPr>
            <w:r w:rsidRPr="005910B1">
              <w:rPr>
                <w:sz w:val="18"/>
                <w:szCs w:val="18"/>
              </w:rPr>
              <w:t>890/898**</w:t>
            </w:r>
          </w:p>
        </w:tc>
        <w:tc>
          <w:tcPr>
            <w:tcW w:w="997" w:type="dxa"/>
            <w:vAlign w:val="center"/>
          </w:tcPr>
          <w:p w:rsidR="00D349E7" w:rsidRPr="005910B1" w:rsidRDefault="00D349E7" w:rsidP="008E025F">
            <w:pPr>
              <w:pStyle w:val="cuatexto"/>
              <w:tabs>
                <w:tab w:val="clear" w:pos="2835"/>
              </w:tabs>
              <w:ind w:right="-1"/>
              <w:jc w:val="right"/>
              <w:rPr>
                <w:sz w:val="18"/>
                <w:szCs w:val="18"/>
              </w:rPr>
            </w:pPr>
          </w:p>
        </w:tc>
      </w:tr>
      <w:tr w:rsidR="00D349E7" w:rsidRPr="005910B1" w:rsidTr="00301DB9">
        <w:trPr>
          <w:trHeight w:val="255"/>
          <w:jc w:val="center"/>
        </w:trPr>
        <w:tc>
          <w:tcPr>
            <w:tcW w:w="2023" w:type="dxa"/>
            <w:tcBorders>
              <w:bottom w:val="single" w:sz="4" w:space="0" w:color="auto"/>
            </w:tcBorders>
            <w:vAlign w:val="center"/>
          </w:tcPr>
          <w:p w:rsidR="00D349E7" w:rsidRPr="005910B1" w:rsidRDefault="00D349E7" w:rsidP="008E025F">
            <w:pPr>
              <w:pStyle w:val="cuatexto"/>
              <w:tabs>
                <w:tab w:val="clear" w:pos="2835"/>
              </w:tabs>
              <w:ind w:left="370" w:right="49"/>
              <w:jc w:val="left"/>
              <w:rPr>
                <w:sz w:val="18"/>
                <w:szCs w:val="18"/>
              </w:rPr>
            </w:pPr>
            <w:r w:rsidRPr="005910B1">
              <w:rPr>
                <w:sz w:val="18"/>
                <w:szCs w:val="18"/>
              </w:rPr>
              <w:t>Lote 2</w:t>
            </w:r>
          </w:p>
        </w:tc>
        <w:tc>
          <w:tcPr>
            <w:tcW w:w="1060" w:type="dxa"/>
            <w:tcBorders>
              <w:bottom w:val="single" w:sz="4" w:space="0" w:color="auto"/>
            </w:tcBorders>
          </w:tcPr>
          <w:p w:rsidR="00D349E7" w:rsidRPr="005910B1" w:rsidRDefault="00D349E7" w:rsidP="008E025F">
            <w:pPr>
              <w:pStyle w:val="cuatexto"/>
              <w:tabs>
                <w:tab w:val="clear" w:pos="2835"/>
              </w:tabs>
              <w:ind w:right="-1"/>
              <w:jc w:val="right"/>
              <w:rPr>
                <w:sz w:val="18"/>
                <w:szCs w:val="18"/>
              </w:rPr>
            </w:pPr>
          </w:p>
        </w:tc>
        <w:tc>
          <w:tcPr>
            <w:tcW w:w="1398" w:type="dxa"/>
            <w:tcBorders>
              <w:bottom w:val="single" w:sz="4" w:space="0" w:color="auto"/>
            </w:tcBorders>
          </w:tcPr>
          <w:p w:rsidR="00D349E7" w:rsidRPr="005910B1" w:rsidRDefault="00D349E7" w:rsidP="00004F6D">
            <w:pPr>
              <w:pStyle w:val="cuatexto"/>
              <w:tabs>
                <w:tab w:val="clear" w:pos="2835"/>
              </w:tabs>
              <w:jc w:val="right"/>
              <w:rPr>
                <w:sz w:val="18"/>
                <w:szCs w:val="18"/>
              </w:rPr>
            </w:pPr>
          </w:p>
        </w:tc>
        <w:tc>
          <w:tcPr>
            <w:tcW w:w="1343" w:type="dxa"/>
            <w:vMerge/>
            <w:tcBorders>
              <w:bottom w:val="single" w:sz="4" w:space="0" w:color="auto"/>
            </w:tcBorders>
          </w:tcPr>
          <w:p w:rsidR="00D349E7" w:rsidRPr="005910B1" w:rsidRDefault="00D349E7" w:rsidP="00004F6D">
            <w:pPr>
              <w:pStyle w:val="cuatexto"/>
              <w:tabs>
                <w:tab w:val="clear" w:pos="2835"/>
              </w:tabs>
              <w:ind w:right="39"/>
              <w:jc w:val="right"/>
              <w:rPr>
                <w:sz w:val="18"/>
                <w:szCs w:val="18"/>
              </w:rPr>
            </w:pPr>
          </w:p>
        </w:tc>
        <w:tc>
          <w:tcPr>
            <w:tcW w:w="1142" w:type="dxa"/>
            <w:tcBorders>
              <w:bottom w:val="single" w:sz="4" w:space="0" w:color="auto"/>
            </w:tcBorders>
            <w:vAlign w:val="center"/>
          </w:tcPr>
          <w:p w:rsidR="00D349E7" w:rsidRPr="005910B1" w:rsidRDefault="00D349E7" w:rsidP="00004F6D">
            <w:pPr>
              <w:pStyle w:val="cuatexto"/>
              <w:tabs>
                <w:tab w:val="clear" w:pos="2835"/>
                <w:tab w:val="left" w:pos="892"/>
              </w:tabs>
              <w:ind w:right="-6"/>
              <w:jc w:val="right"/>
              <w:rPr>
                <w:sz w:val="18"/>
                <w:szCs w:val="18"/>
              </w:rPr>
            </w:pPr>
            <w:r w:rsidRPr="005910B1">
              <w:rPr>
                <w:sz w:val="18"/>
                <w:szCs w:val="18"/>
              </w:rPr>
              <w:t>2</w:t>
            </w:r>
          </w:p>
        </w:tc>
        <w:tc>
          <w:tcPr>
            <w:tcW w:w="1190" w:type="dxa"/>
            <w:tcBorders>
              <w:bottom w:val="single" w:sz="4" w:space="0" w:color="auto"/>
            </w:tcBorders>
            <w:vAlign w:val="center"/>
          </w:tcPr>
          <w:p w:rsidR="00D349E7" w:rsidRPr="005910B1" w:rsidRDefault="00D349E7" w:rsidP="001D56C7">
            <w:pPr>
              <w:pStyle w:val="cuatexto"/>
              <w:tabs>
                <w:tab w:val="clear" w:pos="2835"/>
              </w:tabs>
              <w:ind w:right="-1"/>
              <w:jc w:val="right"/>
              <w:rPr>
                <w:sz w:val="18"/>
                <w:szCs w:val="18"/>
              </w:rPr>
            </w:pPr>
            <w:r w:rsidRPr="005910B1">
              <w:rPr>
                <w:sz w:val="18"/>
                <w:szCs w:val="18"/>
              </w:rPr>
              <w:t>940/930**</w:t>
            </w:r>
          </w:p>
        </w:tc>
        <w:tc>
          <w:tcPr>
            <w:tcW w:w="997" w:type="dxa"/>
            <w:tcBorders>
              <w:bottom w:val="single" w:sz="4" w:space="0" w:color="auto"/>
            </w:tcBorders>
            <w:vAlign w:val="center"/>
          </w:tcPr>
          <w:p w:rsidR="00D349E7" w:rsidRPr="005910B1" w:rsidRDefault="00D349E7" w:rsidP="008E025F">
            <w:pPr>
              <w:pStyle w:val="cuatexto"/>
              <w:tabs>
                <w:tab w:val="clear" w:pos="2835"/>
              </w:tabs>
              <w:ind w:right="-1"/>
              <w:jc w:val="right"/>
              <w:rPr>
                <w:sz w:val="18"/>
                <w:szCs w:val="18"/>
              </w:rPr>
            </w:pPr>
          </w:p>
        </w:tc>
      </w:tr>
    </w:tbl>
    <w:p w:rsidR="00C0054B" w:rsidRPr="00215F32" w:rsidRDefault="00C0054B" w:rsidP="00215F32">
      <w:pPr>
        <w:pStyle w:val="texto"/>
        <w:spacing w:before="60" w:after="0"/>
        <w:ind w:left="-142" w:right="-567" w:firstLine="0"/>
        <w:rPr>
          <w:rFonts w:ascii="Arial" w:hAnsi="Arial" w:cs="Arial"/>
          <w:sz w:val="14"/>
          <w:szCs w:val="14"/>
        </w:rPr>
      </w:pPr>
      <w:r w:rsidRPr="00215F32">
        <w:rPr>
          <w:rFonts w:ascii="Arial" w:hAnsi="Arial" w:cs="Arial"/>
          <w:sz w:val="14"/>
          <w:szCs w:val="14"/>
        </w:rPr>
        <w:t xml:space="preserve">*Este contrato deriva de un acuerdo marco previo celebrado en 2016 </w:t>
      </w:r>
    </w:p>
    <w:p w:rsidR="008D5E75" w:rsidRPr="00215F32" w:rsidRDefault="008D5E75" w:rsidP="00215F32">
      <w:pPr>
        <w:pStyle w:val="texto"/>
        <w:spacing w:before="60" w:after="0"/>
        <w:ind w:left="-142" w:right="-567" w:firstLine="0"/>
        <w:rPr>
          <w:rFonts w:ascii="Arial" w:hAnsi="Arial" w:cs="Arial"/>
          <w:sz w:val="14"/>
          <w:szCs w:val="14"/>
        </w:rPr>
      </w:pPr>
      <w:r w:rsidRPr="00215F32">
        <w:rPr>
          <w:rFonts w:ascii="Arial" w:hAnsi="Arial" w:cs="Arial"/>
          <w:sz w:val="14"/>
          <w:szCs w:val="14"/>
        </w:rPr>
        <w:t>**Dos adjudicadores por lote.</w:t>
      </w:r>
      <w:r w:rsidR="006A5EDE" w:rsidRPr="00215F32">
        <w:rPr>
          <w:rFonts w:ascii="Arial" w:hAnsi="Arial" w:cs="Arial"/>
          <w:sz w:val="14"/>
          <w:szCs w:val="14"/>
        </w:rPr>
        <w:t xml:space="preserve"> Los importes señalados son precios unitarios</w:t>
      </w:r>
    </w:p>
    <w:p w:rsidR="00AE71DF" w:rsidRDefault="00713E74" w:rsidP="00E01637">
      <w:pPr>
        <w:pStyle w:val="texto"/>
        <w:spacing w:before="120" w:after="120"/>
      </w:pPr>
      <w:r>
        <w:t>De la revisión de los expedientes de contratación señalados, concluimos que, en general, se tramitaron de conformidad con la normativa aplicable, si bien señalamos lo siguiente:</w:t>
      </w:r>
    </w:p>
    <w:p w:rsidR="00AD77F4" w:rsidRPr="00301DB9" w:rsidRDefault="00AD77F4" w:rsidP="00E01637">
      <w:pPr>
        <w:pStyle w:val="texto"/>
        <w:spacing w:before="120" w:after="120"/>
      </w:pPr>
      <w:r w:rsidRPr="00560742">
        <w:t xml:space="preserve">El procedimiento negociado sin publicidad puede utilizarse </w:t>
      </w:r>
      <w:r w:rsidR="002D2A88" w:rsidRPr="00560742">
        <w:t>cuando deban protegerse derechos exclusivos de un operador económico</w:t>
      </w:r>
      <w:r w:rsidR="00FD105B" w:rsidRPr="00560742">
        <w:t>;</w:t>
      </w:r>
      <w:r w:rsidR="002D2A88" w:rsidRPr="00560742">
        <w:t xml:space="preserve"> pero s</w:t>
      </w:r>
      <w:r w:rsidR="007179ED">
        <w:t>o</w:t>
      </w:r>
      <w:r w:rsidR="002D2A88" w:rsidRPr="00560742">
        <w:t>lo se aplicar</w:t>
      </w:r>
      <w:r w:rsidR="00FD105B" w:rsidRPr="00560742">
        <w:t>á cuando no exista alternativa o sustituto razonable.</w:t>
      </w:r>
      <w:r w:rsidRPr="00560742">
        <w:t xml:space="preserve"> En el contrato de concesión de uso de la licencia Mathemática, aunque la empresa adjudicataria es la única autorizada para distribuir y autorizar </w:t>
      </w:r>
      <w:r w:rsidR="00FD105B" w:rsidRPr="00560742">
        <w:t>dicha licencia</w:t>
      </w:r>
      <w:r w:rsidRPr="00560742">
        <w:t xml:space="preserve">, </w:t>
      </w:r>
      <w:r w:rsidR="00FD105B" w:rsidRPr="00301DB9">
        <w:t>no queda suficientemente justificada la necesidad de utili</w:t>
      </w:r>
      <w:r w:rsidRPr="00301DB9">
        <w:t>zación de dicha aplicación y la inexistencia de alternativa o sustituto razonable a la misma.</w:t>
      </w:r>
    </w:p>
    <w:p w:rsidR="00341EB1" w:rsidRDefault="00341EB1" w:rsidP="00341EB1">
      <w:pPr>
        <w:pStyle w:val="texto"/>
        <w:spacing w:after="240"/>
        <w:rPr>
          <w:i/>
        </w:rPr>
      </w:pPr>
      <w:r w:rsidRPr="00D03066">
        <w:rPr>
          <w:i/>
        </w:rPr>
        <w:t xml:space="preserve">Recomendamos justificar </w:t>
      </w:r>
      <w:r>
        <w:rPr>
          <w:i/>
        </w:rPr>
        <w:t xml:space="preserve">suficientemente </w:t>
      </w:r>
      <w:r w:rsidRPr="00D03066">
        <w:rPr>
          <w:i/>
        </w:rPr>
        <w:t>la inexistencia de alternativa o sustituto razonable</w:t>
      </w:r>
      <w:r>
        <w:rPr>
          <w:i/>
        </w:rPr>
        <w:t xml:space="preserve"> en los expedientes de contratación por </w:t>
      </w:r>
      <w:r w:rsidRPr="00D03066">
        <w:rPr>
          <w:i/>
        </w:rPr>
        <w:t>procedimiento negociado sin publicidad que solo puedan ser proporcionados por un operador económi</w:t>
      </w:r>
      <w:r>
        <w:rPr>
          <w:i/>
        </w:rPr>
        <w:t>co.</w:t>
      </w:r>
    </w:p>
    <w:p w:rsidR="007179ED" w:rsidRDefault="007179ED">
      <w:pPr>
        <w:spacing w:after="0"/>
        <w:ind w:firstLine="0"/>
        <w:jc w:val="left"/>
        <w:rPr>
          <w:spacing w:val="6"/>
          <w:sz w:val="26"/>
          <w:szCs w:val="24"/>
        </w:rPr>
      </w:pPr>
      <w:r>
        <w:br w:type="page"/>
      </w:r>
    </w:p>
    <w:p w:rsidR="00BA0B11" w:rsidRDefault="00BF258D" w:rsidP="00B37F18">
      <w:pPr>
        <w:pStyle w:val="texto"/>
        <w:spacing w:after="240"/>
      </w:pPr>
      <w:r>
        <w:t>En 2017, l</w:t>
      </w:r>
      <w:r w:rsidR="00305A08">
        <w:t xml:space="preserve">a </w:t>
      </w:r>
      <w:r w:rsidR="009D7DD5">
        <w:t>Universidad</w:t>
      </w:r>
      <w:r w:rsidR="00305A08">
        <w:t xml:space="preserve"> ha adjudicado 58 contratos </w:t>
      </w:r>
      <w:r w:rsidR="00CA2598">
        <w:t>de obra</w:t>
      </w:r>
      <w:r w:rsidR="00301DB9">
        <w:t xml:space="preserve"> por importe inferior a 30.000euros.</w:t>
      </w:r>
      <w:r w:rsidR="00305A08">
        <w:t xml:space="preserve"> </w:t>
      </w:r>
      <w:r w:rsidR="00C0240E">
        <w:t xml:space="preserve">Hemos revisado </w:t>
      </w:r>
      <w:r w:rsidR="00305A08">
        <w:t xml:space="preserve">la siguiente </w:t>
      </w:r>
      <w:r w:rsidR="00C0240E">
        <w:t xml:space="preserve">muestra de </w:t>
      </w:r>
      <w:r w:rsidR="00305A08">
        <w:t>dichos contratos:</w:t>
      </w:r>
    </w:p>
    <w:tbl>
      <w:tblPr>
        <w:tblW w:w="8944"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3238"/>
        <w:gridCol w:w="1022"/>
        <w:gridCol w:w="1131"/>
        <w:gridCol w:w="1118"/>
        <w:gridCol w:w="1078"/>
        <w:gridCol w:w="1357"/>
      </w:tblGrid>
      <w:tr w:rsidR="00004F6D" w:rsidRPr="00730AE6" w:rsidTr="007179ED">
        <w:trPr>
          <w:trHeight w:val="255"/>
          <w:jc w:val="center"/>
        </w:trPr>
        <w:tc>
          <w:tcPr>
            <w:tcW w:w="3238" w:type="dxa"/>
            <w:tcBorders>
              <w:top w:val="single" w:sz="4" w:space="0" w:color="auto"/>
              <w:bottom w:val="single" w:sz="4" w:space="0" w:color="auto"/>
            </w:tcBorders>
            <w:shd w:val="clear" w:color="auto" w:fill="A8CBEE" w:themeFill="accent2" w:themeFillTint="66"/>
            <w:noWrap/>
            <w:vAlign w:val="center"/>
          </w:tcPr>
          <w:p w:rsidR="00004F6D" w:rsidRPr="00730AE6" w:rsidRDefault="00004F6D" w:rsidP="00A761DC">
            <w:pPr>
              <w:pStyle w:val="cuadroCabe"/>
              <w:rPr>
                <w:lang w:val="es-ES" w:eastAsia="es-ES"/>
              </w:rPr>
            </w:pPr>
            <w:r>
              <w:rPr>
                <w:lang w:val="es-ES" w:eastAsia="es-ES"/>
              </w:rPr>
              <w:t>Contrato</w:t>
            </w:r>
          </w:p>
        </w:tc>
        <w:tc>
          <w:tcPr>
            <w:tcW w:w="1022" w:type="dxa"/>
            <w:tcBorders>
              <w:top w:val="single" w:sz="4" w:space="0" w:color="auto"/>
              <w:bottom w:val="single" w:sz="4" w:space="0" w:color="auto"/>
            </w:tcBorders>
            <w:shd w:val="clear" w:color="auto" w:fill="A8CBEE" w:themeFill="accent2" w:themeFillTint="66"/>
            <w:vAlign w:val="center"/>
          </w:tcPr>
          <w:p w:rsidR="00004F6D" w:rsidRDefault="00004F6D" w:rsidP="0040715A">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Ofertas solicitadas</w:t>
            </w:r>
          </w:p>
        </w:tc>
        <w:tc>
          <w:tcPr>
            <w:tcW w:w="1131" w:type="dxa"/>
            <w:tcBorders>
              <w:top w:val="single" w:sz="4" w:space="0" w:color="auto"/>
              <w:bottom w:val="single" w:sz="4" w:space="0" w:color="auto"/>
            </w:tcBorders>
            <w:shd w:val="clear" w:color="auto" w:fill="A8CBEE" w:themeFill="accent2" w:themeFillTint="66"/>
            <w:vAlign w:val="center"/>
          </w:tcPr>
          <w:p w:rsidR="00004F6D" w:rsidRDefault="00004F6D" w:rsidP="00CA43A7">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Ofertas presentadas</w:t>
            </w:r>
          </w:p>
        </w:tc>
        <w:tc>
          <w:tcPr>
            <w:tcW w:w="1118" w:type="dxa"/>
            <w:tcBorders>
              <w:top w:val="single" w:sz="4" w:space="0" w:color="auto"/>
              <w:bottom w:val="single" w:sz="4" w:space="0" w:color="auto"/>
            </w:tcBorders>
            <w:shd w:val="clear" w:color="auto" w:fill="A8CBEE" w:themeFill="accent2" w:themeFillTint="66"/>
            <w:vAlign w:val="center"/>
          </w:tcPr>
          <w:p w:rsidR="00004F6D" w:rsidRPr="00730AE6" w:rsidRDefault="00004F6D" w:rsidP="00CA43A7">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Importe contratado</w:t>
            </w:r>
          </w:p>
        </w:tc>
        <w:tc>
          <w:tcPr>
            <w:tcW w:w="1078" w:type="dxa"/>
            <w:tcBorders>
              <w:top w:val="single" w:sz="4" w:space="0" w:color="auto"/>
              <w:bottom w:val="single" w:sz="4" w:space="0" w:color="auto"/>
            </w:tcBorders>
            <w:shd w:val="clear" w:color="auto" w:fill="A8CBEE" w:themeFill="accent2" w:themeFillTint="66"/>
            <w:vAlign w:val="center"/>
          </w:tcPr>
          <w:p w:rsidR="00004F6D" w:rsidRDefault="00004F6D" w:rsidP="00CA43A7">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Importe final</w:t>
            </w:r>
          </w:p>
        </w:tc>
        <w:tc>
          <w:tcPr>
            <w:tcW w:w="1357" w:type="dxa"/>
            <w:tcBorders>
              <w:top w:val="single" w:sz="4" w:space="0" w:color="auto"/>
              <w:bottom w:val="single" w:sz="4" w:space="0" w:color="auto"/>
            </w:tcBorders>
            <w:shd w:val="clear" w:color="auto" w:fill="A8CBEE" w:themeFill="accent2" w:themeFillTint="66"/>
            <w:vAlign w:val="center"/>
          </w:tcPr>
          <w:p w:rsidR="00301DB9" w:rsidRDefault="00004F6D" w:rsidP="00CA43A7">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 xml:space="preserve">% </w:t>
            </w:r>
          </w:p>
          <w:p w:rsidR="00004F6D" w:rsidRDefault="00004F6D" w:rsidP="00CA43A7">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variación</w:t>
            </w:r>
          </w:p>
        </w:tc>
      </w:tr>
      <w:tr w:rsidR="00004F6D" w:rsidRPr="00730AE6" w:rsidTr="007179ED">
        <w:trPr>
          <w:trHeight w:val="255"/>
          <w:jc w:val="center"/>
        </w:trPr>
        <w:tc>
          <w:tcPr>
            <w:tcW w:w="3238" w:type="dxa"/>
            <w:tcBorders>
              <w:top w:val="single" w:sz="4" w:space="0" w:color="auto"/>
              <w:bottom w:val="single" w:sz="2" w:space="0" w:color="auto"/>
            </w:tcBorders>
            <w:shd w:val="clear" w:color="auto" w:fill="auto"/>
            <w:noWrap/>
            <w:vAlign w:val="center"/>
          </w:tcPr>
          <w:p w:rsidR="00004F6D" w:rsidRPr="00730AE6" w:rsidRDefault="00004F6D" w:rsidP="00A761DC">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Trabajos de fontanería</w:t>
            </w:r>
          </w:p>
        </w:tc>
        <w:tc>
          <w:tcPr>
            <w:tcW w:w="1022" w:type="dxa"/>
            <w:tcBorders>
              <w:top w:val="single" w:sz="4" w:space="0" w:color="auto"/>
              <w:bottom w:val="single" w:sz="2" w:space="0" w:color="auto"/>
            </w:tcBorders>
            <w:vAlign w:val="center"/>
          </w:tcPr>
          <w:p w:rsidR="00004F6D" w:rsidRDefault="00004F6D" w:rsidP="00BB2564">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7</w:t>
            </w:r>
          </w:p>
        </w:tc>
        <w:tc>
          <w:tcPr>
            <w:tcW w:w="1131" w:type="dxa"/>
            <w:tcBorders>
              <w:top w:val="single" w:sz="4" w:space="0" w:color="auto"/>
              <w:bottom w:val="single" w:sz="2" w:space="0" w:color="auto"/>
            </w:tcBorders>
            <w:vAlign w:val="center"/>
          </w:tcPr>
          <w:p w:rsidR="00004F6D" w:rsidRDefault="00004F6D" w:rsidP="00BB2564">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3</w:t>
            </w:r>
          </w:p>
        </w:tc>
        <w:tc>
          <w:tcPr>
            <w:tcW w:w="1118" w:type="dxa"/>
            <w:tcBorders>
              <w:top w:val="single" w:sz="4" w:space="0" w:color="auto"/>
              <w:bottom w:val="single" w:sz="2" w:space="0" w:color="auto"/>
            </w:tcBorders>
            <w:vAlign w:val="center"/>
          </w:tcPr>
          <w:p w:rsidR="00004F6D" w:rsidRPr="00730AE6" w:rsidRDefault="00004F6D" w:rsidP="00A761DC">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29.812</w:t>
            </w:r>
          </w:p>
        </w:tc>
        <w:tc>
          <w:tcPr>
            <w:tcW w:w="1078" w:type="dxa"/>
            <w:tcBorders>
              <w:top w:val="single" w:sz="4" w:space="0" w:color="auto"/>
              <w:bottom w:val="single" w:sz="2" w:space="0" w:color="auto"/>
            </w:tcBorders>
            <w:vAlign w:val="center"/>
          </w:tcPr>
          <w:p w:rsidR="00004F6D" w:rsidRDefault="00004F6D" w:rsidP="00034907">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32.760</w:t>
            </w:r>
          </w:p>
        </w:tc>
        <w:tc>
          <w:tcPr>
            <w:tcW w:w="1357" w:type="dxa"/>
            <w:tcBorders>
              <w:top w:val="single" w:sz="4" w:space="0" w:color="auto"/>
              <w:bottom w:val="single" w:sz="2" w:space="0" w:color="auto"/>
            </w:tcBorders>
            <w:vAlign w:val="center"/>
          </w:tcPr>
          <w:p w:rsidR="00004F6D" w:rsidRDefault="00004F6D" w:rsidP="00CA43A7">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9,9</w:t>
            </w:r>
          </w:p>
        </w:tc>
      </w:tr>
      <w:tr w:rsidR="00004F6D" w:rsidRPr="00730AE6" w:rsidTr="007179ED">
        <w:trPr>
          <w:trHeight w:val="255"/>
          <w:jc w:val="center"/>
        </w:trPr>
        <w:tc>
          <w:tcPr>
            <w:tcW w:w="3238" w:type="dxa"/>
            <w:tcBorders>
              <w:top w:val="single" w:sz="2" w:space="0" w:color="auto"/>
              <w:bottom w:val="single" w:sz="2" w:space="0" w:color="auto"/>
            </w:tcBorders>
            <w:shd w:val="clear" w:color="auto" w:fill="auto"/>
            <w:noWrap/>
            <w:vAlign w:val="center"/>
          </w:tcPr>
          <w:p w:rsidR="00004F6D" w:rsidRDefault="00004F6D" w:rsidP="00A761DC">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 xml:space="preserve">Reparación en hormigón de la galería </w:t>
            </w:r>
          </w:p>
          <w:p w:rsidR="00004F6D" w:rsidRPr="00730AE6" w:rsidRDefault="00004F6D" w:rsidP="00A761DC">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subterránea</w:t>
            </w:r>
          </w:p>
        </w:tc>
        <w:tc>
          <w:tcPr>
            <w:tcW w:w="1022" w:type="dxa"/>
            <w:tcBorders>
              <w:top w:val="single" w:sz="2" w:space="0" w:color="auto"/>
              <w:bottom w:val="single" w:sz="2" w:space="0" w:color="auto"/>
            </w:tcBorders>
            <w:vAlign w:val="center"/>
          </w:tcPr>
          <w:p w:rsidR="00004F6D" w:rsidRDefault="00004F6D" w:rsidP="00BB2564">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3</w:t>
            </w:r>
          </w:p>
        </w:tc>
        <w:tc>
          <w:tcPr>
            <w:tcW w:w="1131" w:type="dxa"/>
            <w:tcBorders>
              <w:top w:val="single" w:sz="2" w:space="0" w:color="auto"/>
              <w:bottom w:val="single" w:sz="2" w:space="0" w:color="auto"/>
            </w:tcBorders>
            <w:vAlign w:val="center"/>
          </w:tcPr>
          <w:p w:rsidR="00004F6D" w:rsidRDefault="00004F6D" w:rsidP="00BB2564">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3</w:t>
            </w:r>
          </w:p>
        </w:tc>
        <w:tc>
          <w:tcPr>
            <w:tcW w:w="1118" w:type="dxa"/>
            <w:tcBorders>
              <w:top w:val="single" w:sz="2" w:space="0" w:color="auto"/>
              <w:bottom w:val="single" w:sz="2" w:space="0" w:color="auto"/>
            </w:tcBorders>
            <w:vAlign w:val="center"/>
          </w:tcPr>
          <w:p w:rsidR="00004F6D" w:rsidRPr="00730AE6" w:rsidRDefault="00004F6D" w:rsidP="00A761DC">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28.901</w:t>
            </w:r>
          </w:p>
        </w:tc>
        <w:tc>
          <w:tcPr>
            <w:tcW w:w="1078" w:type="dxa"/>
            <w:tcBorders>
              <w:top w:val="single" w:sz="2" w:space="0" w:color="auto"/>
              <w:bottom w:val="single" w:sz="2" w:space="0" w:color="auto"/>
            </w:tcBorders>
            <w:vAlign w:val="center"/>
          </w:tcPr>
          <w:p w:rsidR="00004F6D" w:rsidRDefault="00004F6D" w:rsidP="00AD7555">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28.901</w:t>
            </w:r>
          </w:p>
        </w:tc>
        <w:tc>
          <w:tcPr>
            <w:tcW w:w="1357" w:type="dxa"/>
            <w:tcBorders>
              <w:top w:val="single" w:sz="2" w:space="0" w:color="auto"/>
              <w:bottom w:val="single" w:sz="2" w:space="0" w:color="auto"/>
            </w:tcBorders>
            <w:vAlign w:val="center"/>
          </w:tcPr>
          <w:p w:rsidR="00004F6D" w:rsidRDefault="00004F6D" w:rsidP="00CA43A7">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0</w:t>
            </w:r>
          </w:p>
        </w:tc>
      </w:tr>
      <w:tr w:rsidR="00004F6D" w:rsidRPr="00730AE6" w:rsidTr="007179ED">
        <w:trPr>
          <w:trHeight w:val="255"/>
          <w:jc w:val="center"/>
        </w:trPr>
        <w:tc>
          <w:tcPr>
            <w:tcW w:w="3238" w:type="dxa"/>
            <w:tcBorders>
              <w:top w:val="single" w:sz="2" w:space="0" w:color="auto"/>
              <w:bottom w:val="single" w:sz="2" w:space="0" w:color="auto"/>
            </w:tcBorders>
            <w:shd w:val="clear" w:color="auto" w:fill="auto"/>
            <w:noWrap/>
            <w:vAlign w:val="center"/>
          </w:tcPr>
          <w:p w:rsidR="00004F6D" w:rsidRPr="00730AE6" w:rsidRDefault="00004F6D" w:rsidP="00A761DC">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Instalación de variadores en los climatizadores del aulario</w:t>
            </w:r>
          </w:p>
        </w:tc>
        <w:tc>
          <w:tcPr>
            <w:tcW w:w="1022" w:type="dxa"/>
            <w:tcBorders>
              <w:top w:val="single" w:sz="2" w:space="0" w:color="auto"/>
              <w:bottom w:val="single" w:sz="2" w:space="0" w:color="auto"/>
            </w:tcBorders>
            <w:vAlign w:val="center"/>
          </w:tcPr>
          <w:p w:rsidR="00004F6D" w:rsidRDefault="00004F6D" w:rsidP="00BB2564">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w:t>
            </w:r>
          </w:p>
        </w:tc>
        <w:tc>
          <w:tcPr>
            <w:tcW w:w="1131" w:type="dxa"/>
            <w:tcBorders>
              <w:top w:val="single" w:sz="2" w:space="0" w:color="auto"/>
              <w:bottom w:val="single" w:sz="2" w:space="0" w:color="auto"/>
            </w:tcBorders>
            <w:vAlign w:val="center"/>
          </w:tcPr>
          <w:p w:rsidR="00004F6D" w:rsidRDefault="00004F6D" w:rsidP="00BB2564">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w:t>
            </w:r>
          </w:p>
        </w:tc>
        <w:tc>
          <w:tcPr>
            <w:tcW w:w="1118" w:type="dxa"/>
            <w:tcBorders>
              <w:top w:val="single" w:sz="2" w:space="0" w:color="auto"/>
              <w:bottom w:val="single" w:sz="2" w:space="0" w:color="auto"/>
            </w:tcBorders>
            <w:vAlign w:val="center"/>
          </w:tcPr>
          <w:p w:rsidR="00004F6D" w:rsidRPr="00730AE6" w:rsidRDefault="00004F6D" w:rsidP="00A761DC">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12.205</w:t>
            </w:r>
          </w:p>
        </w:tc>
        <w:tc>
          <w:tcPr>
            <w:tcW w:w="1078" w:type="dxa"/>
            <w:tcBorders>
              <w:top w:val="single" w:sz="2" w:space="0" w:color="auto"/>
              <w:bottom w:val="single" w:sz="2" w:space="0" w:color="auto"/>
            </w:tcBorders>
            <w:vAlign w:val="center"/>
          </w:tcPr>
          <w:p w:rsidR="00004F6D" w:rsidRDefault="00004F6D" w:rsidP="007661A3">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12.205</w:t>
            </w:r>
          </w:p>
        </w:tc>
        <w:tc>
          <w:tcPr>
            <w:tcW w:w="1357" w:type="dxa"/>
            <w:tcBorders>
              <w:top w:val="single" w:sz="2" w:space="0" w:color="auto"/>
              <w:bottom w:val="single" w:sz="2" w:space="0" w:color="auto"/>
            </w:tcBorders>
            <w:vAlign w:val="center"/>
          </w:tcPr>
          <w:p w:rsidR="00004F6D" w:rsidRDefault="00004F6D" w:rsidP="00CA43A7">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0</w:t>
            </w:r>
          </w:p>
        </w:tc>
      </w:tr>
      <w:tr w:rsidR="00004F6D" w:rsidRPr="00730AE6" w:rsidTr="007179ED">
        <w:trPr>
          <w:trHeight w:val="255"/>
          <w:jc w:val="center"/>
        </w:trPr>
        <w:tc>
          <w:tcPr>
            <w:tcW w:w="3238" w:type="dxa"/>
            <w:tcBorders>
              <w:top w:val="single" w:sz="2" w:space="0" w:color="auto"/>
              <w:bottom w:val="single" w:sz="2" w:space="0" w:color="auto"/>
            </w:tcBorders>
            <w:shd w:val="clear" w:color="auto" w:fill="auto"/>
            <w:noWrap/>
            <w:vAlign w:val="center"/>
          </w:tcPr>
          <w:p w:rsidR="00004F6D" w:rsidRPr="00730AE6" w:rsidRDefault="00004F6D" w:rsidP="00A761DC">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Sustitución de vallas exteriores de la escuela de estudios sanitarios</w:t>
            </w:r>
          </w:p>
        </w:tc>
        <w:tc>
          <w:tcPr>
            <w:tcW w:w="1022" w:type="dxa"/>
            <w:tcBorders>
              <w:top w:val="single" w:sz="2" w:space="0" w:color="auto"/>
              <w:bottom w:val="single" w:sz="2" w:space="0" w:color="auto"/>
            </w:tcBorders>
            <w:vAlign w:val="center"/>
          </w:tcPr>
          <w:p w:rsidR="00004F6D" w:rsidRDefault="00004F6D" w:rsidP="00BB2564">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4</w:t>
            </w:r>
          </w:p>
        </w:tc>
        <w:tc>
          <w:tcPr>
            <w:tcW w:w="1131" w:type="dxa"/>
            <w:tcBorders>
              <w:top w:val="single" w:sz="2" w:space="0" w:color="auto"/>
              <w:bottom w:val="single" w:sz="2" w:space="0" w:color="auto"/>
            </w:tcBorders>
            <w:vAlign w:val="center"/>
          </w:tcPr>
          <w:p w:rsidR="00004F6D" w:rsidRDefault="00004F6D" w:rsidP="00BB2564">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w:t>
            </w:r>
          </w:p>
        </w:tc>
        <w:tc>
          <w:tcPr>
            <w:tcW w:w="1118" w:type="dxa"/>
            <w:tcBorders>
              <w:top w:val="single" w:sz="2" w:space="0" w:color="auto"/>
              <w:bottom w:val="single" w:sz="2" w:space="0" w:color="auto"/>
            </w:tcBorders>
            <w:vAlign w:val="center"/>
          </w:tcPr>
          <w:p w:rsidR="00004F6D" w:rsidRPr="00730AE6" w:rsidRDefault="00004F6D" w:rsidP="00A761DC">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11.236</w:t>
            </w:r>
          </w:p>
        </w:tc>
        <w:tc>
          <w:tcPr>
            <w:tcW w:w="1078" w:type="dxa"/>
            <w:tcBorders>
              <w:top w:val="single" w:sz="2" w:space="0" w:color="auto"/>
              <w:bottom w:val="single" w:sz="2" w:space="0" w:color="auto"/>
            </w:tcBorders>
            <w:vAlign w:val="center"/>
          </w:tcPr>
          <w:p w:rsidR="00004F6D" w:rsidRDefault="00004F6D" w:rsidP="00034907">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11.236</w:t>
            </w:r>
          </w:p>
        </w:tc>
        <w:tc>
          <w:tcPr>
            <w:tcW w:w="1357" w:type="dxa"/>
            <w:tcBorders>
              <w:top w:val="single" w:sz="2" w:space="0" w:color="auto"/>
              <w:bottom w:val="single" w:sz="2" w:space="0" w:color="auto"/>
            </w:tcBorders>
            <w:vAlign w:val="center"/>
          </w:tcPr>
          <w:p w:rsidR="00004F6D" w:rsidRDefault="00004F6D" w:rsidP="00CA43A7">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0</w:t>
            </w:r>
          </w:p>
        </w:tc>
      </w:tr>
      <w:tr w:rsidR="00004F6D" w:rsidRPr="00730AE6" w:rsidTr="007179ED">
        <w:trPr>
          <w:trHeight w:val="255"/>
          <w:jc w:val="center"/>
        </w:trPr>
        <w:tc>
          <w:tcPr>
            <w:tcW w:w="3238" w:type="dxa"/>
            <w:tcBorders>
              <w:top w:val="single" w:sz="2" w:space="0" w:color="auto"/>
              <w:bottom w:val="single" w:sz="2" w:space="0" w:color="auto"/>
            </w:tcBorders>
            <w:shd w:val="clear" w:color="auto" w:fill="auto"/>
            <w:noWrap/>
            <w:vAlign w:val="center"/>
          </w:tcPr>
          <w:p w:rsidR="00004F6D" w:rsidRDefault="00004F6D" w:rsidP="00A761DC">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Reforma del pavimento de linóleo del edificio las Sóforas primera planta</w:t>
            </w:r>
          </w:p>
        </w:tc>
        <w:tc>
          <w:tcPr>
            <w:tcW w:w="1022" w:type="dxa"/>
            <w:tcBorders>
              <w:top w:val="single" w:sz="2" w:space="0" w:color="auto"/>
              <w:bottom w:val="single" w:sz="2" w:space="0" w:color="auto"/>
            </w:tcBorders>
            <w:vAlign w:val="center"/>
          </w:tcPr>
          <w:p w:rsidR="00004F6D" w:rsidRDefault="00004F6D" w:rsidP="00BB2564">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w:t>
            </w:r>
          </w:p>
        </w:tc>
        <w:tc>
          <w:tcPr>
            <w:tcW w:w="1131" w:type="dxa"/>
            <w:tcBorders>
              <w:top w:val="single" w:sz="2" w:space="0" w:color="auto"/>
              <w:bottom w:val="single" w:sz="2" w:space="0" w:color="auto"/>
            </w:tcBorders>
            <w:vAlign w:val="center"/>
          </w:tcPr>
          <w:p w:rsidR="00004F6D" w:rsidRDefault="00004F6D" w:rsidP="00BB2564">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w:t>
            </w:r>
          </w:p>
        </w:tc>
        <w:tc>
          <w:tcPr>
            <w:tcW w:w="1118" w:type="dxa"/>
            <w:tcBorders>
              <w:top w:val="single" w:sz="2" w:space="0" w:color="auto"/>
              <w:bottom w:val="single" w:sz="2" w:space="0" w:color="auto"/>
            </w:tcBorders>
            <w:vAlign w:val="center"/>
          </w:tcPr>
          <w:p w:rsidR="00004F6D" w:rsidRPr="00730AE6" w:rsidRDefault="00004F6D" w:rsidP="00A761DC">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8.552</w:t>
            </w:r>
          </w:p>
        </w:tc>
        <w:tc>
          <w:tcPr>
            <w:tcW w:w="1078" w:type="dxa"/>
            <w:tcBorders>
              <w:top w:val="single" w:sz="2" w:space="0" w:color="auto"/>
              <w:bottom w:val="single" w:sz="2" w:space="0" w:color="auto"/>
            </w:tcBorders>
            <w:vAlign w:val="center"/>
          </w:tcPr>
          <w:p w:rsidR="00004F6D" w:rsidRDefault="00004F6D" w:rsidP="00034907">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9.652</w:t>
            </w:r>
          </w:p>
        </w:tc>
        <w:tc>
          <w:tcPr>
            <w:tcW w:w="1357" w:type="dxa"/>
            <w:tcBorders>
              <w:top w:val="single" w:sz="2" w:space="0" w:color="auto"/>
              <w:bottom w:val="single" w:sz="2" w:space="0" w:color="auto"/>
            </w:tcBorders>
            <w:vAlign w:val="center"/>
          </w:tcPr>
          <w:p w:rsidR="00004F6D" w:rsidRDefault="00004F6D" w:rsidP="007661A3">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12,9</w:t>
            </w:r>
          </w:p>
        </w:tc>
      </w:tr>
    </w:tbl>
    <w:p w:rsidR="00312422" w:rsidRDefault="00312422" w:rsidP="002B30C2">
      <w:pPr>
        <w:pStyle w:val="texto"/>
        <w:spacing w:before="240" w:after="240"/>
      </w:pPr>
      <w:r>
        <w:t>Del análisis de los expedientes anteriores concluimos que, en general, se tramitaron de conformidad con la normativa aplicable</w:t>
      </w:r>
      <w:r w:rsidR="00DC7D5E">
        <w:t xml:space="preserve">, constando la previa reserva de crédito, la justificación </w:t>
      </w:r>
      <w:r w:rsidR="00F44427">
        <w:t xml:space="preserve">y aprobación </w:t>
      </w:r>
      <w:r w:rsidR="00DC7D5E">
        <w:t>de las modificaciones que incrementan el pre</w:t>
      </w:r>
      <w:r w:rsidR="00F44427">
        <w:t>c</w:t>
      </w:r>
      <w:r w:rsidR="00DC7D5E">
        <w:t>io, en su caso, y la correspondiente factura.</w:t>
      </w:r>
    </w:p>
    <w:p w:rsidR="00E56011" w:rsidRPr="00730AE6" w:rsidRDefault="00E56011" w:rsidP="00B056CC">
      <w:pPr>
        <w:pStyle w:val="atitulo3"/>
        <w:spacing w:before="240"/>
      </w:pPr>
      <w:r w:rsidRPr="00730AE6">
        <w:t>V</w:t>
      </w:r>
      <w:r w:rsidR="00613F68">
        <w:t>I</w:t>
      </w:r>
      <w:r w:rsidRPr="00730AE6">
        <w:t>.</w:t>
      </w:r>
      <w:r w:rsidR="00E037D2">
        <w:t>4</w:t>
      </w:r>
      <w:r w:rsidRPr="00730AE6">
        <w:t>.</w:t>
      </w:r>
      <w:r w:rsidR="005245C0">
        <w:t>6</w:t>
      </w:r>
      <w:r w:rsidRPr="00730AE6">
        <w:t>. Gestión de proyectos y contratos de investigación</w:t>
      </w:r>
    </w:p>
    <w:p w:rsidR="004E29B1" w:rsidRDefault="004E29B1" w:rsidP="00B056CC">
      <w:pPr>
        <w:pStyle w:val="texto"/>
        <w:spacing w:before="240" w:after="120"/>
      </w:pPr>
      <w:r>
        <w:t xml:space="preserve">En la Universidad se realizan proyectos de investigación </w:t>
      </w:r>
      <w:r w:rsidR="00CA095F">
        <w:t xml:space="preserve">con financiación </w:t>
      </w:r>
      <w:r w:rsidR="002F28D7">
        <w:t>e</w:t>
      </w:r>
      <w:r w:rsidR="00CA095F">
        <w:t xml:space="preserve">uropea, </w:t>
      </w:r>
      <w:r w:rsidR="002F28D7">
        <w:t>e</w:t>
      </w:r>
      <w:r>
        <w:t>statal y del Gobierno de Navarra. Además</w:t>
      </w:r>
      <w:r w:rsidRPr="00242F11">
        <w:t>, la Universidad</w:t>
      </w:r>
      <w:r w:rsidRPr="00D005C9">
        <w:t xml:space="preserve"> </w:t>
      </w:r>
      <w:r>
        <w:t>puede celebrar contratos con personas o entidades para la realización de trabajos científicos, técnicos o artísticos o actividades específicas de formación</w:t>
      </w:r>
      <w:r w:rsidR="006031B7">
        <w:t>,</w:t>
      </w:r>
      <w:r>
        <w:t xml:space="preserve"> al amparo de los artículos 83 de la LOU y 183 de los Estatutos de la Universidad (Contratos OTRI).</w:t>
      </w:r>
    </w:p>
    <w:p w:rsidR="00E56011" w:rsidRDefault="00E56011" w:rsidP="00B056CC">
      <w:pPr>
        <w:pStyle w:val="texto"/>
        <w:spacing w:before="120" w:after="120"/>
      </w:pPr>
      <w:r w:rsidRPr="00730AE6">
        <w:t>En 201</w:t>
      </w:r>
      <w:r>
        <w:t>7</w:t>
      </w:r>
      <w:r w:rsidRPr="00730AE6">
        <w:t xml:space="preserve">, los gastos derivados de la realización de proyectos y contratos de investigación han ascendido a </w:t>
      </w:r>
      <w:r>
        <w:t>6,46</w:t>
      </w:r>
      <w:r w:rsidRPr="00730AE6">
        <w:t xml:space="preserve"> millones</w:t>
      </w:r>
      <w:r>
        <w:t xml:space="preserve"> de euros</w:t>
      </w:r>
      <w:r w:rsidRPr="00730AE6">
        <w:t>, según el siguiente detalle</w:t>
      </w:r>
      <w:r>
        <w:t>:</w:t>
      </w:r>
    </w:p>
    <w:p w:rsidR="00E56011" w:rsidRPr="00215F32" w:rsidRDefault="004E29B1" w:rsidP="00215F32">
      <w:pPr>
        <w:pStyle w:val="texto"/>
        <w:tabs>
          <w:tab w:val="clear" w:pos="2835"/>
          <w:tab w:val="clear" w:pos="3969"/>
          <w:tab w:val="clear" w:pos="5103"/>
          <w:tab w:val="clear" w:pos="6237"/>
          <w:tab w:val="clear" w:pos="7371"/>
          <w:tab w:val="left" w:pos="480"/>
          <w:tab w:val="num" w:pos="928"/>
          <w:tab w:val="num" w:pos="6597"/>
        </w:tabs>
        <w:spacing w:after="0"/>
        <w:ind w:left="568" w:right="142" w:firstLine="0"/>
        <w:jc w:val="right"/>
        <w:rPr>
          <w:rFonts w:ascii="Arial" w:hAnsi="Arial" w:cs="Arial"/>
          <w:sz w:val="18"/>
          <w:szCs w:val="18"/>
        </w:rPr>
      </w:pPr>
      <w:r w:rsidRPr="00215F32">
        <w:rPr>
          <w:rFonts w:ascii="Arial" w:hAnsi="Arial" w:cs="Arial"/>
          <w:sz w:val="18"/>
          <w:szCs w:val="18"/>
        </w:rPr>
        <w:t xml:space="preserve"> </w:t>
      </w:r>
      <w:r w:rsidR="0000117B" w:rsidRPr="00215F32">
        <w:rPr>
          <w:rFonts w:ascii="Arial" w:hAnsi="Arial" w:cs="Arial"/>
          <w:sz w:val="18"/>
          <w:szCs w:val="18"/>
        </w:rPr>
        <w:t>(En miles de euros)</w:t>
      </w:r>
    </w:p>
    <w:tbl>
      <w:tblPr>
        <w:tblW w:w="8744" w:type="dxa"/>
        <w:jc w:val="center"/>
        <w:tblCellMar>
          <w:left w:w="70" w:type="dxa"/>
          <w:right w:w="70" w:type="dxa"/>
        </w:tblCellMar>
        <w:tblLook w:val="0000" w:firstRow="0" w:lastRow="0" w:firstColumn="0" w:lastColumn="0" w:noHBand="0" w:noVBand="0"/>
      </w:tblPr>
      <w:tblGrid>
        <w:gridCol w:w="5697"/>
        <w:gridCol w:w="1475"/>
        <w:gridCol w:w="1572"/>
      </w:tblGrid>
      <w:tr w:rsidR="00E56011" w:rsidRPr="00730AE6" w:rsidTr="007179ED">
        <w:trPr>
          <w:trHeight w:val="255"/>
          <w:jc w:val="center"/>
        </w:trPr>
        <w:tc>
          <w:tcPr>
            <w:tcW w:w="5697" w:type="dxa"/>
            <w:tcBorders>
              <w:top w:val="single" w:sz="4" w:space="0" w:color="auto"/>
              <w:bottom w:val="single" w:sz="4" w:space="0" w:color="auto"/>
            </w:tcBorders>
            <w:shd w:val="clear" w:color="auto" w:fill="A8CBEE" w:themeFill="accent2" w:themeFillTint="66"/>
            <w:noWrap/>
            <w:vAlign w:val="center"/>
          </w:tcPr>
          <w:p w:rsidR="00E56011" w:rsidRPr="00730AE6" w:rsidRDefault="00E56011" w:rsidP="00954CCC">
            <w:pPr>
              <w:pStyle w:val="cuadroCabe"/>
              <w:rPr>
                <w:lang w:val="es-ES" w:eastAsia="es-ES"/>
              </w:rPr>
            </w:pPr>
            <w:r w:rsidRPr="00730AE6">
              <w:rPr>
                <w:lang w:val="es-ES" w:eastAsia="es-ES"/>
              </w:rPr>
              <w:t>Proyectos y contratos de investigación</w:t>
            </w:r>
          </w:p>
        </w:tc>
        <w:tc>
          <w:tcPr>
            <w:tcW w:w="1475" w:type="dxa"/>
            <w:tcBorders>
              <w:top w:val="single" w:sz="4" w:space="0" w:color="auto"/>
              <w:bottom w:val="single" w:sz="4" w:space="0" w:color="auto"/>
            </w:tcBorders>
            <w:shd w:val="clear" w:color="auto" w:fill="A8CBEE" w:themeFill="accent2" w:themeFillTint="66"/>
            <w:vAlign w:val="center"/>
          </w:tcPr>
          <w:p w:rsidR="00E56011" w:rsidRPr="00730AE6" w:rsidRDefault="00E56011" w:rsidP="00954CCC">
            <w:pPr>
              <w:pStyle w:val="cuadroCabe"/>
              <w:jc w:val="right"/>
              <w:rPr>
                <w:lang w:val="es-ES" w:eastAsia="es-ES"/>
              </w:rPr>
            </w:pPr>
            <w:r w:rsidRPr="00730AE6">
              <w:rPr>
                <w:lang w:val="es-ES" w:eastAsia="es-ES"/>
              </w:rPr>
              <w:t>Importe</w:t>
            </w:r>
          </w:p>
        </w:tc>
        <w:tc>
          <w:tcPr>
            <w:tcW w:w="1572" w:type="dxa"/>
            <w:tcBorders>
              <w:top w:val="single" w:sz="4" w:space="0" w:color="auto"/>
              <w:bottom w:val="single" w:sz="4" w:space="0" w:color="auto"/>
            </w:tcBorders>
            <w:shd w:val="clear" w:color="auto" w:fill="A8CBEE" w:themeFill="accent2" w:themeFillTint="66"/>
            <w:noWrap/>
            <w:vAlign w:val="center"/>
          </w:tcPr>
          <w:p w:rsidR="00E56011" w:rsidRPr="00730AE6" w:rsidRDefault="00E56011" w:rsidP="00954CCC">
            <w:pPr>
              <w:pStyle w:val="cuadroCabe"/>
              <w:jc w:val="right"/>
              <w:rPr>
                <w:lang w:val="es-ES" w:eastAsia="es-ES"/>
              </w:rPr>
            </w:pPr>
            <w:r w:rsidRPr="00730AE6">
              <w:rPr>
                <w:lang w:val="es-ES" w:eastAsia="es-ES"/>
              </w:rPr>
              <w:t>%</w:t>
            </w:r>
          </w:p>
        </w:tc>
      </w:tr>
      <w:tr w:rsidR="00E56011" w:rsidRPr="00730AE6" w:rsidTr="007179ED">
        <w:trPr>
          <w:trHeight w:val="255"/>
          <w:jc w:val="center"/>
        </w:trPr>
        <w:tc>
          <w:tcPr>
            <w:tcW w:w="5697" w:type="dxa"/>
            <w:tcBorders>
              <w:top w:val="single" w:sz="2" w:space="0" w:color="auto"/>
              <w:bottom w:val="single" w:sz="2" w:space="0" w:color="auto"/>
            </w:tcBorders>
            <w:shd w:val="clear" w:color="auto" w:fill="auto"/>
            <w:noWrap/>
            <w:vAlign w:val="center"/>
          </w:tcPr>
          <w:p w:rsidR="00E56011" w:rsidRPr="00730AE6" w:rsidRDefault="00E56011" w:rsidP="00954CCC">
            <w:pPr>
              <w:pStyle w:val="texto"/>
              <w:spacing w:after="0"/>
              <w:ind w:firstLine="0"/>
              <w:rPr>
                <w:rFonts w:ascii="Arial Narrow" w:hAnsi="Arial Narrow"/>
                <w:sz w:val="20"/>
                <w:szCs w:val="20"/>
              </w:rPr>
            </w:pPr>
            <w:r>
              <w:rPr>
                <w:rFonts w:ascii="Arial Narrow" w:hAnsi="Arial Narrow"/>
                <w:sz w:val="20"/>
                <w:szCs w:val="20"/>
              </w:rPr>
              <w:t>Gastos de p</w:t>
            </w:r>
            <w:r w:rsidRPr="00730AE6">
              <w:rPr>
                <w:rFonts w:ascii="Arial Narrow" w:hAnsi="Arial Narrow"/>
                <w:sz w:val="20"/>
                <w:szCs w:val="20"/>
              </w:rPr>
              <w:t>ersonal</w:t>
            </w:r>
          </w:p>
        </w:tc>
        <w:tc>
          <w:tcPr>
            <w:tcW w:w="1475" w:type="dxa"/>
            <w:tcBorders>
              <w:top w:val="single" w:sz="2" w:space="0" w:color="auto"/>
              <w:bottom w:val="single" w:sz="2" w:space="0" w:color="auto"/>
            </w:tcBorders>
            <w:vAlign w:val="center"/>
          </w:tcPr>
          <w:p w:rsidR="00E56011" w:rsidRPr="00B51581" w:rsidRDefault="00E56011" w:rsidP="00954CCC">
            <w:pPr>
              <w:pStyle w:val="texto"/>
              <w:spacing w:after="0"/>
              <w:ind w:firstLine="0"/>
              <w:jc w:val="right"/>
              <w:rPr>
                <w:rFonts w:ascii="Arial Narrow" w:hAnsi="Arial Narrow"/>
                <w:sz w:val="20"/>
                <w:szCs w:val="20"/>
              </w:rPr>
            </w:pPr>
            <w:r w:rsidRPr="00B51581">
              <w:rPr>
                <w:rFonts w:ascii="Arial Narrow" w:hAnsi="Arial Narrow"/>
                <w:sz w:val="20"/>
                <w:szCs w:val="20"/>
              </w:rPr>
              <w:t>3.968</w:t>
            </w:r>
          </w:p>
        </w:tc>
        <w:tc>
          <w:tcPr>
            <w:tcW w:w="1572" w:type="dxa"/>
            <w:tcBorders>
              <w:top w:val="single" w:sz="2" w:space="0" w:color="auto"/>
              <w:bottom w:val="single" w:sz="2" w:space="0" w:color="auto"/>
            </w:tcBorders>
            <w:shd w:val="clear" w:color="auto" w:fill="auto"/>
            <w:noWrap/>
            <w:vAlign w:val="center"/>
          </w:tcPr>
          <w:p w:rsidR="00E56011" w:rsidRPr="00730AE6" w:rsidRDefault="00E56011" w:rsidP="00954CCC">
            <w:pPr>
              <w:pStyle w:val="texto"/>
              <w:spacing w:after="0"/>
              <w:ind w:firstLine="0"/>
              <w:jc w:val="right"/>
              <w:rPr>
                <w:rFonts w:ascii="Arial Narrow" w:hAnsi="Arial Narrow"/>
                <w:sz w:val="20"/>
                <w:szCs w:val="20"/>
              </w:rPr>
            </w:pPr>
            <w:r>
              <w:rPr>
                <w:rFonts w:ascii="Arial Narrow" w:hAnsi="Arial Narrow"/>
                <w:sz w:val="20"/>
                <w:szCs w:val="20"/>
              </w:rPr>
              <w:t>61</w:t>
            </w:r>
          </w:p>
        </w:tc>
      </w:tr>
      <w:tr w:rsidR="00E56011" w:rsidRPr="00730AE6" w:rsidTr="007179ED">
        <w:trPr>
          <w:trHeight w:val="255"/>
          <w:jc w:val="center"/>
        </w:trPr>
        <w:tc>
          <w:tcPr>
            <w:tcW w:w="5697" w:type="dxa"/>
            <w:tcBorders>
              <w:top w:val="single" w:sz="2" w:space="0" w:color="auto"/>
              <w:bottom w:val="single" w:sz="2" w:space="0" w:color="auto"/>
            </w:tcBorders>
            <w:shd w:val="clear" w:color="auto" w:fill="auto"/>
            <w:noWrap/>
            <w:vAlign w:val="center"/>
          </w:tcPr>
          <w:p w:rsidR="00E56011" w:rsidRPr="00730AE6" w:rsidRDefault="00E56011" w:rsidP="00954CCC">
            <w:pPr>
              <w:pStyle w:val="texto"/>
              <w:spacing w:after="0"/>
              <w:ind w:firstLine="0"/>
              <w:rPr>
                <w:rFonts w:ascii="Arial Narrow" w:hAnsi="Arial Narrow"/>
                <w:sz w:val="20"/>
                <w:szCs w:val="20"/>
              </w:rPr>
            </w:pPr>
            <w:r>
              <w:rPr>
                <w:rFonts w:ascii="Arial Narrow" w:hAnsi="Arial Narrow"/>
                <w:sz w:val="20"/>
                <w:szCs w:val="20"/>
              </w:rPr>
              <w:t>Gastos en b</w:t>
            </w:r>
            <w:r w:rsidRPr="00730AE6">
              <w:rPr>
                <w:rFonts w:ascii="Arial Narrow" w:hAnsi="Arial Narrow"/>
                <w:sz w:val="20"/>
                <w:szCs w:val="20"/>
              </w:rPr>
              <w:t>ienes corrientes y servicios</w:t>
            </w:r>
          </w:p>
        </w:tc>
        <w:tc>
          <w:tcPr>
            <w:tcW w:w="1475" w:type="dxa"/>
            <w:tcBorders>
              <w:top w:val="single" w:sz="2" w:space="0" w:color="auto"/>
              <w:bottom w:val="single" w:sz="2" w:space="0" w:color="auto"/>
            </w:tcBorders>
            <w:vAlign w:val="center"/>
          </w:tcPr>
          <w:p w:rsidR="00E56011" w:rsidRPr="00B51581" w:rsidRDefault="00E56011" w:rsidP="00954CCC">
            <w:pPr>
              <w:pStyle w:val="texto"/>
              <w:spacing w:after="0"/>
              <w:ind w:firstLine="0"/>
              <w:jc w:val="right"/>
              <w:rPr>
                <w:rFonts w:ascii="Arial Narrow" w:hAnsi="Arial Narrow"/>
                <w:sz w:val="20"/>
                <w:szCs w:val="20"/>
              </w:rPr>
            </w:pPr>
            <w:r w:rsidRPr="00B51581">
              <w:rPr>
                <w:rFonts w:ascii="Arial Narrow" w:hAnsi="Arial Narrow"/>
                <w:sz w:val="20"/>
                <w:szCs w:val="20"/>
              </w:rPr>
              <w:t>1.976</w:t>
            </w:r>
          </w:p>
        </w:tc>
        <w:tc>
          <w:tcPr>
            <w:tcW w:w="1572" w:type="dxa"/>
            <w:tcBorders>
              <w:top w:val="single" w:sz="2" w:space="0" w:color="auto"/>
              <w:bottom w:val="single" w:sz="2" w:space="0" w:color="auto"/>
            </w:tcBorders>
            <w:shd w:val="clear" w:color="auto" w:fill="auto"/>
            <w:noWrap/>
            <w:vAlign w:val="center"/>
          </w:tcPr>
          <w:p w:rsidR="00E56011" w:rsidRPr="00730AE6" w:rsidRDefault="00E56011" w:rsidP="00954CCC">
            <w:pPr>
              <w:pStyle w:val="texto"/>
              <w:spacing w:after="0"/>
              <w:ind w:firstLine="0"/>
              <w:jc w:val="right"/>
              <w:rPr>
                <w:rFonts w:ascii="Arial Narrow" w:hAnsi="Arial Narrow"/>
                <w:sz w:val="20"/>
                <w:szCs w:val="20"/>
              </w:rPr>
            </w:pPr>
            <w:r>
              <w:rPr>
                <w:rFonts w:ascii="Arial Narrow" w:hAnsi="Arial Narrow"/>
                <w:sz w:val="20"/>
                <w:szCs w:val="20"/>
              </w:rPr>
              <w:t>31</w:t>
            </w:r>
          </w:p>
        </w:tc>
      </w:tr>
      <w:tr w:rsidR="00E56011" w:rsidRPr="00730AE6" w:rsidTr="007179ED">
        <w:trPr>
          <w:trHeight w:val="255"/>
          <w:jc w:val="center"/>
        </w:trPr>
        <w:tc>
          <w:tcPr>
            <w:tcW w:w="5697" w:type="dxa"/>
            <w:tcBorders>
              <w:top w:val="single" w:sz="2" w:space="0" w:color="auto"/>
              <w:bottom w:val="single" w:sz="2" w:space="0" w:color="auto"/>
            </w:tcBorders>
            <w:shd w:val="clear" w:color="auto" w:fill="auto"/>
            <w:noWrap/>
            <w:vAlign w:val="center"/>
          </w:tcPr>
          <w:p w:rsidR="00E56011" w:rsidRPr="00730AE6" w:rsidRDefault="00E56011" w:rsidP="00954CCC">
            <w:pPr>
              <w:pStyle w:val="texto"/>
              <w:spacing w:after="0"/>
              <w:ind w:firstLine="0"/>
              <w:rPr>
                <w:rFonts w:ascii="Arial Narrow" w:hAnsi="Arial Narrow"/>
                <w:sz w:val="20"/>
                <w:szCs w:val="20"/>
              </w:rPr>
            </w:pPr>
            <w:r w:rsidRPr="00730AE6">
              <w:rPr>
                <w:rFonts w:ascii="Arial Narrow" w:hAnsi="Arial Narrow"/>
                <w:sz w:val="20"/>
                <w:szCs w:val="20"/>
              </w:rPr>
              <w:t>Transferencias corrientes</w:t>
            </w:r>
          </w:p>
        </w:tc>
        <w:tc>
          <w:tcPr>
            <w:tcW w:w="1475" w:type="dxa"/>
            <w:tcBorders>
              <w:top w:val="single" w:sz="2" w:space="0" w:color="auto"/>
              <w:bottom w:val="single" w:sz="2" w:space="0" w:color="auto"/>
            </w:tcBorders>
            <w:vAlign w:val="center"/>
          </w:tcPr>
          <w:p w:rsidR="00E56011" w:rsidRPr="00B51581" w:rsidRDefault="00E56011" w:rsidP="00954CCC">
            <w:pPr>
              <w:pStyle w:val="texto"/>
              <w:spacing w:after="0"/>
              <w:ind w:firstLine="0"/>
              <w:jc w:val="right"/>
              <w:rPr>
                <w:rFonts w:ascii="Arial Narrow" w:hAnsi="Arial Narrow"/>
                <w:sz w:val="20"/>
                <w:szCs w:val="20"/>
              </w:rPr>
            </w:pPr>
            <w:r w:rsidRPr="00B51581">
              <w:rPr>
                <w:rFonts w:ascii="Arial Narrow" w:hAnsi="Arial Narrow"/>
                <w:sz w:val="20"/>
                <w:szCs w:val="20"/>
              </w:rPr>
              <w:t>130</w:t>
            </w:r>
          </w:p>
        </w:tc>
        <w:tc>
          <w:tcPr>
            <w:tcW w:w="1572" w:type="dxa"/>
            <w:tcBorders>
              <w:top w:val="single" w:sz="2" w:space="0" w:color="auto"/>
              <w:bottom w:val="single" w:sz="2" w:space="0" w:color="auto"/>
            </w:tcBorders>
            <w:shd w:val="clear" w:color="auto" w:fill="auto"/>
            <w:noWrap/>
            <w:vAlign w:val="center"/>
          </w:tcPr>
          <w:p w:rsidR="00E56011" w:rsidRPr="00730AE6" w:rsidRDefault="00E56011" w:rsidP="00954CCC">
            <w:pPr>
              <w:pStyle w:val="texto"/>
              <w:spacing w:after="0"/>
              <w:ind w:firstLine="0"/>
              <w:jc w:val="right"/>
              <w:rPr>
                <w:rFonts w:ascii="Arial Narrow" w:hAnsi="Arial Narrow"/>
                <w:sz w:val="20"/>
                <w:szCs w:val="20"/>
              </w:rPr>
            </w:pPr>
            <w:r>
              <w:rPr>
                <w:rFonts w:ascii="Arial Narrow" w:hAnsi="Arial Narrow"/>
                <w:sz w:val="20"/>
                <w:szCs w:val="20"/>
              </w:rPr>
              <w:t>2</w:t>
            </w:r>
          </w:p>
        </w:tc>
      </w:tr>
      <w:tr w:rsidR="00E56011" w:rsidRPr="00730AE6" w:rsidTr="007179ED">
        <w:trPr>
          <w:trHeight w:val="255"/>
          <w:jc w:val="center"/>
        </w:trPr>
        <w:tc>
          <w:tcPr>
            <w:tcW w:w="5697" w:type="dxa"/>
            <w:tcBorders>
              <w:top w:val="single" w:sz="2" w:space="0" w:color="auto"/>
              <w:bottom w:val="single" w:sz="4" w:space="0" w:color="auto"/>
            </w:tcBorders>
            <w:shd w:val="clear" w:color="auto" w:fill="auto"/>
            <w:noWrap/>
            <w:vAlign w:val="center"/>
          </w:tcPr>
          <w:p w:rsidR="00E56011" w:rsidRPr="00730AE6" w:rsidRDefault="00E56011" w:rsidP="00954CCC">
            <w:pPr>
              <w:pStyle w:val="texto"/>
              <w:spacing w:after="0"/>
              <w:ind w:firstLine="0"/>
              <w:rPr>
                <w:rFonts w:ascii="Arial Narrow" w:hAnsi="Arial Narrow"/>
                <w:sz w:val="20"/>
                <w:szCs w:val="20"/>
              </w:rPr>
            </w:pPr>
            <w:r>
              <w:rPr>
                <w:rFonts w:ascii="Arial Narrow" w:hAnsi="Arial Narrow"/>
                <w:sz w:val="20"/>
                <w:szCs w:val="20"/>
              </w:rPr>
              <w:t>Inversiones reales</w:t>
            </w:r>
          </w:p>
        </w:tc>
        <w:tc>
          <w:tcPr>
            <w:tcW w:w="1475" w:type="dxa"/>
            <w:tcBorders>
              <w:top w:val="single" w:sz="2" w:space="0" w:color="auto"/>
              <w:bottom w:val="single" w:sz="4" w:space="0" w:color="auto"/>
            </w:tcBorders>
            <w:vAlign w:val="center"/>
          </w:tcPr>
          <w:p w:rsidR="00E56011" w:rsidRPr="00B51581" w:rsidRDefault="00E56011" w:rsidP="00AE5000">
            <w:pPr>
              <w:pStyle w:val="texto"/>
              <w:spacing w:after="0"/>
              <w:ind w:firstLine="0"/>
              <w:jc w:val="right"/>
              <w:rPr>
                <w:rFonts w:ascii="Arial Narrow" w:hAnsi="Arial Narrow"/>
                <w:sz w:val="20"/>
                <w:szCs w:val="20"/>
              </w:rPr>
            </w:pPr>
            <w:r w:rsidRPr="00B51581">
              <w:rPr>
                <w:rFonts w:ascii="Arial Narrow" w:hAnsi="Arial Narrow"/>
                <w:sz w:val="20"/>
                <w:szCs w:val="20"/>
              </w:rPr>
              <w:t>38</w:t>
            </w:r>
            <w:r w:rsidR="00AE5000" w:rsidRPr="00B51581">
              <w:rPr>
                <w:rFonts w:ascii="Arial Narrow" w:hAnsi="Arial Narrow"/>
                <w:sz w:val="20"/>
                <w:szCs w:val="20"/>
              </w:rPr>
              <w:t>7</w:t>
            </w:r>
          </w:p>
        </w:tc>
        <w:tc>
          <w:tcPr>
            <w:tcW w:w="1572" w:type="dxa"/>
            <w:tcBorders>
              <w:top w:val="single" w:sz="2" w:space="0" w:color="auto"/>
              <w:bottom w:val="single" w:sz="4" w:space="0" w:color="auto"/>
            </w:tcBorders>
            <w:shd w:val="clear" w:color="auto" w:fill="auto"/>
            <w:noWrap/>
            <w:vAlign w:val="center"/>
          </w:tcPr>
          <w:p w:rsidR="00E56011" w:rsidRPr="00730AE6" w:rsidRDefault="00E56011" w:rsidP="00954CCC">
            <w:pPr>
              <w:pStyle w:val="texto"/>
              <w:spacing w:after="0"/>
              <w:ind w:firstLine="0"/>
              <w:jc w:val="right"/>
              <w:rPr>
                <w:rFonts w:ascii="Arial Narrow" w:hAnsi="Arial Narrow"/>
                <w:sz w:val="20"/>
                <w:szCs w:val="20"/>
              </w:rPr>
            </w:pPr>
            <w:r>
              <w:rPr>
                <w:rFonts w:ascii="Arial Narrow" w:hAnsi="Arial Narrow"/>
                <w:sz w:val="20"/>
                <w:szCs w:val="20"/>
              </w:rPr>
              <w:t>6</w:t>
            </w:r>
          </w:p>
        </w:tc>
      </w:tr>
      <w:tr w:rsidR="00E56011" w:rsidRPr="00730AE6" w:rsidTr="007179ED">
        <w:trPr>
          <w:trHeight w:val="255"/>
          <w:jc w:val="center"/>
        </w:trPr>
        <w:tc>
          <w:tcPr>
            <w:tcW w:w="5697" w:type="dxa"/>
            <w:tcBorders>
              <w:top w:val="single" w:sz="4" w:space="0" w:color="auto"/>
              <w:bottom w:val="single" w:sz="4" w:space="0" w:color="auto"/>
            </w:tcBorders>
            <w:shd w:val="clear" w:color="auto" w:fill="A8CBEE" w:themeFill="accent2" w:themeFillTint="66"/>
            <w:noWrap/>
            <w:vAlign w:val="center"/>
          </w:tcPr>
          <w:p w:rsidR="00E56011" w:rsidRPr="00730AE6" w:rsidRDefault="00E56011" w:rsidP="00954CCC">
            <w:pPr>
              <w:pStyle w:val="cuadroCabe"/>
              <w:rPr>
                <w:lang w:val="es-ES" w:eastAsia="es-ES"/>
              </w:rPr>
            </w:pPr>
            <w:r w:rsidRPr="00730AE6">
              <w:rPr>
                <w:lang w:val="es-ES" w:eastAsia="es-ES"/>
              </w:rPr>
              <w:t>Total gastos</w:t>
            </w:r>
          </w:p>
        </w:tc>
        <w:tc>
          <w:tcPr>
            <w:tcW w:w="1475" w:type="dxa"/>
            <w:tcBorders>
              <w:top w:val="single" w:sz="4" w:space="0" w:color="auto"/>
              <w:bottom w:val="single" w:sz="4" w:space="0" w:color="auto"/>
            </w:tcBorders>
            <w:shd w:val="clear" w:color="auto" w:fill="A8CBEE" w:themeFill="accent2" w:themeFillTint="66"/>
            <w:vAlign w:val="center"/>
          </w:tcPr>
          <w:p w:rsidR="00E56011" w:rsidRPr="00B51581" w:rsidRDefault="00E56011" w:rsidP="00954CCC">
            <w:pPr>
              <w:pStyle w:val="cuadroCabe"/>
              <w:jc w:val="right"/>
              <w:rPr>
                <w:lang w:val="es-ES" w:eastAsia="es-ES"/>
              </w:rPr>
            </w:pPr>
            <w:r w:rsidRPr="00B51581">
              <w:rPr>
                <w:lang w:val="es-ES" w:eastAsia="es-ES"/>
              </w:rPr>
              <w:t>6.461</w:t>
            </w:r>
          </w:p>
        </w:tc>
        <w:tc>
          <w:tcPr>
            <w:tcW w:w="1572" w:type="dxa"/>
            <w:tcBorders>
              <w:top w:val="single" w:sz="4" w:space="0" w:color="auto"/>
              <w:bottom w:val="single" w:sz="4" w:space="0" w:color="auto"/>
            </w:tcBorders>
            <w:shd w:val="clear" w:color="auto" w:fill="A8CBEE" w:themeFill="accent2" w:themeFillTint="66"/>
            <w:noWrap/>
            <w:vAlign w:val="center"/>
          </w:tcPr>
          <w:p w:rsidR="00E56011" w:rsidRPr="00730AE6" w:rsidRDefault="00E56011" w:rsidP="00954CCC">
            <w:pPr>
              <w:pStyle w:val="cuadroCabe"/>
              <w:jc w:val="right"/>
              <w:rPr>
                <w:lang w:val="es-ES" w:eastAsia="es-ES"/>
              </w:rPr>
            </w:pPr>
            <w:r w:rsidRPr="00730AE6">
              <w:rPr>
                <w:lang w:val="es-ES" w:eastAsia="es-ES"/>
              </w:rPr>
              <w:t>100</w:t>
            </w:r>
          </w:p>
        </w:tc>
      </w:tr>
    </w:tbl>
    <w:p w:rsidR="002E4B7F" w:rsidRPr="007179ED" w:rsidRDefault="004E69B7" w:rsidP="007179ED">
      <w:pPr>
        <w:pStyle w:val="texto"/>
        <w:spacing w:before="120" w:after="120"/>
        <w:rPr>
          <w:spacing w:val="2"/>
        </w:rPr>
      </w:pPr>
      <w:r w:rsidRPr="007179ED">
        <w:rPr>
          <w:spacing w:val="2"/>
        </w:rPr>
        <w:t xml:space="preserve">Hemos revisado </w:t>
      </w:r>
      <w:r w:rsidR="00D31DE2" w:rsidRPr="007179ED">
        <w:rPr>
          <w:spacing w:val="2"/>
        </w:rPr>
        <w:t xml:space="preserve">la siguiente muestra de </w:t>
      </w:r>
      <w:r w:rsidR="004E29B1" w:rsidRPr="007179ED">
        <w:rPr>
          <w:spacing w:val="2"/>
        </w:rPr>
        <w:t xml:space="preserve">proyectos </w:t>
      </w:r>
      <w:r w:rsidR="002818E3" w:rsidRPr="007179ED">
        <w:rPr>
          <w:spacing w:val="2"/>
        </w:rPr>
        <w:t>y contratos de</w:t>
      </w:r>
      <w:r w:rsidR="004E29B1" w:rsidRPr="007179ED">
        <w:rPr>
          <w:spacing w:val="2"/>
        </w:rPr>
        <w:t xml:space="preserve"> investigación:</w:t>
      </w:r>
    </w:p>
    <w:p w:rsidR="004862FD" w:rsidRPr="00F5594F" w:rsidRDefault="0000117B" w:rsidP="004862FD">
      <w:pPr>
        <w:pStyle w:val="texto"/>
        <w:tabs>
          <w:tab w:val="clear" w:pos="2835"/>
          <w:tab w:val="clear" w:pos="3969"/>
          <w:tab w:val="clear" w:pos="5103"/>
          <w:tab w:val="clear" w:pos="6237"/>
          <w:tab w:val="clear" w:pos="7371"/>
          <w:tab w:val="left" w:pos="480"/>
          <w:tab w:val="num" w:pos="928"/>
          <w:tab w:val="num" w:pos="6597"/>
        </w:tabs>
        <w:spacing w:after="0"/>
        <w:ind w:left="568" w:firstLine="0"/>
        <w:jc w:val="right"/>
        <w:rPr>
          <w:rFonts w:ascii="Arial" w:hAnsi="Arial" w:cs="Arial"/>
          <w:sz w:val="18"/>
          <w:szCs w:val="18"/>
        </w:rPr>
      </w:pPr>
      <w:r w:rsidRPr="00F5594F">
        <w:rPr>
          <w:rFonts w:ascii="Arial" w:hAnsi="Arial" w:cs="Arial"/>
          <w:sz w:val="18"/>
          <w:szCs w:val="18"/>
        </w:rPr>
        <w:t>(En miles de euros)</w:t>
      </w:r>
    </w:p>
    <w:tbl>
      <w:tblPr>
        <w:tblW w:w="8964" w:type="dxa"/>
        <w:jc w:val="center"/>
        <w:tblLayout w:type="fixed"/>
        <w:tblCellMar>
          <w:left w:w="70" w:type="dxa"/>
          <w:right w:w="70" w:type="dxa"/>
        </w:tblCellMar>
        <w:tblLook w:val="0000" w:firstRow="0" w:lastRow="0" w:firstColumn="0" w:lastColumn="0" w:noHBand="0" w:noVBand="0"/>
      </w:tblPr>
      <w:tblGrid>
        <w:gridCol w:w="2386"/>
        <w:gridCol w:w="1012"/>
        <w:gridCol w:w="873"/>
        <w:gridCol w:w="904"/>
        <w:gridCol w:w="1309"/>
        <w:gridCol w:w="1202"/>
        <w:gridCol w:w="1278"/>
      </w:tblGrid>
      <w:tr w:rsidR="009F1A2B" w:rsidRPr="005910B1" w:rsidTr="007179ED">
        <w:trPr>
          <w:trHeight w:val="284"/>
          <w:jc w:val="center"/>
        </w:trPr>
        <w:tc>
          <w:tcPr>
            <w:tcW w:w="2386" w:type="dxa"/>
            <w:tcBorders>
              <w:top w:val="single" w:sz="4" w:space="0" w:color="auto"/>
              <w:bottom w:val="single" w:sz="4" w:space="0" w:color="auto"/>
            </w:tcBorders>
            <w:shd w:val="clear" w:color="auto" w:fill="A8CBEE" w:themeFill="accent2" w:themeFillTint="66"/>
            <w:noWrap/>
            <w:vAlign w:val="center"/>
          </w:tcPr>
          <w:p w:rsidR="009F1A2B" w:rsidRPr="005910B1" w:rsidRDefault="009F1A2B" w:rsidP="006879ED">
            <w:pPr>
              <w:pStyle w:val="cuadroCabe"/>
              <w:tabs>
                <w:tab w:val="clear" w:pos="2835"/>
                <w:tab w:val="right" w:pos="2580"/>
              </w:tabs>
              <w:rPr>
                <w:rFonts w:cs="Arial"/>
                <w:sz w:val="16"/>
                <w:szCs w:val="16"/>
                <w:lang w:val="es-ES" w:eastAsia="es-ES"/>
              </w:rPr>
            </w:pPr>
            <w:r w:rsidRPr="005910B1">
              <w:rPr>
                <w:rFonts w:cs="Arial"/>
                <w:sz w:val="16"/>
                <w:szCs w:val="16"/>
                <w:lang w:val="es-ES" w:eastAsia="es-ES"/>
              </w:rPr>
              <w:t>Proyectos de investigación</w:t>
            </w:r>
          </w:p>
        </w:tc>
        <w:tc>
          <w:tcPr>
            <w:tcW w:w="1012" w:type="dxa"/>
            <w:tcBorders>
              <w:top w:val="single" w:sz="4" w:space="0" w:color="auto"/>
              <w:bottom w:val="single" w:sz="4" w:space="0" w:color="auto"/>
            </w:tcBorders>
            <w:shd w:val="clear" w:color="auto" w:fill="A8CBEE" w:themeFill="accent2" w:themeFillTint="66"/>
            <w:vAlign w:val="center"/>
          </w:tcPr>
          <w:p w:rsidR="009F1A2B" w:rsidRPr="005910B1" w:rsidRDefault="009F1A2B" w:rsidP="002818E3">
            <w:pPr>
              <w:pStyle w:val="cuadroCabe"/>
              <w:ind w:hanging="468"/>
              <w:jc w:val="right"/>
              <w:rPr>
                <w:rFonts w:cs="Arial"/>
                <w:sz w:val="16"/>
                <w:szCs w:val="16"/>
                <w:lang w:val="es-ES" w:eastAsia="es-ES"/>
              </w:rPr>
            </w:pPr>
            <w:r w:rsidRPr="005910B1">
              <w:rPr>
                <w:rFonts w:cs="Arial"/>
                <w:sz w:val="16"/>
                <w:szCs w:val="16"/>
                <w:lang w:val="es-ES" w:eastAsia="es-ES"/>
              </w:rPr>
              <w:t>2016</w:t>
            </w:r>
          </w:p>
        </w:tc>
        <w:tc>
          <w:tcPr>
            <w:tcW w:w="873" w:type="dxa"/>
            <w:tcBorders>
              <w:top w:val="single" w:sz="4" w:space="0" w:color="auto"/>
              <w:bottom w:val="single" w:sz="4" w:space="0" w:color="auto"/>
            </w:tcBorders>
            <w:shd w:val="clear" w:color="auto" w:fill="A8CBEE" w:themeFill="accent2" w:themeFillTint="66"/>
            <w:noWrap/>
            <w:vAlign w:val="center"/>
          </w:tcPr>
          <w:p w:rsidR="009F1A2B" w:rsidRPr="005910B1" w:rsidRDefault="009F1A2B" w:rsidP="002818E3">
            <w:pPr>
              <w:pStyle w:val="cuadroCabe"/>
              <w:jc w:val="right"/>
              <w:rPr>
                <w:rFonts w:cs="Arial"/>
                <w:sz w:val="16"/>
                <w:szCs w:val="16"/>
                <w:lang w:val="es-ES" w:eastAsia="es-ES"/>
              </w:rPr>
            </w:pPr>
            <w:r w:rsidRPr="005910B1">
              <w:rPr>
                <w:rFonts w:cs="Arial"/>
                <w:sz w:val="16"/>
                <w:szCs w:val="16"/>
                <w:lang w:val="es-ES" w:eastAsia="es-ES"/>
              </w:rPr>
              <w:t>2017</w:t>
            </w:r>
          </w:p>
        </w:tc>
        <w:tc>
          <w:tcPr>
            <w:tcW w:w="904" w:type="dxa"/>
            <w:tcBorders>
              <w:top w:val="single" w:sz="4" w:space="0" w:color="auto"/>
              <w:bottom w:val="single" w:sz="4" w:space="0" w:color="auto"/>
            </w:tcBorders>
            <w:shd w:val="clear" w:color="auto" w:fill="A8CBEE" w:themeFill="accent2" w:themeFillTint="66"/>
            <w:vAlign w:val="center"/>
          </w:tcPr>
          <w:p w:rsidR="009F1A2B" w:rsidRPr="005910B1" w:rsidRDefault="009F1A2B" w:rsidP="002818E3">
            <w:pPr>
              <w:pStyle w:val="cuadroCabe"/>
              <w:jc w:val="right"/>
              <w:rPr>
                <w:rFonts w:cs="Arial"/>
                <w:sz w:val="16"/>
                <w:szCs w:val="16"/>
                <w:lang w:val="es-ES" w:eastAsia="es-ES"/>
              </w:rPr>
            </w:pPr>
            <w:r w:rsidRPr="005910B1">
              <w:rPr>
                <w:rFonts w:cs="Arial"/>
                <w:sz w:val="16"/>
                <w:szCs w:val="16"/>
                <w:lang w:val="es-ES" w:eastAsia="es-ES"/>
              </w:rPr>
              <w:t>2018</w:t>
            </w:r>
          </w:p>
        </w:tc>
        <w:tc>
          <w:tcPr>
            <w:tcW w:w="1309" w:type="dxa"/>
            <w:tcBorders>
              <w:top w:val="single" w:sz="4" w:space="0" w:color="auto"/>
              <w:bottom w:val="single" w:sz="4" w:space="0" w:color="auto"/>
            </w:tcBorders>
            <w:shd w:val="clear" w:color="auto" w:fill="A8CBEE" w:themeFill="accent2" w:themeFillTint="66"/>
            <w:vAlign w:val="center"/>
          </w:tcPr>
          <w:p w:rsidR="009F1A2B" w:rsidRPr="005910B1" w:rsidRDefault="009F1A2B" w:rsidP="007179ED">
            <w:pPr>
              <w:pStyle w:val="cuadroCabe"/>
              <w:ind w:right="-81"/>
              <w:jc w:val="right"/>
              <w:rPr>
                <w:rFonts w:cs="Arial"/>
                <w:sz w:val="16"/>
                <w:szCs w:val="16"/>
                <w:vertAlign w:val="superscript"/>
                <w:lang w:val="es-ES" w:eastAsia="es-ES"/>
              </w:rPr>
            </w:pPr>
            <w:r w:rsidRPr="005910B1">
              <w:rPr>
                <w:rFonts w:cs="Arial"/>
                <w:sz w:val="16"/>
                <w:szCs w:val="16"/>
                <w:lang w:val="es-ES" w:eastAsia="es-ES"/>
              </w:rPr>
              <w:t>Coste</w:t>
            </w:r>
            <w:r w:rsidR="00587585" w:rsidRPr="005910B1">
              <w:rPr>
                <w:rFonts w:cs="Arial"/>
                <w:sz w:val="16"/>
                <w:szCs w:val="16"/>
                <w:lang w:val="es-ES" w:eastAsia="es-ES"/>
              </w:rPr>
              <w:t>s</w:t>
            </w:r>
            <w:r w:rsidR="007179ED">
              <w:rPr>
                <w:rFonts w:cs="Arial"/>
                <w:sz w:val="16"/>
                <w:szCs w:val="16"/>
                <w:lang w:val="es-ES" w:eastAsia="es-ES"/>
              </w:rPr>
              <w:t xml:space="preserve"> </w:t>
            </w:r>
            <w:proofErr w:type="spellStart"/>
            <w:r w:rsidRPr="005910B1">
              <w:rPr>
                <w:rFonts w:cs="Arial"/>
                <w:sz w:val="16"/>
                <w:szCs w:val="16"/>
                <w:lang w:val="es-ES" w:eastAsia="es-ES"/>
              </w:rPr>
              <w:t>indir</w:t>
            </w:r>
            <w:r w:rsidR="007179ED">
              <w:rPr>
                <w:rFonts w:cs="Arial"/>
                <w:sz w:val="16"/>
                <w:szCs w:val="16"/>
                <w:lang w:val="es-ES" w:eastAsia="es-ES"/>
              </w:rPr>
              <w:t>ec</w:t>
            </w:r>
            <w:proofErr w:type="spellEnd"/>
            <w:r w:rsidR="003C5D9E" w:rsidRPr="005910B1">
              <w:rPr>
                <w:rFonts w:cs="Arial"/>
                <w:sz w:val="16"/>
                <w:szCs w:val="16"/>
                <w:vertAlign w:val="superscript"/>
                <w:lang w:val="es-ES" w:eastAsia="es-ES"/>
              </w:rPr>
              <w:t>(2)</w:t>
            </w:r>
          </w:p>
        </w:tc>
        <w:tc>
          <w:tcPr>
            <w:tcW w:w="1202" w:type="dxa"/>
            <w:tcBorders>
              <w:top w:val="single" w:sz="4" w:space="0" w:color="auto"/>
              <w:bottom w:val="single" w:sz="4" w:space="0" w:color="auto"/>
            </w:tcBorders>
            <w:shd w:val="clear" w:color="auto" w:fill="A8CBEE" w:themeFill="accent2" w:themeFillTint="66"/>
            <w:vAlign w:val="center"/>
          </w:tcPr>
          <w:p w:rsidR="009F1A2B" w:rsidRPr="005910B1" w:rsidRDefault="009F1A2B" w:rsidP="007179ED">
            <w:pPr>
              <w:pStyle w:val="cuadroCabe"/>
              <w:jc w:val="right"/>
              <w:rPr>
                <w:rFonts w:cs="Arial"/>
                <w:sz w:val="16"/>
                <w:szCs w:val="16"/>
                <w:lang w:val="es-ES" w:eastAsia="es-ES"/>
              </w:rPr>
            </w:pPr>
            <w:r w:rsidRPr="005910B1">
              <w:rPr>
                <w:rFonts w:cs="Arial"/>
                <w:sz w:val="16"/>
                <w:szCs w:val="16"/>
                <w:lang w:val="es-ES" w:eastAsia="es-ES"/>
              </w:rPr>
              <w:t>Total</w:t>
            </w:r>
            <w:r w:rsidR="007179ED">
              <w:rPr>
                <w:rFonts w:cs="Arial"/>
                <w:sz w:val="16"/>
                <w:szCs w:val="16"/>
                <w:lang w:val="es-ES" w:eastAsia="es-ES"/>
              </w:rPr>
              <w:t xml:space="preserve"> </w:t>
            </w:r>
            <w:r w:rsidRPr="005910B1">
              <w:rPr>
                <w:rFonts w:cs="Arial"/>
                <w:sz w:val="16"/>
                <w:szCs w:val="16"/>
                <w:lang w:val="es-ES" w:eastAsia="es-ES"/>
              </w:rPr>
              <w:t>gastos</w:t>
            </w:r>
          </w:p>
        </w:tc>
        <w:tc>
          <w:tcPr>
            <w:tcW w:w="1278" w:type="dxa"/>
            <w:tcBorders>
              <w:top w:val="single" w:sz="4" w:space="0" w:color="auto"/>
              <w:bottom w:val="single" w:sz="4" w:space="0" w:color="auto"/>
            </w:tcBorders>
            <w:shd w:val="clear" w:color="auto" w:fill="A8CBEE" w:themeFill="accent2" w:themeFillTint="66"/>
            <w:vAlign w:val="center"/>
          </w:tcPr>
          <w:p w:rsidR="009F1A2B" w:rsidRPr="005910B1" w:rsidRDefault="009F1A2B" w:rsidP="007179ED">
            <w:pPr>
              <w:pStyle w:val="cuadroCabe"/>
              <w:jc w:val="right"/>
              <w:rPr>
                <w:rFonts w:cs="Arial"/>
                <w:sz w:val="16"/>
                <w:szCs w:val="16"/>
                <w:lang w:val="es-ES" w:eastAsia="es-ES"/>
              </w:rPr>
            </w:pPr>
            <w:r w:rsidRPr="005910B1">
              <w:rPr>
                <w:rFonts w:cs="Arial"/>
                <w:sz w:val="16"/>
                <w:szCs w:val="16"/>
                <w:lang w:val="es-ES" w:eastAsia="es-ES"/>
              </w:rPr>
              <w:t>Importe</w:t>
            </w:r>
            <w:r w:rsidR="007179ED">
              <w:rPr>
                <w:rFonts w:cs="Arial"/>
                <w:sz w:val="16"/>
                <w:szCs w:val="16"/>
                <w:lang w:val="es-ES" w:eastAsia="es-ES"/>
              </w:rPr>
              <w:t xml:space="preserve"> </w:t>
            </w:r>
            <w:r w:rsidRPr="005910B1">
              <w:rPr>
                <w:rFonts w:cs="Arial"/>
                <w:sz w:val="16"/>
                <w:szCs w:val="16"/>
                <w:lang w:val="es-ES" w:eastAsia="es-ES"/>
              </w:rPr>
              <w:t>ayuda</w:t>
            </w:r>
          </w:p>
        </w:tc>
      </w:tr>
      <w:tr w:rsidR="009F1A2B" w:rsidRPr="005910B1" w:rsidTr="007179ED">
        <w:trPr>
          <w:trHeight w:val="284"/>
          <w:jc w:val="center"/>
        </w:trPr>
        <w:tc>
          <w:tcPr>
            <w:tcW w:w="2386" w:type="dxa"/>
            <w:tcBorders>
              <w:top w:val="single" w:sz="2" w:space="0" w:color="auto"/>
              <w:bottom w:val="single" w:sz="2" w:space="0" w:color="auto"/>
            </w:tcBorders>
            <w:shd w:val="clear" w:color="auto" w:fill="auto"/>
            <w:noWrap/>
            <w:vAlign w:val="center"/>
          </w:tcPr>
          <w:p w:rsidR="009F1A2B" w:rsidRPr="005910B1" w:rsidRDefault="006879ED" w:rsidP="006879ED">
            <w:pPr>
              <w:pStyle w:val="texto"/>
              <w:tabs>
                <w:tab w:val="clear" w:pos="2835"/>
                <w:tab w:val="right" w:pos="2580"/>
              </w:tabs>
              <w:spacing w:after="0"/>
              <w:ind w:firstLine="0"/>
              <w:rPr>
                <w:rFonts w:ascii="Arial Narrow" w:hAnsi="Arial Narrow" w:cs="Arial"/>
                <w:sz w:val="18"/>
                <w:szCs w:val="18"/>
              </w:rPr>
            </w:pPr>
            <w:r w:rsidRPr="005910B1">
              <w:rPr>
                <w:rFonts w:ascii="Arial Narrow" w:hAnsi="Arial Narrow" w:cs="Arial"/>
                <w:sz w:val="18"/>
                <w:szCs w:val="18"/>
              </w:rPr>
              <w:t>Proyecto de investigación con f</w:t>
            </w:r>
            <w:r w:rsidR="009F1A2B" w:rsidRPr="005910B1">
              <w:rPr>
                <w:rFonts w:ascii="Arial Narrow" w:hAnsi="Arial Narrow" w:cs="Arial"/>
                <w:sz w:val="18"/>
                <w:szCs w:val="18"/>
              </w:rPr>
              <w:t>inanciación Estatal</w:t>
            </w:r>
          </w:p>
        </w:tc>
        <w:tc>
          <w:tcPr>
            <w:tcW w:w="1012" w:type="dxa"/>
            <w:tcBorders>
              <w:top w:val="single" w:sz="2" w:space="0" w:color="auto"/>
              <w:bottom w:val="single" w:sz="2" w:space="0" w:color="auto"/>
            </w:tcBorders>
            <w:vAlign w:val="center"/>
          </w:tcPr>
          <w:p w:rsidR="009F1A2B" w:rsidRPr="005910B1" w:rsidRDefault="009F1A2B" w:rsidP="002818E3">
            <w:pPr>
              <w:pStyle w:val="texto"/>
              <w:spacing w:after="0"/>
              <w:ind w:hanging="468"/>
              <w:jc w:val="right"/>
              <w:rPr>
                <w:rFonts w:ascii="Arial Narrow" w:hAnsi="Arial Narrow" w:cs="Arial"/>
                <w:sz w:val="18"/>
                <w:szCs w:val="18"/>
              </w:rPr>
            </w:pPr>
            <w:r w:rsidRPr="005910B1">
              <w:rPr>
                <w:rFonts w:ascii="Arial Narrow" w:hAnsi="Arial Narrow" w:cs="Arial"/>
                <w:sz w:val="18"/>
                <w:szCs w:val="18"/>
              </w:rPr>
              <w:t>98.538</w:t>
            </w:r>
          </w:p>
        </w:tc>
        <w:tc>
          <w:tcPr>
            <w:tcW w:w="873" w:type="dxa"/>
            <w:tcBorders>
              <w:top w:val="single" w:sz="2" w:space="0" w:color="auto"/>
              <w:bottom w:val="single" w:sz="2" w:space="0" w:color="auto"/>
            </w:tcBorders>
            <w:shd w:val="clear" w:color="auto" w:fill="auto"/>
            <w:noWrap/>
            <w:vAlign w:val="center"/>
          </w:tcPr>
          <w:p w:rsidR="009F1A2B" w:rsidRPr="005910B1" w:rsidRDefault="009F1A2B" w:rsidP="002818E3">
            <w:pPr>
              <w:pStyle w:val="texto"/>
              <w:spacing w:after="0"/>
              <w:ind w:firstLine="0"/>
              <w:jc w:val="right"/>
              <w:rPr>
                <w:rFonts w:ascii="Arial Narrow" w:hAnsi="Arial Narrow" w:cs="Arial"/>
                <w:sz w:val="18"/>
                <w:szCs w:val="18"/>
              </w:rPr>
            </w:pPr>
            <w:r w:rsidRPr="005910B1">
              <w:rPr>
                <w:rFonts w:ascii="Arial Narrow" w:hAnsi="Arial Narrow" w:cs="Arial"/>
                <w:sz w:val="18"/>
                <w:szCs w:val="18"/>
              </w:rPr>
              <w:t>64.908</w:t>
            </w:r>
          </w:p>
        </w:tc>
        <w:tc>
          <w:tcPr>
            <w:tcW w:w="904" w:type="dxa"/>
            <w:tcBorders>
              <w:top w:val="single" w:sz="2" w:space="0" w:color="auto"/>
              <w:bottom w:val="single" w:sz="2" w:space="0" w:color="auto"/>
            </w:tcBorders>
            <w:vAlign w:val="center"/>
          </w:tcPr>
          <w:p w:rsidR="009F1A2B" w:rsidRPr="005910B1" w:rsidRDefault="009F1A2B" w:rsidP="002818E3">
            <w:pPr>
              <w:pStyle w:val="texto"/>
              <w:spacing w:after="0"/>
              <w:ind w:firstLine="0"/>
              <w:jc w:val="right"/>
              <w:rPr>
                <w:rFonts w:ascii="Arial Narrow" w:hAnsi="Arial Narrow" w:cs="Arial"/>
                <w:sz w:val="18"/>
                <w:szCs w:val="18"/>
              </w:rPr>
            </w:pPr>
            <w:r w:rsidRPr="005910B1">
              <w:rPr>
                <w:rFonts w:ascii="Arial Narrow" w:hAnsi="Arial Narrow" w:cs="Arial"/>
                <w:sz w:val="18"/>
                <w:szCs w:val="18"/>
              </w:rPr>
              <w:t>24.161</w:t>
            </w:r>
          </w:p>
        </w:tc>
        <w:tc>
          <w:tcPr>
            <w:tcW w:w="1309" w:type="dxa"/>
            <w:tcBorders>
              <w:top w:val="single" w:sz="2" w:space="0" w:color="auto"/>
              <w:bottom w:val="single" w:sz="2" w:space="0" w:color="auto"/>
            </w:tcBorders>
            <w:vAlign w:val="center"/>
          </w:tcPr>
          <w:p w:rsidR="009F1A2B" w:rsidRPr="005910B1" w:rsidRDefault="00587585" w:rsidP="003C5D9E">
            <w:pPr>
              <w:pStyle w:val="texto"/>
              <w:spacing w:after="0"/>
              <w:ind w:right="-81" w:firstLine="0"/>
              <w:jc w:val="right"/>
              <w:rPr>
                <w:rFonts w:ascii="Arial Narrow" w:hAnsi="Arial Narrow" w:cs="Arial"/>
                <w:sz w:val="18"/>
                <w:szCs w:val="18"/>
                <w:vertAlign w:val="superscript"/>
              </w:rPr>
            </w:pPr>
            <w:r w:rsidRPr="005910B1">
              <w:rPr>
                <w:rFonts w:ascii="Arial Narrow" w:hAnsi="Arial Narrow" w:cs="Arial"/>
                <w:sz w:val="18"/>
                <w:szCs w:val="18"/>
              </w:rPr>
              <w:t>41.160</w:t>
            </w:r>
            <w:r w:rsidRPr="005910B1">
              <w:rPr>
                <w:rFonts w:ascii="Arial Narrow" w:hAnsi="Arial Narrow" w:cs="Arial"/>
                <w:sz w:val="18"/>
                <w:szCs w:val="18"/>
                <w:vertAlign w:val="superscript"/>
              </w:rPr>
              <w:t>(1)</w:t>
            </w:r>
          </w:p>
        </w:tc>
        <w:tc>
          <w:tcPr>
            <w:tcW w:w="1202" w:type="dxa"/>
            <w:tcBorders>
              <w:top w:val="single" w:sz="2" w:space="0" w:color="auto"/>
              <w:bottom w:val="single" w:sz="2" w:space="0" w:color="auto"/>
            </w:tcBorders>
            <w:vAlign w:val="center"/>
          </w:tcPr>
          <w:p w:rsidR="009F1A2B" w:rsidRPr="005910B1" w:rsidRDefault="00587585" w:rsidP="00587585">
            <w:pPr>
              <w:pStyle w:val="texto"/>
              <w:spacing w:after="0"/>
              <w:ind w:firstLine="0"/>
              <w:jc w:val="right"/>
              <w:rPr>
                <w:rFonts w:ascii="Arial Narrow" w:hAnsi="Arial Narrow" w:cs="Arial"/>
                <w:sz w:val="18"/>
                <w:szCs w:val="18"/>
                <w:vertAlign w:val="superscript"/>
              </w:rPr>
            </w:pPr>
            <w:r w:rsidRPr="005910B1">
              <w:rPr>
                <w:rFonts w:ascii="Arial Narrow" w:hAnsi="Arial Narrow" w:cs="Arial"/>
                <w:sz w:val="18"/>
                <w:szCs w:val="18"/>
              </w:rPr>
              <w:t>228.767</w:t>
            </w:r>
            <w:r w:rsidR="009F1A2B" w:rsidRPr="005910B1">
              <w:rPr>
                <w:rFonts w:ascii="Arial Narrow" w:hAnsi="Arial Narrow" w:cs="Arial"/>
                <w:sz w:val="18"/>
                <w:szCs w:val="18"/>
                <w:vertAlign w:val="superscript"/>
              </w:rPr>
              <w:t>(1)</w:t>
            </w:r>
          </w:p>
        </w:tc>
        <w:tc>
          <w:tcPr>
            <w:tcW w:w="1278" w:type="dxa"/>
            <w:tcBorders>
              <w:top w:val="single" w:sz="2" w:space="0" w:color="auto"/>
              <w:bottom w:val="single" w:sz="2" w:space="0" w:color="auto"/>
            </w:tcBorders>
            <w:vAlign w:val="center"/>
          </w:tcPr>
          <w:p w:rsidR="009F1A2B" w:rsidRPr="005910B1" w:rsidRDefault="009F1A2B" w:rsidP="002818E3">
            <w:pPr>
              <w:pStyle w:val="texto"/>
              <w:spacing w:after="0"/>
              <w:ind w:firstLine="0"/>
              <w:jc w:val="right"/>
              <w:rPr>
                <w:rFonts w:ascii="Arial Narrow" w:hAnsi="Arial Narrow" w:cs="Arial"/>
                <w:sz w:val="18"/>
                <w:szCs w:val="18"/>
              </w:rPr>
            </w:pPr>
            <w:r w:rsidRPr="005910B1">
              <w:rPr>
                <w:rFonts w:ascii="Arial Narrow" w:hAnsi="Arial Narrow" w:cs="Arial"/>
                <w:sz w:val="18"/>
                <w:szCs w:val="18"/>
              </w:rPr>
              <w:t>237.160</w:t>
            </w:r>
          </w:p>
        </w:tc>
      </w:tr>
      <w:tr w:rsidR="009F1A2B" w:rsidRPr="005910B1" w:rsidTr="007179ED">
        <w:trPr>
          <w:trHeight w:val="284"/>
          <w:jc w:val="center"/>
        </w:trPr>
        <w:tc>
          <w:tcPr>
            <w:tcW w:w="2386" w:type="dxa"/>
            <w:tcBorders>
              <w:top w:val="single" w:sz="2" w:space="0" w:color="auto"/>
              <w:bottom w:val="single" w:sz="2" w:space="0" w:color="auto"/>
            </w:tcBorders>
            <w:shd w:val="clear" w:color="auto" w:fill="auto"/>
            <w:noWrap/>
            <w:vAlign w:val="center"/>
          </w:tcPr>
          <w:p w:rsidR="009F1A2B" w:rsidRPr="005910B1" w:rsidRDefault="006879ED" w:rsidP="006879ED">
            <w:pPr>
              <w:pStyle w:val="texto"/>
              <w:tabs>
                <w:tab w:val="clear" w:pos="2835"/>
                <w:tab w:val="right" w:pos="2580"/>
              </w:tabs>
              <w:spacing w:after="0"/>
              <w:ind w:firstLine="0"/>
              <w:rPr>
                <w:rFonts w:ascii="Arial Narrow" w:hAnsi="Arial Narrow" w:cs="Arial"/>
                <w:sz w:val="18"/>
                <w:szCs w:val="18"/>
              </w:rPr>
            </w:pPr>
            <w:r w:rsidRPr="005910B1">
              <w:rPr>
                <w:rFonts w:ascii="Arial Narrow" w:hAnsi="Arial Narrow" w:cs="Arial"/>
                <w:sz w:val="18"/>
                <w:szCs w:val="18"/>
              </w:rPr>
              <w:t xml:space="preserve">Proyecto de investigación con financiación </w:t>
            </w:r>
            <w:r w:rsidR="009F1A2B" w:rsidRPr="005910B1">
              <w:rPr>
                <w:rFonts w:ascii="Arial Narrow" w:hAnsi="Arial Narrow" w:cs="Arial"/>
                <w:sz w:val="18"/>
                <w:szCs w:val="18"/>
              </w:rPr>
              <w:t>Europea</w:t>
            </w:r>
          </w:p>
        </w:tc>
        <w:tc>
          <w:tcPr>
            <w:tcW w:w="1012" w:type="dxa"/>
            <w:tcBorders>
              <w:top w:val="single" w:sz="2" w:space="0" w:color="auto"/>
              <w:bottom w:val="single" w:sz="2" w:space="0" w:color="auto"/>
            </w:tcBorders>
            <w:vAlign w:val="center"/>
          </w:tcPr>
          <w:p w:rsidR="009F1A2B" w:rsidRPr="005910B1" w:rsidRDefault="009F1A2B" w:rsidP="002818E3">
            <w:pPr>
              <w:pStyle w:val="texto"/>
              <w:spacing w:after="0"/>
              <w:ind w:hanging="468"/>
              <w:jc w:val="right"/>
              <w:rPr>
                <w:rFonts w:ascii="Arial Narrow" w:hAnsi="Arial Narrow" w:cs="Arial"/>
                <w:sz w:val="18"/>
                <w:szCs w:val="18"/>
              </w:rPr>
            </w:pPr>
            <w:r w:rsidRPr="005910B1">
              <w:rPr>
                <w:rFonts w:ascii="Arial Narrow" w:hAnsi="Arial Narrow" w:cs="Arial"/>
                <w:sz w:val="18"/>
                <w:szCs w:val="18"/>
              </w:rPr>
              <w:t>56.294</w:t>
            </w:r>
          </w:p>
        </w:tc>
        <w:tc>
          <w:tcPr>
            <w:tcW w:w="873" w:type="dxa"/>
            <w:tcBorders>
              <w:top w:val="single" w:sz="2" w:space="0" w:color="auto"/>
              <w:bottom w:val="single" w:sz="2" w:space="0" w:color="auto"/>
            </w:tcBorders>
            <w:shd w:val="clear" w:color="auto" w:fill="auto"/>
            <w:noWrap/>
            <w:vAlign w:val="center"/>
          </w:tcPr>
          <w:p w:rsidR="009F1A2B" w:rsidRPr="005910B1" w:rsidRDefault="009F1A2B" w:rsidP="002818E3">
            <w:pPr>
              <w:pStyle w:val="texto"/>
              <w:spacing w:after="0"/>
              <w:ind w:firstLine="0"/>
              <w:jc w:val="right"/>
              <w:rPr>
                <w:rFonts w:ascii="Arial Narrow" w:hAnsi="Arial Narrow" w:cs="Arial"/>
                <w:sz w:val="18"/>
                <w:szCs w:val="18"/>
              </w:rPr>
            </w:pPr>
            <w:r w:rsidRPr="005910B1">
              <w:rPr>
                <w:rFonts w:ascii="Arial Narrow" w:hAnsi="Arial Narrow" w:cs="Arial"/>
                <w:sz w:val="18"/>
                <w:szCs w:val="18"/>
              </w:rPr>
              <w:t>78.346</w:t>
            </w:r>
          </w:p>
        </w:tc>
        <w:tc>
          <w:tcPr>
            <w:tcW w:w="904" w:type="dxa"/>
            <w:tcBorders>
              <w:top w:val="single" w:sz="2" w:space="0" w:color="auto"/>
              <w:bottom w:val="single" w:sz="2" w:space="0" w:color="auto"/>
            </w:tcBorders>
            <w:vAlign w:val="center"/>
          </w:tcPr>
          <w:p w:rsidR="009F1A2B" w:rsidRPr="005910B1" w:rsidRDefault="00587585" w:rsidP="00587585">
            <w:pPr>
              <w:pStyle w:val="texto"/>
              <w:spacing w:after="0"/>
              <w:ind w:firstLine="0"/>
              <w:jc w:val="right"/>
              <w:rPr>
                <w:rFonts w:ascii="Arial Narrow" w:hAnsi="Arial Narrow" w:cs="Arial"/>
                <w:sz w:val="18"/>
                <w:szCs w:val="18"/>
              </w:rPr>
            </w:pPr>
            <w:r w:rsidRPr="005910B1">
              <w:rPr>
                <w:rFonts w:ascii="Arial Narrow" w:hAnsi="Arial Narrow" w:cs="Arial"/>
                <w:sz w:val="18"/>
                <w:szCs w:val="18"/>
              </w:rPr>
              <w:t>19</w:t>
            </w:r>
            <w:r w:rsidR="009F1A2B" w:rsidRPr="005910B1">
              <w:rPr>
                <w:rFonts w:ascii="Arial Narrow" w:hAnsi="Arial Narrow" w:cs="Arial"/>
                <w:sz w:val="18"/>
                <w:szCs w:val="18"/>
              </w:rPr>
              <w:t>.</w:t>
            </w:r>
            <w:r w:rsidRPr="005910B1">
              <w:rPr>
                <w:rFonts w:ascii="Arial Narrow" w:hAnsi="Arial Narrow" w:cs="Arial"/>
                <w:sz w:val="18"/>
                <w:szCs w:val="18"/>
              </w:rPr>
              <w:t>796</w:t>
            </w:r>
          </w:p>
        </w:tc>
        <w:tc>
          <w:tcPr>
            <w:tcW w:w="1309" w:type="dxa"/>
            <w:tcBorders>
              <w:top w:val="single" w:sz="2" w:space="0" w:color="auto"/>
              <w:bottom w:val="single" w:sz="2" w:space="0" w:color="auto"/>
            </w:tcBorders>
            <w:vAlign w:val="center"/>
          </w:tcPr>
          <w:p w:rsidR="009F1A2B" w:rsidRPr="005910B1" w:rsidRDefault="00587585" w:rsidP="003C5D9E">
            <w:pPr>
              <w:pStyle w:val="texto"/>
              <w:spacing w:after="0"/>
              <w:ind w:right="-81" w:firstLine="0"/>
              <w:jc w:val="right"/>
              <w:rPr>
                <w:rFonts w:ascii="Arial Narrow" w:hAnsi="Arial Narrow" w:cs="Arial"/>
                <w:sz w:val="18"/>
                <w:szCs w:val="18"/>
              </w:rPr>
            </w:pPr>
            <w:r w:rsidRPr="005910B1">
              <w:rPr>
                <w:rFonts w:ascii="Arial Narrow" w:hAnsi="Arial Narrow" w:cs="Arial"/>
                <w:sz w:val="18"/>
                <w:szCs w:val="18"/>
              </w:rPr>
              <w:t>15.600</w:t>
            </w:r>
          </w:p>
        </w:tc>
        <w:tc>
          <w:tcPr>
            <w:tcW w:w="1202" w:type="dxa"/>
            <w:tcBorders>
              <w:top w:val="single" w:sz="2" w:space="0" w:color="auto"/>
              <w:bottom w:val="single" w:sz="2" w:space="0" w:color="auto"/>
            </w:tcBorders>
            <w:vAlign w:val="center"/>
          </w:tcPr>
          <w:p w:rsidR="009F1A2B" w:rsidRPr="005910B1" w:rsidRDefault="009F1A2B" w:rsidP="00587585">
            <w:pPr>
              <w:pStyle w:val="texto"/>
              <w:spacing w:after="0"/>
              <w:ind w:firstLine="0"/>
              <w:jc w:val="right"/>
              <w:rPr>
                <w:rFonts w:ascii="Arial Narrow" w:hAnsi="Arial Narrow" w:cs="Arial"/>
                <w:sz w:val="18"/>
                <w:szCs w:val="18"/>
              </w:rPr>
            </w:pPr>
            <w:r w:rsidRPr="005910B1">
              <w:rPr>
                <w:rFonts w:ascii="Arial Narrow" w:hAnsi="Arial Narrow" w:cs="Arial"/>
                <w:sz w:val="18"/>
                <w:szCs w:val="18"/>
              </w:rPr>
              <w:t>170.</w:t>
            </w:r>
            <w:r w:rsidR="00587585" w:rsidRPr="005910B1">
              <w:rPr>
                <w:rFonts w:ascii="Arial Narrow" w:hAnsi="Arial Narrow" w:cs="Arial"/>
                <w:sz w:val="18"/>
                <w:szCs w:val="18"/>
              </w:rPr>
              <w:t>036</w:t>
            </w:r>
          </w:p>
        </w:tc>
        <w:tc>
          <w:tcPr>
            <w:tcW w:w="1278" w:type="dxa"/>
            <w:tcBorders>
              <w:top w:val="single" w:sz="2" w:space="0" w:color="auto"/>
              <w:bottom w:val="single" w:sz="2" w:space="0" w:color="auto"/>
            </w:tcBorders>
            <w:vAlign w:val="center"/>
          </w:tcPr>
          <w:p w:rsidR="009F1A2B" w:rsidRPr="005910B1" w:rsidRDefault="009F1A2B" w:rsidP="002818E3">
            <w:pPr>
              <w:pStyle w:val="texto"/>
              <w:spacing w:after="0"/>
              <w:ind w:firstLine="0"/>
              <w:jc w:val="right"/>
              <w:rPr>
                <w:rFonts w:ascii="Arial Narrow" w:hAnsi="Arial Narrow" w:cs="Arial"/>
                <w:sz w:val="18"/>
                <w:szCs w:val="18"/>
              </w:rPr>
            </w:pPr>
            <w:r w:rsidRPr="005910B1">
              <w:rPr>
                <w:rFonts w:ascii="Arial Narrow" w:hAnsi="Arial Narrow" w:cs="Arial"/>
                <w:sz w:val="18"/>
                <w:szCs w:val="18"/>
              </w:rPr>
              <w:t>170.122</w:t>
            </w:r>
          </w:p>
        </w:tc>
      </w:tr>
      <w:tr w:rsidR="009F1A2B" w:rsidRPr="005910B1" w:rsidTr="007179ED">
        <w:trPr>
          <w:trHeight w:val="284"/>
          <w:jc w:val="center"/>
        </w:trPr>
        <w:tc>
          <w:tcPr>
            <w:tcW w:w="2386" w:type="dxa"/>
            <w:tcBorders>
              <w:top w:val="single" w:sz="2" w:space="0" w:color="auto"/>
              <w:bottom w:val="single" w:sz="2" w:space="0" w:color="auto"/>
            </w:tcBorders>
            <w:shd w:val="clear" w:color="auto" w:fill="auto"/>
            <w:noWrap/>
            <w:vAlign w:val="center"/>
          </w:tcPr>
          <w:p w:rsidR="009F1A2B" w:rsidRPr="005910B1" w:rsidRDefault="006879ED" w:rsidP="007179ED">
            <w:pPr>
              <w:pStyle w:val="texto"/>
              <w:tabs>
                <w:tab w:val="clear" w:pos="2835"/>
                <w:tab w:val="right" w:pos="2580"/>
              </w:tabs>
              <w:spacing w:after="0"/>
              <w:ind w:firstLine="0"/>
              <w:rPr>
                <w:rFonts w:ascii="Arial Narrow" w:hAnsi="Arial Narrow" w:cs="Arial"/>
                <w:sz w:val="18"/>
                <w:szCs w:val="18"/>
              </w:rPr>
            </w:pPr>
            <w:r w:rsidRPr="005910B1">
              <w:rPr>
                <w:rFonts w:ascii="Arial Narrow" w:hAnsi="Arial Narrow" w:cs="Arial"/>
                <w:sz w:val="18"/>
                <w:szCs w:val="18"/>
              </w:rPr>
              <w:t xml:space="preserve">Proyecto investigación con financiación </w:t>
            </w:r>
            <w:r w:rsidR="009F1A2B" w:rsidRPr="005910B1">
              <w:rPr>
                <w:rFonts w:ascii="Arial Narrow" w:hAnsi="Arial Narrow" w:cs="Arial"/>
                <w:sz w:val="18"/>
                <w:szCs w:val="18"/>
              </w:rPr>
              <w:t>Gobierno  Navarra</w:t>
            </w:r>
          </w:p>
        </w:tc>
        <w:tc>
          <w:tcPr>
            <w:tcW w:w="1012" w:type="dxa"/>
            <w:tcBorders>
              <w:top w:val="single" w:sz="2" w:space="0" w:color="auto"/>
              <w:bottom w:val="single" w:sz="2" w:space="0" w:color="auto"/>
            </w:tcBorders>
            <w:vAlign w:val="center"/>
          </w:tcPr>
          <w:p w:rsidR="009F1A2B" w:rsidRPr="005910B1" w:rsidRDefault="009F1A2B" w:rsidP="002818E3">
            <w:pPr>
              <w:pStyle w:val="texto"/>
              <w:spacing w:after="0"/>
              <w:ind w:hanging="468"/>
              <w:jc w:val="right"/>
              <w:rPr>
                <w:rFonts w:ascii="Arial Narrow" w:hAnsi="Arial Narrow" w:cs="Arial"/>
                <w:sz w:val="18"/>
                <w:szCs w:val="18"/>
              </w:rPr>
            </w:pPr>
          </w:p>
        </w:tc>
        <w:tc>
          <w:tcPr>
            <w:tcW w:w="873" w:type="dxa"/>
            <w:tcBorders>
              <w:top w:val="single" w:sz="2" w:space="0" w:color="auto"/>
              <w:bottom w:val="single" w:sz="2" w:space="0" w:color="auto"/>
            </w:tcBorders>
            <w:shd w:val="clear" w:color="auto" w:fill="auto"/>
            <w:noWrap/>
            <w:vAlign w:val="center"/>
          </w:tcPr>
          <w:p w:rsidR="009F1A2B" w:rsidRPr="005910B1" w:rsidRDefault="009F1A2B" w:rsidP="002818E3">
            <w:pPr>
              <w:pStyle w:val="texto"/>
              <w:spacing w:after="0"/>
              <w:ind w:firstLine="0"/>
              <w:jc w:val="right"/>
              <w:rPr>
                <w:rFonts w:ascii="Arial Narrow" w:hAnsi="Arial Narrow" w:cs="Arial"/>
                <w:sz w:val="18"/>
                <w:szCs w:val="18"/>
              </w:rPr>
            </w:pPr>
            <w:r w:rsidRPr="005910B1">
              <w:rPr>
                <w:rFonts w:ascii="Arial Narrow" w:hAnsi="Arial Narrow" w:cs="Arial"/>
                <w:sz w:val="18"/>
                <w:szCs w:val="18"/>
              </w:rPr>
              <w:t>147.406</w:t>
            </w:r>
          </w:p>
        </w:tc>
        <w:tc>
          <w:tcPr>
            <w:tcW w:w="904" w:type="dxa"/>
            <w:tcBorders>
              <w:top w:val="single" w:sz="2" w:space="0" w:color="auto"/>
              <w:bottom w:val="single" w:sz="2" w:space="0" w:color="auto"/>
            </w:tcBorders>
            <w:vAlign w:val="center"/>
          </w:tcPr>
          <w:p w:rsidR="009F1A2B" w:rsidRPr="005910B1" w:rsidRDefault="009F1A2B" w:rsidP="002818E3">
            <w:pPr>
              <w:pStyle w:val="texto"/>
              <w:spacing w:after="0"/>
              <w:ind w:firstLine="0"/>
              <w:jc w:val="right"/>
              <w:rPr>
                <w:rFonts w:ascii="Arial Narrow" w:hAnsi="Arial Narrow" w:cs="Arial"/>
                <w:sz w:val="18"/>
                <w:szCs w:val="18"/>
              </w:rPr>
            </w:pPr>
            <w:r w:rsidRPr="005910B1">
              <w:rPr>
                <w:rFonts w:ascii="Arial Narrow" w:hAnsi="Arial Narrow" w:cs="Arial"/>
                <w:sz w:val="18"/>
                <w:szCs w:val="18"/>
              </w:rPr>
              <w:t>5.975</w:t>
            </w:r>
          </w:p>
        </w:tc>
        <w:tc>
          <w:tcPr>
            <w:tcW w:w="1309" w:type="dxa"/>
            <w:tcBorders>
              <w:top w:val="single" w:sz="2" w:space="0" w:color="auto"/>
              <w:bottom w:val="single" w:sz="2" w:space="0" w:color="auto"/>
            </w:tcBorders>
            <w:vAlign w:val="center"/>
          </w:tcPr>
          <w:p w:rsidR="009F1A2B" w:rsidRPr="005910B1" w:rsidRDefault="00587585" w:rsidP="003C5D9E">
            <w:pPr>
              <w:pStyle w:val="texto"/>
              <w:spacing w:after="0"/>
              <w:ind w:right="-81" w:firstLine="0"/>
              <w:jc w:val="right"/>
              <w:rPr>
                <w:rFonts w:ascii="Arial Narrow" w:hAnsi="Arial Narrow" w:cs="Arial"/>
                <w:sz w:val="18"/>
                <w:szCs w:val="18"/>
              </w:rPr>
            </w:pPr>
            <w:r w:rsidRPr="005910B1">
              <w:rPr>
                <w:rFonts w:ascii="Arial Narrow" w:hAnsi="Arial Narrow" w:cs="Arial"/>
                <w:sz w:val="18"/>
                <w:szCs w:val="18"/>
              </w:rPr>
              <w:t>12.390</w:t>
            </w:r>
          </w:p>
        </w:tc>
        <w:tc>
          <w:tcPr>
            <w:tcW w:w="1202" w:type="dxa"/>
            <w:tcBorders>
              <w:top w:val="single" w:sz="2" w:space="0" w:color="auto"/>
              <w:bottom w:val="single" w:sz="2" w:space="0" w:color="auto"/>
            </w:tcBorders>
            <w:vAlign w:val="center"/>
          </w:tcPr>
          <w:p w:rsidR="009F1A2B" w:rsidRPr="005910B1" w:rsidRDefault="009F1A2B" w:rsidP="00587585">
            <w:pPr>
              <w:pStyle w:val="texto"/>
              <w:spacing w:after="0"/>
              <w:ind w:firstLine="0"/>
              <w:jc w:val="right"/>
              <w:rPr>
                <w:rFonts w:ascii="Arial Narrow" w:hAnsi="Arial Narrow" w:cs="Arial"/>
                <w:sz w:val="18"/>
                <w:szCs w:val="18"/>
              </w:rPr>
            </w:pPr>
            <w:r w:rsidRPr="005910B1">
              <w:rPr>
                <w:rFonts w:ascii="Arial Narrow" w:hAnsi="Arial Narrow" w:cs="Arial"/>
                <w:sz w:val="18"/>
                <w:szCs w:val="18"/>
              </w:rPr>
              <w:t>1</w:t>
            </w:r>
            <w:r w:rsidR="00587585" w:rsidRPr="005910B1">
              <w:rPr>
                <w:rFonts w:ascii="Arial Narrow" w:hAnsi="Arial Narrow" w:cs="Arial"/>
                <w:sz w:val="18"/>
                <w:szCs w:val="18"/>
              </w:rPr>
              <w:t>65</w:t>
            </w:r>
            <w:r w:rsidRPr="005910B1">
              <w:rPr>
                <w:rFonts w:ascii="Arial Narrow" w:hAnsi="Arial Narrow" w:cs="Arial"/>
                <w:sz w:val="18"/>
                <w:szCs w:val="18"/>
              </w:rPr>
              <w:t>.</w:t>
            </w:r>
            <w:r w:rsidR="00587585" w:rsidRPr="005910B1">
              <w:rPr>
                <w:rFonts w:ascii="Arial Narrow" w:hAnsi="Arial Narrow" w:cs="Arial"/>
                <w:sz w:val="18"/>
                <w:szCs w:val="18"/>
              </w:rPr>
              <w:t>771</w:t>
            </w:r>
          </w:p>
        </w:tc>
        <w:tc>
          <w:tcPr>
            <w:tcW w:w="1278" w:type="dxa"/>
            <w:tcBorders>
              <w:top w:val="single" w:sz="2" w:space="0" w:color="auto"/>
              <w:bottom w:val="single" w:sz="2" w:space="0" w:color="auto"/>
            </w:tcBorders>
            <w:vAlign w:val="center"/>
          </w:tcPr>
          <w:p w:rsidR="009F1A2B" w:rsidRPr="005910B1" w:rsidRDefault="00587585" w:rsidP="002818E3">
            <w:pPr>
              <w:pStyle w:val="texto"/>
              <w:spacing w:after="0"/>
              <w:ind w:firstLine="0"/>
              <w:jc w:val="right"/>
              <w:rPr>
                <w:rFonts w:ascii="Arial Narrow" w:hAnsi="Arial Narrow" w:cs="Arial"/>
                <w:sz w:val="18"/>
                <w:szCs w:val="18"/>
              </w:rPr>
            </w:pPr>
            <w:r w:rsidRPr="005910B1">
              <w:rPr>
                <w:rFonts w:ascii="Arial Narrow" w:hAnsi="Arial Narrow" w:cs="Arial"/>
                <w:sz w:val="18"/>
                <w:szCs w:val="18"/>
              </w:rPr>
              <w:t>165.771</w:t>
            </w:r>
          </w:p>
        </w:tc>
      </w:tr>
      <w:tr w:rsidR="009F1A2B" w:rsidRPr="00004F6D" w:rsidTr="007179ED">
        <w:trPr>
          <w:trHeight w:val="284"/>
          <w:jc w:val="center"/>
        </w:trPr>
        <w:tc>
          <w:tcPr>
            <w:tcW w:w="2386" w:type="dxa"/>
            <w:tcBorders>
              <w:top w:val="single" w:sz="2" w:space="0" w:color="auto"/>
              <w:bottom w:val="single" w:sz="2" w:space="0" w:color="auto"/>
            </w:tcBorders>
            <w:shd w:val="clear" w:color="auto" w:fill="ACCBF9" w:themeFill="background2"/>
            <w:noWrap/>
            <w:vAlign w:val="center"/>
          </w:tcPr>
          <w:p w:rsidR="009F1A2B" w:rsidRPr="00004F6D" w:rsidRDefault="009F1A2B" w:rsidP="006879ED">
            <w:pPr>
              <w:pStyle w:val="texto"/>
              <w:tabs>
                <w:tab w:val="clear" w:pos="2835"/>
                <w:tab w:val="right" w:pos="2580"/>
              </w:tabs>
              <w:spacing w:after="0"/>
              <w:ind w:firstLine="0"/>
              <w:rPr>
                <w:rFonts w:ascii="Arial" w:hAnsi="Arial" w:cs="Arial"/>
                <w:sz w:val="16"/>
                <w:szCs w:val="16"/>
              </w:rPr>
            </w:pPr>
            <w:r w:rsidRPr="00004F6D">
              <w:rPr>
                <w:rFonts w:ascii="Arial" w:hAnsi="Arial" w:cs="Arial"/>
                <w:sz w:val="16"/>
                <w:szCs w:val="16"/>
              </w:rPr>
              <w:t xml:space="preserve">Contratos </w:t>
            </w:r>
            <w:r w:rsidR="002F28D7" w:rsidRPr="00004F6D">
              <w:rPr>
                <w:rFonts w:ascii="Arial" w:hAnsi="Arial" w:cs="Arial"/>
                <w:sz w:val="16"/>
                <w:szCs w:val="16"/>
              </w:rPr>
              <w:t>de investigación</w:t>
            </w:r>
          </w:p>
        </w:tc>
        <w:tc>
          <w:tcPr>
            <w:tcW w:w="1012" w:type="dxa"/>
            <w:tcBorders>
              <w:top w:val="single" w:sz="2" w:space="0" w:color="auto"/>
              <w:bottom w:val="single" w:sz="2" w:space="0" w:color="auto"/>
            </w:tcBorders>
            <w:shd w:val="clear" w:color="auto" w:fill="ACCBF9" w:themeFill="background2"/>
            <w:vAlign w:val="center"/>
          </w:tcPr>
          <w:p w:rsidR="009F1A2B" w:rsidRPr="00004F6D" w:rsidRDefault="009F1A2B" w:rsidP="002818E3">
            <w:pPr>
              <w:pStyle w:val="texto"/>
              <w:spacing w:after="0"/>
              <w:ind w:hanging="468"/>
              <w:jc w:val="right"/>
              <w:rPr>
                <w:rFonts w:ascii="Arial" w:hAnsi="Arial" w:cs="Arial"/>
                <w:sz w:val="16"/>
                <w:szCs w:val="16"/>
              </w:rPr>
            </w:pPr>
            <w:r w:rsidRPr="00004F6D">
              <w:rPr>
                <w:rFonts w:ascii="Arial" w:hAnsi="Arial" w:cs="Arial"/>
                <w:sz w:val="16"/>
                <w:szCs w:val="16"/>
              </w:rPr>
              <w:t>2016</w:t>
            </w:r>
          </w:p>
        </w:tc>
        <w:tc>
          <w:tcPr>
            <w:tcW w:w="873" w:type="dxa"/>
            <w:tcBorders>
              <w:top w:val="single" w:sz="2" w:space="0" w:color="auto"/>
              <w:bottom w:val="single" w:sz="2" w:space="0" w:color="auto"/>
            </w:tcBorders>
            <w:shd w:val="clear" w:color="auto" w:fill="ACCBF9" w:themeFill="background2"/>
            <w:noWrap/>
            <w:vAlign w:val="center"/>
          </w:tcPr>
          <w:p w:rsidR="009F1A2B" w:rsidRPr="00004F6D" w:rsidRDefault="009F1A2B" w:rsidP="002818E3">
            <w:pPr>
              <w:pStyle w:val="texto"/>
              <w:spacing w:after="0"/>
              <w:ind w:firstLine="0"/>
              <w:jc w:val="right"/>
              <w:rPr>
                <w:rFonts w:ascii="Arial" w:hAnsi="Arial" w:cs="Arial"/>
                <w:sz w:val="16"/>
                <w:szCs w:val="16"/>
              </w:rPr>
            </w:pPr>
            <w:r w:rsidRPr="00004F6D">
              <w:rPr>
                <w:rFonts w:ascii="Arial" w:hAnsi="Arial" w:cs="Arial"/>
                <w:sz w:val="16"/>
                <w:szCs w:val="16"/>
              </w:rPr>
              <w:t>2017</w:t>
            </w:r>
          </w:p>
        </w:tc>
        <w:tc>
          <w:tcPr>
            <w:tcW w:w="904" w:type="dxa"/>
            <w:tcBorders>
              <w:top w:val="single" w:sz="2" w:space="0" w:color="auto"/>
              <w:bottom w:val="single" w:sz="2" w:space="0" w:color="auto"/>
            </w:tcBorders>
            <w:shd w:val="clear" w:color="auto" w:fill="ACCBF9" w:themeFill="background2"/>
            <w:vAlign w:val="center"/>
          </w:tcPr>
          <w:p w:rsidR="009F1A2B" w:rsidRPr="00004F6D" w:rsidRDefault="009F1A2B" w:rsidP="002818E3">
            <w:pPr>
              <w:pStyle w:val="texto"/>
              <w:spacing w:after="0"/>
              <w:ind w:firstLine="0"/>
              <w:jc w:val="right"/>
              <w:rPr>
                <w:rFonts w:ascii="Arial" w:hAnsi="Arial" w:cs="Arial"/>
                <w:sz w:val="16"/>
                <w:szCs w:val="16"/>
              </w:rPr>
            </w:pPr>
            <w:r w:rsidRPr="00004F6D">
              <w:rPr>
                <w:rFonts w:ascii="Arial" w:hAnsi="Arial" w:cs="Arial"/>
                <w:sz w:val="16"/>
                <w:szCs w:val="16"/>
              </w:rPr>
              <w:t>2018</w:t>
            </w:r>
          </w:p>
        </w:tc>
        <w:tc>
          <w:tcPr>
            <w:tcW w:w="1309" w:type="dxa"/>
            <w:tcBorders>
              <w:top w:val="single" w:sz="2" w:space="0" w:color="auto"/>
              <w:bottom w:val="single" w:sz="2" w:space="0" w:color="auto"/>
            </w:tcBorders>
            <w:shd w:val="clear" w:color="auto" w:fill="ACCBF9" w:themeFill="background2"/>
            <w:vAlign w:val="center"/>
          </w:tcPr>
          <w:p w:rsidR="009F1A2B" w:rsidRPr="00004F6D" w:rsidRDefault="009F1A2B" w:rsidP="003C5D9E">
            <w:pPr>
              <w:pStyle w:val="texto"/>
              <w:spacing w:after="0"/>
              <w:ind w:right="-81" w:firstLine="0"/>
              <w:jc w:val="right"/>
              <w:rPr>
                <w:rFonts w:ascii="Arial" w:hAnsi="Arial" w:cs="Arial"/>
                <w:sz w:val="16"/>
                <w:szCs w:val="16"/>
              </w:rPr>
            </w:pPr>
          </w:p>
        </w:tc>
        <w:tc>
          <w:tcPr>
            <w:tcW w:w="1202" w:type="dxa"/>
            <w:tcBorders>
              <w:top w:val="single" w:sz="2" w:space="0" w:color="auto"/>
              <w:bottom w:val="single" w:sz="2" w:space="0" w:color="auto"/>
            </w:tcBorders>
            <w:shd w:val="clear" w:color="auto" w:fill="ACCBF9" w:themeFill="background2"/>
            <w:vAlign w:val="center"/>
          </w:tcPr>
          <w:p w:rsidR="009F1A2B" w:rsidRPr="00004F6D" w:rsidRDefault="009F1A2B" w:rsidP="002818E3">
            <w:pPr>
              <w:pStyle w:val="texto"/>
              <w:spacing w:after="0"/>
              <w:ind w:firstLine="0"/>
              <w:jc w:val="right"/>
              <w:rPr>
                <w:rFonts w:ascii="Arial" w:hAnsi="Arial" w:cs="Arial"/>
                <w:sz w:val="16"/>
                <w:szCs w:val="16"/>
              </w:rPr>
            </w:pPr>
            <w:r w:rsidRPr="00004F6D">
              <w:rPr>
                <w:rFonts w:ascii="Arial" w:hAnsi="Arial" w:cs="Arial"/>
                <w:sz w:val="16"/>
                <w:szCs w:val="16"/>
              </w:rPr>
              <w:t>Total</w:t>
            </w:r>
          </w:p>
        </w:tc>
        <w:tc>
          <w:tcPr>
            <w:tcW w:w="1278" w:type="dxa"/>
            <w:tcBorders>
              <w:top w:val="single" w:sz="2" w:space="0" w:color="auto"/>
              <w:bottom w:val="single" w:sz="2" w:space="0" w:color="auto"/>
            </w:tcBorders>
            <w:shd w:val="clear" w:color="auto" w:fill="ACCBF9" w:themeFill="background2"/>
            <w:vAlign w:val="center"/>
          </w:tcPr>
          <w:p w:rsidR="009F1A2B" w:rsidRPr="00004F6D" w:rsidRDefault="009F1A2B" w:rsidP="002818E3">
            <w:pPr>
              <w:pStyle w:val="texto"/>
              <w:spacing w:after="0"/>
              <w:ind w:firstLine="0"/>
              <w:jc w:val="right"/>
              <w:rPr>
                <w:rFonts w:ascii="Arial" w:hAnsi="Arial" w:cs="Arial"/>
                <w:sz w:val="16"/>
                <w:szCs w:val="16"/>
              </w:rPr>
            </w:pPr>
            <w:r w:rsidRPr="00004F6D">
              <w:rPr>
                <w:rFonts w:ascii="Arial" w:hAnsi="Arial" w:cs="Arial"/>
                <w:sz w:val="16"/>
                <w:szCs w:val="16"/>
              </w:rPr>
              <w:t>Ingresos</w:t>
            </w:r>
          </w:p>
        </w:tc>
      </w:tr>
      <w:tr w:rsidR="009F1A2B" w:rsidRPr="005910B1" w:rsidTr="007179ED">
        <w:trPr>
          <w:trHeight w:val="284"/>
          <w:jc w:val="center"/>
        </w:trPr>
        <w:tc>
          <w:tcPr>
            <w:tcW w:w="2386" w:type="dxa"/>
            <w:tcBorders>
              <w:top w:val="single" w:sz="2" w:space="0" w:color="auto"/>
              <w:bottom w:val="single" w:sz="2" w:space="0" w:color="auto"/>
            </w:tcBorders>
            <w:shd w:val="clear" w:color="auto" w:fill="auto"/>
            <w:noWrap/>
            <w:vAlign w:val="center"/>
          </w:tcPr>
          <w:p w:rsidR="009F1A2B" w:rsidRPr="005910B1" w:rsidRDefault="002F28D7" w:rsidP="006879ED">
            <w:pPr>
              <w:pStyle w:val="texto"/>
              <w:tabs>
                <w:tab w:val="clear" w:pos="2835"/>
                <w:tab w:val="right" w:pos="2580"/>
              </w:tabs>
              <w:spacing w:after="0"/>
              <w:ind w:right="-239" w:firstLine="0"/>
              <w:jc w:val="left"/>
              <w:rPr>
                <w:rFonts w:ascii="Arial Narrow" w:hAnsi="Arial Narrow" w:cs="Arial"/>
                <w:sz w:val="18"/>
                <w:szCs w:val="18"/>
              </w:rPr>
            </w:pPr>
            <w:r w:rsidRPr="005910B1">
              <w:rPr>
                <w:rFonts w:ascii="Arial Narrow" w:hAnsi="Arial Narrow" w:cs="Arial"/>
                <w:sz w:val="18"/>
                <w:szCs w:val="18"/>
              </w:rPr>
              <w:t>Contrato OTRI</w:t>
            </w:r>
          </w:p>
        </w:tc>
        <w:tc>
          <w:tcPr>
            <w:tcW w:w="1012" w:type="dxa"/>
            <w:tcBorders>
              <w:top w:val="single" w:sz="2" w:space="0" w:color="auto"/>
              <w:bottom w:val="single" w:sz="2" w:space="0" w:color="auto"/>
            </w:tcBorders>
            <w:vAlign w:val="center"/>
          </w:tcPr>
          <w:p w:rsidR="009F1A2B" w:rsidRPr="005910B1" w:rsidRDefault="009F1A2B" w:rsidP="002818E3">
            <w:pPr>
              <w:pStyle w:val="texto"/>
              <w:spacing w:after="0"/>
              <w:ind w:hanging="468"/>
              <w:jc w:val="right"/>
              <w:rPr>
                <w:rFonts w:ascii="Arial Narrow" w:hAnsi="Arial Narrow" w:cs="Arial"/>
                <w:sz w:val="18"/>
                <w:szCs w:val="18"/>
              </w:rPr>
            </w:pPr>
            <w:r w:rsidRPr="005910B1">
              <w:rPr>
                <w:rFonts w:ascii="Arial Narrow" w:hAnsi="Arial Narrow" w:cs="Arial"/>
                <w:sz w:val="18"/>
                <w:szCs w:val="18"/>
              </w:rPr>
              <w:t>8.600</w:t>
            </w:r>
          </w:p>
        </w:tc>
        <w:tc>
          <w:tcPr>
            <w:tcW w:w="873" w:type="dxa"/>
            <w:tcBorders>
              <w:top w:val="single" w:sz="2" w:space="0" w:color="auto"/>
              <w:bottom w:val="single" w:sz="2" w:space="0" w:color="auto"/>
            </w:tcBorders>
            <w:shd w:val="clear" w:color="auto" w:fill="auto"/>
            <w:noWrap/>
            <w:vAlign w:val="center"/>
          </w:tcPr>
          <w:p w:rsidR="009F1A2B" w:rsidRPr="005910B1" w:rsidRDefault="009F1A2B" w:rsidP="002818E3">
            <w:pPr>
              <w:pStyle w:val="texto"/>
              <w:spacing w:after="0"/>
              <w:ind w:firstLine="0"/>
              <w:jc w:val="right"/>
              <w:rPr>
                <w:rFonts w:ascii="Arial Narrow" w:hAnsi="Arial Narrow" w:cs="Arial"/>
                <w:sz w:val="18"/>
                <w:szCs w:val="18"/>
              </w:rPr>
            </w:pPr>
            <w:r w:rsidRPr="005910B1">
              <w:rPr>
                <w:rFonts w:ascii="Arial Narrow" w:hAnsi="Arial Narrow" w:cs="Arial"/>
                <w:sz w:val="18"/>
                <w:szCs w:val="18"/>
              </w:rPr>
              <w:t>94.432</w:t>
            </w:r>
          </w:p>
        </w:tc>
        <w:tc>
          <w:tcPr>
            <w:tcW w:w="904" w:type="dxa"/>
            <w:tcBorders>
              <w:top w:val="single" w:sz="2" w:space="0" w:color="auto"/>
              <w:bottom w:val="single" w:sz="2" w:space="0" w:color="auto"/>
            </w:tcBorders>
            <w:vAlign w:val="center"/>
          </w:tcPr>
          <w:p w:rsidR="009F1A2B" w:rsidRPr="005910B1" w:rsidRDefault="009F1A2B" w:rsidP="002818E3">
            <w:pPr>
              <w:pStyle w:val="texto"/>
              <w:spacing w:after="0"/>
              <w:ind w:firstLine="0"/>
              <w:jc w:val="right"/>
              <w:rPr>
                <w:rFonts w:ascii="Arial Narrow" w:hAnsi="Arial Narrow" w:cs="Arial"/>
                <w:sz w:val="18"/>
                <w:szCs w:val="18"/>
              </w:rPr>
            </w:pPr>
            <w:r w:rsidRPr="005910B1">
              <w:rPr>
                <w:rFonts w:ascii="Arial Narrow" w:hAnsi="Arial Narrow" w:cs="Arial"/>
                <w:sz w:val="18"/>
                <w:szCs w:val="18"/>
              </w:rPr>
              <w:t>12.291</w:t>
            </w:r>
          </w:p>
        </w:tc>
        <w:tc>
          <w:tcPr>
            <w:tcW w:w="1309" w:type="dxa"/>
            <w:tcBorders>
              <w:top w:val="single" w:sz="2" w:space="0" w:color="auto"/>
              <w:bottom w:val="single" w:sz="2" w:space="0" w:color="auto"/>
            </w:tcBorders>
            <w:vAlign w:val="center"/>
          </w:tcPr>
          <w:p w:rsidR="009F1A2B" w:rsidRPr="005910B1" w:rsidRDefault="00587585" w:rsidP="003C5D9E">
            <w:pPr>
              <w:pStyle w:val="texto"/>
              <w:spacing w:after="0"/>
              <w:ind w:right="-81" w:firstLine="0"/>
              <w:jc w:val="right"/>
              <w:rPr>
                <w:rFonts w:ascii="Arial Narrow" w:hAnsi="Arial Narrow" w:cs="Arial"/>
                <w:sz w:val="18"/>
                <w:szCs w:val="18"/>
              </w:rPr>
            </w:pPr>
            <w:r w:rsidRPr="005910B1">
              <w:rPr>
                <w:rFonts w:ascii="Arial Narrow" w:hAnsi="Arial Narrow" w:cs="Arial"/>
                <w:sz w:val="18"/>
                <w:szCs w:val="18"/>
              </w:rPr>
              <w:t>18.182</w:t>
            </w:r>
          </w:p>
        </w:tc>
        <w:tc>
          <w:tcPr>
            <w:tcW w:w="1202" w:type="dxa"/>
            <w:tcBorders>
              <w:top w:val="single" w:sz="2" w:space="0" w:color="auto"/>
              <w:bottom w:val="single" w:sz="2" w:space="0" w:color="auto"/>
            </w:tcBorders>
            <w:vAlign w:val="center"/>
          </w:tcPr>
          <w:p w:rsidR="009F1A2B" w:rsidRPr="005910B1" w:rsidRDefault="009F1A2B" w:rsidP="00587585">
            <w:pPr>
              <w:pStyle w:val="texto"/>
              <w:spacing w:after="0"/>
              <w:ind w:firstLine="0"/>
              <w:jc w:val="right"/>
              <w:rPr>
                <w:rFonts w:ascii="Arial Narrow" w:hAnsi="Arial Narrow" w:cs="Arial"/>
                <w:sz w:val="18"/>
                <w:szCs w:val="18"/>
              </w:rPr>
            </w:pPr>
            <w:r w:rsidRPr="005910B1">
              <w:rPr>
                <w:rFonts w:ascii="Arial Narrow" w:hAnsi="Arial Narrow" w:cs="Arial"/>
                <w:sz w:val="18"/>
                <w:szCs w:val="18"/>
              </w:rPr>
              <w:t>1</w:t>
            </w:r>
            <w:r w:rsidR="00587585" w:rsidRPr="005910B1">
              <w:rPr>
                <w:rFonts w:ascii="Arial Narrow" w:hAnsi="Arial Narrow" w:cs="Arial"/>
                <w:sz w:val="18"/>
                <w:szCs w:val="18"/>
              </w:rPr>
              <w:t>33</w:t>
            </w:r>
            <w:r w:rsidRPr="005910B1">
              <w:rPr>
                <w:rFonts w:ascii="Arial Narrow" w:hAnsi="Arial Narrow" w:cs="Arial"/>
                <w:sz w:val="18"/>
                <w:szCs w:val="18"/>
              </w:rPr>
              <w:t>.</w:t>
            </w:r>
            <w:r w:rsidR="00587585" w:rsidRPr="005910B1">
              <w:rPr>
                <w:rFonts w:ascii="Arial Narrow" w:hAnsi="Arial Narrow" w:cs="Arial"/>
                <w:sz w:val="18"/>
                <w:szCs w:val="18"/>
              </w:rPr>
              <w:t>505</w:t>
            </w:r>
          </w:p>
        </w:tc>
        <w:tc>
          <w:tcPr>
            <w:tcW w:w="1278" w:type="dxa"/>
            <w:tcBorders>
              <w:top w:val="single" w:sz="2" w:space="0" w:color="auto"/>
              <w:bottom w:val="single" w:sz="2" w:space="0" w:color="auto"/>
            </w:tcBorders>
            <w:vAlign w:val="center"/>
          </w:tcPr>
          <w:p w:rsidR="009F1A2B" w:rsidRPr="005910B1" w:rsidRDefault="009F1A2B" w:rsidP="002818E3">
            <w:pPr>
              <w:pStyle w:val="texto"/>
              <w:spacing w:after="0"/>
              <w:ind w:firstLine="0"/>
              <w:jc w:val="right"/>
              <w:rPr>
                <w:rFonts w:ascii="Arial Narrow" w:hAnsi="Arial Narrow" w:cs="Arial"/>
                <w:sz w:val="18"/>
                <w:szCs w:val="18"/>
              </w:rPr>
            </w:pPr>
            <w:r w:rsidRPr="005910B1">
              <w:rPr>
                <w:rFonts w:ascii="Arial Narrow" w:hAnsi="Arial Narrow" w:cs="Arial"/>
                <w:sz w:val="18"/>
                <w:szCs w:val="18"/>
              </w:rPr>
              <w:t>139.860</w:t>
            </w:r>
          </w:p>
        </w:tc>
      </w:tr>
    </w:tbl>
    <w:p w:rsidR="004E69B7" w:rsidRPr="00F5594F" w:rsidRDefault="00603A79" w:rsidP="005910B1">
      <w:pPr>
        <w:pStyle w:val="texto"/>
        <w:spacing w:before="60" w:after="0"/>
        <w:ind w:right="-567" w:firstLine="0"/>
        <w:rPr>
          <w:rFonts w:ascii="Arial" w:hAnsi="Arial" w:cs="Arial"/>
          <w:sz w:val="14"/>
          <w:szCs w:val="14"/>
        </w:rPr>
      </w:pPr>
      <w:r w:rsidRPr="00F5594F">
        <w:rPr>
          <w:rFonts w:ascii="Arial" w:hAnsi="Arial" w:cs="Arial"/>
          <w:sz w:val="14"/>
          <w:szCs w:val="14"/>
          <w:vertAlign w:val="superscript"/>
        </w:rPr>
        <w:t>(1)</w:t>
      </w:r>
      <w:r w:rsidRPr="00F5594F">
        <w:rPr>
          <w:rFonts w:ascii="Arial" w:hAnsi="Arial" w:cs="Arial"/>
          <w:sz w:val="14"/>
          <w:szCs w:val="14"/>
        </w:rPr>
        <w:t xml:space="preserve"> Proyecto no finalizado</w:t>
      </w:r>
    </w:p>
    <w:p w:rsidR="003C5D9E" w:rsidRPr="00F5594F" w:rsidRDefault="003C5D9E" w:rsidP="005910B1">
      <w:pPr>
        <w:pStyle w:val="texto"/>
        <w:spacing w:after="0"/>
        <w:ind w:right="-567" w:firstLine="0"/>
        <w:rPr>
          <w:rFonts w:ascii="Arial" w:hAnsi="Arial" w:cs="Arial"/>
          <w:sz w:val="14"/>
          <w:szCs w:val="14"/>
        </w:rPr>
      </w:pPr>
      <w:r w:rsidRPr="00F5594F">
        <w:rPr>
          <w:rFonts w:ascii="Arial" w:hAnsi="Arial" w:cs="Arial"/>
          <w:sz w:val="14"/>
          <w:szCs w:val="14"/>
          <w:vertAlign w:val="superscript"/>
        </w:rPr>
        <w:t>(2</w:t>
      </w:r>
      <w:r w:rsidR="00D31DE2" w:rsidRPr="00F5594F">
        <w:rPr>
          <w:rFonts w:ascii="Arial" w:hAnsi="Arial" w:cs="Arial"/>
          <w:sz w:val="14"/>
          <w:szCs w:val="14"/>
          <w:vertAlign w:val="superscript"/>
        </w:rPr>
        <w:t>)</w:t>
      </w:r>
      <w:r w:rsidRPr="00F5594F">
        <w:rPr>
          <w:rFonts w:ascii="Arial" w:hAnsi="Arial" w:cs="Arial"/>
          <w:sz w:val="14"/>
          <w:szCs w:val="14"/>
        </w:rPr>
        <w:t xml:space="preserve"> </w:t>
      </w:r>
      <w:r w:rsidR="00D31DE2" w:rsidRPr="00F5594F">
        <w:rPr>
          <w:rFonts w:ascii="Arial" w:hAnsi="Arial" w:cs="Arial"/>
          <w:sz w:val="14"/>
          <w:szCs w:val="14"/>
        </w:rPr>
        <w:t>I</w:t>
      </w:r>
      <w:r w:rsidRPr="00F5594F">
        <w:rPr>
          <w:rFonts w:ascii="Arial" w:hAnsi="Arial" w:cs="Arial"/>
          <w:sz w:val="14"/>
          <w:szCs w:val="14"/>
        </w:rPr>
        <w:t>ngresos destinado</w:t>
      </w:r>
      <w:r w:rsidR="00D31DE2" w:rsidRPr="00F5594F">
        <w:rPr>
          <w:rFonts w:ascii="Arial" w:hAnsi="Arial" w:cs="Arial"/>
          <w:sz w:val="14"/>
          <w:szCs w:val="14"/>
        </w:rPr>
        <w:t>s</w:t>
      </w:r>
      <w:r w:rsidRPr="00F5594F">
        <w:rPr>
          <w:rFonts w:ascii="Arial" w:hAnsi="Arial" w:cs="Arial"/>
          <w:sz w:val="14"/>
          <w:szCs w:val="14"/>
        </w:rPr>
        <w:t xml:space="preserve"> a sufragar los costes indirectos soportados por la Universidad</w:t>
      </w:r>
    </w:p>
    <w:p w:rsidR="00E56011" w:rsidRDefault="00E56011" w:rsidP="000B0B0E">
      <w:pPr>
        <w:pStyle w:val="texto"/>
        <w:spacing w:before="240"/>
      </w:pPr>
      <w:r w:rsidRPr="00730AE6">
        <w:t xml:space="preserve">Del trabajo realizado, </w:t>
      </w:r>
      <w:r w:rsidR="00ED0D32">
        <w:t>indicamos</w:t>
      </w:r>
      <w:r w:rsidRPr="00730AE6">
        <w:t xml:space="preserve"> los siguientes aspectos:</w:t>
      </w:r>
    </w:p>
    <w:p w:rsidR="00E56011" w:rsidRDefault="00E56011" w:rsidP="00283C5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89"/>
      </w:pPr>
      <w:r w:rsidRPr="000B0B0E">
        <w:t xml:space="preserve">Se observa, en general, una adecuada gestión contable-presupuestaria en esta materia compleja, tanto por su propia extensión temporal como por las exigencias administrativas, financieras, justificativas y de seguimiento que conlleva. </w:t>
      </w:r>
      <w:r w:rsidR="00B43285">
        <w:t>Al respecto, queremos señalar:</w:t>
      </w:r>
    </w:p>
    <w:p w:rsidR="000B0B0E" w:rsidRDefault="004820DD" w:rsidP="00283C5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89"/>
      </w:pPr>
      <w:r w:rsidRPr="000B0B0E">
        <w:t xml:space="preserve">La Universidad </w:t>
      </w:r>
      <w:r w:rsidR="00C50A95" w:rsidRPr="000B0B0E">
        <w:t xml:space="preserve">concede anticipos a los proyectos de investigación con el objetivo de </w:t>
      </w:r>
      <w:r w:rsidRPr="000B0B0E">
        <w:t>facilitar la gestión de</w:t>
      </w:r>
      <w:r w:rsidR="00C50A95" w:rsidRPr="000B0B0E">
        <w:t xml:space="preserve"> dichos proyectos,</w:t>
      </w:r>
      <w:r w:rsidRPr="000B0B0E">
        <w:t xml:space="preserve"> en tanto no se perciban efectivamente los correspondientes ingresos de los entes financiadores y siempre que tales ingresos estén suficientemente acreditados</w:t>
      </w:r>
      <w:r w:rsidR="00C50A95" w:rsidRPr="000B0B0E">
        <w:t xml:space="preserve">. Al cierre del ejercicio </w:t>
      </w:r>
      <w:r w:rsidR="000B0B0E">
        <w:t>se anula</w:t>
      </w:r>
      <w:r w:rsidR="00D31DE2">
        <w:t>n los derechos reconocidos por anticipos de investigación</w:t>
      </w:r>
      <w:r w:rsidR="000B0B0E">
        <w:t xml:space="preserve"> </w:t>
      </w:r>
      <w:r w:rsidR="00D31DE2">
        <w:t>que no han sido ejecutados en el ejercicio.</w:t>
      </w:r>
      <w:r w:rsidR="000B0B0E">
        <w:t xml:space="preserve"> </w:t>
      </w:r>
      <w:r w:rsidR="00D31DE2">
        <w:t xml:space="preserve">El resto de estos anticipos </w:t>
      </w:r>
      <w:r w:rsidR="000B0B0E">
        <w:t xml:space="preserve">figura como derechos reconocidos pendientes de cobro, </w:t>
      </w:r>
      <w:r w:rsidR="002153D2" w:rsidRPr="000B0B0E">
        <w:t>considerá</w:t>
      </w:r>
      <w:r w:rsidR="002153D2">
        <w:t>ndose</w:t>
      </w:r>
      <w:r w:rsidR="00C50A95" w:rsidRPr="000B0B0E">
        <w:t xml:space="preserve"> de dudoso cobro </w:t>
      </w:r>
      <w:r w:rsidR="00D2308C">
        <w:t xml:space="preserve">a fecha de cierre de las cuentas </w:t>
      </w:r>
      <w:r w:rsidR="002153D2">
        <w:t xml:space="preserve">y </w:t>
      </w:r>
      <w:r w:rsidR="00C50A95" w:rsidRPr="000B0B0E">
        <w:t>dotándose la correspondiente provisión.</w:t>
      </w:r>
    </w:p>
    <w:p w:rsidR="00ED3424" w:rsidRDefault="000B0B0E" w:rsidP="00ED342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90"/>
      </w:pPr>
      <w:r w:rsidRPr="000B0B0E">
        <w:t xml:space="preserve">Por otra parte, la Universidad percibe un porcentaje de los ingresos o ayudas recibidas </w:t>
      </w:r>
      <w:r w:rsidR="00B43285">
        <w:t>para</w:t>
      </w:r>
      <w:r w:rsidRPr="000B0B0E">
        <w:t xml:space="preserve"> la financiación de los contratos y proyectos de investigación</w:t>
      </w:r>
      <w:r w:rsidR="00B43285">
        <w:t>,</w:t>
      </w:r>
      <w:r w:rsidRPr="000B0B0E">
        <w:t xml:space="preserve"> destinado a sufragar los costes indirectos soportados</w:t>
      </w:r>
      <w:r w:rsidR="00B43285">
        <w:t xml:space="preserve"> p</w:t>
      </w:r>
      <w:r w:rsidR="00517493">
        <w:t xml:space="preserve">ara </w:t>
      </w:r>
      <w:r w:rsidR="00B43285">
        <w:t>la</w:t>
      </w:r>
      <w:r w:rsidR="00B54433">
        <w:t xml:space="preserve"> realización</w:t>
      </w:r>
      <w:r w:rsidR="00B43285">
        <w:t xml:space="preserve"> de los mismos</w:t>
      </w:r>
      <w:r w:rsidRPr="000B0B0E">
        <w:t>.</w:t>
      </w:r>
      <w:r>
        <w:t xml:space="preserve"> </w:t>
      </w:r>
    </w:p>
    <w:p w:rsidR="004820DD" w:rsidRPr="000B0B0E" w:rsidRDefault="000B0B0E" w:rsidP="00ED3424">
      <w:pPr>
        <w:pStyle w:val="texto"/>
        <w:spacing w:before="120" w:after="120"/>
      </w:pPr>
      <w:r>
        <w:t>Hemos comprobado la adecuada aplicación y cobro de los porcentajes de costes indirectos asignados a los proyectos y contratos analizados.</w:t>
      </w:r>
    </w:p>
    <w:p w:rsidR="00ED3424" w:rsidRDefault="00B54433" w:rsidP="00ED342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90"/>
      </w:pPr>
      <w:r>
        <w:t>La tramitación de los</w:t>
      </w:r>
      <w:r w:rsidR="00587585">
        <w:t xml:space="preserve"> gastos para la ejecución de los contratos</w:t>
      </w:r>
      <w:r w:rsidR="00105D0C">
        <w:t xml:space="preserve"> y proyectos</w:t>
      </w:r>
      <w:r w:rsidR="00587585">
        <w:t>, relacionados con las actividades de los mismos, debe realizarse de acuerdo con las normas de ejecución presupuestaria establecida</w:t>
      </w:r>
      <w:r w:rsidR="002401AE">
        <w:t>s</w:t>
      </w:r>
      <w:r w:rsidR="00587585">
        <w:t xml:space="preserve"> en la Universidad. </w:t>
      </w:r>
    </w:p>
    <w:p w:rsidR="00603A79" w:rsidRDefault="00603A79" w:rsidP="00ED3424">
      <w:pPr>
        <w:pStyle w:val="texto"/>
        <w:spacing w:before="120" w:after="120"/>
      </w:pPr>
      <w:r>
        <w:t xml:space="preserve">Hemos comprobado </w:t>
      </w:r>
      <w:r w:rsidR="00B57B93">
        <w:t xml:space="preserve">la aprobación por órgano competente de los gastos corrientes y de inversión de los </w:t>
      </w:r>
      <w:r w:rsidR="00517493">
        <w:t xml:space="preserve">contratos  y </w:t>
      </w:r>
      <w:r w:rsidR="00B57B93">
        <w:t xml:space="preserve">proyectos de investigación así como la aplicación del adecuado </w:t>
      </w:r>
      <w:r>
        <w:t>procedimiento de contratación</w:t>
      </w:r>
      <w:r w:rsidR="00B57B93">
        <w:t>, en su caso.</w:t>
      </w:r>
    </w:p>
    <w:p w:rsidR="000B0B0E" w:rsidRPr="001F1C18" w:rsidRDefault="000B0B0E" w:rsidP="00283C5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1F1C18">
        <w:t>El abono de las retribuciones del personal implicado en los contratos y proyectos se efectúa desde el servicio de nóminas.</w:t>
      </w:r>
    </w:p>
    <w:p w:rsidR="008B5B5D" w:rsidRPr="008B5B5D" w:rsidRDefault="008B5B5D" w:rsidP="00986CD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90"/>
      </w:pPr>
      <w:r w:rsidRPr="008B5B5D">
        <w:t xml:space="preserve">Las cantidades percibidas en concepto de honorarios </w:t>
      </w:r>
      <w:r w:rsidR="00B43285">
        <w:t>por</w:t>
      </w:r>
      <w:r w:rsidRPr="008B5B5D">
        <w:t xml:space="preserve"> los investigadores por contratos OTRI</w:t>
      </w:r>
      <w:r w:rsidR="001F1C18">
        <w:t xml:space="preserve"> </w:t>
      </w:r>
      <w:r w:rsidRPr="008B5B5D">
        <w:t>se justifican mensualmente mediante una relación elaborada por el servicio de investigación y firmada por el jefe de la sección de transferencia del conocimiento, de acuerdo a los formularios de solicitud de honorarios</w:t>
      </w:r>
      <w:r w:rsidR="002401AE">
        <w:t>,</w:t>
      </w:r>
      <w:r w:rsidRPr="008B5B5D">
        <w:t xml:space="preserve"> firmados por el responsable del proyecto. El servicio de investigación comprueba que se han recibido los ingresos correspondientes a los contratos</w:t>
      </w:r>
      <w:r w:rsidR="00E149A6">
        <w:t>,</w:t>
      </w:r>
      <w:r w:rsidRPr="008B5B5D">
        <w:t xml:space="preserve"> que hay</w:t>
      </w:r>
      <w:r w:rsidR="00E149A6">
        <w:t xml:space="preserve"> disponibilidad presupuestaria y remite la relación a la sección de nóminas para que realice el pago.</w:t>
      </w:r>
    </w:p>
    <w:p w:rsidR="00986CD8" w:rsidRDefault="00587585" w:rsidP="00986CD8">
      <w:pPr>
        <w:pStyle w:val="texto"/>
        <w:spacing w:before="120" w:after="120"/>
      </w:pPr>
      <w:r>
        <w:t>En general, el gasto por honorarios es el concepto de importe más elevado en l</w:t>
      </w:r>
      <w:r w:rsidR="00105D0C">
        <w:t xml:space="preserve">a ejecución </w:t>
      </w:r>
      <w:r>
        <w:t xml:space="preserve">de los contratos. El investigador principal, como responsable del proyecto, firma las solicitudes de abono de los honorarios, con independencia de su importe y de los perceptores de los mismos, superando en algunos casos el límite establecido en las bases de ejecución del presupuesto como competencia del responsable de una unidad funcional de gasto. </w:t>
      </w:r>
    </w:p>
    <w:p w:rsidR="006031B7" w:rsidRPr="00587585" w:rsidRDefault="00BD33BF" w:rsidP="00986CD8">
      <w:pPr>
        <w:pStyle w:val="texto"/>
        <w:numPr>
          <w:ilvl w:val="0"/>
          <w:numId w:val="1"/>
        </w:numPr>
        <w:tabs>
          <w:tab w:val="clear" w:pos="928"/>
          <w:tab w:val="clear" w:pos="2835"/>
          <w:tab w:val="clear" w:pos="3969"/>
          <w:tab w:val="clear" w:pos="5103"/>
          <w:tab w:val="clear" w:pos="6237"/>
          <w:tab w:val="clear" w:pos="7371"/>
          <w:tab w:val="num" w:pos="300"/>
          <w:tab w:val="left" w:pos="480"/>
          <w:tab w:val="num" w:pos="720"/>
          <w:tab w:val="num" w:pos="6597"/>
        </w:tabs>
        <w:spacing w:before="120" w:after="120"/>
        <w:ind w:left="0" w:firstLine="290"/>
      </w:pPr>
      <w:r>
        <w:t>Los ingresos</w:t>
      </w:r>
      <w:r w:rsidR="006031B7" w:rsidRPr="00587585">
        <w:t xml:space="preserve"> </w:t>
      </w:r>
      <w:r>
        <w:t>de</w:t>
      </w:r>
      <w:r w:rsidR="00450820">
        <w:t>l</w:t>
      </w:r>
      <w:r w:rsidR="006031B7" w:rsidRPr="00587585">
        <w:t xml:space="preserve"> contrato </w:t>
      </w:r>
      <w:r w:rsidR="00450820">
        <w:t xml:space="preserve">OTRI analizado </w:t>
      </w:r>
      <w:r w:rsidR="006031B7" w:rsidRPr="00587585">
        <w:t>ascienden a 139.860 euros y los gastos a 115.323 euros; si añadimos a estos gastos el importe de costes indirectos asignados al proyecto, 18.182 euros,</w:t>
      </w:r>
      <w:r>
        <w:t xml:space="preserve"> y que percibe la Universidad,</w:t>
      </w:r>
      <w:r w:rsidR="006031B7" w:rsidRPr="00587585">
        <w:t xml:space="preserve"> el remanente final del proyec</w:t>
      </w:r>
      <w:r>
        <w:t>to serían</w:t>
      </w:r>
      <w:r w:rsidR="006031B7" w:rsidRPr="00587585">
        <w:t xml:space="preserve"> 6.356 euros</w:t>
      </w:r>
      <w:r>
        <w:t>,</w:t>
      </w:r>
      <w:r w:rsidRPr="00BD33BF">
        <w:t xml:space="preserve"> </w:t>
      </w:r>
      <w:r w:rsidR="006031B7" w:rsidRPr="00587585">
        <w:t>que se incorpora a la bolsa de remanentes del investigador principal.</w:t>
      </w:r>
    </w:p>
    <w:p w:rsidR="006031B7" w:rsidRPr="00587585" w:rsidRDefault="006031B7" w:rsidP="00986CD8">
      <w:pPr>
        <w:pStyle w:val="texto"/>
        <w:spacing w:before="120" w:after="120"/>
      </w:pPr>
      <w:r w:rsidRPr="00587585">
        <w:t>En este contrato debemos señalar que</w:t>
      </w:r>
      <w:r w:rsidR="00BD33BF">
        <w:t>,</w:t>
      </w:r>
      <w:r w:rsidRPr="00587585">
        <w:t xml:space="preserve"> aunque el presupuesto se considera una referencia interna para la previsión de gastos y control de la financiación de</w:t>
      </w:r>
      <w:r w:rsidR="00856985" w:rsidRPr="00587585">
        <w:t xml:space="preserve">l </w:t>
      </w:r>
      <w:r w:rsidRPr="00587585">
        <w:t>proyecto, existen importantes diferencias entre los conceptos de gastos presupuestados y realizados, principalmente en los conceptos de honorarios</w:t>
      </w:r>
      <w:r w:rsidR="00856985" w:rsidRPr="00587585">
        <w:t xml:space="preserve"> al investigador principal</w:t>
      </w:r>
      <w:r w:rsidRPr="00587585">
        <w:t>, un 188 por ciento más</w:t>
      </w:r>
      <w:r w:rsidR="00856985" w:rsidRPr="00587585">
        <w:t>,</w:t>
      </w:r>
      <w:r w:rsidRPr="00587585">
        <w:t xml:space="preserve"> y en material fungible, un 95 por ciento menos. </w:t>
      </w:r>
    </w:p>
    <w:p w:rsidR="00E56011" w:rsidRPr="00730AE6" w:rsidRDefault="00E56011" w:rsidP="00283C58">
      <w:pPr>
        <w:pStyle w:val="texto"/>
      </w:pPr>
      <w:r w:rsidRPr="00730AE6">
        <w:t xml:space="preserve">De acuerdo con lo expuesto y de la revisión efectuada sobre </w:t>
      </w:r>
      <w:r w:rsidR="00FF0CAF">
        <w:t>la</w:t>
      </w:r>
      <w:r w:rsidRPr="00730AE6">
        <w:t xml:space="preserve"> muestra de proyectos de investigación, señalamos las siguientes recomendaciones:</w:t>
      </w:r>
    </w:p>
    <w:p w:rsidR="000732F2" w:rsidRPr="008B5B5D" w:rsidRDefault="000732F2" w:rsidP="00283C58">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ind w:left="0" w:firstLine="290"/>
        <w:rPr>
          <w:i/>
          <w:szCs w:val="26"/>
        </w:rPr>
      </w:pPr>
      <w:r w:rsidRPr="008B5B5D">
        <w:rPr>
          <w:i/>
          <w:szCs w:val="26"/>
        </w:rPr>
        <w:t>Establecer un procedimiento de gestión que garantice un seguimiento adecuado de los contratos</w:t>
      </w:r>
      <w:r w:rsidR="007E0255">
        <w:rPr>
          <w:i/>
          <w:szCs w:val="26"/>
        </w:rPr>
        <w:t xml:space="preserve"> </w:t>
      </w:r>
      <w:r w:rsidR="007E0255" w:rsidRPr="00986CD8">
        <w:rPr>
          <w:i/>
          <w:szCs w:val="26"/>
        </w:rPr>
        <w:t>de investigación</w:t>
      </w:r>
      <w:r w:rsidRPr="008B5B5D">
        <w:rPr>
          <w:i/>
          <w:szCs w:val="26"/>
        </w:rPr>
        <w:t xml:space="preserve"> y una ejecución de los mismo</w:t>
      </w:r>
      <w:r w:rsidR="00986CD8">
        <w:rPr>
          <w:i/>
          <w:szCs w:val="26"/>
        </w:rPr>
        <w:t>s conforme a lo previsto en sus</w:t>
      </w:r>
      <w:r w:rsidRPr="008B5B5D">
        <w:rPr>
          <w:i/>
          <w:szCs w:val="26"/>
        </w:rPr>
        <w:t xml:space="preserve"> presupuestos.</w:t>
      </w:r>
    </w:p>
    <w:p w:rsidR="000B0B0E" w:rsidRDefault="000B0B0E" w:rsidP="00283C58">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ind w:left="0" w:firstLine="290"/>
        <w:rPr>
          <w:i/>
          <w:szCs w:val="26"/>
        </w:rPr>
      </w:pPr>
      <w:r w:rsidRPr="008B5B5D">
        <w:rPr>
          <w:i/>
          <w:szCs w:val="26"/>
        </w:rPr>
        <w:t xml:space="preserve">Regular adecuadamente la competencia para las autorizaciones de gastos por honorarios </w:t>
      </w:r>
      <w:r w:rsidR="00986CD8">
        <w:rPr>
          <w:i/>
          <w:szCs w:val="26"/>
        </w:rPr>
        <w:t>cuyas cuantías excedan del importe fijado en las bases de ejecución del presupuesto para una unidad funcional de gasto.</w:t>
      </w:r>
    </w:p>
    <w:p w:rsidR="008D6E57" w:rsidRPr="009F32D5" w:rsidRDefault="008D6E57" w:rsidP="00EF0692">
      <w:pPr>
        <w:pStyle w:val="atitulo3"/>
        <w:spacing w:before="240"/>
        <w:rPr>
          <w:i w:val="0"/>
        </w:rPr>
      </w:pPr>
      <w:r w:rsidRPr="009F32D5">
        <w:rPr>
          <w:i w:val="0"/>
        </w:rPr>
        <w:t>V</w:t>
      </w:r>
      <w:r w:rsidR="00613F68">
        <w:rPr>
          <w:i w:val="0"/>
        </w:rPr>
        <w:t>I</w:t>
      </w:r>
      <w:r w:rsidRPr="009F32D5">
        <w:rPr>
          <w:i w:val="0"/>
        </w:rPr>
        <w:t>.</w:t>
      </w:r>
      <w:r w:rsidR="00E037D2">
        <w:rPr>
          <w:i w:val="0"/>
        </w:rPr>
        <w:t>4</w:t>
      </w:r>
      <w:r w:rsidRPr="009F32D5">
        <w:rPr>
          <w:i w:val="0"/>
        </w:rPr>
        <w:t>.</w:t>
      </w:r>
      <w:r w:rsidR="005245C0">
        <w:rPr>
          <w:i w:val="0"/>
        </w:rPr>
        <w:t>7</w:t>
      </w:r>
      <w:r w:rsidRPr="009F32D5">
        <w:rPr>
          <w:i w:val="0"/>
        </w:rPr>
        <w:t xml:space="preserve">. </w:t>
      </w:r>
      <w:r>
        <w:rPr>
          <w:i w:val="0"/>
        </w:rPr>
        <w:t>Tasa</w:t>
      </w:r>
      <w:r w:rsidR="000D10A0">
        <w:rPr>
          <w:i w:val="0"/>
        </w:rPr>
        <w:t>s,</w:t>
      </w:r>
      <w:r>
        <w:rPr>
          <w:i w:val="0"/>
        </w:rPr>
        <w:t xml:space="preserve"> precios públicos y otros ingresos</w:t>
      </w:r>
    </w:p>
    <w:p w:rsidR="008D6E57" w:rsidRDefault="008D6E57" w:rsidP="00F5594F">
      <w:pPr>
        <w:pStyle w:val="texto"/>
        <w:spacing w:before="120" w:after="120"/>
      </w:pPr>
      <w:r>
        <w:t>L</w:t>
      </w:r>
      <w:r w:rsidR="000D10A0">
        <w:t xml:space="preserve">as tasas, precios públicos y otros ingresos reconocidos netos en el año 2017 ascendieron a 14,7 millones de euros y el porcentaje de recaudación </w:t>
      </w:r>
      <w:r w:rsidR="002E4B7F">
        <w:t>fue del</w:t>
      </w:r>
      <w:r w:rsidR="000D10A0">
        <w:t xml:space="preserve"> 96 por ciento. Representan el 19 por ciento del total de los derechos del ejercicio y corresponden a los siguientes conceptos: </w:t>
      </w:r>
    </w:p>
    <w:p w:rsidR="00922F53" w:rsidRPr="00F5594F" w:rsidRDefault="0000117B" w:rsidP="004F1A68">
      <w:pPr>
        <w:pStyle w:val="texto"/>
        <w:tabs>
          <w:tab w:val="clear" w:pos="2835"/>
          <w:tab w:val="clear" w:pos="3969"/>
          <w:tab w:val="clear" w:pos="5103"/>
          <w:tab w:val="clear" w:pos="6237"/>
          <w:tab w:val="clear" w:pos="7371"/>
          <w:tab w:val="left" w:pos="480"/>
          <w:tab w:val="num" w:pos="928"/>
          <w:tab w:val="num" w:pos="6597"/>
        </w:tabs>
        <w:spacing w:before="120" w:after="0"/>
        <w:ind w:left="568" w:firstLine="0"/>
        <w:jc w:val="right"/>
        <w:rPr>
          <w:rFonts w:ascii="Arial" w:hAnsi="Arial" w:cs="Arial"/>
          <w:sz w:val="18"/>
          <w:szCs w:val="18"/>
        </w:rPr>
      </w:pPr>
      <w:r w:rsidRPr="00F5594F">
        <w:rPr>
          <w:rFonts w:ascii="Arial" w:hAnsi="Arial" w:cs="Arial"/>
          <w:sz w:val="18"/>
          <w:szCs w:val="18"/>
        </w:rPr>
        <w:t>(En miles de euros)</w:t>
      </w:r>
    </w:p>
    <w:tbl>
      <w:tblPr>
        <w:tblW w:w="8973" w:type="dxa"/>
        <w:jc w:val="center"/>
        <w:tblInd w:w="42" w:type="dxa"/>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3346"/>
        <w:gridCol w:w="1992"/>
        <w:gridCol w:w="2279"/>
        <w:gridCol w:w="1356"/>
      </w:tblGrid>
      <w:tr w:rsidR="005910B1" w:rsidRPr="00730AE6" w:rsidTr="00283C58">
        <w:trPr>
          <w:trHeight w:val="284"/>
          <w:jc w:val="center"/>
        </w:trPr>
        <w:tc>
          <w:tcPr>
            <w:tcW w:w="3346" w:type="dxa"/>
            <w:tcBorders>
              <w:top w:val="single" w:sz="4" w:space="0" w:color="auto"/>
              <w:bottom w:val="single" w:sz="4" w:space="0" w:color="auto"/>
            </w:tcBorders>
            <w:shd w:val="clear" w:color="auto" w:fill="A8CBEE" w:themeFill="accent2" w:themeFillTint="66"/>
            <w:noWrap/>
            <w:vAlign w:val="center"/>
          </w:tcPr>
          <w:p w:rsidR="005910B1" w:rsidRPr="00730AE6" w:rsidRDefault="005910B1" w:rsidP="00955118">
            <w:pPr>
              <w:pStyle w:val="cuadroCabe"/>
              <w:tabs>
                <w:tab w:val="clear" w:pos="2835"/>
                <w:tab w:val="right" w:pos="2589"/>
              </w:tabs>
              <w:ind w:right="462"/>
              <w:rPr>
                <w:lang w:val="es-ES" w:eastAsia="es-ES"/>
              </w:rPr>
            </w:pPr>
            <w:r>
              <w:rPr>
                <w:lang w:val="es-ES" w:eastAsia="es-ES"/>
              </w:rPr>
              <w:t>Tasas, precios públicos y otros ingresos</w:t>
            </w:r>
          </w:p>
        </w:tc>
        <w:tc>
          <w:tcPr>
            <w:tcW w:w="1992" w:type="dxa"/>
            <w:tcBorders>
              <w:top w:val="single" w:sz="4" w:space="0" w:color="auto"/>
              <w:bottom w:val="single" w:sz="4" w:space="0" w:color="auto"/>
            </w:tcBorders>
            <w:shd w:val="clear" w:color="auto" w:fill="A8CBEE" w:themeFill="accent2" w:themeFillTint="66"/>
            <w:vAlign w:val="center"/>
          </w:tcPr>
          <w:p w:rsidR="005910B1" w:rsidRDefault="005910B1" w:rsidP="000D10A0">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 xml:space="preserve">Derechos reconocidos </w:t>
            </w:r>
          </w:p>
          <w:p w:rsidR="005910B1" w:rsidRDefault="005910B1" w:rsidP="000D10A0">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2016*</w:t>
            </w:r>
          </w:p>
        </w:tc>
        <w:tc>
          <w:tcPr>
            <w:tcW w:w="2279" w:type="dxa"/>
            <w:tcBorders>
              <w:top w:val="single" w:sz="4" w:space="0" w:color="auto"/>
              <w:bottom w:val="single" w:sz="4" w:space="0" w:color="auto"/>
            </w:tcBorders>
            <w:shd w:val="clear" w:color="auto" w:fill="A8CBEE" w:themeFill="accent2" w:themeFillTint="66"/>
            <w:vAlign w:val="center"/>
          </w:tcPr>
          <w:p w:rsidR="005910B1" w:rsidRDefault="005910B1" w:rsidP="000D10A0">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 xml:space="preserve">Derechos reconocidos </w:t>
            </w:r>
          </w:p>
          <w:p w:rsidR="005910B1" w:rsidRDefault="005910B1" w:rsidP="000D10A0">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2017</w:t>
            </w:r>
          </w:p>
        </w:tc>
        <w:tc>
          <w:tcPr>
            <w:tcW w:w="1356" w:type="dxa"/>
            <w:tcBorders>
              <w:top w:val="single" w:sz="4" w:space="0" w:color="auto"/>
              <w:bottom w:val="single" w:sz="4" w:space="0" w:color="auto"/>
            </w:tcBorders>
            <w:shd w:val="clear" w:color="auto" w:fill="A8CBEE" w:themeFill="accent2" w:themeFillTint="66"/>
            <w:vAlign w:val="center"/>
          </w:tcPr>
          <w:p w:rsidR="005910B1" w:rsidRDefault="005910B1" w:rsidP="000D10A0">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 xml:space="preserve">% variación </w:t>
            </w:r>
          </w:p>
          <w:p w:rsidR="005910B1" w:rsidRPr="00730AE6" w:rsidRDefault="005910B1" w:rsidP="000D10A0">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2017/2016</w:t>
            </w:r>
          </w:p>
        </w:tc>
      </w:tr>
      <w:tr w:rsidR="005910B1" w:rsidRPr="00730AE6" w:rsidTr="00283C58">
        <w:trPr>
          <w:trHeight w:val="284"/>
          <w:jc w:val="center"/>
        </w:trPr>
        <w:tc>
          <w:tcPr>
            <w:tcW w:w="3346" w:type="dxa"/>
            <w:tcBorders>
              <w:top w:val="single" w:sz="4" w:space="0" w:color="auto"/>
              <w:bottom w:val="single" w:sz="2" w:space="0" w:color="auto"/>
            </w:tcBorders>
            <w:shd w:val="clear" w:color="auto" w:fill="auto"/>
            <w:noWrap/>
            <w:vAlign w:val="center"/>
          </w:tcPr>
          <w:p w:rsidR="005910B1" w:rsidRPr="00730AE6" w:rsidRDefault="005910B1" w:rsidP="000D10A0">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Tasas</w:t>
            </w:r>
          </w:p>
        </w:tc>
        <w:tc>
          <w:tcPr>
            <w:tcW w:w="1992" w:type="dxa"/>
            <w:tcBorders>
              <w:top w:val="single" w:sz="4" w:space="0" w:color="auto"/>
              <w:bottom w:val="single" w:sz="2" w:space="0" w:color="auto"/>
            </w:tcBorders>
            <w:vAlign w:val="center"/>
          </w:tcPr>
          <w:p w:rsidR="005910B1" w:rsidRDefault="005910B1" w:rsidP="000D10A0">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1.163</w:t>
            </w:r>
          </w:p>
        </w:tc>
        <w:tc>
          <w:tcPr>
            <w:tcW w:w="2279" w:type="dxa"/>
            <w:tcBorders>
              <w:top w:val="single" w:sz="4" w:space="0" w:color="auto"/>
              <w:bottom w:val="single" w:sz="2" w:space="0" w:color="auto"/>
            </w:tcBorders>
            <w:vAlign w:val="center"/>
          </w:tcPr>
          <w:p w:rsidR="005910B1" w:rsidRDefault="005910B1" w:rsidP="000D10A0">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1.112</w:t>
            </w:r>
          </w:p>
        </w:tc>
        <w:tc>
          <w:tcPr>
            <w:tcW w:w="1356" w:type="dxa"/>
            <w:tcBorders>
              <w:top w:val="single" w:sz="4" w:space="0" w:color="auto"/>
              <w:bottom w:val="single" w:sz="2" w:space="0" w:color="auto"/>
            </w:tcBorders>
            <w:vAlign w:val="center"/>
          </w:tcPr>
          <w:p w:rsidR="005910B1" w:rsidRPr="00730AE6" w:rsidRDefault="005910B1" w:rsidP="000D10A0">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-4</w:t>
            </w:r>
          </w:p>
        </w:tc>
      </w:tr>
      <w:tr w:rsidR="005910B1" w:rsidRPr="00730AE6" w:rsidTr="00283C58">
        <w:trPr>
          <w:trHeight w:val="284"/>
          <w:jc w:val="center"/>
        </w:trPr>
        <w:tc>
          <w:tcPr>
            <w:tcW w:w="3346" w:type="dxa"/>
            <w:tcBorders>
              <w:top w:val="single" w:sz="2" w:space="0" w:color="auto"/>
              <w:bottom w:val="single" w:sz="2" w:space="0" w:color="auto"/>
            </w:tcBorders>
            <w:shd w:val="clear" w:color="auto" w:fill="auto"/>
            <w:noWrap/>
            <w:vAlign w:val="center"/>
          </w:tcPr>
          <w:p w:rsidR="005910B1" w:rsidRPr="00730AE6" w:rsidRDefault="005910B1" w:rsidP="000D10A0">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Precios públicos</w:t>
            </w:r>
          </w:p>
        </w:tc>
        <w:tc>
          <w:tcPr>
            <w:tcW w:w="1992" w:type="dxa"/>
            <w:tcBorders>
              <w:top w:val="single" w:sz="2" w:space="0" w:color="auto"/>
              <w:bottom w:val="single" w:sz="2" w:space="0" w:color="auto"/>
            </w:tcBorders>
            <w:vAlign w:val="center"/>
          </w:tcPr>
          <w:p w:rsidR="005910B1" w:rsidRDefault="005910B1" w:rsidP="000D10A0">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12.391</w:t>
            </w:r>
          </w:p>
        </w:tc>
        <w:tc>
          <w:tcPr>
            <w:tcW w:w="2279" w:type="dxa"/>
            <w:tcBorders>
              <w:top w:val="single" w:sz="2" w:space="0" w:color="auto"/>
              <w:bottom w:val="single" w:sz="2" w:space="0" w:color="auto"/>
            </w:tcBorders>
            <w:vAlign w:val="center"/>
          </w:tcPr>
          <w:p w:rsidR="005910B1" w:rsidRDefault="005910B1" w:rsidP="000D10A0">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11.195</w:t>
            </w:r>
          </w:p>
        </w:tc>
        <w:tc>
          <w:tcPr>
            <w:tcW w:w="1356" w:type="dxa"/>
            <w:tcBorders>
              <w:top w:val="single" w:sz="2" w:space="0" w:color="auto"/>
              <w:bottom w:val="single" w:sz="2" w:space="0" w:color="auto"/>
            </w:tcBorders>
            <w:vAlign w:val="center"/>
          </w:tcPr>
          <w:p w:rsidR="005910B1" w:rsidRPr="00730AE6" w:rsidRDefault="005910B1" w:rsidP="000D10A0">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-10</w:t>
            </w:r>
          </w:p>
        </w:tc>
      </w:tr>
      <w:tr w:rsidR="005910B1" w:rsidRPr="00730AE6" w:rsidTr="00283C58">
        <w:trPr>
          <w:trHeight w:val="284"/>
          <w:jc w:val="center"/>
        </w:trPr>
        <w:tc>
          <w:tcPr>
            <w:tcW w:w="3346" w:type="dxa"/>
            <w:tcBorders>
              <w:top w:val="single" w:sz="2" w:space="0" w:color="auto"/>
              <w:bottom w:val="single" w:sz="2" w:space="0" w:color="auto"/>
            </w:tcBorders>
            <w:shd w:val="clear" w:color="auto" w:fill="auto"/>
            <w:noWrap/>
            <w:vAlign w:val="center"/>
          </w:tcPr>
          <w:p w:rsidR="005910B1" w:rsidRPr="00730AE6" w:rsidRDefault="005910B1" w:rsidP="000D10A0">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Otros ingresos. Prestación de servicios</w:t>
            </w:r>
          </w:p>
        </w:tc>
        <w:tc>
          <w:tcPr>
            <w:tcW w:w="1992" w:type="dxa"/>
            <w:tcBorders>
              <w:top w:val="single" w:sz="2" w:space="0" w:color="auto"/>
              <w:bottom w:val="single" w:sz="2" w:space="0" w:color="auto"/>
            </w:tcBorders>
            <w:vAlign w:val="center"/>
          </w:tcPr>
          <w:p w:rsidR="005910B1" w:rsidRDefault="005910B1" w:rsidP="000D10A0">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2.350</w:t>
            </w:r>
          </w:p>
        </w:tc>
        <w:tc>
          <w:tcPr>
            <w:tcW w:w="2279" w:type="dxa"/>
            <w:tcBorders>
              <w:top w:val="single" w:sz="2" w:space="0" w:color="auto"/>
              <w:bottom w:val="single" w:sz="2" w:space="0" w:color="auto"/>
            </w:tcBorders>
            <w:vAlign w:val="center"/>
          </w:tcPr>
          <w:p w:rsidR="005910B1" w:rsidRDefault="005910B1" w:rsidP="000D10A0">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2.212</w:t>
            </w:r>
          </w:p>
        </w:tc>
        <w:tc>
          <w:tcPr>
            <w:tcW w:w="1356" w:type="dxa"/>
            <w:tcBorders>
              <w:top w:val="single" w:sz="2" w:space="0" w:color="auto"/>
              <w:bottom w:val="single" w:sz="2" w:space="0" w:color="auto"/>
            </w:tcBorders>
            <w:vAlign w:val="center"/>
          </w:tcPr>
          <w:p w:rsidR="005910B1" w:rsidRPr="00730AE6" w:rsidRDefault="005910B1" w:rsidP="000D10A0">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-6</w:t>
            </w:r>
          </w:p>
        </w:tc>
      </w:tr>
      <w:tr w:rsidR="005910B1" w:rsidRPr="00730AE6" w:rsidTr="00283C58">
        <w:trPr>
          <w:trHeight w:val="284"/>
          <w:jc w:val="center"/>
        </w:trPr>
        <w:tc>
          <w:tcPr>
            <w:tcW w:w="3346" w:type="dxa"/>
            <w:tcBorders>
              <w:top w:val="single" w:sz="2" w:space="0" w:color="auto"/>
              <w:bottom w:val="single" w:sz="2" w:space="0" w:color="auto"/>
            </w:tcBorders>
            <w:shd w:val="clear" w:color="auto" w:fill="auto"/>
            <w:noWrap/>
            <w:vAlign w:val="center"/>
          </w:tcPr>
          <w:p w:rsidR="005910B1" w:rsidRPr="00730AE6" w:rsidRDefault="005910B1" w:rsidP="000D10A0">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Venta de bienes</w:t>
            </w:r>
          </w:p>
        </w:tc>
        <w:tc>
          <w:tcPr>
            <w:tcW w:w="1992" w:type="dxa"/>
            <w:tcBorders>
              <w:top w:val="single" w:sz="2" w:space="0" w:color="auto"/>
              <w:bottom w:val="single" w:sz="2" w:space="0" w:color="auto"/>
            </w:tcBorders>
            <w:vAlign w:val="center"/>
          </w:tcPr>
          <w:p w:rsidR="005910B1" w:rsidRDefault="005910B1" w:rsidP="000D10A0">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14</w:t>
            </w:r>
          </w:p>
        </w:tc>
        <w:tc>
          <w:tcPr>
            <w:tcW w:w="2279" w:type="dxa"/>
            <w:tcBorders>
              <w:top w:val="single" w:sz="2" w:space="0" w:color="auto"/>
              <w:bottom w:val="single" w:sz="2" w:space="0" w:color="auto"/>
            </w:tcBorders>
            <w:vAlign w:val="center"/>
          </w:tcPr>
          <w:p w:rsidR="005910B1" w:rsidRDefault="005910B1" w:rsidP="000D10A0">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15</w:t>
            </w:r>
          </w:p>
        </w:tc>
        <w:tc>
          <w:tcPr>
            <w:tcW w:w="1356" w:type="dxa"/>
            <w:tcBorders>
              <w:top w:val="single" w:sz="2" w:space="0" w:color="auto"/>
              <w:bottom w:val="single" w:sz="2" w:space="0" w:color="auto"/>
            </w:tcBorders>
            <w:vAlign w:val="center"/>
          </w:tcPr>
          <w:p w:rsidR="005910B1" w:rsidRPr="00730AE6" w:rsidRDefault="005910B1" w:rsidP="000D10A0">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7</w:t>
            </w:r>
          </w:p>
        </w:tc>
      </w:tr>
      <w:tr w:rsidR="005910B1" w:rsidRPr="00730AE6" w:rsidTr="00283C58">
        <w:trPr>
          <w:trHeight w:val="284"/>
          <w:jc w:val="center"/>
        </w:trPr>
        <w:tc>
          <w:tcPr>
            <w:tcW w:w="3346" w:type="dxa"/>
            <w:tcBorders>
              <w:top w:val="single" w:sz="2" w:space="0" w:color="auto"/>
              <w:bottom w:val="single" w:sz="2" w:space="0" w:color="auto"/>
            </w:tcBorders>
            <w:shd w:val="clear" w:color="auto" w:fill="auto"/>
            <w:noWrap/>
            <w:vAlign w:val="center"/>
          </w:tcPr>
          <w:p w:rsidR="005910B1" w:rsidRDefault="005910B1" w:rsidP="000D10A0">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Reintegros</w:t>
            </w:r>
          </w:p>
        </w:tc>
        <w:tc>
          <w:tcPr>
            <w:tcW w:w="1992" w:type="dxa"/>
            <w:tcBorders>
              <w:top w:val="single" w:sz="2" w:space="0" w:color="auto"/>
              <w:bottom w:val="single" w:sz="2" w:space="0" w:color="auto"/>
            </w:tcBorders>
            <w:vAlign w:val="center"/>
          </w:tcPr>
          <w:p w:rsidR="005910B1" w:rsidRDefault="005910B1" w:rsidP="000D10A0">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20</w:t>
            </w:r>
          </w:p>
        </w:tc>
        <w:tc>
          <w:tcPr>
            <w:tcW w:w="2279" w:type="dxa"/>
            <w:tcBorders>
              <w:top w:val="single" w:sz="2" w:space="0" w:color="auto"/>
              <w:bottom w:val="single" w:sz="2" w:space="0" w:color="auto"/>
            </w:tcBorders>
            <w:vAlign w:val="center"/>
          </w:tcPr>
          <w:p w:rsidR="005910B1" w:rsidRDefault="005910B1" w:rsidP="000D10A0">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16</w:t>
            </w:r>
          </w:p>
        </w:tc>
        <w:tc>
          <w:tcPr>
            <w:tcW w:w="1356" w:type="dxa"/>
            <w:tcBorders>
              <w:top w:val="single" w:sz="2" w:space="0" w:color="auto"/>
              <w:bottom w:val="single" w:sz="2" w:space="0" w:color="auto"/>
            </w:tcBorders>
            <w:vAlign w:val="center"/>
          </w:tcPr>
          <w:p w:rsidR="005910B1" w:rsidRPr="00730AE6" w:rsidRDefault="005910B1" w:rsidP="000D10A0">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-20</w:t>
            </w:r>
          </w:p>
        </w:tc>
      </w:tr>
      <w:tr w:rsidR="005910B1" w:rsidRPr="00730AE6" w:rsidTr="00283C58">
        <w:trPr>
          <w:trHeight w:val="284"/>
          <w:jc w:val="center"/>
        </w:trPr>
        <w:tc>
          <w:tcPr>
            <w:tcW w:w="3346" w:type="dxa"/>
            <w:tcBorders>
              <w:top w:val="single" w:sz="2" w:space="0" w:color="auto"/>
              <w:bottom w:val="single" w:sz="2" w:space="0" w:color="auto"/>
            </w:tcBorders>
            <w:shd w:val="clear" w:color="auto" w:fill="auto"/>
            <w:noWrap/>
            <w:vAlign w:val="center"/>
          </w:tcPr>
          <w:p w:rsidR="005910B1" w:rsidRDefault="005910B1" w:rsidP="000D10A0">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Otros ingresos</w:t>
            </w:r>
          </w:p>
        </w:tc>
        <w:tc>
          <w:tcPr>
            <w:tcW w:w="1992" w:type="dxa"/>
            <w:tcBorders>
              <w:top w:val="single" w:sz="2" w:space="0" w:color="auto"/>
              <w:bottom w:val="single" w:sz="2" w:space="0" w:color="auto"/>
            </w:tcBorders>
            <w:vAlign w:val="center"/>
          </w:tcPr>
          <w:p w:rsidR="005910B1" w:rsidRDefault="005910B1" w:rsidP="000D10A0">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207</w:t>
            </w:r>
          </w:p>
        </w:tc>
        <w:tc>
          <w:tcPr>
            <w:tcW w:w="2279" w:type="dxa"/>
            <w:tcBorders>
              <w:top w:val="single" w:sz="2" w:space="0" w:color="auto"/>
              <w:bottom w:val="single" w:sz="2" w:space="0" w:color="auto"/>
            </w:tcBorders>
            <w:vAlign w:val="center"/>
          </w:tcPr>
          <w:p w:rsidR="005910B1" w:rsidRDefault="005910B1" w:rsidP="000D10A0">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159</w:t>
            </w:r>
          </w:p>
        </w:tc>
        <w:tc>
          <w:tcPr>
            <w:tcW w:w="1356" w:type="dxa"/>
            <w:tcBorders>
              <w:top w:val="single" w:sz="2" w:space="0" w:color="auto"/>
              <w:bottom w:val="single" w:sz="2" w:space="0" w:color="auto"/>
            </w:tcBorders>
            <w:vAlign w:val="center"/>
          </w:tcPr>
          <w:p w:rsidR="005910B1" w:rsidRPr="00730AE6" w:rsidRDefault="005910B1" w:rsidP="000D10A0">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-23</w:t>
            </w:r>
          </w:p>
        </w:tc>
      </w:tr>
      <w:tr w:rsidR="005910B1" w:rsidRPr="00283C58" w:rsidTr="00283C58">
        <w:trPr>
          <w:trHeight w:val="284"/>
          <w:jc w:val="center"/>
        </w:trPr>
        <w:tc>
          <w:tcPr>
            <w:tcW w:w="3346" w:type="dxa"/>
            <w:tcBorders>
              <w:top w:val="single" w:sz="2" w:space="0" w:color="auto"/>
              <w:bottom w:val="single" w:sz="2" w:space="0" w:color="auto"/>
            </w:tcBorders>
            <w:shd w:val="clear" w:color="auto" w:fill="ACCBF9" w:themeFill="background2"/>
            <w:noWrap/>
            <w:vAlign w:val="center"/>
          </w:tcPr>
          <w:p w:rsidR="005910B1" w:rsidRPr="00283C58" w:rsidRDefault="005910B1" w:rsidP="00206E22">
            <w:pPr>
              <w:spacing w:after="0"/>
              <w:ind w:firstLine="0"/>
              <w:jc w:val="left"/>
              <w:rPr>
                <w:rFonts w:ascii="Arial" w:hAnsi="Arial" w:cs="Arial"/>
                <w:sz w:val="18"/>
                <w:szCs w:val="18"/>
                <w:lang w:val="es-ES" w:eastAsia="es-ES"/>
              </w:rPr>
            </w:pPr>
            <w:r w:rsidRPr="00283C58">
              <w:rPr>
                <w:rFonts w:ascii="Arial" w:hAnsi="Arial" w:cs="Arial"/>
                <w:sz w:val="18"/>
                <w:szCs w:val="18"/>
                <w:lang w:val="es-ES" w:eastAsia="es-ES"/>
              </w:rPr>
              <w:t xml:space="preserve">Total </w:t>
            </w:r>
          </w:p>
        </w:tc>
        <w:tc>
          <w:tcPr>
            <w:tcW w:w="1992" w:type="dxa"/>
            <w:tcBorders>
              <w:top w:val="single" w:sz="2" w:space="0" w:color="auto"/>
              <w:bottom w:val="single" w:sz="2" w:space="0" w:color="auto"/>
            </w:tcBorders>
            <w:shd w:val="clear" w:color="auto" w:fill="ACCBF9" w:themeFill="background2"/>
            <w:vAlign w:val="center"/>
          </w:tcPr>
          <w:p w:rsidR="005910B1" w:rsidRPr="00283C58" w:rsidRDefault="005910B1" w:rsidP="000D10A0">
            <w:pPr>
              <w:spacing w:after="0"/>
              <w:ind w:firstLine="0"/>
              <w:jc w:val="right"/>
              <w:rPr>
                <w:rFonts w:ascii="Arial" w:hAnsi="Arial" w:cs="Arial"/>
                <w:sz w:val="18"/>
                <w:szCs w:val="18"/>
                <w:lang w:val="es-ES" w:eastAsia="es-ES"/>
              </w:rPr>
            </w:pPr>
            <w:r w:rsidRPr="00283C58">
              <w:rPr>
                <w:rFonts w:ascii="Arial" w:hAnsi="Arial" w:cs="Arial"/>
                <w:sz w:val="18"/>
                <w:szCs w:val="18"/>
                <w:lang w:val="es-ES" w:eastAsia="es-ES"/>
              </w:rPr>
              <w:t>16.145</w:t>
            </w:r>
          </w:p>
        </w:tc>
        <w:tc>
          <w:tcPr>
            <w:tcW w:w="2279" w:type="dxa"/>
            <w:tcBorders>
              <w:top w:val="single" w:sz="2" w:space="0" w:color="auto"/>
              <w:bottom w:val="single" w:sz="2" w:space="0" w:color="auto"/>
            </w:tcBorders>
            <w:shd w:val="clear" w:color="auto" w:fill="ACCBF9" w:themeFill="background2"/>
            <w:vAlign w:val="center"/>
          </w:tcPr>
          <w:p w:rsidR="005910B1" w:rsidRPr="00283C58" w:rsidRDefault="005910B1" w:rsidP="000D10A0">
            <w:pPr>
              <w:spacing w:after="0"/>
              <w:ind w:firstLine="0"/>
              <w:jc w:val="right"/>
              <w:rPr>
                <w:rFonts w:ascii="Arial" w:hAnsi="Arial" w:cs="Arial"/>
                <w:sz w:val="18"/>
                <w:szCs w:val="18"/>
                <w:lang w:val="es-ES" w:eastAsia="es-ES"/>
              </w:rPr>
            </w:pPr>
            <w:r w:rsidRPr="00283C58">
              <w:rPr>
                <w:rFonts w:ascii="Arial" w:hAnsi="Arial" w:cs="Arial"/>
                <w:sz w:val="18"/>
                <w:szCs w:val="18"/>
                <w:lang w:val="es-ES" w:eastAsia="es-ES"/>
              </w:rPr>
              <w:t>14.709</w:t>
            </w:r>
          </w:p>
        </w:tc>
        <w:tc>
          <w:tcPr>
            <w:tcW w:w="1356" w:type="dxa"/>
            <w:tcBorders>
              <w:top w:val="single" w:sz="2" w:space="0" w:color="auto"/>
              <w:bottom w:val="single" w:sz="2" w:space="0" w:color="auto"/>
            </w:tcBorders>
            <w:shd w:val="clear" w:color="auto" w:fill="ACCBF9" w:themeFill="background2"/>
            <w:vAlign w:val="center"/>
          </w:tcPr>
          <w:p w:rsidR="005910B1" w:rsidRPr="00283C58" w:rsidRDefault="005910B1" w:rsidP="000D10A0">
            <w:pPr>
              <w:spacing w:after="0"/>
              <w:ind w:firstLine="0"/>
              <w:jc w:val="right"/>
              <w:rPr>
                <w:rFonts w:ascii="Arial" w:hAnsi="Arial" w:cs="Arial"/>
                <w:sz w:val="18"/>
                <w:szCs w:val="18"/>
                <w:lang w:val="es-ES" w:eastAsia="es-ES"/>
              </w:rPr>
            </w:pPr>
            <w:r w:rsidRPr="00283C58">
              <w:rPr>
                <w:rFonts w:ascii="Arial" w:hAnsi="Arial" w:cs="Arial"/>
                <w:sz w:val="18"/>
                <w:szCs w:val="18"/>
                <w:lang w:val="es-ES" w:eastAsia="es-ES"/>
              </w:rPr>
              <w:t>-9</w:t>
            </w:r>
          </w:p>
        </w:tc>
      </w:tr>
    </w:tbl>
    <w:p w:rsidR="002E04BF" w:rsidRPr="00F5594F" w:rsidRDefault="002E04BF" w:rsidP="00F5594F">
      <w:pPr>
        <w:pStyle w:val="texto"/>
        <w:tabs>
          <w:tab w:val="clear" w:pos="2835"/>
          <w:tab w:val="clear" w:pos="3969"/>
          <w:tab w:val="clear" w:pos="5103"/>
          <w:tab w:val="clear" w:pos="6237"/>
          <w:tab w:val="clear" w:pos="7371"/>
          <w:tab w:val="left" w:pos="480"/>
          <w:tab w:val="num" w:pos="928"/>
          <w:tab w:val="num" w:pos="6597"/>
        </w:tabs>
        <w:spacing w:before="60"/>
        <w:ind w:firstLine="0"/>
        <w:rPr>
          <w:rFonts w:ascii="Arial" w:hAnsi="Arial" w:cs="Arial"/>
          <w:sz w:val="14"/>
          <w:szCs w:val="14"/>
        </w:rPr>
      </w:pPr>
      <w:r w:rsidRPr="00F5594F">
        <w:rPr>
          <w:rFonts w:ascii="Arial" w:hAnsi="Arial" w:cs="Arial"/>
          <w:sz w:val="14"/>
          <w:szCs w:val="14"/>
        </w:rPr>
        <w:t>*Ejercicio no auditado</w:t>
      </w:r>
    </w:p>
    <w:p w:rsidR="003A6E45" w:rsidRDefault="00254B3D" w:rsidP="00931800">
      <w:pPr>
        <w:pStyle w:val="texto"/>
        <w:spacing w:before="120" w:after="120"/>
      </w:pPr>
      <w:r>
        <w:t xml:space="preserve">Con respecto al año anterior estos ingresos disminuyen un nueve por ciento. </w:t>
      </w:r>
    </w:p>
    <w:p w:rsidR="00B37F18" w:rsidRDefault="00B37F18" w:rsidP="00931800">
      <w:pPr>
        <w:pStyle w:val="texto"/>
        <w:spacing w:before="120" w:after="120"/>
        <w:rPr>
          <w:szCs w:val="26"/>
        </w:rPr>
      </w:pPr>
      <w:r w:rsidRPr="003A6E45">
        <w:t xml:space="preserve">Los precios públicos en 2017 han ascendido a </w:t>
      </w:r>
      <w:r w:rsidR="008D6E57" w:rsidRPr="003A6E45">
        <w:t>1,</w:t>
      </w:r>
      <w:r w:rsidR="007A5619" w:rsidRPr="003A6E45">
        <w:t>1</w:t>
      </w:r>
      <w:r w:rsidR="004F1A68">
        <w:t>2</w:t>
      </w:r>
      <w:r w:rsidR="008D6E57" w:rsidRPr="003A6E45">
        <w:t xml:space="preserve"> </w:t>
      </w:r>
      <w:r w:rsidR="00D45B7E" w:rsidRPr="003A6E45">
        <w:t>millones, r</w:t>
      </w:r>
      <w:r w:rsidRPr="003A6E45">
        <w:t>epresentan el 76 por ciento de los ingresos totales del capítulo y presentan el siguiente detalle</w:t>
      </w:r>
      <w:r w:rsidR="00FE4670" w:rsidRPr="003A6E45">
        <w:t>:</w:t>
      </w:r>
    </w:p>
    <w:p w:rsidR="00FE4670" w:rsidRPr="00F5594F" w:rsidRDefault="0000117B" w:rsidP="00FE4670">
      <w:pPr>
        <w:pStyle w:val="texto"/>
        <w:tabs>
          <w:tab w:val="clear" w:pos="2835"/>
          <w:tab w:val="clear" w:pos="3969"/>
          <w:tab w:val="clear" w:pos="5103"/>
          <w:tab w:val="clear" w:pos="6237"/>
          <w:tab w:val="clear" w:pos="7371"/>
          <w:tab w:val="left" w:pos="480"/>
          <w:tab w:val="num" w:pos="928"/>
          <w:tab w:val="num" w:pos="6597"/>
        </w:tabs>
        <w:spacing w:after="0"/>
        <w:ind w:left="568" w:firstLine="0"/>
        <w:jc w:val="right"/>
        <w:rPr>
          <w:rFonts w:ascii="Arial" w:hAnsi="Arial" w:cs="Arial"/>
          <w:sz w:val="18"/>
          <w:szCs w:val="18"/>
        </w:rPr>
      </w:pPr>
      <w:r w:rsidRPr="00F5594F">
        <w:rPr>
          <w:rFonts w:ascii="Arial" w:hAnsi="Arial" w:cs="Arial"/>
          <w:sz w:val="18"/>
          <w:szCs w:val="18"/>
        </w:rPr>
        <w:t>(En miles de euros)</w:t>
      </w:r>
    </w:p>
    <w:tbl>
      <w:tblPr>
        <w:tblW w:w="8880" w:type="dxa"/>
        <w:jc w:val="center"/>
        <w:tblLayout w:type="fixed"/>
        <w:tblLook w:val="01E0" w:firstRow="1" w:lastRow="1" w:firstColumn="1" w:lastColumn="1" w:noHBand="0" w:noVBand="0"/>
      </w:tblPr>
      <w:tblGrid>
        <w:gridCol w:w="6462"/>
        <w:gridCol w:w="2418"/>
      </w:tblGrid>
      <w:tr w:rsidR="00B37F18" w:rsidRPr="00730AE6" w:rsidTr="007579DD">
        <w:trPr>
          <w:trHeight w:val="227"/>
          <w:jc w:val="center"/>
        </w:trPr>
        <w:tc>
          <w:tcPr>
            <w:tcW w:w="6462" w:type="dxa"/>
            <w:tcBorders>
              <w:top w:val="single" w:sz="4" w:space="0" w:color="auto"/>
              <w:bottom w:val="single" w:sz="4" w:space="0" w:color="auto"/>
            </w:tcBorders>
            <w:shd w:val="clear" w:color="auto" w:fill="A0C3E3" w:themeFill="accent1" w:themeFillTint="99"/>
            <w:vAlign w:val="center"/>
          </w:tcPr>
          <w:p w:rsidR="00B37F18" w:rsidRPr="00730AE6" w:rsidRDefault="00B37F18" w:rsidP="008D6E57">
            <w:pPr>
              <w:spacing w:after="0"/>
              <w:ind w:firstLine="0"/>
              <w:jc w:val="left"/>
              <w:rPr>
                <w:rFonts w:ascii="Arial" w:hAnsi="Arial" w:cs="Arial"/>
                <w:color w:val="000000"/>
                <w:sz w:val="18"/>
                <w:szCs w:val="18"/>
                <w:lang w:val="es-ES" w:eastAsia="es-ES"/>
              </w:rPr>
            </w:pPr>
            <w:r w:rsidRPr="00730AE6">
              <w:rPr>
                <w:rFonts w:ascii="Arial" w:hAnsi="Arial" w:cs="Arial"/>
                <w:color w:val="000000"/>
                <w:sz w:val="18"/>
                <w:szCs w:val="18"/>
                <w:lang w:val="es-ES" w:eastAsia="es-ES"/>
              </w:rPr>
              <w:t>Precios públicos</w:t>
            </w:r>
            <w:r w:rsidR="008D6E57">
              <w:rPr>
                <w:rFonts w:ascii="Arial" w:hAnsi="Arial" w:cs="Arial"/>
                <w:color w:val="000000"/>
                <w:sz w:val="18"/>
                <w:szCs w:val="18"/>
                <w:lang w:val="es-ES" w:eastAsia="es-ES"/>
              </w:rPr>
              <w:t xml:space="preserve"> </w:t>
            </w:r>
            <w:r w:rsidRPr="00730AE6">
              <w:rPr>
                <w:rFonts w:ascii="Arial" w:hAnsi="Arial" w:cs="Arial"/>
                <w:color w:val="000000"/>
                <w:sz w:val="18"/>
                <w:szCs w:val="18"/>
                <w:lang w:val="es-ES" w:eastAsia="es-ES"/>
              </w:rPr>
              <w:t>2017</w:t>
            </w:r>
          </w:p>
        </w:tc>
        <w:tc>
          <w:tcPr>
            <w:tcW w:w="2418" w:type="dxa"/>
            <w:tcBorders>
              <w:top w:val="single" w:sz="4" w:space="0" w:color="auto"/>
              <w:bottom w:val="single" w:sz="4" w:space="0" w:color="auto"/>
            </w:tcBorders>
            <w:shd w:val="clear" w:color="auto" w:fill="A0C3E3" w:themeFill="accent1" w:themeFillTint="99"/>
            <w:vAlign w:val="center"/>
          </w:tcPr>
          <w:p w:rsidR="00B37F18" w:rsidRPr="00730AE6" w:rsidRDefault="00B37F18" w:rsidP="00825A54">
            <w:pPr>
              <w:spacing w:after="0"/>
              <w:ind w:firstLine="0"/>
              <w:jc w:val="right"/>
              <w:rPr>
                <w:rFonts w:ascii="Arial" w:hAnsi="Arial" w:cs="Arial"/>
                <w:color w:val="000000"/>
                <w:sz w:val="18"/>
                <w:szCs w:val="18"/>
                <w:lang w:val="es-ES" w:eastAsia="es-ES"/>
              </w:rPr>
            </w:pPr>
            <w:r w:rsidRPr="00730AE6">
              <w:rPr>
                <w:rFonts w:ascii="Arial" w:hAnsi="Arial" w:cs="Arial"/>
                <w:color w:val="000000"/>
                <w:sz w:val="18"/>
                <w:szCs w:val="18"/>
                <w:lang w:val="es-ES" w:eastAsia="es-ES"/>
              </w:rPr>
              <w:t>Importe</w:t>
            </w:r>
          </w:p>
        </w:tc>
      </w:tr>
      <w:tr w:rsidR="00B37F18" w:rsidRPr="005910B1" w:rsidTr="007579DD">
        <w:trPr>
          <w:trHeight w:val="227"/>
          <w:jc w:val="center"/>
        </w:trPr>
        <w:tc>
          <w:tcPr>
            <w:tcW w:w="6462" w:type="dxa"/>
            <w:tcBorders>
              <w:top w:val="single" w:sz="4" w:space="0" w:color="auto"/>
              <w:bottom w:val="single" w:sz="2" w:space="0" w:color="auto"/>
            </w:tcBorders>
            <w:vAlign w:val="center"/>
          </w:tcPr>
          <w:p w:rsidR="00B37F18" w:rsidRPr="005910B1" w:rsidRDefault="00B37F18" w:rsidP="00825A54">
            <w:pPr>
              <w:spacing w:after="0"/>
              <w:ind w:firstLine="0"/>
              <w:jc w:val="left"/>
              <w:rPr>
                <w:rFonts w:ascii="Arial Narrow" w:hAnsi="Arial Narrow"/>
                <w:lang w:val="es-ES" w:eastAsia="es-ES"/>
              </w:rPr>
            </w:pPr>
            <w:r w:rsidRPr="005910B1">
              <w:rPr>
                <w:rFonts w:ascii="Arial Narrow" w:hAnsi="Arial Narrow"/>
                <w:lang w:val="es-ES" w:eastAsia="es-ES"/>
              </w:rPr>
              <w:t>Derechos de matrícula. Titulaciones Oficiales</w:t>
            </w:r>
          </w:p>
        </w:tc>
        <w:tc>
          <w:tcPr>
            <w:tcW w:w="2418" w:type="dxa"/>
            <w:tcBorders>
              <w:top w:val="single" w:sz="4" w:space="0" w:color="auto"/>
              <w:bottom w:val="single" w:sz="2" w:space="0" w:color="auto"/>
            </w:tcBorders>
            <w:vAlign w:val="center"/>
          </w:tcPr>
          <w:p w:rsidR="00B37F18" w:rsidRPr="005910B1" w:rsidRDefault="00B37F18" w:rsidP="00825A54">
            <w:pPr>
              <w:spacing w:after="0"/>
              <w:ind w:firstLine="0"/>
              <w:jc w:val="right"/>
              <w:rPr>
                <w:rFonts w:ascii="Arial Narrow" w:hAnsi="Arial Narrow"/>
                <w:lang w:val="es-ES" w:eastAsia="es-ES"/>
              </w:rPr>
            </w:pPr>
            <w:r w:rsidRPr="005910B1">
              <w:rPr>
                <w:rFonts w:ascii="Arial Narrow" w:hAnsi="Arial Narrow"/>
                <w:lang w:val="es-ES" w:eastAsia="es-ES"/>
              </w:rPr>
              <w:t>9.709</w:t>
            </w:r>
          </w:p>
        </w:tc>
      </w:tr>
      <w:tr w:rsidR="00B37F18" w:rsidRPr="005910B1" w:rsidTr="007579DD">
        <w:trPr>
          <w:trHeight w:val="227"/>
          <w:jc w:val="center"/>
        </w:trPr>
        <w:tc>
          <w:tcPr>
            <w:tcW w:w="6462" w:type="dxa"/>
            <w:tcBorders>
              <w:top w:val="single" w:sz="2" w:space="0" w:color="auto"/>
              <w:bottom w:val="single" w:sz="2" w:space="0" w:color="auto"/>
            </w:tcBorders>
            <w:vAlign w:val="center"/>
          </w:tcPr>
          <w:p w:rsidR="00B37F18" w:rsidRPr="005910B1" w:rsidRDefault="00B37F18" w:rsidP="00825A54">
            <w:pPr>
              <w:spacing w:after="0"/>
              <w:ind w:firstLine="0"/>
              <w:jc w:val="left"/>
              <w:rPr>
                <w:rFonts w:ascii="Arial Narrow" w:hAnsi="Arial Narrow"/>
                <w:lang w:val="es-ES" w:eastAsia="es-ES"/>
              </w:rPr>
            </w:pPr>
            <w:r w:rsidRPr="005910B1">
              <w:rPr>
                <w:rFonts w:ascii="Arial Narrow" w:hAnsi="Arial Narrow"/>
                <w:lang w:val="es-ES" w:eastAsia="es-ES"/>
              </w:rPr>
              <w:t>Derechos de matrícula. Enseñanzas no regladas</w:t>
            </w:r>
          </w:p>
        </w:tc>
        <w:tc>
          <w:tcPr>
            <w:tcW w:w="2418" w:type="dxa"/>
            <w:tcBorders>
              <w:top w:val="single" w:sz="2" w:space="0" w:color="auto"/>
              <w:bottom w:val="single" w:sz="2" w:space="0" w:color="auto"/>
            </w:tcBorders>
            <w:vAlign w:val="center"/>
          </w:tcPr>
          <w:p w:rsidR="00B37F18" w:rsidRPr="005910B1" w:rsidRDefault="00B37F18" w:rsidP="00825A54">
            <w:pPr>
              <w:spacing w:after="0"/>
              <w:ind w:firstLine="0"/>
              <w:jc w:val="right"/>
              <w:rPr>
                <w:rFonts w:ascii="Arial Narrow" w:hAnsi="Arial Narrow"/>
                <w:lang w:val="es-ES" w:eastAsia="es-ES"/>
              </w:rPr>
            </w:pPr>
            <w:r w:rsidRPr="005910B1">
              <w:rPr>
                <w:rFonts w:ascii="Arial Narrow" w:hAnsi="Arial Narrow"/>
                <w:lang w:val="es-ES" w:eastAsia="es-ES"/>
              </w:rPr>
              <w:t>1.083</w:t>
            </w:r>
          </w:p>
        </w:tc>
      </w:tr>
      <w:tr w:rsidR="00B37F18" w:rsidRPr="005910B1" w:rsidTr="007579DD">
        <w:trPr>
          <w:trHeight w:val="227"/>
          <w:jc w:val="center"/>
        </w:trPr>
        <w:tc>
          <w:tcPr>
            <w:tcW w:w="6462" w:type="dxa"/>
            <w:tcBorders>
              <w:top w:val="single" w:sz="2" w:space="0" w:color="auto"/>
              <w:bottom w:val="single" w:sz="2" w:space="0" w:color="auto"/>
            </w:tcBorders>
            <w:vAlign w:val="center"/>
          </w:tcPr>
          <w:p w:rsidR="00B37F18" w:rsidRPr="005910B1" w:rsidRDefault="00B37F18" w:rsidP="00825A54">
            <w:pPr>
              <w:spacing w:after="0"/>
              <w:ind w:firstLine="0"/>
              <w:jc w:val="left"/>
              <w:rPr>
                <w:rFonts w:ascii="Arial Narrow" w:hAnsi="Arial Narrow"/>
                <w:lang w:val="es-ES" w:eastAsia="es-ES"/>
              </w:rPr>
            </w:pPr>
            <w:r w:rsidRPr="005910B1">
              <w:rPr>
                <w:rFonts w:ascii="Arial Narrow" w:hAnsi="Arial Narrow"/>
                <w:lang w:val="es-ES" w:eastAsia="es-ES"/>
              </w:rPr>
              <w:t>Por actividades deportivas</w:t>
            </w:r>
          </w:p>
        </w:tc>
        <w:tc>
          <w:tcPr>
            <w:tcW w:w="2418" w:type="dxa"/>
            <w:tcBorders>
              <w:top w:val="single" w:sz="2" w:space="0" w:color="auto"/>
              <w:bottom w:val="single" w:sz="2" w:space="0" w:color="auto"/>
            </w:tcBorders>
            <w:vAlign w:val="center"/>
          </w:tcPr>
          <w:p w:rsidR="00B37F18" w:rsidRPr="005910B1" w:rsidRDefault="00B37F18" w:rsidP="00825A54">
            <w:pPr>
              <w:spacing w:after="0"/>
              <w:ind w:firstLine="0"/>
              <w:jc w:val="right"/>
              <w:rPr>
                <w:rFonts w:ascii="Arial Narrow" w:hAnsi="Arial Narrow"/>
                <w:lang w:val="es-ES" w:eastAsia="es-ES"/>
              </w:rPr>
            </w:pPr>
            <w:r w:rsidRPr="005910B1">
              <w:rPr>
                <w:rFonts w:ascii="Arial Narrow" w:hAnsi="Arial Narrow"/>
                <w:lang w:val="es-ES" w:eastAsia="es-ES"/>
              </w:rPr>
              <w:t>176</w:t>
            </w:r>
          </w:p>
        </w:tc>
      </w:tr>
      <w:tr w:rsidR="00B37F18" w:rsidRPr="005910B1" w:rsidTr="007579DD">
        <w:trPr>
          <w:trHeight w:val="227"/>
          <w:jc w:val="center"/>
        </w:trPr>
        <w:tc>
          <w:tcPr>
            <w:tcW w:w="6462" w:type="dxa"/>
            <w:tcBorders>
              <w:top w:val="single" w:sz="2" w:space="0" w:color="auto"/>
              <w:bottom w:val="single" w:sz="2" w:space="0" w:color="auto"/>
            </w:tcBorders>
            <w:vAlign w:val="center"/>
          </w:tcPr>
          <w:p w:rsidR="00B37F18" w:rsidRPr="005910B1" w:rsidRDefault="00B37F18" w:rsidP="00825A54">
            <w:pPr>
              <w:spacing w:after="0"/>
              <w:ind w:firstLine="0"/>
              <w:jc w:val="left"/>
              <w:rPr>
                <w:rFonts w:ascii="Arial Narrow" w:hAnsi="Arial Narrow"/>
                <w:lang w:val="es-ES" w:eastAsia="es-ES"/>
              </w:rPr>
            </w:pPr>
            <w:r w:rsidRPr="005910B1">
              <w:rPr>
                <w:rFonts w:ascii="Arial Narrow" w:hAnsi="Arial Narrow"/>
                <w:lang w:val="es-ES" w:eastAsia="es-ES"/>
              </w:rPr>
              <w:t>Por utilización de locales e instalaciones</w:t>
            </w:r>
          </w:p>
        </w:tc>
        <w:tc>
          <w:tcPr>
            <w:tcW w:w="2418" w:type="dxa"/>
            <w:tcBorders>
              <w:top w:val="single" w:sz="2" w:space="0" w:color="auto"/>
              <w:bottom w:val="single" w:sz="2" w:space="0" w:color="auto"/>
            </w:tcBorders>
            <w:vAlign w:val="center"/>
          </w:tcPr>
          <w:p w:rsidR="00B37F18" w:rsidRPr="005910B1" w:rsidRDefault="00B37F18" w:rsidP="00825A54">
            <w:pPr>
              <w:spacing w:after="0"/>
              <w:ind w:firstLine="0"/>
              <w:jc w:val="right"/>
              <w:rPr>
                <w:rFonts w:ascii="Arial Narrow" w:hAnsi="Arial Narrow"/>
                <w:lang w:val="es-ES" w:eastAsia="es-ES"/>
              </w:rPr>
            </w:pPr>
            <w:r w:rsidRPr="005910B1">
              <w:rPr>
                <w:rFonts w:ascii="Arial Narrow" w:hAnsi="Arial Narrow"/>
                <w:lang w:val="es-ES" w:eastAsia="es-ES"/>
              </w:rPr>
              <w:t>160</w:t>
            </w:r>
          </w:p>
        </w:tc>
      </w:tr>
      <w:tr w:rsidR="00B37F18" w:rsidRPr="005910B1" w:rsidTr="007579DD">
        <w:trPr>
          <w:trHeight w:val="227"/>
          <w:jc w:val="center"/>
        </w:trPr>
        <w:tc>
          <w:tcPr>
            <w:tcW w:w="6462" w:type="dxa"/>
            <w:tcBorders>
              <w:top w:val="single" w:sz="2" w:space="0" w:color="auto"/>
              <w:bottom w:val="single" w:sz="2" w:space="0" w:color="auto"/>
            </w:tcBorders>
            <w:vAlign w:val="center"/>
          </w:tcPr>
          <w:p w:rsidR="00B37F18" w:rsidRPr="005910B1" w:rsidRDefault="00B37F18" w:rsidP="00825A54">
            <w:pPr>
              <w:spacing w:after="0"/>
              <w:ind w:firstLine="0"/>
              <w:jc w:val="left"/>
              <w:rPr>
                <w:rFonts w:ascii="Arial Narrow" w:hAnsi="Arial Narrow"/>
                <w:lang w:val="es-ES" w:eastAsia="es-ES"/>
              </w:rPr>
            </w:pPr>
            <w:r w:rsidRPr="005910B1">
              <w:rPr>
                <w:rFonts w:ascii="Arial Narrow" w:hAnsi="Arial Narrow"/>
                <w:lang w:val="es-ES" w:eastAsia="es-ES"/>
              </w:rPr>
              <w:t>Otros precios públicos</w:t>
            </w:r>
          </w:p>
        </w:tc>
        <w:tc>
          <w:tcPr>
            <w:tcW w:w="2418" w:type="dxa"/>
            <w:tcBorders>
              <w:top w:val="single" w:sz="2" w:space="0" w:color="auto"/>
              <w:bottom w:val="single" w:sz="2" w:space="0" w:color="auto"/>
            </w:tcBorders>
            <w:vAlign w:val="center"/>
          </w:tcPr>
          <w:p w:rsidR="00B37F18" w:rsidRPr="005910B1" w:rsidRDefault="00B37F18" w:rsidP="00825A54">
            <w:pPr>
              <w:spacing w:after="0"/>
              <w:ind w:firstLine="0"/>
              <w:jc w:val="right"/>
              <w:rPr>
                <w:rFonts w:ascii="Arial Narrow" w:hAnsi="Arial Narrow"/>
                <w:lang w:val="es-ES" w:eastAsia="es-ES"/>
              </w:rPr>
            </w:pPr>
            <w:r w:rsidRPr="005910B1">
              <w:rPr>
                <w:rFonts w:ascii="Arial Narrow" w:hAnsi="Arial Narrow"/>
                <w:lang w:val="es-ES" w:eastAsia="es-ES"/>
              </w:rPr>
              <w:t>67</w:t>
            </w:r>
          </w:p>
        </w:tc>
      </w:tr>
      <w:tr w:rsidR="00B37F18" w:rsidRPr="00730AE6" w:rsidTr="007579DD">
        <w:trPr>
          <w:trHeight w:val="227"/>
          <w:jc w:val="center"/>
        </w:trPr>
        <w:tc>
          <w:tcPr>
            <w:tcW w:w="6462" w:type="dxa"/>
            <w:tcBorders>
              <w:top w:val="single" w:sz="2" w:space="0" w:color="auto"/>
              <w:bottom w:val="single" w:sz="2" w:space="0" w:color="auto"/>
            </w:tcBorders>
            <w:shd w:val="clear" w:color="auto" w:fill="A8CBEE" w:themeFill="accent2" w:themeFillTint="66"/>
            <w:vAlign w:val="center"/>
          </w:tcPr>
          <w:p w:rsidR="00B37F18" w:rsidRPr="00730AE6" w:rsidRDefault="00B37F18" w:rsidP="00825A54">
            <w:pPr>
              <w:spacing w:after="0"/>
              <w:ind w:firstLine="0"/>
              <w:jc w:val="left"/>
              <w:rPr>
                <w:rFonts w:ascii="Arial" w:hAnsi="Arial" w:cs="Arial"/>
                <w:sz w:val="18"/>
                <w:szCs w:val="18"/>
                <w:lang w:val="es-ES" w:eastAsia="es-ES"/>
              </w:rPr>
            </w:pPr>
            <w:r w:rsidRPr="00730AE6">
              <w:rPr>
                <w:rFonts w:ascii="Arial" w:hAnsi="Arial" w:cs="Arial"/>
                <w:sz w:val="18"/>
                <w:szCs w:val="18"/>
                <w:lang w:val="es-ES" w:eastAsia="es-ES"/>
              </w:rPr>
              <w:t>Total precios públicos</w:t>
            </w:r>
          </w:p>
        </w:tc>
        <w:tc>
          <w:tcPr>
            <w:tcW w:w="2418" w:type="dxa"/>
            <w:tcBorders>
              <w:top w:val="single" w:sz="2" w:space="0" w:color="auto"/>
              <w:bottom w:val="single" w:sz="2" w:space="0" w:color="auto"/>
            </w:tcBorders>
            <w:shd w:val="clear" w:color="auto" w:fill="A8CBEE" w:themeFill="accent2" w:themeFillTint="66"/>
            <w:vAlign w:val="center"/>
          </w:tcPr>
          <w:p w:rsidR="00B37F18" w:rsidRPr="00730AE6" w:rsidRDefault="00B37F18" w:rsidP="00825A54">
            <w:pPr>
              <w:spacing w:after="0"/>
              <w:ind w:firstLine="0"/>
              <w:jc w:val="right"/>
              <w:rPr>
                <w:rFonts w:ascii="Arial" w:hAnsi="Arial" w:cs="Arial"/>
                <w:sz w:val="18"/>
                <w:szCs w:val="18"/>
                <w:lang w:val="es-ES" w:eastAsia="es-ES"/>
              </w:rPr>
            </w:pPr>
            <w:r w:rsidRPr="00730AE6">
              <w:rPr>
                <w:rFonts w:ascii="Arial" w:hAnsi="Arial" w:cs="Arial"/>
                <w:sz w:val="18"/>
                <w:szCs w:val="18"/>
                <w:lang w:val="es-ES" w:eastAsia="es-ES"/>
              </w:rPr>
              <w:t>11.195</w:t>
            </w:r>
          </w:p>
        </w:tc>
      </w:tr>
    </w:tbl>
    <w:p w:rsidR="001F13B7" w:rsidRPr="002E4B7F" w:rsidRDefault="001F13B7" w:rsidP="005910B1">
      <w:pPr>
        <w:pStyle w:val="texto"/>
        <w:spacing w:before="240" w:after="120"/>
      </w:pPr>
      <w:r w:rsidRPr="002E4B7F">
        <w:t xml:space="preserve">Dentro de </w:t>
      </w:r>
      <w:r w:rsidR="003A6E45">
        <w:t>las t</w:t>
      </w:r>
      <w:r w:rsidRPr="002E4B7F">
        <w:t xml:space="preserve">itulaciones oficiales se contemplan las matrículas de ciclos, grados, doctorados y máster; en enseñanzas no regladas, se reflejan básicamente los derechos de los títulos propios, </w:t>
      </w:r>
      <w:r w:rsidR="004F1A68">
        <w:t>d</w:t>
      </w:r>
      <w:r w:rsidRPr="002E4B7F">
        <w:t>el aula de la experiencia y del centro superior de idiomas.</w:t>
      </w:r>
    </w:p>
    <w:p w:rsidR="0041510C" w:rsidRPr="002E4B7F" w:rsidRDefault="00174F1D" w:rsidP="00EF0692">
      <w:pPr>
        <w:pStyle w:val="texto"/>
        <w:spacing w:before="120" w:after="120"/>
      </w:pPr>
      <w:r>
        <w:t>L</w:t>
      </w:r>
      <w:r w:rsidR="0041510C" w:rsidRPr="002E4B7F">
        <w:t>os precios públicos disminuyen un 10 por ciento</w:t>
      </w:r>
      <w:r w:rsidR="00CB3447">
        <w:t xml:space="preserve"> </w:t>
      </w:r>
      <w:r w:rsidR="00702133">
        <w:t>r</w:t>
      </w:r>
      <w:r>
        <w:t>especto a 2016</w:t>
      </w:r>
      <w:r w:rsidR="00E6787F" w:rsidRPr="002E4B7F">
        <w:t>; esta disminución está</w:t>
      </w:r>
      <w:r w:rsidR="0041510C" w:rsidRPr="002E4B7F">
        <w:t xml:space="preserve"> motivada</w:t>
      </w:r>
      <w:r w:rsidR="00C4715E">
        <w:t>, principalmente,</w:t>
      </w:r>
      <w:r w:rsidR="0041510C" w:rsidRPr="002E4B7F">
        <w:t xml:space="preserve"> por el cambio de criterio aprobado por el Consejo de Gobierno en junio de 2016, por el cual </w:t>
      </w:r>
      <w:r w:rsidR="004F438B" w:rsidRPr="002E4B7F">
        <w:t>aqu</w:t>
      </w:r>
      <w:r w:rsidR="007179ED">
        <w:t>e</w:t>
      </w:r>
      <w:r w:rsidR="004F438B" w:rsidRPr="002E4B7F">
        <w:t xml:space="preserve">llos </w:t>
      </w:r>
      <w:r w:rsidR="0041510C" w:rsidRPr="002E4B7F">
        <w:t xml:space="preserve">grados que </w:t>
      </w:r>
      <w:r w:rsidR="004F438B" w:rsidRPr="002E4B7F">
        <w:t xml:space="preserve">aún </w:t>
      </w:r>
      <w:r w:rsidR="0041510C" w:rsidRPr="002E4B7F">
        <w:t>tenían matrículas semestrales pasan a tener matrícula anual. Por ello, en febrero 2016 se registra la matrícula del segundo semestre del curso 2015/2016 y en septiembre 201</w:t>
      </w:r>
      <w:r w:rsidR="004F438B" w:rsidRPr="002E4B7F">
        <w:t>6</w:t>
      </w:r>
      <w:r w:rsidR="0041510C" w:rsidRPr="002E4B7F">
        <w:t xml:space="preserve"> la matrícula completa del curso 2016/2017. En septiembre 2017 se registra la matrícula completa del curso 2017/2018.</w:t>
      </w:r>
    </w:p>
    <w:p w:rsidR="00E70A82" w:rsidRPr="00283C58" w:rsidRDefault="002E4B7F" w:rsidP="00283C58">
      <w:pPr>
        <w:pStyle w:val="texto"/>
        <w:rPr>
          <w:spacing w:val="2"/>
        </w:rPr>
      </w:pPr>
      <w:r w:rsidRPr="00283C58">
        <w:rPr>
          <w:spacing w:val="2"/>
        </w:rPr>
        <w:t>C</w:t>
      </w:r>
      <w:r w:rsidR="00E70A82" w:rsidRPr="00283C58">
        <w:rPr>
          <w:spacing w:val="2"/>
        </w:rPr>
        <w:t>on respecto a l</w:t>
      </w:r>
      <w:r w:rsidR="00C4715E" w:rsidRPr="00283C58">
        <w:rPr>
          <w:spacing w:val="2"/>
        </w:rPr>
        <w:t>as tasas y</w:t>
      </w:r>
      <w:r w:rsidR="00E70A82" w:rsidRPr="00283C58">
        <w:rPr>
          <w:spacing w:val="2"/>
        </w:rPr>
        <w:t xml:space="preserve"> precios públicos</w:t>
      </w:r>
      <w:r w:rsidR="007179ED">
        <w:rPr>
          <w:spacing w:val="2"/>
        </w:rPr>
        <w:t>,</w:t>
      </w:r>
      <w:r w:rsidR="00E70A82" w:rsidRPr="00283C58">
        <w:rPr>
          <w:spacing w:val="2"/>
        </w:rPr>
        <w:t xml:space="preserve"> destacamos los siguientes aspectos:</w:t>
      </w:r>
    </w:p>
    <w:p w:rsidR="00E70A82" w:rsidRPr="00730AE6" w:rsidRDefault="00E70A82" w:rsidP="00283C5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730AE6">
        <w:t xml:space="preserve">La fijación de la cuantía anual de los precios públicos aplicados por la </w:t>
      </w:r>
      <w:r w:rsidR="009D7DD5">
        <w:t>Universidad</w:t>
      </w:r>
      <w:r w:rsidRPr="00730AE6">
        <w:t xml:space="preserve"> se realiza:</w:t>
      </w:r>
    </w:p>
    <w:p w:rsidR="00E70A82" w:rsidRPr="00EB223F" w:rsidRDefault="00E70A82" w:rsidP="00283C58">
      <w:pPr>
        <w:pStyle w:val="texto"/>
      </w:pPr>
      <w:r w:rsidRPr="00EB223F">
        <w:t>a) Para los estudios oficial</w:t>
      </w:r>
      <w:r w:rsidR="00C03FAF" w:rsidRPr="00EB223F">
        <w:t>es, por el Gobierno de Navarra. P</w:t>
      </w:r>
      <w:r w:rsidR="00764F21" w:rsidRPr="00EB223F">
        <w:t>ara el curso 2017/2018</w:t>
      </w:r>
      <w:r w:rsidR="00C03FAF" w:rsidRPr="00EB223F">
        <w:t>,</w:t>
      </w:r>
      <w:r w:rsidR="00764F21" w:rsidRPr="00EB223F">
        <w:t xml:space="preserve"> por </w:t>
      </w:r>
      <w:r w:rsidR="00794E04" w:rsidRPr="00EB223F">
        <w:t xml:space="preserve">Resolución </w:t>
      </w:r>
      <w:r w:rsidR="00C03FAF" w:rsidRPr="00EB223F">
        <w:t xml:space="preserve">de </w:t>
      </w:r>
      <w:r w:rsidR="00764F21" w:rsidRPr="00EB223F">
        <w:t xml:space="preserve">la Directora General de Universidades y Recursos </w:t>
      </w:r>
      <w:r w:rsidR="00C65CEA" w:rsidRPr="00EB223F">
        <w:t>E</w:t>
      </w:r>
      <w:r w:rsidR="00764F21" w:rsidRPr="00EB223F">
        <w:t xml:space="preserve">ducativos en </w:t>
      </w:r>
      <w:r w:rsidR="00C4715E">
        <w:t>julio</w:t>
      </w:r>
      <w:r w:rsidR="00764F21" w:rsidRPr="00EB223F">
        <w:t xml:space="preserve"> de 2017</w:t>
      </w:r>
      <w:r w:rsidR="00794E04" w:rsidRPr="00EB223F">
        <w:t xml:space="preserve">, actualizando </w:t>
      </w:r>
      <w:r w:rsidR="00D45B7E">
        <w:t xml:space="preserve">en </w:t>
      </w:r>
      <w:r w:rsidR="00794E04" w:rsidRPr="00EB223F">
        <w:t>un 2,3 por ciento los aprobados para el curso anterior.</w:t>
      </w:r>
      <w:r w:rsidR="00103188" w:rsidRPr="00EB223F">
        <w:t xml:space="preserve"> </w:t>
      </w:r>
      <w:r w:rsidR="00D45B7E">
        <w:t>Asimismo, e</w:t>
      </w:r>
      <w:r w:rsidR="00103188" w:rsidRPr="00EB223F">
        <w:t>n dicha resolución se rebaja el precio de los créditos de primera matrícula para másteres universitarios habilitantes para profesiones reguladas</w:t>
      </w:r>
      <w:r w:rsidR="00D45B7E">
        <w:t>,</w:t>
      </w:r>
      <w:r w:rsidR="00103188" w:rsidRPr="00EB223F">
        <w:t xml:space="preserve"> del 25 al 20 por ciento de</w:t>
      </w:r>
      <w:r w:rsidR="00C03FAF" w:rsidRPr="00EB223F">
        <w:t xml:space="preserve"> su</w:t>
      </w:r>
      <w:r w:rsidR="00103188" w:rsidRPr="00EB223F">
        <w:t xml:space="preserve"> coste y </w:t>
      </w:r>
      <w:r w:rsidR="0069027F" w:rsidRPr="00EB223F">
        <w:t xml:space="preserve">para </w:t>
      </w:r>
      <w:r w:rsidR="00103188" w:rsidRPr="00EB223F">
        <w:t>el resto de másteres, del 40 al 25 por ciento.</w:t>
      </w:r>
      <w:r w:rsidR="00C4715E">
        <w:t xml:space="preserve"> Esto ha supuesto una disminución del 18 y el 36 por ciento, respectivamente, en el precio de los másteres.</w:t>
      </w:r>
    </w:p>
    <w:p w:rsidR="00E70A82" w:rsidRDefault="00E70A82" w:rsidP="00283C58">
      <w:pPr>
        <w:pStyle w:val="texto"/>
        <w:spacing w:before="120"/>
      </w:pPr>
      <w:r w:rsidRPr="00730AE6">
        <w:t xml:space="preserve">b) Para enseñanzas propias y otros precios públicos, con carácter general, </w:t>
      </w:r>
      <w:r w:rsidR="004F1A68">
        <w:t xml:space="preserve">por </w:t>
      </w:r>
      <w:r w:rsidRPr="00730AE6">
        <w:t>el Consejo Social.</w:t>
      </w:r>
      <w:r w:rsidR="003270AE">
        <w:t xml:space="preserve"> Por acuerdo del Consejo Social de </w:t>
      </w:r>
      <w:r w:rsidR="00F51FBB">
        <w:t xml:space="preserve">diciembre </w:t>
      </w:r>
      <w:r w:rsidR="003270AE">
        <w:t>de 201</w:t>
      </w:r>
      <w:r w:rsidR="00F51FBB">
        <w:t>6</w:t>
      </w:r>
      <w:r w:rsidR="003270AE">
        <w:t xml:space="preserve"> se aprue</w:t>
      </w:r>
      <w:r w:rsidR="00164283">
        <w:t>ban las tasas y precios</w:t>
      </w:r>
      <w:r w:rsidR="00A63241">
        <w:t xml:space="preserve"> </w:t>
      </w:r>
      <w:r w:rsidR="003270AE">
        <w:t xml:space="preserve">públicos para </w:t>
      </w:r>
      <w:r w:rsidR="00F51FBB">
        <w:t>2</w:t>
      </w:r>
      <w:r w:rsidR="003270AE">
        <w:t>017</w:t>
      </w:r>
      <w:r w:rsidR="00164283">
        <w:t xml:space="preserve"> y por acuerdo de junio 2017, los precios públicos </w:t>
      </w:r>
      <w:r w:rsidR="00164283" w:rsidRPr="00164283">
        <w:t xml:space="preserve">de enseñanzas propias, </w:t>
      </w:r>
      <w:r w:rsidR="00164283">
        <w:t xml:space="preserve">de </w:t>
      </w:r>
      <w:r w:rsidR="00164283" w:rsidRPr="00164283">
        <w:t>cuotas del programa A3U</w:t>
      </w:r>
      <w:r w:rsidR="00164283">
        <w:rPr>
          <w:rStyle w:val="Refdenotaalpie"/>
        </w:rPr>
        <w:footnoteReference w:id="8"/>
      </w:r>
      <w:r w:rsidR="00164283" w:rsidRPr="00164283">
        <w:t xml:space="preserve">, </w:t>
      </w:r>
      <w:r w:rsidR="00164283">
        <w:t xml:space="preserve">de </w:t>
      </w:r>
      <w:r w:rsidR="00164283" w:rsidRPr="00164283">
        <w:t xml:space="preserve">actividades e instalaciones deportivas, del </w:t>
      </w:r>
      <w:r w:rsidR="00164283">
        <w:t>s</w:t>
      </w:r>
      <w:r w:rsidR="00164283" w:rsidRPr="00164283">
        <w:t xml:space="preserve">ervicio </w:t>
      </w:r>
      <w:r w:rsidR="00164283">
        <w:t>M</w:t>
      </w:r>
      <w:r w:rsidR="00164283" w:rsidRPr="00164283">
        <w:t>i aulario</w:t>
      </w:r>
      <w:r w:rsidR="00164283">
        <w:rPr>
          <w:rStyle w:val="Refdenotaalpie"/>
        </w:rPr>
        <w:footnoteReference w:id="9"/>
      </w:r>
      <w:r w:rsidR="00164283" w:rsidRPr="00164283">
        <w:t xml:space="preserve"> y del </w:t>
      </w:r>
      <w:r w:rsidR="00164283">
        <w:t>c</w:t>
      </w:r>
      <w:r w:rsidR="00164283" w:rsidRPr="00164283">
        <w:t>entro superior de idiomas</w:t>
      </w:r>
      <w:r w:rsidR="00164283">
        <w:t>.</w:t>
      </w:r>
    </w:p>
    <w:p w:rsidR="00C9209A" w:rsidRDefault="00C9209A" w:rsidP="00283C58">
      <w:pPr>
        <w:pStyle w:val="texto"/>
        <w:spacing w:before="120"/>
        <w:rPr>
          <w:rFonts w:ascii="Arial" w:hAnsi="Arial" w:cs="Arial"/>
          <w:bCs/>
          <w:color w:val="000000"/>
          <w:spacing w:val="0"/>
          <w:sz w:val="18"/>
          <w:szCs w:val="18"/>
          <w:lang w:val="es-ES" w:eastAsia="es-ES"/>
        </w:rPr>
      </w:pPr>
      <w:r>
        <w:t xml:space="preserve">Los precios de </w:t>
      </w:r>
      <w:r w:rsidR="00B64D44">
        <w:t xml:space="preserve">las </w:t>
      </w:r>
      <w:r>
        <w:t>matrícula</w:t>
      </w:r>
      <w:r w:rsidR="00B64D44">
        <w:t xml:space="preserve">s </w:t>
      </w:r>
      <w:r>
        <w:t xml:space="preserve">de grado </w:t>
      </w:r>
      <w:r w:rsidR="00B64D44">
        <w:t>y máster</w:t>
      </w:r>
      <w:r w:rsidR="00B64D44">
        <w:rPr>
          <w:rStyle w:val="Refdenotaalpie"/>
        </w:rPr>
        <w:footnoteReference w:id="10"/>
      </w:r>
      <w:r w:rsidR="00B64D44">
        <w:t xml:space="preserve"> </w:t>
      </w:r>
      <w:r>
        <w:t>para el curso 2017/2018 son los siguientes:</w:t>
      </w:r>
    </w:p>
    <w:tbl>
      <w:tblPr>
        <w:tblW w:w="8907"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109"/>
        <w:gridCol w:w="1757"/>
        <w:gridCol w:w="1626"/>
        <w:gridCol w:w="1838"/>
        <w:gridCol w:w="1577"/>
      </w:tblGrid>
      <w:tr w:rsidR="005910B1" w:rsidRPr="005910B1" w:rsidTr="00283C58">
        <w:trPr>
          <w:trHeight w:val="284"/>
          <w:jc w:val="center"/>
        </w:trPr>
        <w:tc>
          <w:tcPr>
            <w:tcW w:w="2109" w:type="dxa"/>
            <w:tcBorders>
              <w:top w:val="single" w:sz="4" w:space="0" w:color="auto"/>
              <w:bottom w:val="single" w:sz="4" w:space="0" w:color="auto"/>
            </w:tcBorders>
            <w:shd w:val="clear" w:color="auto" w:fill="A8CBEE" w:themeFill="accent2" w:themeFillTint="66"/>
            <w:noWrap/>
            <w:vAlign w:val="center"/>
          </w:tcPr>
          <w:p w:rsidR="005910B1" w:rsidRPr="005910B1" w:rsidRDefault="005910B1" w:rsidP="006B5569">
            <w:pPr>
              <w:pStyle w:val="cuadroCabe"/>
              <w:tabs>
                <w:tab w:val="clear" w:pos="2835"/>
                <w:tab w:val="right" w:pos="2589"/>
              </w:tabs>
              <w:ind w:right="462"/>
              <w:rPr>
                <w:sz w:val="16"/>
                <w:szCs w:val="16"/>
                <w:lang w:val="es-ES" w:eastAsia="es-ES"/>
              </w:rPr>
            </w:pPr>
          </w:p>
        </w:tc>
        <w:tc>
          <w:tcPr>
            <w:tcW w:w="1757" w:type="dxa"/>
            <w:tcBorders>
              <w:top w:val="single" w:sz="4" w:space="0" w:color="auto"/>
              <w:bottom w:val="single" w:sz="4" w:space="0" w:color="auto"/>
            </w:tcBorders>
            <w:shd w:val="clear" w:color="auto" w:fill="A8CBEE" w:themeFill="accent2" w:themeFillTint="66"/>
            <w:vAlign w:val="center"/>
          </w:tcPr>
          <w:p w:rsidR="005910B1" w:rsidRPr="005910B1" w:rsidRDefault="005910B1" w:rsidP="00283C58">
            <w:pPr>
              <w:spacing w:after="0"/>
              <w:ind w:right="51" w:firstLine="0"/>
              <w:jc w:val="right"/>
              <w:rPr>
                <w:rFonts w:ascii="Arial" w:hAnsi="Arial" w:cs="Arial"/>
                <w:bCs/>
                <w:color w:val="000000"/>
                <w:sz w:val="16"/>
                <w:szCs w:val="16"/>
                <w:lang w:val="es-ES" w:eastAsia="es-ES"/>
              </w:rPr>
            </w:pPr>
            <w:r w:rsidRPr="005910B1">
              <w:rPr>
                <w:rFonts w:ascii="Arial" w:hAnsi="Arial" w:cs="Arial"/>
                <w:bCs/>
                <w:color w:val="000000"/>
                <w:sz w:val="16"/>
                <w:szCs w:val="16"/>
                <w:lang w:val="es-ES" w:eastAsia="es-ES"/>
              </w:rPr>
              <w:t>Ciencias Humanas y Sociales</w:t>
            </w:r>
          </w:p>
        </w:tc>
        <w:tc>
          <w:tcPr>
            <w:tcW w:w="1626" w:type="dxa"/>
            <w:tcBorders>
              <w:top w:val="single" w:sz="4" w:space="0" w:color="auto"/>
              <w:bottom w:val="single" w:sz="4" w:space="0" w:color="auto"/>
            </w:tcBorders>
            <w:shd w:val="clear" w:color="auto" w:fill="A8CBEE" w:themeFill="accent2" w:themeFillTint="66"/>
            <w:vAlign w:val="center"/>
          </w:tcPr>
          <w:p w:rsidR="005910B1" w:rsidRPr="005910B1" w:rsidRDefault="005910B1" w:rsidP="00283C58">
            <w:pPr>
              <w:spacing w:after="0"/>
              <w:ind w:firstLine="0"/>
              <w:jc w:val="right"/>
              <w:rPr>
                <w:rFonts w:ascii="Arial" w:hAnsi="Arial" w:cs="Arial"/>
                <w:bCs/>
                <w:color w:val="000000"/>
                <w:sz w:val="16"/>
                <w:szCs w:val="16"/>
                <w:lang w:val="es-ES" w:eastAsia="es-ES"/>
              </w:rPr>
            </w:pPr>
            <w:r w:rsidRPr="005910B1">
              <w:rPr>
                <w:rFonts w:ascii="Arial" w:hAnsi="Arial" w:cs="Arial"/>
                <w:bCs/>
                <w:color w:val="000000"/>
                <w:sz w:val="16"/>
                <w:szCs w:val="16"/>
                <w:lang w:val="es-ES" w:eastAsia="es-ES"/>
              </w:rPr>
              <w:t>Ciencias, Ingenierías y Ciencias de la Salud</w:t>
            </w:r>
          </w:p>
        </w:tc>
        <w:tc>
          <w:tcPr>
            <w:tcW w:w="1838" w:type="dxa"/>
            <w:tcBorders>
              <w:top w:val="single" w:sz="4" w:space="0" w:color="auto"/>
              <w:bottom w:val="single" w:sz="4" w:space="0" w:color="auto"/>
            </w:tcBorders>
            <w:shd w:val="clear" w:color="auto" w:fill="A8CBEE" w:themeFill="accent2" w:themeFillTint="66"/>
            <w:vAlign w:val="center"/>
          </w:tcPr>
          <w:p w:rsidR="005910B1" w:rsidRPr="005910B1" w:rsidRDefault="005910B1" w:rsidP="00283C58">
            <w:pPr>
              <w:tabs>
                <w:tab w:val="left" w:pos="1702"/>
              </w:tabs>
              <w:spacing w:after="0"/>
              <w:ind w:right="-4" w:firstLine="0"/>
              <w:jc w:val="right"/>
              <w:rPr>
                <w:rFonts w:ascii="Arial" w:hAnsi="Arial" w:cs="Arial"/>
                <w:bCs/>
                <w:color w:val="000000"/>
                <w:sz w:val="16"/>
                <w:szCs w:val="16"/>
                <w:lang w:val="es-ES" w:eastAsia="es-ES"/>
              </w:rPr>
            </w:pPr>
            <w:r w:rsidRPr="005910B1">
              <w:rPr>
                <w:rFonts w:ascii="Arial" w:hAnsi="Arial" w:cs="Arial"/>
                <w:bCs/>
                <w:color w:val="000000"/>
                <w:sz w:val="16"/>
                <w:szCs w:val="16"/>
                <w:lang w:val="es-ES" w:eastAsia="es-ES"/>
              </w:rPr>
              <w:t>Másteres habilitantes para profesiones reguladas</w:t>
            </w:r>
          </w:p>
        </w:tc>
        <w:tc>
          <w:tcPr>
            <w:tcW w:w="1577" w:type="dxa"/>
            <w:tcBorders>
              <w:top w:val="single" w:sz="4" w:space="0" w:color="auto"/>
              <w:bottom w:val="single" w:sz="4" w:space="0" w:color="auto"/>
            </w:tcBorders>
            <w:shd w:val="clear" w:color="auto" w:fill="A8CBEE" w:themeFill="accent2" w:themeFillTint="66"/>
            <w:vAlign w:val="center"/>
          </w:tcPr>
          <w:p w:rsidR="005910B1" w:rsidRPr="005910B1" w:rsidRDefault="005910B1" w:rsidP="00283C58">
            <w:pPr>
              <w:spacing w:after="0"/>
              <w:ind w:firstLine="0"/>
              <w:jc w:val="right"/>
              <w:rPr>
                <w:rFonts w:ascii="Arial" w:hAnsi="Arial" w:cs="Arial"/>
                <w:bCs/>
                <w:color w:val="000000"/>
                <w:sz w:val="16"/>
                <w:szCs w:val="16"/>
                <w:lang w:val="es-ES" w:eastAsia="es-ES"/>
              </w:rPr>
            </w:pPr>
            <w:r w:rsidRPr="005910B1">
              <w:rPr>
                <w:rFonts w:ascii="Arial" w:hAnsi="Arial" w:cs="Arial"/>
                <w:bCs/>
                <w:color w:val="000000"/>
                <w:sz w:val="16"/>
                <w:szCs w:val="16"/>
                <w:lang w:val="es-ES" w:eastAsia="es-ES"/>
              </w:rPr>
              <w:t xml:space="preserve">Másteres no habilitantes para </w:t>
            </w:r>
            <w:proofErr w:type="spellStart"/>
            <w:r w:rsidRPr="005910B1">
              <w:rPr>
                <w:rFonts w:ascii="Arial" w:hAnsi="Arial" w:cs="Arial"/>
                <w:bCs/>
                <w:color w:val="000000"/>
                <w:sz w:val="16"/>
                <w:szCs w:val="16"/>
                <w:lang w:val="es-ES" w:eastAsia="es-ES"/>
              </w:rPr>
              <w:t>pr</w:t>
            </w:r>
            <w:r>
              <w:rPr>
                <w:rFonts w:ascii="Arial" w:hAnsi="Arial" w:cs="Arial"/>
                <w:bCs/>
                <w:color w:val="000000"/>
                <w:sz w:val="16"/>
                <w:szCs w:val="16"/>
                <w:lang w:val="es-ES" w:eastAsia="es-ES"/>
              </w:rPr>
              <w:t>of.</w:t>
            </w:r>
            <w:proofErr w:type="spellEnd"/>
            <w:r w:rsidRPr="005910B1">
              <w:rPr>
                <w:rFonts w:ascii="Arial" w:hAnsi="Arial" w:cs="Arial"/>
                <w:bCs/>
                <w:color w:val="000000"/>
                <w:sz w:val="16"/>
                <w:szCs w:val="16"/>
                <w:lang w:val="es-ES" w:eastAsia="es-ES"/>
              </w:rPr>
              <w:t xml:space="preserve"> reguladas </w:t>
            </w:r>
          </w:p>
        </w:tc>
      </w:tr>
      <w:tr w:rsidR="005910B1" w:rsidRPr="00730AE6" w:rsidTr="00283C58">
        <w:trPr>
          <w:trHeight w:val="284"/>
          <w:jc w:val="center"/>
        </w:trPr>
        <w:tc>
          <w:tcPr>
            <w:tcW w:w="2109" w:type="dxa"/>
            <w:tcBorders>
              <w:top w:val="single" w:sz="4" w:space="0" w:color="auto"/>
              <w:bottom w:val="single" w:sz="2" w:space="0" w:color="auto"/>
            </w:tcBorders>
            <w:shd w:val="clear" w:color="auto" w:fill="auto"/>
            <w:noWrap/>
            <w:vAlign w:val="center"/>
          </w:tcPr>
          <w:p w:rsidR="005910B1" w:rsidRPr="00325853" w:rsidRDefault="005910B1" w:rsidP="00164283">
            <w:pPr>
              <w:spacing w:after="0"/>
              <w:ind w:firstLine="0"/>
              <w:jc w:val="left"/>
              <w:rPr>
                <w:rFonts w:ascii="Arial Narrow" w:hAnsi="Arial Narrow"/>
                <w:lang w:val="es-ES" w:eastAsia="es-ES"/>
              </w:rPr>
            </w:pPr>
            <w:r w:rsidRPr="00325853">
              <w:rPr>
                <w:rFonts w:ascii="Arial Narrow" w:hAnsi="Arial Narrow"/>
                <w:lang w:val="es-ES" w:eastAsia="es-ES"/>
              </w:rPr>
              <w:t xml:space="preserve">1ª </w:t>
            </w:r>
            <w:r>
              <w:rPr>
                <w:rFonts w:ascii="Arial Narrow" w:hAnsi="Arial Narrow"/>
                <w:lang w:val="es-ES" w:eastAsia="es-ES"/>
              </w:rPr>
              <w:t>m</w:t>
            </w:r>
            <w:r w:rsidRPr="00325853">
              <w:rPr>
                <w:rFonts w:ascii="Arial Narrow" w:hAnsi="Arial Narrow"/>
                <w:lang w:val="es-ES" w:eastAsia="es-ES"/>
              </w:rPr>
              <w:t>atrícula</w:t>
            </w:r>
          </w:p>
        </w:tc>
        <w:tc>
          <w:tcPr>
            <w:tcW w:w="1757" w:type="dxa"/>
            <w:tcBorders>
              <w:top w:val="single" w:sz="4" w:space="0" w:color="auto"/>
              <w:bottom w:val="single" w:sz="2" w:space="0" w:color="auto"/>
            </w:tcBorders>
            <w:vAlign w:val="center"/>
          </w:tcPr>
          <w:p w:rsidR="005910B1" w:rsidRPr="00325853" w:rsidRDefault="005910B1" w:rsidP="00283C58">
            <w:pPr>
              <w:spacing w:after="0"/>
              <w:ind w:firstLine="0"/>
              <w:jc w:val="right"/>
              <w:rPr>
                <w:rFonts w:ascii="Arial Narrow" w:hAnsi="Arial Narrow"/>
                <w:lang w:val="es-ES" w:eastAsia="es-ES"/>
              </w:rPr>
            </w:pPr>
            <w:r w:rsidRPr="00325853">
              <w:rPr>
                <w:rFonts w:ascii="Arial Narrow" w:hAnsi="Arial Narrow"/>
                <w:lang w:val="es-ES" w:eastAsia="es-ES"/>
              </w:rPr>
              <w:t>16,2</w:t>
            </w:r>
            <w:r>
              <w:rPr>
                <w:rFonts w:ascii="Arial Narrow" w:hAnsi="Arial Narrow"/>
                <w:lang w:val="es-ES" w:eastAsia="es-ES"/>
              </w:rPr>
              <w:t>7</w:t>
            </w:r>
            <w:r w:rsidRPr="00325853">
              <w:rPr>
                <w:rFonts w:ascii="Arial Narrow" w:hAnsi="Arial Narrow"/>
                <w:lang w:val="es-ES" w:eastAsia="es-ES"/>
              </w:rPr>
              <w:t xml:space="preserve"> €/crédito</w:t>
            </w:r>
          </w:p>
        </w:tc>
        <w:tc>
          <w:tcPr>
            <w:tcW w:w="1626" w:type="dxa"/>
            <w:tcBorders>
              <w:top w:val="single" w:sz="4" w:space="0" w:color="auto"/>
              <w:bottom w:val="single" w:sz="2" w:space="0" w:color="auto"/>
            </w:tcBorders>
            <w:vAlign w:val="center"/>
          </w:tcPr>
          <w:p w:rsidR="005910B1" w:rsidRPr="00325853" w:rsidRDefault="005910B1" w:rsidP="00283C58">
            <w:pPr>
              <w:spacing w:after="0"/>
              <w:ind w:firstLine="0"/>
              <w:jc w:val="right"/>
              <w:rPr>
                <w:rFonts w:ascii="Arial Narrow" w:hAnsi="Arial Narrow"/>
                <w:lang w:val="es-ES" w:eastAsia="es-ES"/>
              </w:rPr>
            </w:pPr>
            <w:r>
              <w:rPr>
                <w:rFonts w:ascii="Arial Narrow" w:hAnsi="Arial Narrow"/>
                <w:lang w:val="es-ES" w:eastAsia="es-ES"/>
              </w:rPr>
              <w:t>23,05</w:t>
            </w:r>
            <w:r w:rsidRPr="00325853">
              <w:rPr>
                <w:rFonts w:ascii="Arial Narrow" w:hAnsi="Arial Narrow"/>
                <w:lang w:val="es-ES" w:eastAsia="es-ES"/>
              </w:rPr>
              <w:t xml:space="preserve"> €/crédito</w:t>
            </w:r>
          </w:p>
        </w:tc>
        <w:tc>
          <w:tcPr>
            <w:tcW w:w="1838" w:type="dxa"/>
            <w:tcBorders>
              <w:top w:val="single" w:sz="4" w:space="0" w:color="auto"/>
              <w:bottom w:val="single" w:sz="2" w:space="0" w:color="auto"/>
            </w:tcBorders>
            <w:vAlign w:val="center"/>
          </w:tcPr>
          <w:p w:rsidR="005910B1" w:rsidRPr="00325853" w:rsidRDefault="005910B1" w:rsidP="00283C58">
            <w:pPr>
              <w:tabs>
                <w:tab w:val="left" w:pos="1702"/>
              </w:tabs>
              <w:spacing w:after="0"/>
              <w:ind w:right="-4" w:firstLine="0"/>
              <w:jc w:val="right"/>
              <w:rPr>
                <w:rFonts w:ascii="Arial Narrow" w:hAnsi="Arial Narrow"/>
                <w:lang w:val="es-ES" w:eastAsia="es-ES"/>
              </w:rPr>
            </w:pPr>
            <w:r>
              <w:rPr>
                <w:rFonts w:ascii="Arial Narrow" w:hAnsi="Arial Narrow"/>
                <w:lang w:val="es-ES" w:eastAsia="es-ES"/>
              </w:rPr>
              <w:t>22,67€/crédito</w:t>
            </w:r>
          </w:p>
        </w:tc>
        <w:tc>
          <w:tcPr>
            <w:tcW w:w="1577" w:type="dxa"/>
            <w:tcBorders>
              <w:top w:val="single" w:sz="4" w:space="0" w:color="auto"/>
              <w:bottom w:val="single" w:sz="2" w:space="0" w:color="auto"/>
            </w:tcBorders>
            <w:vAlign w:val="center"/>
          </w:tcPr>
          <w:p w:rsidR="005910B1" w:rsidRPr="00325853" w:rsidRDefault="005910B1" w:rsidP="00283C58">
            <w:pPr>
              <w:spacing w:after="0"/>
              <w:ind w:firstLine="0"/>
              <w:jc w:val="right"/>
              <w:rPr>
                <w:rFonts w:ascii="Arial Narrow" w:hAnsi="Arial Narrow"/>
                <w:lang w:val="es-ES" w:eastAsia="es-ES"/>
              </w:rPr>
            </w:pPr>
            <w:r>
              <w:rPr>
                <w:rFonts w:ascii="Arial Narrow" w:hAnsi="Arial Narrow"/>
                <w:lang w:val="es-ES" w:eastAsia="es-ES"/>
              </w:rPr>
              <w:t>28,34€/crédito</w:t>
            </w:r>
          </w:p>
        </w:tc>
      </w:tr>
      <w:tr w:rsidR="005910B1" w:rsidRPr="00730AE6" w:rsidTr="00283C58">
        <w:trPr>
          <w:trHeight w:val="284"/>
          <w:jc w:val="center"/>
        </w:trPr>
        <w:tc>
          <w:tcPr>
            <w:tcW w:w="2109" w:type="dxa"/>
            <w:tcBorders>
              <w:top w:val="single" w:sz="2" w:space="0" w:color="auto"/>
              <w:bottom w:val="single" w:sz="2" w:space="0" w:color="auto"/>
            </w:tcBorders>
            <w:shd w:val="clear" w:color="auto" w:fill="auto"/>
            <w:noWrap/>
            <w:vAlign w:val="center"/>
          </w:tcPr>
          <w:p w:rsidR="005910B1" w:rsidRPr="00325853" w:rsidRDefault="005910B1" w:rsidP="00164283">
            <w:pPr>
              <w:spacing w:after="0"/>
              <w:ind w:firstLine="0"/>
              <w:jc w:val="left"/>
              <w:rPr>
                <w:rFonts w:ascii="Arial Narrow" w:hAnsi="Arial Narrow"/>
                <w:lang w:val="es-ES" w:eastAsia="es-ES"/>
              </w:rPr>
            </w:pPr>
            <w:r w:rsidRPr="00325853">
              <w:rPr>
                <w:rFonts w:ascii="Arial Narrow" w:hAnsi="Arial Narrow"/>
                <w:lang w:val="es-ES" w:eastAsia="es-ES"/>
              </w:rPr>
              <w:t xml:space="preserve">2ª </w:t>
            </w:r>
            <w:r>
              <w:rPr>
                <w:rFonts w:ascii="Arial Narrow" w:hAnsi="Arial Narrow"/>
                <w:lang w:val="es-ES" w:eastAsia="es-ES"/>
              </w:rPr>
              <w:t>m</w:t>
            </w:r>
            <w:r w:rsidRPr="00325853">
              <w:rPr>
                <w:rFonts w:ascii="Arial Narrow" w:hAnsi="Arial Narrow"/>
                <w:lang w:val="es-ES" w:eastAsia="es-ES"/>
              </w:rPr>
              <w:t>atrícula</w:t>
            </w:r>
          </w:p>
        </w:tc>
        <w:tc>
          <w:tcPr>
            <w:tcW w:w="1757" w:type="dxa"/>
            <w:tcBorders>
              <w:top w:val="single" w:sz="2" w:space="0" w:color="auto"/>
              <w:bottom w:val="single" w:sz="2" w:space="0" w:color="auto"/>
            </w:tcBorders>
            <w:vAlign w:val="center"/>
          </w:tcPr>
          <w:p w:rsidR="005910B1" w:rsidRPr="00325853" w:rsidRDefault="005910B1" w:rsidP="00283C58">
            <w:pPr>
              <w:spacing w:after="0"/>
              <w:ind w:firstLine="0"/>
              <w:jc w:val="right"/>
              <w:rPr>
                <w:rFonts w:ascii="Arial Narrow" w:hAnsi="Arial Narrow"/>
                <w:lang w:val="es-ES" w:eastAsia="es-ES"/>
              </w:rPr>
            </w:pPr>
            <w:r>
              <w:rPr>
                <w:rFonts w:ascii="Arial Narrow" w:hAnsi="Arial Narrow"/>
                <w:lang w:val="es-ES" w:eastAsia="es-ES"/>
              </w:rPr>
              <w:t>32,55</w:t>
            </w:r>
            <w:r w:rsidRPr="00325853">
              <w:rPr>
                <w:rFonts w:ascii="Arial Narrow" w:hAnsi="Arial Narrow"/>
                <w:lang w:val="es-ES" w:eastAsia="es-ES"/>
              </w:rPr>
              <w:t xml:space="preserve"> €/crédito</w:t>
            </w:r>
          </w:p>
        </w:tc>
        <w:tc>
          <w:tcPr>
            <w:tcW w:w="1626" w:type="dxa"/>
            <w:tcBorders>
              <w:top w:val="single" w:sz="2" w:space="0" w:color="auto"/>
              <w:bottom w:val="single" w:sz="2" w:space="0" w:color="auto"/>
            </w:tcBorders>
            <w:vAlign w:val="center"/>
          </w:tcPr>
          <w:p w:rsidR="005910B1" w:rsidRPr="00325853" w:rsidRDefault="005910B1" w:rsidP="00283C58">
            <w:pPr>
              <w:spacing w:after="0"/>
              <w:ind w:firstLine="0"/>
              <w:jc w:val="right"/>
              <w:rPr>
                <w:rFonts w:ascii="Arial Narrow" w:hAnsi="Arial Narrow"/>
                <w:lang w:val="es-ES" w:eastAsia="es-ES"/>
              </w:rPr>
            </w:pPr>
            <w:r>
              <w:rPr>
                <w:rFonts w:ascii="Arial Narrow" w:hAnsi="Arial Narrow"/>
                <w:lang w:val="es-ES" w:eastAsia="es-ES"/>
              </w:rPr>
              <w:t>46,09</w:t>
            </w:r>
            <w:r w:rsidRPr="00325853">
              <w:rPr>
                <w:rFonts w:ascii="Arial Narrow" w:hAnsi="Arial Narrow"/>
                <w:lang w:val="es-ES" w:eastAsia="es-ES"/>
              </w:rPr>
              <w:t xml:space="preserve"> €/crédito</w:t>
            </w:r>
          </w:p>
        </w:tc>
        <w:tc>
          <w:tcPr>
            <w:tcW w:w="1838" w:type="dxa"/>
            <w:tcBorders>
              <w:top w:val="single" w:sz="2" w:space="0" w:color="auto"/>
              <w:bottom w:val="single" w:sz="2" w:space="0" w:color="auto"/>
            </w:tcBorders>
            <w:vAlign w:val="center"/>
          </w:tcPr>
          <w:p w:rsidR="005910B1" w:rsidRPr="00325853" w:rsidRDefault="005910B1" w:rsidP="00283C58">
            <w:pPr>
              <w:tabs>
                <w:tab w:val="left" w:pos="1702"/>
              </w:tabs>
              <w:spacing w:after="0"/>
              <w:ind w:right="-4" w:firstLine="0"/>
              <w:jc w:val="right"/>
              <w:rPr>
                <w:rFonts w:ascii="Arial Narrow" w:hAnsi="Arial Narrow"/>
                <w:lang w:val="es-ES" w:eastAsia="es-ES"/>
              </w:rPr>
            </w:pPr>
            <w:r>
              <w:rPr>
                <w:rFonts w:ascii="Arial Narrow" w:hAnsi="Arial Narrow"/>
                <w:lang w:val="es-ES" w:eastAsia="es-ES"/>
              </w:rPr>
              <w:t>34€/crédito</w:t>
            </w:r>
          </w:p>
        </w:tc>
        <w:tc>
          <w:tcPr>
            <w:tcW w:w="1577" w:type="dxa"/>
            <w:vMerge w:val="restart"/>
            <w:tcBorders>
              <w:top w:val="single" w:sz="2" w:space="0" w:color="auto"/>
            </w:tcBorders>
            <w:vAlign w:val="center"/>
          </w:tcPr>
          <w:p w:rsidR="005910B1" w:rsidRPr="00325853" w:rsidRDefault="005910B1" w:rsidP="00283C58">
            <w:pPr>
              <w:spacing w:after="0"/>
              <w:ind w:firstLine="0"/>
              <w:jc w:val="right"/>
              <w:rPr>
                <w:rFonts w:ascii="Arial Narrow" w:hAnsi="Arial Narrow"/>
                <w:lang w:val="es-ES" w:eastAsia="es-ES"/>
              </w:rPr>
            </w:pPr>
            <w:r>
              <w:rPr>
                <w:rFonts w:ascii="Arial Narrow" w:hAnsi="Arial Narrow"/>
                <w:lang w:val="es-ES" w:eastAsia="es-ES"/>
              </w:rPr>
              <w:t>73,67€/crédito</w:t>
            </w:r>
          </w:p>
        </w:tc>
      </w:tr>
      <w:tr w:rsidR="005910B1" w:rsidRPr="00730AE6" w:rsidTr="00283C58">
        <w:trPr>
          <w:trHeight w:val="284"/>
          <w:jc w:val="center"/>
        </w:trPr>
        <w:tc>
          <w:tcPr>
            <w:tcW w:w="2109" w:type="dxa"/>
            <w:tcBorders>
              <w:top w:val="single" w:sz="2" w:space="0" w:color="auto"/>
              <w:bottom w:val="single" w:sz="2" w:space="0" w:color="auto"/>
            </w:tcBorders>
            <w:shd w:val="clear" w:color="auto" w:fill="auto"/>
            <w:noWrap/>
            <w:vAlign w:val="center"/>
          </w:tcPr>
          <w:p w:rsidR="005910B1" w:rsidRPr="00325853" w:rsidRDefault="005910B1" w:rsidP="00164283">
            <w:pPr>
              <w:spacing w:after="0"/>
              <w:ind w:firstLine="0"/>
              <w:jc w:val="left"/>
              <w:rPr>
                <w:rFonts w:ascii="Arial Narrow" w:hAnsi="Arial Narrow"/>
                <w:lang w:val="es-ES" w:eastAsia="es-ES"/>
              </w:rPr>
            </w:pPr>
            <w:r w:rsidRPr="00325853">
              <w:rPr>
                <w:rFonts w:ascii="Arial Narrow" w:hAnsi="Arial Narrow"/>
                <w:lang w:val="es-ES" w:eastAsia="es-ES"/>
              </w:rPr>
              <w:t xml:space="preserve">3ª </w:t>
            </w:r>
            <w:r>
              <w:rPr>
                <w:rFonts w:ascii="Arial Narrow" w:hAnsi="Arial Narrow"/>
                <w:lang w:val="es-ES" w:eastAsia="es-ES"/>
              </w:rPr>
              <w:t>m</w:t>
            </w:r>
            <w:r w:rsidRPr="00325853">
              <w:rPr>
                <w:rFonts w:ascii="Arial Narrow" w:hAnsi="Arial Narrow"/>
                <w:lang w:val="es-ES" w:eastAsia="es-ES"/>
              </w:rPr>
              <w:t>atrícula</w:t>
            </w:r>
          </w:p>
        </w:tc>
        <w:tc>
          <w:tcPr>
            <w:tcW w:w="1757" w:type="dxa"/>
            <w:tcBorders>
              <w:top w:val="single" w:sz="2" w:space="0" w:color="auto"/>
              <w:bottom w:val="single" w:sz="2" w:space="0" w:color="auto"/>
            </w:tcBorders>
            <w:vAlign w:val="center"/>
          </w:tcPr>
          <w:p w:rsidR="005910B1" w:rsidRPr="00325853" w:rsidRDefault="005910B1" w:rsidP="00283C58">
            <w:pPr>
              <w:spacing w:after="0"/>
              <w:ind w:firstLine="0"/>
              <w:jc w:val="right"/>
              <w:rPr>
                <w:rFonts w:ascii="Arial Narrow" w:hAnsi="Arial Narrow"/>
                <w:lang w:val="es-ES" w:eastAsia="es-ES"/>
              </w:rPr>
            </w:pPr>
            <w:r w:rsidRPr="00325853">
              <w:rPr>
                <w:rFonts w:ascii="Arial Narrow" w:hAnsi="Arial Narrow"/>
                <w:lang w:val="es-ES" w:eastAsia="es-ES"/>
              </w:rPr>
              <w:t>70,5</w:t>
            </w:r>
            <w:r>
              <w:rPr>
                <w:rFonts w:ascii="Arial Narrow" w:hAnsi="Arial Narrow"/>
                <w:lang w:val="es-ES" w:eastAsia="es-ES"/>
              </w:rPr>
              <w:t>2</w:t>
            </w:r>
            <w:r w:rsidRPr="00325853">
              <w:rPr>
                <w:rFonts w:ascii="Arial Narrow" w:hAnsi="Arial Narrow"/>
                <w:lang w:val="es-ES" w:eastAsia="es-ES"/>
              </w:rPr>
              <w:t xml:space="preserve"> €/crédito</w:t>
            </w:r>
          </w:p>
        </w:tc>
        <w:tc>
          <w:tcPr>
            <w:tcW w:w="1626" w:type="dxa"/>
            <w:tcBorders>
              <w:top w:val="single" w:sz="2" w:space="0" w:color="auto"/>
              <w:bottom w:val="single" w:sz="2" w:space="0" w:color="auto"/>
            </w:tcBorders>
            <w:vAlign w:val="center"/>
          </w:tcPr>
          <w:p w:rsidR="005910B1" w:rsidRPr="00325853" w:rsidRDefault="005910B1" w:rsidP="00283C58">
            <w:pPr>
              <w:spacing w:after="0"/>
              <w:ind w:firstLine="0"/>
              <w:jc w:val="right"/>
              <w:rPr>
                <w:rFonts w:ascii="Arial Narrow" w:hAnsi="Arial Narrow"/>
                <w:lang w:val="es-ES" w:eastAsia="es-ES"/>
              </w:rPr>
            </w:pPr>
            <w:r>
              <w:rPr>
                <w:rFonts w:ascii="Arial Narrow" w:hAnsi="Arial Narrow"/>
                <w:lang w:val="es-ES" w:eastAsia="es-ES"/>
              </w:rPr>
              <w:t>99,84</w:t>
            </w:r>
            <w:r w:rsidRPr="00325853">
              <w:rPr>
                <w:rFonts w:ascii="Arial Narrow" w:hAnsi="Arial Narrow"/>
                <w:lang w:val="es-ES" w:eastAsia="es-ES"/>
              </w:rPr>
              <w:t xml:space="preserve"> €/crédito</w:t>
            </w:r>
          </w:p>
        </w:tc>
        <w:tc>
          <w:tcPr>
            <w:tcW w:w="1838" w:type="dxa"/>
            <w:tcBorders>
              <w:top w:val="single" w:sz="2" w:space="0" w:color="auto"/>
              <w:bottom w:val="single" w:sz="2" w:space="0" w:color="auto"/>
            </w:tcBorders>
            <w:vAlign w:val="center"/>
          </w:tcPr>
          <w:p w:rsidR="005910B1" w:rsidRPr="00325853" w:rsidRDefault="005910B1" w:rsidP="00283C58">
            <w:pPr>
              <w:tabs>
                <w:tab w:val="left" w:pos="1702"/>
              </w:tabs>
              <w:spacing w:after="0"/>
              <w:ind w:right="-4" w:firstLine="0"/>
              <w:jc w:val="right"/>
              <w:rPr>
                <w:rFonts w:ascii="Arial Narrow" w:hAnsi="Arial Narrow"/>
                <w:lang w:val="es-ES" w:eastAsia="es-ES"/>
              </w:rPr>
            </w:pPr>
            <w:r>
              <w:rPr>
                <w:rFonts w:ascii="Arial Narrow" w:hAnsi="Arial Narrow"/>
                <w:lang w:val="es-ES" w:eastAsia="es-ES"/>
              </w:rPr>
              <w:t>73,67€/crédito</w:t>
            </w:r>
          </w:p>
        </w:tc>
        <w:tc>
          <w:tcPr>
            <w:tcW w:w="1577" w:type="dxa"/>
            <w:vMerge/>
            <w:vAlign w:val="center"/>
          </w:tcPr>
          <w:p w:rsidR="005910B1" w:rsidRPr="00325853" w:rsidRDefault="005910B1" w:rsidP="00283C58">
            <w:pPr>
              <w:spacing w:after="0"/>
              <w:ind w:firstLine="0"/>
              <w:jc w:val="right"/>
              <w:rPr>
                <w:rFonts w:ascii="Arial Narrow" w:hAnsi="Arial Narrow"/>
                <w:lang w:val="es-ES" w:eastAsia="es-ES"/>
              </w:rPr>
            </w:pPr>
          </w:p>
        </w:tc>
      </w:tr>
      <w:tr w:rsidR="005910B1" w:rsidRPr="00730AE6" w:rsidTr="00F5594F">
        <w:trPr>
          <w:trHeight w:val="284"/>
          <w:jc w:val="center"/>
        </w:trPr>
        <w:tc>
          <w:tcPr>
            <w:tcW w:w="2109" w:type="dxa"/>
            <w:tcBorders>
              <w:top w:val="single" w:sz="2" w:space="0" w:color="auto"/>
              <w:bottom w:val="single" w:sz="4" w:space="0" w:color="auto"/>
            </w:tcBorders>
            <w:shd w:val="clear" w:color="auto" w:fill="auto"/>
            <w:noWrap/>
            <w:vAlign w:val="center"/>
          </w:tcPr>
          <w:p w:rsidR="005910B1" w:rsidRPr="00730AE6" w:rsidRDefault="005910B1" w:rsidP="006B5569">
            <w:pPr>
              <w:spacing w:after="0"/>
              <w:ind w:firstLine="0"/>
              <w:jc w:val="left"/>
              <w:rPr>
                <w:rFonts w:ascii="Arial Narrow" w:hAnsi="Arial Narrow"/>
                <w:sz w:val="18"/>
                <w:szCs w:val="18"/>
                <w:lang w:val="es-ES" w:eastAsia="es-ES"/>
              </w:rPr>
            </w:pPr>
            <w:r w:rsidRPr="00325853">
              <w:rPr>
                <w:rFonts w:ascii="Arial Narrow" w:hAnsi="Arial Narrow"/>
                <w:lang w:val="es-ES" w:eastAsia="es-ES"/>
              </w:rPr>
              <w:t>4ª matrícula y siguientes</w:t>
            </w:r>
          </w:p>
        </w:tc>
        <w:tc>
          <w:tcPr>
            <w:tcW w:w="1757" w:type="dxa"/>
            <w:tcBorders>
              <w:top w:val="single" w:sz="2" w:space="0" w:color="auto"/>
              <w:bottom w:val="single" w:sz="4" w:space="0" w:color="auto"/>
            </w:tcBorders>
            <w:vAlign w:val="center"/>
          </w:tcPr>
          <w:p w:rsidR="005910B1" w:rsidRPr="00325853" w:rsidRDefault="005910B1" w:rsidP="00283C58">
            <w:pPr>
              <w:spacing w:after="0"/>
              <w:ind w:firstLine="0"/>
              <w:jc w:val="right"/>
              <w:rPr>
                <w:rFonts w:ascii="Arial Narrow" w:hAnsi="Arial Narrow"/>
                <w:lang w:val="es-ES" w:eastAsia="es-ES"/>
              </w:rPr>
            </w:pPr>
            <w:r w:rsidRPr="00325853">
              <w:rPr>
                <w:rFonts w:ascii="Arial Narrow" w:hAnsi="Arial Narrow"/>
                <w:lang w:val="es-ES" w:eastAsia="es-ES"/>
              </w:rPr>
              <w:t>97,6</w:t>
            </w:r>
            <w:r>
              <w:rPr>
                <w:rFonts w:ascii="Arial Narrow" w:hAnsi="Arial Narrow"/>
                <w:lang w:val="es-ES" w:eastAsia="es-ES"/>
              </w:rPr>
              <w:t>4</w:t>
            </w:r>
            <w:r w:rsidRPr="00325853">
              <w:rPr>
                <w:rFonts w:ascii="Arial Narrow" w:hAnsi="Arial Narrow"/>
                <w:lang w:val="es-ES" w:eastAsia="es-ES"/>
              </w:rPr>
              <w:t xml:space="preserve"> €/crédito</w:t>
            </w:r>
          </w:p>
        </w:tc>
        <w:tc>
          <w:tcPr>
            <w:tcW w:w="1626" w:type="dxa"/>
            <w:tcBorders>
              <w:top w:val="single" w:sz="2" w:space="0" w:color="auto"/>
              <w:bottom w:val="single" w:sz="4" w:space="0" w:color="auto"/>
            </w:tcBorders>
            <w:vAlign w:val="center"/>
          </w:tcPr>
          <w:p w:rsidR="005910B1" w:rsidRPr="00325853" w:rsidRDefault="005910B1" w:rsidP="00283C58">
            <w:pPr>
              <w:spacing w:after="0"/>
              <w:ind w:firstLine="0"/>
              <w:jc w:val="right"/>
              <w:rPr>
                <w:rFonts w:ascii="Arial Narrow" w:hAnsi="Arial Narrow"/>
                <w:lang w:val="es-ES" w:eastAsia="es-ES"/>
              </w:rPr>
            </w:pPr>
            <w:r>
              <w:rPr>
                <w:rFonts w:ascii="Arial Narrow" w:hAnsi="Arial Narrow"/>
                <w:lang w:val="es-ES" w:eastAsia="es-ES"/>
              </w:rPr>
              <w:t>138,25</w:t>
            </w:r>
            <w:r w:rsidRPr="00325853">
              <w:rPr>
                <w:rFonts w:ascii="Arial Narrow" w:hAnsi="Arial Narrow"/>
                <w:lang w:val="es-ES" w:eastAsia="es-ES"/>
              </w:rPr>
              <w:t xml:space="preserve"> €/crédito</w:t>
            </w:r>
          </w:p>
        </w:tc>
        <w:tc>
          <w:tcPr>
            <w:tcW w:w="1838" w:type="dxa"/>
            <w:tcBorders>
              <w:top w:val="single" w:sz="2" w:space="0" w:color="auto"/>
              <w:bottom w:val="single" w:sz="4" w:space="0" w:color="auto"/>
            </w:tcBorders>
            <w:vAlign w:val="center"/>
          </w:tcPr>
          <w:p w:rsidR="005910B1" w:rsidRPr="00325853" w:rsidRDefault="005910B1" w:rsidP="00283C58">
            <w:pPr>
              <w:tabs>
                <w:tab w:val="left" w:pos="1702"/>
              </w:tabs>
              <w:spacing w:after="0"/>
              <w:ind w:right="-4" w:firstLine="0"/>
              <w:jc w:val="right"/>
              <w:rPr>
                <w:rFonts w:ascii="Arial Narrow" w:hAnsi="Arial Narrow"/>
                <w:lang w:val="es-ES" w:eastAsia="es-ES"/>
              </w:rPr>
            </w:pPr>
            <w:r>
              <w:rPr>
                <w:rFonts w:ascii="Arial Narrow" w:hAnsi="Arial Narrow"/>
                <w:lang w:val="es-ES" w:eastAsia="es-ES"/>
              </w:rPr>
              <w:t>102€/crédito</w:t>
            </w:r>
          </w:p>
        </w:tc>
        <w:tc>
          <w:tcPr>
            <w:tcW w:w="1577" w:type="dxa"/>
            <w:vMerge/>
            <w:tcBorders>
              <w:bottom w:val="single" w:sz="4" w:space="0" w:color="auto"/>
            </w:tcBorders>
            <w:vAlign w:val="center"/>
          </w:tcPr>
          <w:p w:rsidR="005910B1" w:rsidRPr="00325853" w:rsidRDefault="005910B1" w:rsidP="00283C58">
            <w:pPr>
              <w:spacing w:after="0"/>
              <w:ind w:firstLine="0"/>
              <w:jc w:val="right"/>
              <w:rPr>
                <w:rFonts w:ascii="Arial Narrow" w:hAnsi="Arial Narrow"/>
                <w:lang w:val="es-ES" w:eastAsia="es-ES"/>
              </w:rPr>
            </w:pPr>
          </w:p>
        </w:tc>
      </w:tr>
    </w:tbl>
    <w:p w:rsidR="00FF7EB4" w:rsidRDefault="00FF1E60" w:rsidP="00513C2C">
      <w:pPr>
        <w:pStyle w:val="texto"/>
        <w:spacing w:before="240"/>
      </w:pPr>
      <w:r>
        <w:t>En la matrícula, a</w:t>
      </w:r>
      <w:r w:rsidR="00FF7EB4">
        <w:t xml:space="preserve">demás de los precios académicos, hay que abonar los precios </w:t>
      </w:r>
      <w:r w:rsidR="00B67859">
        <w:t>administrativos</w:t>
      </w:r>
      <w:r w:rsidR="00FF7EB4">
        <w:t xml:space="preserve">: </w:t>
      </w:r>
      <w:r w:rsidR="00B92F3A">
        <w:t>41,15 euros gastos de gestión administrativa, 31,2</w:t>
      </w:r>
      <w:r w:rsidR="008420DE">
        <w:t>3</w:t>
      </w:r>
      <w:r w:rsidR="00B92F3A">
        <w:t xml:space="preserve"> euros apertura </w:t>
      </w:r>
      <w:r w:rsidR="00FE4670">
        <w:t xml:space="preserve">de </w:t>
      </w:r>
      <w:r w:rsidR="00B92F3A">
        <w:t>expedien</w:t>
      </w:r>
      <w:r w:rsidR="00FE4670">
        <w:t xml:space="preserve">te el </w:t>
      </w:r>
      <w:r w:rsidR="00B92F3A">
        <w:t xml:space="preserve">primer año y </w:t>
      </w:r>
      <w:r w:rsidR="00B67859">
        <w:t>seguro escolar</w:t>
      </w:r>
      <w:r w:rsidR="00B92F3A">
        <w:t>:</w:t>
      </w:r>
      <w:r w:rsidR="00B67859">
        <w:t xml:space="preserve"> </w:t>
      </w:r>
      <w:r w:rsidR="00B92F3A">
        <w:t xml:space="preserve">1,12 euros </w:t>
      </w:r>
      <w:r w:rsidR="00B67859">
        <w:t>para menores de 28 años</w:t>
      </w:r>
      <w:r w:rsidR="00B92F3A">
        <w:t xml:space="preserve"> y 13 euros</w:t>
      </w:r>
      <w:r w:rsidR="00B67859">
        <w:t xml:space="preserve"> seguro cum laude para mayores de 28 años.</w:t>
      </w:r>
    </w:p>
    <w:p w:rsidR="00E70A82" w:rsidRPr="00730AE6" w:rsidRDefault="00E70A82" w:rsidP="00FF1E6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90"/>
      </w:pPr>
      <w:r w:rsidRPr="00730AE6">
        <w:t xml:space="preserve">La gestión de las matrículas se realiza a través de la aplicación SIGMA, efectuándose las mismas por el alumno de forma </w:t>
      </w:r>
      <w:r w:rsidRPr="00730AE6">
        <w:rPr>
          <w:i/>
        </w:rPr>
        <w:t>on line</w:t>
      </w:r>
      <w:r w:rsidRPr="00730AE6">
        <w:t xml:space="preserve"> y la propia aplicación genera el abonaré o carta de pago. El pago en la entidad financiera se puede efectuar, a opción del alumno, mediante un pago al contado o mediante pagos fraccionados sin coste alguno. </w:t>
      </w:r>
    </w:p>
    <w:p w:rsidR="00D85F0C" w:rsidRPr="00730AE6" w:rsidRDefault="00D85F0C" w:rsidP="00FF1E60">
      <w:pPr>
        <w:pStyle w:val="texto"/>
        <w:spacing w:before="120" w:after="120"/>
      </w:pPr>
      <w:r>
        <w:t>Diariamente, s</w:t>
      </w:r>
      <w:r w:rsidRPr="00730AE6">
        <w:t xml:space="preserve">e procesa en la aplicación SIGMA la información recibida de las entidades financieras, se concilian los cobros efectuados y </w:t>
      </w:r>
      <w:r w:rsidR="0002160D">
        <w:t>se</w:t>
      </w:r>
      <w:r w:rsidRPr="00730AE6">
        <w:t xml:space="preserve"> contabilizan </w:t>
      </w:r>
      <w:r w:rsidR="0002160D">
        <w:t xml:space="preserve">por </w:t>
      </w:r>
      <w:r w:rsidRPr="00730AE6">
        <w:t xml:space="preserve">los servicios económicos, depurándose los posibles errores y diferencias entre contabilidad y SIGMA. </w:t>
      </w:r>
    </w:p>
    <w:p w:rsidR="00D90B71" w:rsidRDefault="00D90B71" w:rsidP="004F1A6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90"/>
      </w:pPr>
      <w:r w:rsidRPr="00730AE6">
        <w:t>El criterio de registro contable-presupuestario de las matrículas es el de caja.</w:t>
      </w:r>
      <w:r w:rsidRPr="00BD5BE5">
        <w:t xml:space="preserve"> </w:t>
      </w:r>
      <w:r w:rsidR="002B6B26">
        <w:t xml:space="preserve">El seguimiento de los derechos pendientes de cobro por matrículas, al </w:t>
      </w:r>
      <w:r w:rsidR="00A22B53">
        <w:t>no estar registrados ni presupuestariamente ni en contabilidad general, se realiza de forma extracontable.</w:t>
      </w:r>
    </w:p>
    <w:p w:rsidR="00D82AE2" w:rsidRDefault="00D90B71" w:rsidP="00283C58">
      <w:pPr>
        <w:pStyle w:val="texto"/>
        <w:spacing w:before="120" w:after="240"/>
      </w:pPr>
      <w:r w:rsidRPr="00730AE6">
        <w:t>De acuerdo con la información obtenida</w:t>
      </w:r>
      <w:r>
        <w:t>,</w:t>
      </w:r>
      <w:r w:rsidRPr="00730AE6">
        <w:t xml:space="preserve"> </w:t>
      </w:r>
      <w:r>
        <w:t xml:space="preserve">el importe de </w:t>
      </w:r>
      <w:r w:rsidR="00FF1E60">
        <w:t>lo</w:t>
      </w:r>
      <w:r w:rsidR="00B97F9B">
        <w:t>s</w:t>
      </w:r>
      <w:r>
        <w:t xml:space="preserve"> derechos pendientes</w:t>
      </w:r>
      <w:r w:rsidR="00FF1E60">
        <w:t xml:space="preserve"> de cobro por matrículas</w:t>
      </w:r>
      <w:r w:rsidR="000951D8">
        <w:t xml:space="preserve">, </w:t>
      </w:r>
      <w:r w:rsidR="00D57EB9">
        <w:t>en la fecha de nuestro informe</w:t>
      </w:r>
      <w:r>
        <w:t>, es el siguiente</w:t>
      </w:r>
      <w:r w:rsidRPr="00730AE6">
        <w:t xml:space="preserve">: </w:t>
      </w:r>
    </w:p>
    <w:tbl>
      <w:tblPr>
        <w:tblW w:w="9015" w:type="dxa"/>
        <w:jc w:val="center"/>
        <w:tblLayout w:type="fixed"/>
        <w:tblCellMar>
          <w:left w:w="70" w:type="dxa"/>
          <w:right w:w="70" w:type="dxa"/>
        </w:tblCellMar>
        <w:tblLook w:val="0000" w:firstRow="0" w:lastRow="0" w:firstColumn="0" w:lastColumn="0" w:noHBand="0" w:noVBand="0"/>
      </w:tblPr>
      <w:tblGrid>
        <w:gridCol w:w="2462"/>
        <w:gridCol w:w="1130"/>
        <w:gridCol w:w="1131"/>
        <w:gridCol w:w="1130"/>
        <w:gridCol w:w="1131"/>
        <w:gridCol w:w="1130"/>
        <w:gridCol w:w="901"/>
      </w:tblGrid>
      <w:tr w:rsidR="00D82AE2" w:rsidRPr="00283C58" w:rsidTr="00F5594F">
        <w:trPr>
          <w:trHeight w:val="284"/>
          <w:jc w:val="center"/>
        </w:trPr>
        <w:tc>
          <w:tcPr>
            <w:tcW w:w="2462" w:type="dxa"/>
            <w:tcBorders>
              <w:top w:val="single" w:sz="4" w:space="0" w:color="auto"/>
              <w:bottom w:val="single" w:sz="4" w:space="0" w:color="auto"/>
            </w:tcBorders>
            <w:shd w:val="clear" w:color="auto" w:fill="ACCBF9" w:themeFill="background2"/>
            <w:noWrap/>
            <w:vAlign w:val="center"/>
          </w:tcPr>
          <w:p w:rsidR="00D82AE2" w:rsidRPr="00283C58" w:rsidRDefault="00D82AE2" w:rsidP="00283C58">
            <w:pPr>
              <w:pStyle w:val="texto"/>
              <w:spacing w:after="0"/>
              <w:ind w:firstLine="0"/>
              <w:jc w:val="left"/>
              <w:rPr>
                <w:rFonts w:ascii="Arial" w:hAnsi="Arial" w:cs="Arial"/>
                <w:sz w:val="16"/>
                <w:szCs w:val="16"/>
              </w:rPr>
            </w:pPr>
            <w:r w:rsidRPr="00283C58">
              <w:rPr>
                <w:rFonts w:ascii="Arial" w:hAnsi="Arial" w:cs="Arial"/>
                <w:sz w:val="16"/>
                <w:szCs w:val="16"/>
                <w:lang w:val="es-ES" w:eastAsia="es-ES"/>
              </w:rPr>
              <w:t>Derechos pendientes de cobro matrículas</w:t>
            </w:r>
          </w:p>
        </w:tc>
        <w:tc>
          <w:tcPr>
            <w:tcW w:w="1130" w:type="dxa"/>
            <w:tcBorders>
              <w:top w:val="single" w:sz="4" w:space="0" w:color="auto"/>
              <w:bottom w:val="single" w:sz="4" w:space="0" w:color="auto"/>
            </w:tcBorders>
            <w:shd w:val="clear" w:color="auto" w:fill="ACCBF9" w:themeFill="background2"/>
            <w:noWrap/>
            <w:vAlign w:val="center"/>
          </w:tcPr>
          <w:p w:rsidR="00D82AE2" w:rsidRPr="00283C58" w:rsidRDefault="00D82AE2" w:rsidP="00283C58">
            <w:pPr>
              <w:pStyle w:val="texto"/>
              <w:tabs>
                <w:tab w:val="clear" w:pos="3969"/>
                <w:tab w:val="right" w:pos="4286"/>
              </w:tabs>
              <w:spacing w:after="0"/>
              <w:ind w:firstLine="0"/>
              <w:jc w:val="right"/>
              <w:rPr>
                <w:rFonts w:ascii="Arial" w:hAnsi="Arial" w:cs="Arial"/>
                <w:sz w:val="16"/>
                <w:szCs w:val="16"/>
              </w:rPr>
            </w:pPr>
            <w:r w:rsidRPr="00283C58">
              <w:rPr>
                <w:rFonts w:ascii="Arial" w:hAnsi="Arial" w:cs="Arial"/>
                <w:sz w:val="16"/>
                <w:szCs w:val="16"/>
                <w:lang w:val="es-ES" w:eastAsia="es-ES"/>
              </w:rPr>
              <w:t>Curso 2013/14</w:t>
            </w:r>
          </w:p>
        </w:tc>
        <w:tc>
          <w:tcPr>
            <w:tcW w:w="1131" w:type="dxa"/>
            <w:tcBorders>
              <w:top w:val="single" w:sz="4" w:space="0" w:color="auto"/>
              <w:bottom w:val="single" w:sz="4" w:space="0" w:color="auto"/>
            </w:tcBorders>
            <w:shd w:val="clear" w:color="auto" w:fill="ACCBF9" w:themeFill="background2"/>
            <w:vAlign w:val="center"/>
          </w:tcPr>
          <w:p w:rsidR="00D82AE2" w:rsidRPr="00283C58" w:rsidRDefault="00D82AE2" w:rsidP="00283C58">
            <w:pPr>
              <w:pStyle w:val="texto"/>
              <w:tabs>
                <w:tab w:val="clear" w:pos="3969"/>
                <w:tab w:val="right" w:pos="4286"/>
              </w:tabs>
              <w:spacing w:after="0"/>
              <w:ind w:firstLine="0"/>
              <w:jc w:val="right"/>
              <w:rPr>
                <w:rFonts w:ascii="Arial" w:hAnsi="Arial" w:cs="Arial"/>
                <w:sz w:val="16"/>
                <w:szCs w:val="16"/>
              </w:rPr>
            </w:pPr>
            <w:r w:rsidRPr="00283C58">
              <w:rPr>
                <w:rFonts w:ascii="Arial" w:hAnsi="Arial" w:cs="Arial"/>
                <w:sz w:val="16"/>
                <w:szCs w:val="16"/>
                <w:lang w:val="es-ES" w:eastAsia="es-ES"/>
              </w:rPr>
              <w:t>Curso 2014/15</w:t>
            </w:r>
          </w:p>
        </w:tc>
        <w:tc>
          <w:tcPr>
            <w:tcW w:w="1130" w:type="dxa"/>
            <w:tcBorders>
              <w:top w:val="single" w:sz="4" w:space="0" w:color="auto"/>
              <w:bottom w:val="single" w:sz="4" w:space="0" w:color="auto"/>
            </w:tcBorders>
            <w:shd w:val="clear" w:color="auto" w:fill="ACCBF9" w:themeFill="background2"/>
            <w:vAlign w:val="center"/>
          </w:tcPr>
          <w:p w:rsidR="00D82AE2" w:rsidRPr="00283C58" w:rsidRDefault="00D82AE2" w:rsidP="00283C58">
            <w:pPr>
              <w:pStyle w:val="texto"/>
              <w:tabs>
                <w:tab w:val="clear" w:pos="3969"/>
                <w:tab w:val="right" w:pos="4286"/>
              </w:tabs>
              <w:spacing w:after="0"/>
              <w:ind w:firstLine="0"/>
              <w:jc w:val="right"/>
              <w:rPr>
                <w:rFonts w:ascii="Arial" w:hAnsi="Arial" w:cs="Arial"/>
                <w:sz w:val="16"/>
                <w:szCs w:val="16"/>
              </w:rPr>
            </w:pPr>
            <w:r w:rsidRPr="00283C58">
              <w:rPr>
                <w:rFonts w:ascii="Arial" w:hAnsi="Arial" w:cs="Arial"/>
                <w:sz w:val="16"/>
                <w:szCs w:val="16"/>
                <w:lang w:val="es-ES" w:eastAsia="es-ES"/>
              </w:rPr>
              <w:t>Curso 2015/16</w:t>
            </w:r>
          </w:p>
        </w:tc>
        <w:tc>
          <w:tcPr>
            <w:tcW w:w="1131" w:type="dxa"/>
            <w:tcBorders>
              <w:top w:val="single" w:sz="4" w:space="0" w:color="auto"/>
              <w:bottom w:val="single" w:sz="4" w:space="0" w:color="auto"/>
            </w:tcBorders>
            <w:shd w:val="clear" w:color="auto" w:fill="ACCBF9" w:themeFill="background2"/>
            <w:vAlign w:val="center"/>
          </w:tcPr>
          <w:p w:rsidR="00D82AE2" w:rsidRPr="00283C58" w:rsidRDefault="00D82AE2" w:rsidP="00283C58">
            <w:pPr>
              <w:pStyle w:val="texto"/>
              <w:tabs>
                <w:tab w:val="clear" w:pos="3969"/>
                <w:tab w:val="right" w:pos="4286"/>
              </w:tabs>
              <w:spacing w:after="0"/>
              <w:ind w:firstLine="0"/>
              <w:jc w:val="right"/>
              <w:rPr>
                <w:rFonts w:ascii="Arial" w:hAnsi="Arial" w:cs="Arial"/>
                <w:sz w:val="16"/>
                <w:szCs w:val="16"/>
              </w:rPr>
            </w:pPr>
            <w:r w:rsidRPr="00283C58">
              <w:rPr>
                <w:rFonts w:ascii="Arial" w:hAnsi="Arial" w:cs="Arial"/>
                <w:sz w:val="16"/>
                <w:szCs w:val="16"/>
                <w:lang w:val="es-ES" w:eastAsia="es-ES"/>
              </w:rPr>
              <w:t>Curso 2016/17</w:t>
            </w:r>
          </w:p>
        </w:tc>
        <w:tc>
          <w:tcPr>
            <w:tcW w:w="1130" w:type="dxa"/>
            <w:tcBorders>
              <w:top w:val="single" w:sz="4" w:space="0" w:color="auto"/>
              <w:bottom w:val="single" w:sz="4" w:space="0" w:color="auto"/>
            </w:tcBorders>
            <w:shd w:val="clear" w:color="auto" w:fill="ACCBF9" w:themeFill="background2"/>
            <w:vAlign w:val="center"/>
          </w:tcPr>
          <w:p w:rsidR="00D82AE2" w:rsidRPr="00283C58" w:rsidRDefault="00D82AE2" w:rsidP="00283C58">
            <w:pPr>
              <w:pStyle w:val="texto"/>
              <w:tabs>
                <w:tab w:val="clear" w:pos="3969"/>
                <w:tab w:val="right" w:pos="4286"/>
              </w:tabs>
              <w:spacing w:after="0"/>
              <w:ind w:firstLine="0"/>
              <w:jc w:val="right"/>
              <w:rPr>
                <w:rFonts w:ascii="Arial" w:hAnsi="Arial" w:cs="Arial"/>
                <w:sz w:val="16"/>
                <w:szCs w:val="16"/>
              </w:rPr>
            </w:pPr>
            <w:r w:rsidRPr="00283C58">
              <w:rPr>
                <w:rFonts w:ascii="Arial" w:hAnsi="Arial" w:cs="Arial"/>
                <w:sz w:val="16"/>
                <w:szCs w:val="16"/>
                <w:lang w:val="es-ES" w:eastAsia="es-ES"/>
              </w:rPr>
              <w:t>Curso 2017/18</w:t>
            </w:r>
          </w:p>
        </w:tc>
        <w:tc>
          <w:tcPr>
            <w:tcW w:w="901" w:type="dxa"/>
            <w:tcBorders>
              <w:top w:val="single" w:sz="4" w:space="0" w:color="auto"/>
              <w:bottom w:val="single" w:sz="4" w:space="0" w:color="auto"/>
            </w:tcBorders>
            <w:shd w:val="clear" w:color="auto" w:fill="ACCBF9" w:themeFill="background2"/>
            <w:vAlign w:val="center"/>
          </w:tcPr>
          <w:p w:rsidR="00D82AE2" w:rsidRPr="00283C58" w:rsidRDefault="00D82AE2" w:rsidP="00283C58">
            <w:pPr>
              <w:pStyle w:val="texto"/>
              <w:tabs>
                <w:tab w:val="clear" w:pos="3969"/>
                <w:tab w:val="right" w:pos="4286"/>
              </w:tabs>
              <w:spacing w:after="0"/>
              <w:ind w:right="14" w:firstLine="0"/>
              <w:jc w:val="right"/>
              <w:rPr>
                <w:rFonts w:ascii="Arial" w:hAnsi="Arial" w:cs="Arial"/>
                <w:sz w:val="16"/>
                <w:szCs w:val="16"/>
              </w:rPr>
            </w:pPr>
            <w:r w:rsidRPr="00283C58">
              <w:rPr>
                <w:rFonts w:ascii="Arial" w:hAnsi="Arial" w:cs="Arial"/>
                <w:sz w:val="16"/>
                <w:szCs w:val="16"/>
                <w:lang w:val="es-ES" w:eastAsia="es-ES"/>
              </w:rPr>
              <w:t>Total</w:t>
            </w:r>
          </w:p>
        </w:tc>
      </w:tr>
      <w:tr w:rsidR="00D82AE2" w:rsidRPr="00B97F9B" w:rsidTr="00F5594F">
        <w:trPr>
          <w:trHeight w:val="284"/>
          <w:jc w:val="center"/>
        </w:trPr>
        <w:tc>
          <w:tcPr>
            <w:tcW w:w="2462" w:type="dxa"/>
            <w:tcBorders>
              <w:top w:val="single" w:sz="4" w:space="0" w:color="auto"/>
              <w:bottom w:val="single" w:sz="2" w:space="0" w:color="auto"/>
            </w:tcBorders>
            <w:shd w:val="clear" w:color="auto" w:fill="auto"/>
            <w:noWrap/>
            <w:vAlign w:val="center"/>
          </w:tcPr>
          <w:p w:rsidR="00D82AE2" w:rsidRPr="00B97F9B" w:rsidRDefault="00D82AE2" w:rsidP="00D82AE2">
            <w:pPr>
              <w:pStyle w:val="texto"/>
              <w:spacing w:after="0"/>
              <w:ind w:firstLine="0"/>
              <w:rPr>
                <w:rFonts w:ascii="Arial Narrow" w:hAnsi="Arial Narrow"/>
                <w:sz w:val="20"/>
                <w:szCs w:val="20"/>
              </w:rPr>
            </w:pPr>
            <w:r w:rsidRPr="00B97F9B">
              <w:rPr>
                <w:rFonts w:ascii="Arial Narrow" w:hAnsi="Arial Narrow"/>
                <w:sz w:val="20"/>
                <w:szCs w:val="20"/>
              </w:rPr>
              <w:t>Matrículas Ciclos</w:t>
            </w:r>
          </w:p>
        </w:tc>
        <w:tc>
          <w:tcPr>
            <w:tcW w:w="1130" w:type="dxa"/>
            <w:tcBorders>
              <w:top w:val="single" w:sz="4" w:space="0" w:color="auto"/>
              <w:bottom w:val="single" w:sz="2" w:space="0" w:color="auto"/>
            </w:tcBorders>
            <w:shd w:val="clear" w:color="auto" w:fill="auto"/>
            <w:noWrap/>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sidRPr="00B97F9B">
              <w:rPr>
                <w:rFonts w:ascii="Arial Narrow" w:hAnsi="Arial Narrow"/>
                <w:sz w:val="20"/>
                <w:szCs w:val="20"/>
              </w:rPr>
              <w:t>5.465</w:t>
            </w:r>
          </w:p>
        </w:tc>
        <w:tc>
          <w:tcPr>
            <w:tcW w:w="1131" w:type="dxa"/>
            <w:tcBorders>
              <w:top w:val="single" w:sz="4" w:space="0" w:color="auto"/>
              <w:bottom w:val="single" w:sz="2" w:space="0" w:color="auto"/>
            </w:tcBorders>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sidRPr="00B97F9B">
              <w:rPr>
                <w:rFonts w:ascii="Arial Narrow" w:hAnsi="Arial Narrow"/>
                <w:sz w:val="20"/>
                <w:szCs w:val="20"/>
              </w:rPr>
              <w:t>1.949</w:t>
            </w:r>
          </w:p>
        </w:tc>
        <w:tc>
          <w:tcPr>
            <w:tcW w:w="1130" w:type="dxa"/>
            <w:tcBorders>
              <w:top w:val="single" w:sz="4" w:space="0" w:color="auto"/>
              <w:bottom w:val="single" w:sz="2" w:space="0" w:color="auto"/>
            </w:tcBorders>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sidRPr="00B97F9B">
              <w:rPr>
                <w:rFonts w:ascii="Arial Narrow" w:hAnsi="Arial Narrow"/>
                <w:sz w:val="20"/>
                <w:szCs w:val="20"/>
              </w:rPr>
              <w:t>104</w:t>
            </w:r>
          </w:p>
        </w:tc>
        <w:tc>
          <w:tcPr>
            <w:tcW w:w="1131" w:type="dxa"/>
            <w:tcBorders>
              <w:top w:val="single" w:sz="4" w:space="0" w:color="auto"/>
              <w:bottom w:val="single" w:sz="2" w:space="0" w:color="auto"/>
            </w:tcBorders>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sidRPr="00B97F9B">
              <w:rPr>
                <w:rFonts w:ascii="Arial Narrow" w:hAnsi="Arial Narrow"/>
                <w:sz w:val="20"/>
                <w:szCs w:val="20"/>
              </w:rPr>
              <w:t>209</w:t>
            </w:r>
          </w:p>
        </w:tc>
        <w:tc>
          <w:tcPr>
            <w:tcW w:w="1130" w:type="dxa"/>
            <w:tcBorders>
              <w:top w:val="single" w:sz="4" w:space="0" w:color="auto"/>
              <w:bottom w:val="single" w:sz="2" w:space="0" w:color="auto"/>
            </w:tcBorders>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sidRPr="00B97F9B">
              <w:rPr>
                <w:rFonts w:ascii="Arial Narrow" w:hAnsi="Arial Narrow"/>
                <w:sz w:val="20"/>
                <w:szCs w:val="20"/>
              </w:rPr>
              <w:t>0</w:t>
            </w:r>
          </w:p>
        </w:tc>
        <w:tc>
          <w:tcPr>
            <w:tcW w:w="901" w:type="dxa"/>
            <w:tcBorders>
              <w:top w:val="single" w:sz="4" w:space="0" w:color="auto"/>
              <w:bottom w:val="single" w:sz="2" w:space="0" w:color="auto"/>
            </w:tcBorders>
            <w:vAlign w:val="center"/>
          </w:tcPr>
          <w:p w:rsidR="00D82AE2" w:rsidRPr="00B97F9B" w:rsidRDefault="00D82AE2" w:rsidP="005910B1">
            <w:pPr>
              <w:pStyle w:val="texto"/>
              <w:tabs>
                <w:tab w:val="clear" w:pos="3969"/>
                <w:tab w:val="right" w:pos="4286"/>
              </w:tabs>
              <w:spacing w:after="0"/>
              <w:ind w:right="14" w:firstLine="0"/>
              <w:jc w:val="right"/>
              <w:rPr>
                <w:rFonts w:ascii="Arial Narrow" w:hAnsi="Arial Narrow"/>
                <w:sz w:val="20"/>
                <w:szCs w:val="20"/>
              </w:rPr>
            </w:pPr>
            <w:r w:rsidRPr="00B97F9B">
              <w:rPr>
                <w:rFonts w:ascii="Arial Narrow" w:hAnsi="Arial Narrow"/>
                <w:sz w:val="20"/>
                <w:szCs w:val="20"/>
              </w:rPr>
              <w:t>7.</w:t>
            </w:r>
            <w:r w:rsidR="000951D8">
              <w:rPr>
                <w:rFonts w:ascii="Arial Narrow" w:hAnsi="Arial Narrow"/>
                <w:sz w:val="20"/>
                <w:szCs w:val="20"/>
              </w:rPr>
              <w:t>727</w:t>
            </w:r>
          </w:p>
        </w:tc>
      </w:tr>
      <w:tr w:rsidR="00D82AE2" w:rsidRPr="00B97F9B" w:rsidTr="007E716B">
        <w:trPr>
          <w:trHeight w:val="284"/>
          <w:jc w:val="center"/>
        </w:trPr>
        <w:tc>
          <w:tcPr>
            <w:tcW w:w="2462" w:type="dxa"/>
            <w:tcBorders>
              <w:top w:val="single" w:sz="2" w:space="0" w:color="auto"/>
              <w:bottom w:val="single" w:sz="2" w:space="0" w:color="auto"/>
            </w:tcBorders>
            <w:shd w:val="clear" w:color="auto" w:fill="auto"/>
            <w:noWrap/>
            <w:vAlign w:val="center"/>
          </w:tcPr>
          <w:p w:rsidR="00D82AE2" w:rsidRPr="00B97F9B" w:rsidRDefault="00D82AE2" w:rsidP="00DB4477">
            <w:pPr>
              <w:pStyle w:val="texto"/>
              <w:tabs>
                <w:tab w:val="clear" w:pos="7371"/>
                <w:tab w:val="center" w:pos="7088"/>
              </w:tabs>
              <w:spacing w:after="0"/>
              <w:ind w:firstLine="0"/>
              <w:rPr>
                <w:rFonts w:ascii="Arial Narrow" w:hAnsi="Arial Narrow"/>
                <w:sz w:val="20"/>
                <w:szCs w:val="20"/>
              </w:rPr>
            </w:pPr>
            <w:r w:rsidRPr="00B97F9B">
              <w:rPr>
                <w:rFonts w:ascii="Arial Narrow" w:hAnsi="Arial Narrow"/>
                <w:sz w:val="20"/>
                <w:szCs w:val="20"/>
              </w:rPr>
              <w:t>Matrículas Estudios propios</w:t>
            </w:r>
          </w:p>
        </w:tc>
        <w:tc>
          <w:tcPr>
            <w:tcW w:w="1130" w:type="dxa"/>
            <w:tcBorders>
              <w:top w:val="single" w:sz="2" w:space="0" w:color="auto"/>
              <w:bottom w:val="single" w:sz="2" w:space="0" w:color="auto"/>
            </w:tcBorders>
            <w:shd w:val="clear" w:color="auto" w:fill="auto"/>
            <w:noWrap/>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sidRPr="00B97F9B">
              <w:rPr>
                <w:rFonts w:ascii="Arial Narrow" w:hAnsi="Arial Narrow"/>
                <w:sz w:val="20"/>
                <w:szCs w:val="20"/>
              </w:rPr>
              <w:t>31</w:t>
            </w:r>
          </w:p>
        </w:tc>
        <w:tc>
          <w:tcPr>
            <w:tcW w:w="1131" w:type="dxa"/>
            <w:tcBorders>
              <w:top w:val="single" w:sz="2" w:space="0" w:color="auto"/>
              <w:bottom w:val="single" w:sz="2" w:space="0" w:color="auto"/>
            </w:tcBorders>
            <w:shd w:val="clear" w:color="auto" w:fill="auto"/>
            <w:noWrap/>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sidRPr="00B97F9B">
              <w:rPr>
                <w:rFonts w:ascii="Arial Narrow" w:hAnsi="Arial Narrow"/>
                <w:sz w:val="20"/>
                <w:szCs w:val="20"/>
              </w:rPr>
              <w:t>0</w:t>
            </w:r>
          </w:p>
        </w:tc>
        <w:tc>
          <w:tcPr>
            <w:tcW w:w="1130" w:type="dxa"/>
            <w:tcBorders>
              <w:top w:val="single" w:sz="2" w:space="0" w:color="auto"/>
              <w:bottom w:val="single" w:sz="2" w:space="0" w:color="auto"/>
            </w:tcBorders>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sidRPr="00B97F9B">
              <w:rPr>
                <w:rFonts w:ascii="Arial Narrow" w:hAnsi="Arial Narrow"/>
                <w:sz w:val="20"/>
                <w:szCs w:val="20"/>
              </w:rPr>
              <w:t>262</w:t>
            </w:r>
          </w:p>
        </w:tc>
        <w:tc>
          <w:tcPr>
            <w:tcW w:w="1131" w:type="dxa"/>
            <w:tcBorders>
              <w:top w:val="single" w:sz="2" w:space="0" w:color="auto"/>
              <w:bottom w:val="single" w:sz="2" w:space="0" w:color="auto"/>
            </w:tcBorders>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sidRPr="00B97F9B">
              <w:rPr>
                <w:rFonts w:ascii="Arial Narrow" w:hAnsi="Arial Narrow"/>
                <w:sz w:val="20"/>
                <w:szCs w:val="20"/>
              </w:rPr>
              <w:t>0</w:t>
            </w:r>
          </w:p>
        </w:tc>
        <w:tc>
          <w:tcPr>
            <w:tcW w:w="1130" w:type="dxa"/>
            <w:tcBorders>
              <w:top w:val="single" w:sz="2" w:space="0" w:color="auto"/>
              <w:bottom w:val="single" w:sz="2" w:space="0" w:color="auto"/>
            </w:tcBorders>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sidRPr="00B97F9B">
              <w:rPr>
                <w:rFonts w:ascii="Arial Narrow" w:hAnsi="Arial Narrow"/>
                <w:sz w:val="20"/>
                <w:szCs w:val="20"/>
              </w:rPr>
              <w:t>145</w:t>
            </w:r>
          </w:p>
        </w:tc>
        <w:tc>
          <w:tcPr>
            <w:tcW w:w="901" w:type="dxa"/>
            <w:tcBorders>
              <w:top w:val="single" w:sz="2" w:space="0" w:color="auto"/>
              <w:bottom w:val="single" w:sz="2" w:space="0" w:color="auto"/>
            </w:tcBorders>
            <w:vAlign w:val="center"/>
          </w:tcPr>
          <w:p w:rsidR="00D82AE2" w:rsidRPr="00B97F9B" w:rsidRDefault="00D82AE2" w:rsidP="005910B1">
            <w:pPr>
              <w:pStyle w:val="texto"/>
              <w:tabs>
                <w:tab w:val="clear" w:pos="3969"/>
                <w:tab w:val="right" w:pos="4286"/>
              </w:tabs>
              <w:spacing w:after="0"/>
              <w:ind w:right="14" w:firstLine="0"/>
              <w:jc w:val="right"/>
              <w:rPr>
                <w:rFonts w:ascii="Arial Narrow" w:hAnsi="Arial Narrow"/>
                <w:sz w:val="20"/>
                <w:szCs w:val="20"/>
              </w:rPr>
            </w:pPr>
            <w:r w:rsidRPr="00B97F9B">
              <w:rPr>
                <w:rFonts w:ascii="Arial Narrow" w:hAnsi="Arial Narrow"/>
                <w:sz w:val="20"/>
                <w:szCs w:val="20"/>
              </w:rPr>
              <w:t>437</w:t>
            </w:r>
          </w:p>
        </w:tc>
      </w:tr>
      <w:tr w:rsidR="00D82AE2" w:rsidRPr="00B97F9B" w:rsidTr="00F5594F">
        <w:trPr>
          <w:trHeight w:val="284"/>
          <w:jc w:val="center"/>
        </w:trPr>
        <w:tc>
          <w:tcPr>
            <w:tcW w:w="2462" w:type="dxa"/>
            <w:tcBorders>
              <w:top w:val="single" w:sz="2" w:space="0" w:color="auto"/>
              <w:bottom w:val="single" w:sz="2" w:space="0" w:color="auto"/>
            </w:tcBorders>
            <w:shd w:val="clear" w:color="auto" w:fill="auto"/>
            <w:noWrap/>
            <w:vAlign w:val="center"/>
          </w:tcPr>
          <w:p w:rsidR="00D82AE2" w:rsidRPr="00B97F9B" w:rsidRDefault="00D82AE2" w:rsidP="00DB4477">
            <w:pPr>
              <w:pStyle w:val="texto"/>
              <w:spacing w:after="0"/>
              <w:ind w:firstLine="0"/>
              <w:rPr>
                <w:rFonts w:ascii="Arial Narrow" w:hAnsi="Arial Narrow"/>
                <w:sz w:val="20"/>
                <w:szCs w:val="20"/>
              </w:rPr>
            </w:pPr>
            <w:r w:rsidRPr="00B97F9B">
              <w:rPr>
                <w:rFonts w:ascii="Arial Narrow" w:hAnsi="Arial Narrow"/>
                <w:sz w:val="20"/>
                <w:szCs w:val="20"/>
              </w:rPr>
              <w:t>Matrículas Grado</w:t>
            </w:r>
          </w:p>
        </w:tc>
        <w:tc>
          <w:tcPr>
            <w:tcW w:w="1130" w:type="dxa"/>
            <w:tcBorders>
              <w:top w:val="single" w:sz="2" w:space="0" w:color="auto"/>
              <w:bottom w:val="single" w:sz="2" w:space="0" w:color="auto"/>
            </w:tcBorders>
            <w:shd w:val="clear" w:color="auto" w:fill="auto"/>
            <w:noWrap/>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sidRPr="00B97F9B">
              <w:rPr>
                <w:rFonts w:ascii="Arial Narrow" w:hAnsi="Arial Narrow"/>
                <w:sz w:val="20"/>
                <w:szCs w:val="20"/>
              </w:rPr>
              <w:t>33.605</w:t>
            </w:r>
          </w:p>
        </w:tc>
        <w:tc>
          <w:tcPr>
            <w:tcW w:w="1131" w:type="dxa"/>
            <w:tcBorders>
              <w:top w:val="single" w:sz="2" w:space="0" w:color="auto"/>
              <w:bottom w:val="single" w:sz="2" w:space="0" w:color="auto"/>
            </w:tcBorders>
            <w:shd w:val="clear" w:color="auto" w:fill="auto"/>
            <w:noWrap/>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sidRPr="00B97F9B">
              <w:rPr>
                <w:rFonts w:ascii="Arial Narrow" w:hAnsi="Arial Narrow"/>
                <w:sz w:val="20"/>
                <w:szCs w:val="20"/>
              </w:rPr>
              <w:t>24.511</w:t>
            </w:r>
          </w:p>
        </w:tc>
        <w:tc>
          <w:tcPr>
            <w:tcW w:w="1130" w:type="dxa"/>
            <w:tcBorders>
              <w:top w:val="single" w:sz="2" w:space="0" w:color="auto"/>
              <w:bottom w:val="single" w:sz="2" w:space="0" w:color="auto"/>
            </w:tcBorders>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sidRPr="00B97F9B">
              <w:rPr>
                <w:rFonts w:ascii="Arial Narrow" w:hAnsi="Arial Narrow"/>
                <w:sz w:val="20"/>
                <w:szCs w:val="20"/>
              </w:rPr>
              <w:t>41.600</w:t>
            </w:r>
          </w:p>
        </w:tc>
        <w:tc>
          <w:tcPr>
            <w:tcW w:w="1131" w:type="dxa"/>
            <w:tcBorders>
              <w:top w:val="single" w:sz="2" w:space="0" w:color="auto"/>
              <w:bottom w:val="single" w:sz="2" w:space="0" w:color="auto"/>
            </w:tcBorders>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sidRPr="00B97F9B">
              <w:rPr>
                <w:rFonts w:ascii="Arial Narrow" w:hAnsi="Arial Narrow"/>
                <w:sz w:val="20"/>
                <w:szCs w:val="20"/>
              </w:rPr>
              <w:t>82.677</w:t>
            </w:r>
          </w:p>
        </w:tc>
        <w:tc>
          <w:tcPr>
            <w:tcW w:w="1130" w:type="dxa"/>
            <w:tcBorders>
              <w:top w:val="single" w:sz="2" w:space="0" w:color="auto"/>
              <w:bottom w:val="single" w:sz="2" w:space="0" w:color="auto"/>
            </w:tcBorders>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sidRPr="00B97F9B">
              <w:rPr>
                <w:rFonts w:ascii="Arial Narrow" w:hAnsi="Arial Narrow"/>
                <w:sz w:val="20"/>
                <w:szCs w:val="20"/>
              </w:rPr>
              <w:t>130.202</w:t>
            </w:r>
          </w:p>
        </w:tc>
        <w:tc>
          <w:tcPr>
            <w:tcW w:w="901" w:type="dxa"/>
            <w:tcBorders>
              <w:top w:val="single" w:sz="2" w:space="0" w:color="auto"/>
              <w:bottom w:val="single" w:sz="2" w:space="0" w:color="auto"/>
            </w:tcBorders>
            <w:vAlign w:val="center"/>
          </w:tcPr>
          <w:p w:rsidR="00D82AE2" w:rsidRPr="00B97F9B" w:rsidRDefault="00D82AE2" w:rsidP="005910B1">
            <w:pPr>
              <w:pStyle w:val="texto"/>
              <w:tabs>
                <w:tab w:val="clear" w:pos="3969"/>
                <w:tab w:val="right" w:pos="4286"/>
              </w:tabs>
              <w:spacing w:after="0"/>
              <w:ind w:right="14" w:firstLine="0"/>
              <w:jc w:val="right"/>
              <w:rPr>
                <w:rFonts w:ascii="Arial Narrow" w:hAnsi="Arial Narrow"/>
                <w:sz w:val="20"/>
                <w:szCs w:val="20"/>
              </w:rPr>
            </w:pPr>
            <w:r w:rsidRPr="00B97F9B">
              <w:rPr>
                <w:rFonts w:ascii="Arial Narrow" w:hAnsi="Arial Narrow"/>
                <w:sz w:val="20"/>
                <w:szCs w:val="20"/>
              </w:rPr>
              <w:t>31</w:t>
            </w:r>
            <w:r w:rsidR="004C194C" w:rsidRPr="00B97F9B">
              <w:rPr>
                <w:rFonts w:ascii="Arial Narrow" w:hAnsi="Arial Narrow"/>
                <w:sz w:val="20"/>
                <w:szCs w:val="20"/>
              </w:rPr>
              <w:t>2</w:t>
            </w:r>
            <w:r w:rsidRPr="00B97F9B">
              <w:rPr>
                <w:rFonts w:ascii="Arial Narrow" w:hAnsi="Arial Narrow"/>
                <w:sz w:val="20"/>
                <w:szCs w:val="20"/>
              </w:rPr>
              <w:t>.59</w:t>
            </w:r>
            <w:r w:rsidR="000951D8">
              <w:rPr>
                <w:rFonts w:ascii="Arial Narrow" w:hAnsi="Arial Narrow"/>
                <w:sz w:val="20"/>
                <w:szCs w:val="20"/>
              </w:rPr>
              <w:t>5</w:t>
            </w:r>
          </w:p>
        </w:tc>
      </w:tr>
      <w:tr w:rsidR="00D82AE2" w:rsidRPr="00B97F9B" w:rsidTr="00F5594F">
        <w:trPr>
          <w:trHeight w:val="284"/>
          <w:jc w:val="center"/>
        </w:trPr>
        <w:tc>
          <w:tcPr>
            <w:tcW w:w="2462" w:type="dxa"/>
            <w:tcBorders>
              <w:top w:val="single" w:sz="2" w:space="0" w:color="auto"/>
              <w:bottom w:val="single" w:sz="2" w:space="0" w:color="auto"/>
            </w:tcBorders>
            <w:shd w:val="clear" w:color="auto" w:fill="auto"/>
            <w:noWrap/>
            <w:vAlign w:val="center"/>
          </w:tcPr>
          <w:p w:rsidR="00D82AE2" w:rsidRPr="00B97F9B" w:rsidRDefault="00D82AE2" w:rsidP="00DB4477">
            <w:pPr>
              <w:pStyle w:val="texto"/>
              <w:spacing w:after="0"/>
              <w:ind w:firstLine="0"/>
              <w:rPr>
                <w:rFonts w:ascii="Arial Narrow" w:hAnsi="Arial Narrow"/>
                <w:sz w:val="20"/>
                <w:szCs w:val="20"/>
              </w:rPr>
            </w:pPr>
            <w:r w:rsidRPr="00B97F9B">
              <w:rPr>
                <w:rFonts w:ascii="Arial Narrow" w:hAnsi="Arial Narrow"/>
                <w:sz w:val="20"/>
                <w:szCs w:val="20"/>
              </w:rPr>
              <w:t>Matrículas posgrados</w:t>
            </w:r>
          </w:p>
        </w:tc>
        <w:tc>
          <w:tcPr>
            <w:tcW w:w="1130" w:type="dxa"/>
            <w:tcBorders>
              <w:top w:val="single" w:sz="2" w:space="0" w:color="auto"/>
              <w:bottom w:val="single" w:sz="2" w:space="0" w:color="auto"/>
            </w:tcBorders>
            <w:shd w:val="clear" w:color="auto" w:fill="auto"/>
            <w:noWrap/>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sidRPr="00B97F9B">
              <w:rPr>
                <w:rFonts w:ascii="Arial Narrow" w:hAnsi="Arial Narrow"/>
                <w:sz w:val="20"/>
                <w:szCs w:val="20"/>
              </w:rPr>
              <w:t>0</w:t>
            </w:r>
          </w:p>
        </w:tc>
        <w:tc>
          <w:tcPr>
            <w:tcW w:w="1131" w:type="dxa"/>
            <w:tcBorders>
              <w:top w:val="single" w:sz="2" w:space="0" w:color="auto"/>
              <w:bottom w:val="single" w:sz="2" w:space="0" w:color="auto"/>
            </w:tcBorders>
            <w:shd w:val="clear" w:color="auto" w:fill="auto"/>
            <w:noWrap/>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sidRPr="00B97F9B">
              <w:rPr>
                <w:rFonts w:ascii="Arial Narrow" w:hAnsi="Arial Narrow"/>
                <w:sz w:val="20"/>
                <w:szCs w:val="20"/>
              </w:rPr>
              <w:t>2.753</w:t>
            </w:r>
          </w:p>
        </w:tc>
        <w:tc>
          <w:tcPr>
            <w:tcW w:w="1130" w:type="dxa"/>
            <w:tcBorders>
              <w:top w:val="single" w:sz="2" w:space="0" w:color="auto"/>
              <w:bottom w:val="single" w:sz="2" w:space="0" w:color="auto"/>
            </w:tcBorders>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sidRPr="00B97F9B">
              <w:rPr>
                <w:rFonts w:ascii="Arial Narrow" w:hAnsi="Arial Narrow"/>
                <w:sz w:val="20"/>
                <w:szCs w:val="20"/>
              </w:rPr>
              <w:t>7.243</w:t>
            </w:r>
          </w:p>
        </w:tc>
        <w:tc>
          <w:tcPr>
            <w:tcW w:w="1131" w:type="dxa"/>
            <w:tcBorders>
              <w:top w:val="single" w:sz="2" w:space="0" w:color="auto"/>
              <w:bottom w:val="single" w:sz="2" w:space="0" w:color="auto"/>
            </w:tcBorders>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sidRPr="00B97F9B">
              <w:rPr>
                <w:rFonts w:ascii="Arial Narrow" w:hAnsi="Arial Narrow"/>
                <w:sz w:val="20"/>
                <w:szCs w:val="20"/>
              </w:rPr>
              <w:t>4.634</w:t>
            </w:r>
          </w:p>
        </w:tc>
        <w:tc>
          <w:tcPr>
            <w:tcW w:w="1130" w:type="dxa"/>
            <w:tcBorders>
              <w:top w:val="single" w:sz="2" w:space="0" w:color="auto"/>
              <w:bottom w:val="single" w:sz="2" w:space="0" w:color="auto"/>
            </w:tcBorders>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sidRPr="00B97F9B">
              <w:rPr>
                <w:rFonts w:ascii="Arial Narrow" w:hAnsi="Arial Narrow"/>
                <w:sz w:val="20"/>
                <w:szCs w:val="20"/>
              </w:rPr>
              <w:t>9.129</w:t>
            </w:r>
          </w:p>
        </w:tc>
        <w:tc>
          <w:tcPr>
            <w:tcW w:w="901" w:type="dxa"/>
            <w:tcBorders>
              <w:top w:val="single" w:sz="2" w:space="0" w:color="auto"/>
              <w:bottom w:val="single" w:sz="2" w:space="0" w:color="auto"/>
            </w:tcBorders>
            <w:vAlign w:val="center"/>
          </w:tcPr>
          <w:p w:rsidR="00D82AE2" w:rsidRPr="00B97F9B" w:rsidRDefault="00D82AE2" w:rsidP="005910B1">
            <w:pPr>
              <w:pStyle w:val="texto"/>
              <w:tabs>
                <w:tab w:val="clear" w:pos="3969"/>
                <w:tab w:val="right" w:pos="4286"/>
              </w:tabs>
              <w:spacing w:after="0"/>
              <w:ind w:right="14" w:firstLine="0"/>
              <w:jc w:val="right"/>
              <w:rPr>
                <w:rFonts w:ascii="Arial Narrow" w:hAnsi="Arial Narrow"/>
                <w:sz w:val="20"/>
                <w:szCs w:val="20"/>
              </w:rPr>
            </w:pPr>
            <w:r w:rsidRPr="00B97F9B">
              <w:rPr>
                <w:rFonts w:ascii="Arial Narrow" w:hAnsi="Arial Narrow"/>
                <w:sz w:val="20"/>
                <w:szCs w:val="20"/>
              </w:rPr>
              <w:t>23.759</w:t>
            </w:r>
          </w:p>
        </w:tc>
      </w:tr>
      <w:tr w:rsidR="00D82AE2" w:rsidRPr="00B97F9B" w:rsidTr="00F5594F">
        <w:trPr>
          <w:trHeight w:val="284"/>
          <w:jc w:val="center"/>
        </w:trPr>
        <w:tc>
          <w:tcPr>
            <w:tcW w:w="2462" w:type="dxa"/>
            <w:tcBorders>
              <w:top w:val="single" w:sz="2" w:space="0" w:color="auto"/>
              <w:bottom w:val="single" w:sz="4" w:space="0" w:color="auto"/>
            </w:tcBorders>
            <w:shd w:val="clear" w:color="auto" w:fill="auto"/>
            <w:noWrap/>
            <w:vAlign w:val="center"/>
          </w:tcPr>
          <w:p w:rsidR="00D82AE2" w:rsidRPr="00B97F9B" w:rsidRDefault="00D82AE2" w:rsidP="00DB4477">
            <w:pPr>
              <w:pStyle w:val="texto"/>
              <w:spacing w:after="0"/>
              <w:ind w:firstLine="0"/>
              <w:rPr>
                <w:rFonts w:ascii="Arial Narrow" w:hAnsi="Arial Narrow"/>
                <w:sz w:val="20"/>
                <w:szCs w:val="20"/>
              </w:rPr>
            </w:pPr>
            <w:r w:rsidRPr="00B97F9B">
              <w:rPr>
                <w:rFonts w:ascii="Arial Narrow" w:hAnsi="Arial Narrow"/>
                <w:sz w:val="20"/>
                <w:szCs w:val="20"/>
              </w:rPr>
              <w:t>Matrículas Doctorado</w:t>
            </w:r>
          </w:p>
        </w:tc>
        <w:tc>
          <w:tcPr>
            <w:tcW w:w="1130" w:type="dxa"/>
            <w:tcBorders>
              <w:top w:val="single" w:sz="2" w:space="0" w:color="auto"/>
              <w:bottom w:val="single" w:sz="4" w:space="0" w:color="auto"/>
            </w:tcBorders>
            <w:shd w:val="clear" w:color="auto" w:fill="auto"/>
            <w:noWrap/>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sidRPr="00B97F9B">
              <w:rPr>
                <w:rFonts w:ascii="Arial Narrow" w:hAnsi="Arial Narrow"/>
                <w:sz w:val="20"/>
                <w:szCs w:val="20"/>
              </w:rPr>
              <w:t>285</w:t>
            </w:r>
          </w:p>
        </w:tc>
        <w:tc>
          <w:tcPr>
            <w:tcW w:w="1131" w:type="dxa"/>
            <w:tcBorders>
              <w:top w:val="single" w:sz="2" w:space="0" w:color="auto"/>
              <w:bottom w:val="single" w:sz="4" w:space="0" w:color="auto"/>
            </w:tcBorders>
            <w:shd w:val="clear" w:color="auto" w:fill="auto"/>
            <w:noWrap/>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sidRPr="00B97F9B">
              <w:rPr>
                <w:rFonts w:ascii="Arial Narrow" w:hAnsi="Arial Narrow"/>
                <w:sz w:val="20"/>
                <w:szCs w:val="20"/>
              </w:rPr>
              <w:t>126</w:t>
            </w:r>
          </w:p>
        </w:tc>
        <w:tc>
          <w:tcPr>
            <w:tcW w:w="1130" w:type="dxa"/>
            <w:tcBorders>
              <w:top w:val="single" w:sz="2" w:space="0" w:color="auto"/>
              <w:bottom w:val="single" w:sz="4" w:space="0" w:color="auto"/>
            </w:tcBorders>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sidRPr="00B97F9B">
              <w:rPr>
                <w:rFonts w:ascii="Arial Narrow" w:hAnsi="Arial Narrow"/>
                <w:sz w:val="20"/>
                <w:szCs w:val="20"/>
              </w:rPr>
              <w:t>63</w:t>
            </w:r>
          </w:p>
        </w:tc>
        <w:tc>
          <w:tcPr>
            <w:tcW w:w="1131" w:type="dxa"/>
            <w:tcBorders>
              <w:top w:val="single" w:sz="2" w:space="0" w:color="auto"/>
              <w:bottom w:val="single" w:sz="4" w:space="0" w:color="auto"/>
            </w:tcBorders>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sidRPr="00B97F9B">
              <w:rPr>
                <w:rFonts w:ascii="Arial Narrow" w:hAnsi="Arial Narrow"/>
                <w:sz w:val="20"/>
                <w:szCs w:val="20"/>
              </w:rPr>
              <w:t>2.977</w:t>
            </w:r>
          </w:p>
        </w:tc>
        <w:tc>
          <w:tcPr>
            <w:tcW w:w="1130" w:type="dxa"/>
            <w:tcBorders>
              <w:top w:val="single" w:sz="2" w:space="0" w:color="auto"/>
              <w:bottom w:val="single" w:sz="4" w:space="0" w:color="auto"/>
            </w:tcBorders>
            <w:vAlign w:val="center"/>
          </w:tcPr>
          <w:p w:rsidR="00D82AE2" w:rsidRPr="00B97F9B" w:rsidRDefault="00D82AE2" w:rsidP="005910B1">
            <w:pPr>
              <w:pStyle w:val="texto"/>
              <w:tabs>
                <w:tab w:val="clear" w:pos="3969"/>
                <w:tab w:val="right" w:pos="4286"/>
              </w:tabs>
              <w:spacing w:after="0"/>
              <w:ind w:firstLine="0"/>
              <w:jc w:val="right"/>
              <w:rPr>
                <w:rFonts w:ascii="Arial Narrow" w:hAnsi="Arial Narrow"/>
                <w:sz w:val="20"/>
                <w:szCs w:val="20"/>
              </w:rPr>
            </w:pPr>
            <w:r w:rsidRPr="00B97F9B">
              <w:rPr>
                <w:rFonts w:ascii="Arial Narrow" w:hAnsi="Arial Narrow"/>
                <w:sz w:val="20"/>
                <w:szCs w:val="20"/>
              </w:rPr>
              <w:t>4.530</w:t>
            </w:r>
          </w:p>
        </w:tc>
        <w:tc>
          <w:tcPr>
            <w:tcW w:w="901" w:type="dxa"/>
            <w:tcBorders>
              <w:top w:val="single" w:sz="2" w:space="0" w:color="auto"/>
              <w:bottom w:val="single" w:sz="4" w:space="0" w:color="auto"/>
            </w:tcBorders>
            <w:vAlign w:val="center"/>
          </w:tcPr>
          <w:p w:rsidR="00D82AE2" w:rsidRPr="00B97F9B" w:rsidRDefault="00D82AE2" w:rsidP="005910B1">
            <w:pPr>
              <w:pStyle w:val="texto"/>
              <w:tabs>
                <w:tab w:val="clear" w:pos="3969"/>
                <w:tab w:val="right" w:pos="4286"/>
              </w:tabs>
              <w:spacing w:after="0"/>
              <w:ind w:right="14" w:firstLine="0"/>
              <w:jc w:val="right"/>
              <w:rPr>
                <w:rFonts w:ascii="Arial Narrow" w:hAnsi="Arial Narrow"/>
                <w:sz w:val="20"/>
                <w:szCs w:val="20"/>
              </w:rPr>
            </w:pPr>
            <w:r w:rsidRPr="00B97F9B">
              <w:rPr>
                <w:rFonts w:ascii="Arial Narrow" w:hAnsi="Arial Narrow"/>
                <w:sz w:val="20"/>
                <w:szCs w:val="20"/>
              </w:rPr>
              <w:t>7.981</w:t>
            </w:r>
          </w:p>
        </w:tc>
      </w:tr>
      <w:tr w:rsidR="00D82AE2" w:rsidRPr="005910B1" w:rsidTr="007E716B">
        <w:trPr>
          <w:trHeight w:val="284"/>
          <w:jc w:val="center"/>
        </w:trPr>
        <w:tc>
          <w:tcPr>
            <w:tcW w:w="2462" w:type="dxa"/>
            <w:tcBorders>
              <w:top w:val="single" w:sz="2" w:space="0" w:color="auto"/>
              <w:bottom w:val="single" w:sz="4" w:space="0" w:color="auto"/>
            </w:tcBorders>
            <w:shd w:val="clear" w:color="auto" w:fill="ACCBF9" w:themeFill="background2"/>
            <w:noWrap/>
            <w:vAlign w:val="center"/>
          </w:tcPr>
          <w:p w:rsidR="00D82AE2" w:rsidRPr="005910B1" w:rsidRDefault="00D82AE2" w:rsidP="00DB4477">
            <w:pPr>
              <w:pStyle w:val="texto"/>
              <w:spacing w:after="0"/>
              <w:ind w:firstLine="0"/>
              <w:rPr>
                <w:rFonts w:ascii="Arial" w:hAnsi="Arial" w:cs="Arial"/>
                <w:sz w:val="16"/>
                <w:szCs w:val="16"/>
              </w:rPr>
            </w:pPr>
            <w:r w:rsidRPr="005910B1">
              <w:rPr>
                <w:rFonts w:ascii="Arial" w:hAnsi="Arial" w:cs="Arial"/>
                <w:sz w:val="16"/>
                <w:szCs w:val="16"/>
              </w:rPr>
              <w:t>Importe total morosidad</w:t>
            </w:r>
          </w:p>
        </w:tc>
        <w:tc>
          <w:tcPr>
            <w:tcW w:w="1130" w:type="dxa"/>
            <w:tcBorders>
              <w:top w:val="single" w:sz="2" w:space="0" w:color="auto"/>
              <w:bottom w:val="single" w:sz="4" w:space="0" w:color="auto"/>
            </w:tcBorders>
            <w:shd w:val="clear" w:color="auto" w:fill="ACCBF9" w:themeFill="background2"/>
            <w:noWrap/>
            <w:vAlign w:val="center"/>
          </w:tcPr>
          <w:p w:rsidR="00D82AE2" w:rsidRPr="005910B1" w:rsidRDefault="00D82AE2" w:rsidP="005910B1">
            <w:pPr>
              <w:pStyle w:val="texto"/>
              <w:tabs>
                <w:tab w:val="clear" w:pos="3969"/>
                <w:tab w:val="right" w:pos="4286"/>
              </w:tabs>
              <w:spacing w:after="0"/>
              <w:ind w:firstLine="0"/>
              <w:jc w:val="right"/>
              <w:rPr>
                <w:rFonts w:ascii="Arial" w:hAnsi="Arial" w:cs="Arial"/>
                <w:sz w:val="16"/>
                <w:szCs w:val="16"/>
              </w:rPr>
            </w:pPr>
            <w:r w:rsidRPr="005910B1">
              <w:rPr>
                <w:rFonts w:ascii="Arial" w:hAnsi="Arial" w:cs="Arial"/>
                <w:sz w:val="16"/>
                <w:szCs w:val="16"/>
              </w:rPr>
              <w:t>39.385</w:t>
            </w:r>
          </w:p>
        </w:tc>
        <w:tc>
          <w:tcPr>
            <w:tcW w:w="1131" w:type="dxa"/>
            <w:tcBorders>
              <w:top w:val="single" w:sz="2" w:space="0" w:color="auto"/>
              <w:bottom w:val="single" w:sz="4" w:space="0" w:color="auto"/>
            </w:tcBorders>
            <w:shd w:val="clear" w:color="auto" w:fill="ACCBF9" w:themeFill="background2"/>
            <w:noWrap/>
            <w:vAlign w:val="center"/>
          </w:tcPr>
          <w:p w:rsidR="00D82AE2" w:rsidRPr="005910B1" w:rsidRDefault="00D82AE2" w:rsidP="005910B1">
            <w:pPr>
              <w:pStyle w:val="texto"/>
              <w:tabs>
                <w:tab w:val="clear" w:pos="3969"/>
                <w:tab w:val="right" w:pos="4286"/>
              </w:tabs>
              <w:spacing w:after="0"/>
              <w:ind w:firstLine="0"/>
              <w:jc w:val="right"/>
              <w:rPr>
                <w:rFonts w:ascii="Arial" w:hAnsi="Arial" w:cs="Arial"/>
                <w:sz w:val="16"/>
                <w:szCs w:val="16"/>
              </w:rPr>
            </w:pPr>
            <w:r w:rsidRPr="005910B1">
              <w:rPr>
                <w:rFonts w:ascii="Arial" w:hAnsi="Arial" w:cs="Arial"/>
                <w:sz w:val="16"/>
                <w:szCs w:val="16"/>
              </w:rPr>
              <w:t>29.340</w:t>
            </w:r>
          </w:p>
        </w:tc>
        <w:tc>
          <w:tcPr>
            <w:tcW w:w="1130" w:type="dxa"/>
            <w:tcBorders>
              <w:top w:val="single" w:sz="2" w:space="0" w:color="auto"/>
              <w:bottom w:val="single" w:sz="4" w:space="0" w:color="auto"/>
            </w:tcBorders>
            <w:shd w:val="clear" w:color="auto" w:fill="ACCBF9" w:themeFill="background2"/>
            <w:vAlign w:val="center"/>
          </w:tcPr>
          <w:p w:rsidR="00D82AE2" w:rsidRPr="005910B1" w:rsidRDefault="00D82AE2" w:rsidP="005910B1">
            <w:pPr>
              <w:pStyle w:val="texto"/>
              <w:tabs>
                <w:tab w:val="clear" w:pos="3969"/>
                <w:tab w:val="right" w:pos="4286"/>
              </w:tabs>
              <w:spacing w:after="0"/>
              <w:ind w:firstLine="0"/>
              <w:jc w:val="right"/>
              <w:rPr>
                <w:rFonts w:ascii="Arial" w:hAnsi="Arial" w:cs="Arial"/>
                <w:sz w:val="16"/>
                <w:szCs w:val="16"/>
              </w:rPr>
            </w:pPr>
            <w:r w:rsidRPr="005910B1">
              <w:rPr>
                <w:rFonts w:ascii="Arial" w:hAnsi="Arial" w:cs="Arial"/>
                <w:sz w:val="16"/>
                <w:szCs w:val="16"/>
              </w:rPr>
              <w:t>49.272</w:t>
            </w:r>
          </w:p>
        </w:tc>
        <w:tc>
          <w:tcPr>
            <w:tcW w:w="1131" w:type="dxa"/>
            <w:tcBorders>
              <w:top w:val="single" w:sz="2" w:space="0" w:color="auto"/>
              <w:bottom w:val="single" w:sz="4" w:space="0" w:color="auto"/>
            </w:tcBorders>
            <w:shd w:val="clear" w:color="auto" w:fill="ACCBF9" w:themeFill="background2"/>
            <w:vAlign w:val="center"/>
          </w:tcPr>
          <w:p w:rsidR="00D82AE2" w:rsidRPr="005910B1" w:rsidRDefault="00D82AE2" w:rsidP="005910B1">
            <w:pPr>
              <w:pStyle w:val="texto"/>
              <w:tabs>
                <w:tab w:val="clear" w:pos="3969"/>
                <w:tab w:val="right" w:pos="4286"/>
              </w:tabs>
              <w:spacing w:after="0"/>
              <w:ind w:firstLine="0"/>
              <w:jc w:val="right"/>
              <w:rPr>
                <w:rFonts w:ascii="Arial" w:hAnsi="Arial" w:cs="Arial"/>
                <w:sz w:val="16"/>
                <w:szCs w:val="16"/>
              </w:rPr>
            </w:pPr>
            <w:r w:rsidRPr="005910B1">
              <w:rPr>
                <w:rFonts w:ascii="Arial" w:hAnsi="Arial" w:cs="Arial"/>
                <w:sz w:val="16"/>
                <w:szCs w:val="16"/>
              </w:rPr>
              <w:t>90.497</w:t>
            </w:r>
          </w:p>
        </w:tc>
        <w:tc>
          <w:tcPr>
            <w:tcW w:w="1130" w:type="dxa"/>
            <w:tcBorders>
              <w:top w:val="single" w:sz="2" w:space="0" w:color="auto"/>
              <w:bottom w:val="single" w:sz="4" w:space="0" w:color="auto"/>
            </w:tcBorders>
            <w:shd w:val="clear" w:color="auto" w:fill="ACCBF9" w:themeFill="background2"/>
            <w:vAlign w:val="center"/>
          </w:tcPr>
          <w:p w:rsidR="00D82AE2" w:rsidRPr="005910B1" w:rsidRDefault="00D82AE2" w:rsidP="005910B1">
            <w:pPr>
              <w:pStyle w:val="texto"/>
              <w:tabs>
                <w:tab w:val="clear" w:pos="3969"/>
                <w:tab w:val="right" w:pos="4286"/>
              </w:tabs>
              <w:spacing w:after="0"/>
              <w:ind w:firstLine="0"/>
              <w:jc w:val="right"/>
              <w:rPr>
                <w:rFonts w:ascii="Arial" w:hAnsi="Arial" w:cs="Arial"/>
                <w:sz w:val="16"/>
                <w:szCs w:val="16"/>
              </w:rPr>
            </w:pPr>
            <w:r w:rsidRPr="005910B1">
              <w:rPr>
                <w:rFonts w:ascii="Arial" w:hAnsi="Arial" w:cs="Arial"/>
                <w:sz w:val="16"/>
                <w:szCs w:val="16"/>
              </w:rPr>
              <w:t>144.006</w:t>
            </w:r>
          </w:p>
        </w:tc>
        <w:tc>
          <w:tcPr>
            <w:tcW w:w="901" w:type="dxa"/>
            <w:tcBorders>
              <w:top w:val="single" w:sz="2" w:space="0" w:color="auto"/>
              <w:bottom w:val="single" w:sz="4" w:space="0" w:color="auto"/>
            </w:tcBorders>
            <w:shd w:val="clear" w:color="auto" w:fill="ACCBF9" w:themeFill="background2"/>
            <w:vAlign w:val="center"/>
          </w:tcPr>
          <w:p w:rsidR="00D82AE2" w:rsidRPr="005910B1" w:rsidRDefault="00D82AE2" w:rsidP="005910B1">
            <w:pPr>
              <w:pStyle w:val="texto"/>
              <w:tabs>
                <w:tab w:val="clear" w:pos="3969"/>
                <w:tab w:val="right" w:pos="4286"/>
              </w:tabs>
              <w:spacing w:after="0"/>
              <w:ind w:right="14" w:firstLine="0"/>
              <w:jc w:val="right"/>
              <w:rPr>
                <w:rFonts w:ascii="Arial" w:hAnsi="Arial" w:cs="Arial"/>
                <w:sz w:val="16"/>
                <w:szCs w:val="16"/>
              </w:rPr>
            </w:pPr>
            <w:r w:rsidRPr="005910B1">
              <w:rPr>
                <w:rFonts w:ascii="Arial" w:hAnsi="Arial" w:cs="Arial"/>
                <w:sz w:val="16"/>
                <w:szCs w:val="16"/>
              </w:rPr>
              <w:t>352.</w:t>
            </w:r>
            <w:r w:rsidR="000951D8" w:rsidRPr="005910B1">
              <w:rPr>
                <w:rFonts w:ascii="Arial" w:hAnsi="Arial" w:cs="Arial"/>
                <w:sz w:val="16"/>
                <w:szCs w:val="16"/>
              </w:rPr>
              <w:t>500</w:t>
            </w:r>
          </w:p>
        </w:tc>
      </w:tr>
      <w:tr w:rsidR="00D82AE2" w:rsidRPr="005910B1" w:rsidTr="007E716B">
        <w:trPr>
          <w:trHeight w:val="284"/>
          <w:jc w:val="center"/>
        </w:trPr>
        <w:tc>
          <w:tcPr>
            <w:tcW w:w="2462" w:type="dxa"/>
            <w:tcBorders>
              <w:top w:val="single" w:sz="2" w:space="0" w:color="auto"/>
              <w:bottom w:val="single" w:sz="4" w:space="0" w:color="auto"/>
            </w:tcBorders>
            <w:shd w:val="clear" w:color="auto" w:fill="ACCBF9" w:themeFill="background2"/>
            <w:noWrap/>
            <w:vAlign w:val="center"/>
          </w:tcPr>
          <w:p w:rsidR="00D82AE2" w:rsidRPr="005910B1" w:rsidRDefault="00D82AE2" w:rsidP="00DB4477">
            <w:pPr>
              <w:pStyle w:val="texto"/>
              <w:spacing w:after="0"/>
              <w:ind w:firstLine="0"/>
              <w:rPr>
                <w:rFonts w:ascii="Arial" w:hAnsi="Arial" w:cs="Arial"/>
                <w:sz w:val="16"/>
                <w:szCs w:val="16"/>
              </w:rPr>
            </w:pPr>
            <w:r w:rsidRPr="005910B1">
              <w:rPr>
                <w:rFonts w:ascii="Arial" w:hAnsi="Arial" w:cs="Arial"/>
                <w:sz w:val="16"/>
                <w:szCs w:val="16"/>
              </w:rPr>
              <w:t>Número de deudores</w:t>
            </w:r>
          </w:p>
        </w:tc>
        <w:tc>
          <w:tcPr>
            <w:tcW w:w="1130" w:type="dxa"/>
            <w:tcBorders>
              <w:top w:val="single" w:sz="2" w:space="0" w:color="auto"/>
              <w:bottom w:val="single" w:sz="4" w:space="0" w:color="auto"/>
            </w:tcBorders>
            <w:shd w:val="clear" w:color="auto" w:fill="ACCBF9" w:themeFill="background2"/>
            <w:noWrap/>
            <w:vAlign w:val="center"/>
          </w:tcPr>
          <w:p w:rsidR="00D82AE2" w:rsidRPr="005910B1" w:rsidRDefault="00D82AE2" w:rsidP="005910B1">
            <w:pPr>
              <w:pStyle w:val="texto"/>
              <w:tabs>
                <w:tab w:val="clear" w:pos="3969"/>
                <w:tab w:val="right" w:pos="4286"/>
              </w:tabs>
              <w:spacing w:after="0"/>
              <w:ind w:firstLine="0"/>
              <w:jc w:val="right"/>
              <w:rPr>
                <w:rFonts w:ascii="Arial" w:hAnsi="Arial" w:cs="Arial"/>
                <w:sz w:val="16"/>
                <w:szCs w:val="16"/>
              </w:rPr>
            </w:pPr>
            <w:r w:rsidRPr="005910B1">
              <w:rPr>
                <w:rFonts w:ascii="Arial" w:hAnsi="Arial" w:cs="Arial"/>
                <w:sz w:val="16"/>
                <w:szCs w:val="16"/>
              </w:rPr>
              <w:t>72</w:t>
            </w:r>
          </w:p>
        </w:tc>
        <w:tc>
          <w:tcPr>
            <w:tcW w:w="1131" w:type="dxa"/>
            <w:tcBorders>
              <w:top w:val="single" w:sz="2" w:space="0" w:color="auto"/>
              <w:bottom w:val="single" w:sz="4" w:space="0" w:color="auto"/>
            </w:tcBorders>
            <w:shd w:val="clear" w:color="auto" w:fill="ACCBF9" w:themeFill="background2"/>
            <w:noWrap/>
            <w:vAlign w:val="center"/>
          </w:tcPr>
          <w:p w:rsidR="00D82AE2" w:rsidRPr="005910B1" w:rsidRDefault="00D82AE2" w:rsidP="005910B1">
            <w:pPr>
              <w:pStyle w:val="texto"/>
              <w:tabs>
                <w:tab w:val="clear" w:pos="3969"/>
                <w:tab w:val="right" w:pos="4286"/>
              </w:tabs>
              <w:spacing w:after="0"/>
              <w:ind w:firstLine="0"/>
              <w:jc w:val="right"/>
              <w:rPr>
                <w:rFonts w:ascii="Arial" w:hAnsi="Arial" w:cs="Arial"/>
                <w:sz w:val="16"/>
                <w:szCs w:val="16"/>
              </w:rPr>
            </w:pPr>
            <w:r w:rsidRPr="005910B1">
              <w:rPr>
                <w:rFonts w:ascii="Arial" w:hAnsi="Arial" w:cs="Arial"/>
                <w:sz w:val="16"/>
                <w:szCs w:val="16"/>
              </w:rPr>
              <w:t>6</w:t>
            </w:r>
            <w:r w:rsidR="001F766D" w:rsidRPr="005910B1">
              <w:rPr>
                <w:rFonts w:ascii="Arial" w:hAnsi="Arial" w:cs="Arial"/>
                <w:sz w:val="16"/>
                <w:szCs w:val="16"/>
              </w:rPr>
              <w:t>9</w:t>
            </w:r>
          </w:p>
        </w:tc>
        <w:tc>
          <w:tcPr>
            <w:tcW w:w="1130" w:type="dxa"/>
            <w:tcBorders>
              <w:top w:val="single" w:sz="2" w:space="0" w:color="auto"/>
              <w:bottom w:val="single" w:sz="4" w:space="0" w:color="auto"/>
            </w:tcBorders>
            <w:shd w:val="clear" w:color="auto" w:fill="ACCBF9" w:themeFill="background2"/>
            <w:vAlign w:val="center"/>
          </w:tcPr>
          <w:p w:rsidR="00D82AE2" w:rsidRPr="005910B1" w:rsidRDefault="00D82AE2" w:rsidP="005910B1">
            <w:pPr>
              <w:pStyle w:val="texto"/>
              <w:tabs>
                <w:tab w:val="clear" w:pos="3969"/>
                <w:tab w:val="right" w:pos="4286"/>
              </w:tabs>
              <w:spacing w:after="0"/>
              <w:ind w:firstLine="0"/>
              <w:jc w:val="right"/>
              <w:rPr>
                <w:rFonts w:ascii="Arial" w:hAnsi="Arial" w:cs="Arial"/>
                <w:sz w:val="16"/>
                <w:szCs w:val="16"/>
              </w:rPr>
            </w:pPr>
            <w:r w:rsidRPr="005910B1">
              <w:rPr>
                <w:rFonts w:ascii="Arial" w:hAnsi="Arial" w:cs="Arial"/>
                <w:sz w:val="16"/>
                <w:szCs w:val="16"/>
              </w:rPr>
              <w:t>82</w:t>
            </w:r>
          </w:p>
        </w:tc>
        <w:tc>
          <w:tcPr>
            <w:tcW w:w="1131" w:type="dxa"/>
            <w:tcBorders>
              <w:top w:val="single" w:sz="2" w:space="0" w:color="auto"/>
              <w:bottom w:val="single" w:sz="4" w:space="0" w:color="auto"/>
            </w:tcBorders>
            <w:shd w:val="clear" w:color="auto" w:fill="ACCBF9" w:themeFill="background2"/>
            <w:vAlign w:val="center"/>
          </w:tcPr>
          <w:p w:rsidR="00D82AE2" w:rsidRPr="005910B1" w:rsidRDefault="00D82AE2" w:rsidP="005910B1">
            <w:pPr>
              <w:pStyle w:val="texto"/>
              <w:tabs>
                <w:tab w:val="clear" w:pos="3969"/>
                <w:tab w:val="right" w:pos="4286"/>
              </w:tabs>
              <w:spacing w:after="0"/>
              <w:ind w:firstLine="0"/>
              <w:jc w:val="right"/>
              <w:rPr>
                <w:rFonts w:ascii="Arial" w:hAnsi="Arial" w:cs="Arial"/>
                <w:sz w:val="16"/>
                <w:szCs w:val="16"/>
              </w:rPr>
            </w:pPr>
            <w:r w:rsidRPr="005910B1">
              <w:rPr>
                <w:rFonts w:ascii="Arial" w:hAnsi="Arial" w:cs="Arial"/>
                <w:sz w:val="16"/>
                <w:szCs w:val="16"/>
              </w:rPr>
              <w:t>107</w:t>
            </w:r>
          </w:p>
        </w:tc>
        <w:tc>
          <w:tcPr>
            <w:tcW w:w="1130" w:type="dxa"/>
            <w:tcBorders>
              <w:top w:val="single" w:sz="2" w:space="0" w:color="auto"/>
              <w:bottom w:val="single" w:sz="4" w:space="0" w:color="auto"/>
            </w:tcBorders>
            <w:shd w:val="clear" w:color="auto" w:fill="ACCBF9" w:themeFill="background2"/>
            <w:vAlign w:val="center"/>
          </w:tcPr>
          <w:p w:rsidR="00D82AE2" w:rsidRPr="005910B1" w:rsidRDefault="00D82AE2" w:rsidP="005910B1">
            <w:pPr>
              <w:pStyle w:val="texto"/>
              <w:tabs>
                <w:tab w:val="clear" w:pos="3969"/>
                <w:tab w:val="right" w:pos="4286"/>
              </w:tabs>
              <w:spacing w:after="0"/>
              <w:ind w:firstLine="0"/>
              <w:jc w:val="right"/>
              <w:rPr>
                <w:rFonts w:ascii="Arial" w:hAnsi="Arial" w:cs="Arial"/>
                <w:sz w:val="16"/>
                <w:szCs w:val="16"/>
              </w:rPr>
            </w:pPr>
            <w:r w:rsidRPr="005910B1">
              <w:rPr>
                <w:rFonts w:ascii="Arial" w:hAnsi="Arial" w:cs="Arial"/>
                <w:sz w:val="16"/>
                <w:szCs w:val="16"/>
              </w:rPr>
              <w:t>151</w:t>
            </w:r>
          </w:p>
        </w:tc>
        <w:tc>
          <w:tcPr>
            <w:tcW w:w="901" w:type="dxa"/>
            <w:tcBorders>
              <w:top w:val="single" w:sz="2" w:space="0" w:color="auto"/>
              <w:bottom w:val="single" w:sz="4" w:space="0" w:color="auto"/>
            </w:tcBorders>
            <w:shd w:val="clear" w:color="auto" w:fill="ACCBF9" w:themeFill="background2"/>
            <w:vAlign w:val="center"/>
          </w:tcPr>
          <w:p w:rsidR="00D82AE2" w:rsidRPr="005910B1" w:rsidRDefault="00D82AE2" w:rsidP="005910B1">
            <w:pPr>
              <w:pStyle w:val="texto"/>
              <w:tabs>
                <w:tab w:val="clear" w:pos="3969"/>
                <w:tab w:val="right" w:pos="4286"/>
              </w:tabs>
              <w:spacing w:after="0"/>
              <w:ind w:right="14" w:firstLine="0"/>
              <w:jc w:val="right"/>
              <w:rPr>
                <w:rFonts w:ascii="Arial" w:hAnsi="Arial" w:cs="Arial"/>
                <w:sz w:val="16"/>
                <w:szCs w:val="16"/>
              </w:rPr>
            </w:pPr>
            <w:r w:rsidRPr="005910B1">
              <w:rPr>
                <w:rFonts w:ascii="Arial" w:hAnsi="Arial" w:cs="Arial"/>
                <w:sz w:val="16"/>
                <w:szCs w:val="16"/>
              </w:rPr>
              <w:t>481</w:t>
            </w:r>
          </w:p>
        </w:tc>
      </w:tr>
    </w:tbl>
    <w:p w:rsidR="00D90B71" w:rsidRPr="00413F35" w:rsidRDefault="00D90B71" w:rsidP="00D90B71">
      <w:pPr>
        <w:pStyle w:val="texto"/>
        <w:spacing w:before="240"/>
      </w:pPr>
      <w:r w:rsidRPr="00413F35">
        <w:t>Observamos que el importe pendiente de cobro por matrículas asciende a 35</w:t>
      </w:r>
      <w:r w:rsidR="001F766D">
        <w:t>2</w:t>
      </w:r>
      <w:r w:rsidRPr="00413F35">
        <w:t>.</w:t>
      </w:r>
      <w:r w:rsidR="000951D8">
        <w:t>500</w:t>
      </w:r>
      <w:r w:rsidRPr="00413F35">
        <w:t xml:space="preserve"> euros y corresponde a 481 deudores. El 4</w:t>
      </w:r>
      <w:r w:rsidR="004C194C">
        <w:t>1</w:t>
      </w:r>
      <w:r w:rsidRPr="00413F35">
        <w:t xml:space="preserve"> por ciento de la deuda corresponde al curso 2017/2018 y el 89 por ciento procede de matrículas de grado.</w:t>
      </w:r>
    </w:p>
    <w:p w:rsidR="00D90B71" w:rsidRDefault="000951D8" w:rsidP="00D90B71">
      <w:pPr>
        <w:pStyle w:val="texto"/>
      </w:pPr>
      <w:r>
        <w:t xml:space="preserve">La Universidad realiza recordatorios periódicos a los morosos instando al pago. Además, transcurrido el periodo de pago voluntario, el sistema informático bloquea el expediente del alumno moroso, de forma que no se pueden efectuar nuevas matriculaciones, emisión de certificados o títulos, traslado de matrículas, etc. </w:t>
      </w:r>
      <w:r w:rsidR="00D90B71" w:rsidRPr="00730AE6">
        <w:t>Al final, cuando el alumno moroso precisa realizar algún acto administrativo o docente, se le exige previamente el pago pendiente.</w:t>
      </w:r>
    </w:p>
    <w:p w:rsidR="002E098D" w:rsidRPr="00730AE6" w:rsidRDefault="002E098D" w:rsidP="00D90B71">
      <w:pPr>
        <w:pStyle w:val="texto"/>
      </w:pPr>
      <w:r>
        <w:t xml:space="preserve">En la Memoria de las cuentas anuales de la </w:t>
      </w:r>
      <w:r w:rsidR="009D7DD5">
        <w:t>Universidad</w:t>
      </w:r>
      <w:r>
        <w:t xml:space="preserve"> 2017 no se incluye información sobre estos derechos pendientes de cobro.</w:t>
      </w:r>
    </w:p>
    <w:p w:rsidR="00E70A82" w:rsidRPr="00A32A9C" w:rsidRDefault="00E70A82" w:rsidP="00AA6FB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A32A9C">
        <w:t xml:space="preserve">Las exenciones aplicables en las matrículas proceden de: becas, familia numerosa –general y especial–, discapacidad, matrículas de honor y violencia terrorista y de género. </w:t>
      </w:r>
      <w:r w:rsidR="00D1702B">
        <w:t>Al respecto, s</w:t>
      </w:r>
      <w:r w:rsidRPr="00A32A9C">
        <w:t>eñalamos:</w:t>
      </w:r>
    </w:p>
    <w:p w:rsidR="00793970" w:rsidRDefault="00E70A82" w:rsidP="00E70A82">
      <w:pPr>
        <w:pStyle w:val="texto"/>
      </w:pPr>
      <w:r w:rsidRPr="000746E4">
        <w:t xml:space="preserve">a) Las becas </w:t>
      </w:r>
      <w:r w:rsidR="00793970">
        <w:t xml:space="preserve">por matrícula </w:t>
      </w:r>
      <w:r w:rsidRPr="000746E4">
        <w:t xml:space="preserve">del Ministerio </w:t>
      </w:r>
      <w:r w:rsidR="002738B2" w:rsidRPr="000746E4">
        <w:t xml:space="preserve">de Educación </w:t>
      </w:r>
      <w:r w:rsidRPr="000746E4">
        <w:t xml:space="preserve">se abonan directamente a la </w:t>
      </w:r>
      <w:r w:rsidR="009D7DD5">
        <w:t>Universidad</w:t>
      </w:r>
      <w:r w:rsidRPr="000746E4">
        <w:t xml:space="preserve"> en dos resoluciones de pago –anticipo y liquidación– y</w:t>
      </w:r>
      <w:r w:rsidR="00793970">
        <w:t xml:space="preserve"> </w:t>
      </w:r>
      <w:r w:rsidRPr="000746E4">
        <w:t>se registran en una partida específica del presupuesto.</w:t>
      </w:r>
    </w:p>
    <w:p w:rsidR="00793970" w:rsidRDefault="002C33B3" w:rsidP="004A40EE">
      <w:pPr>
        <w:pStyle w:val="texto"/>
      </w:pPr>
      <w:r>
        <w:t>E</w:t>
      </w:r>
      <w:r w:rsidR="00793970">
        <w:t xml:space="preserve">l </w:t>
      </w:r>
      <w:r w:rsidR="00FC765C">
        <w:t>M</w:t>
      </w:r>
      <w:r w:rsidR="00793970">
        <w:t xml:space="preserve">inisterio compensa por becas una cantidad igual a la del precio público fijado </w:t>
      </w:r>
      <w:r w:rsidR="00BE030A">
        <w:t>para e</w:t>
      </w:r>
      <w:r w:rsidR="00793970">
        <w:t>l curso 2011/2012, actualizado en un uno por ciento</w:t>
      </w:r>
      <w:r w:rsidR="00BE030A">
        <w:t xml:space="preserve">. </w:t>
      </w:r>
      <w:r>
        <w:t>D</w:t>
      </w:r>
      <w:r w:rsidR="00BE030A">
        <w:t xml:space="preserve">icha cantidad es inferior al </w:t>
      </w:r>
      <w:r w:rsidR="00D57EB9">
        <w:t>importe</w:t>
      </w:r>
      <w:r w:rsidR="00BE030A">
        <w:t xml:space="preserve"> de las becas de matrícula, calculado al precio público efectivamente fijado por el Gobierno de Navarra, </w:t>
      </w:r>
      <w:r>
        <w:t xml:space="preserve">por lo que </w:t>
      </w:r>
      <w:r w:rsidR="00BE030A">
        <w:t>corresponde a éste compensar a la universidad por la diferencia</w:t>
      </w:r>
      <w:r w:rsidR="00BE030A">
        <w:rPr>
          <w:rStyle w:val="Refdenotaalpie"/>
        </w:rPr>
        <w:footnoteReference w:id="11"/>
      </w:r>
      <w:r w:rsidR="00BE030A">
        <w:t>.</w:t>
      </w:r>
      <w:r w:rsidR="004A40EE">
        <w:t xml:space="preserve"> Los ingresos por este concepto en 2017 han ascendido a 1,37 millones, un 94 por ciento abonado por el </w:t>
      </w:r>
      <w:r w:rsidR="00FC765C">
        <w:t>M</w:t>
      </w:r>
      <w:r w:rsidR="004A40EE">
        <w:t>inisterio y el resto por el Gobierno de Navarra</w:t>
      </w:r>
      <w:r w:rsidR="00FC765C">
        <w:t xml:space="preserve"> y corresponden a 1.408 becarios.</w:t>
      </w:r>
    </w:p>
    <w:p w:rsidR="00285ACA" w:rsidRDefault="00E70A82" w:rsidP="00D72B44">
      <w:pPr>
        <w:pStyle w:val="texto"/>
      </w:pPr>
      <w:r w:rsidRPr="00730AE6">
        <w:t xml:space="preserve">b) Para las exenciones por familia numerosa y por discapacidad, el alumno debe justificar documentalmente tales circunstancias en el momento de cumplimentar la matrícula, revisándose la vigencia de tal documentación por los servicios de la </w:t>
      </w:r>
      <w:r w:rsidR="009D7DD5">
        <w:t>Universidad</w:t>
      </w:r>
      <w:r w:rsidRPr="00730AE6">
        <w:t xml:space="preserve">. </w:t>
      </w:r>
    </w:p>
    <w:p w:rsidR="002C33B3" w:rsidRDefault="00D72B44" w:rsidP="004F1A68">
      <w:pPr>
        <w:pStyle w:val="texto"/>
        <w:spacing w:before="120" w:after="120"/>
      </w:pPr>
      <w:r w:rsidRPr="00F42BE9">
        <w:t xml:space="preserve">La </w:t>
      </w:r>
      <w:r w:rsidR="009D7DD5">
        <w:t>Universidad</w:t>
      </w:r>
      <w:r w:rsidRPr="00F42BE9">
        <w:t xml:space="preserve"> recupera del Ministerio </w:t>
      </w:r>
      <w:r w:rsidR="002738B2" w:rsidRPr="00F42BE9">
        <w:t xml:space="preserve">de Educación </w:t>
      </w:r>
      <w:r w:rsidRPr="002738B2">
        <w:t>el importe de las deducciones por familia numerosa gene</w:t>
      </w:r>
      <w:r w:rsidR="00F33733">
        <w:t>ral</w:t>
      </w:r>
      <w:r w:rsidR="002C33B3">
        <w:t xml:space="preserve"> (tres hijos y asimilados)</w:t>
      </w:r>
      <w:r w:rsidRPr="002738B2">
        <w:t>.</w:t>
      </w:r>
      <w:r w:rsidR="00116F5F">
        <w:t xml:space="preserve"> </w:t>
      </w:r>
      <w:r w:rsidR="002C33B3">
        <w:t>La base para el cálculo de esta compensación es la misma que para el cálculo de las becas, anteriormente citado; es decir, el precio vigente en el curso 2011/2012 actualizado en un uno por ciento. En este caso no se abona la diferencia por el Gobierno de Navarra.</w:t>
      </w:r>
    </w:p>
    <w:p w:rsidR="00670292" w:rsidRDefault="00670292">
      <w:pPr>
        <w:spacing w:after="0"/>
        <w:ind w:firstLine="0"/>
        <w:jc w:val="left"/>
        <w:rPr>
          <w:spacing w:val="6"/>
          <w:sz w:val="26"/>
          <w:szCs w:val="24"/>
        </w:rPr>
      </w:pPr>
      <w:r>
        <w:br w:type="page"/>
      </w:r>
    </w:p>
    <w:p w:rsidR="00285ACA" w:rsidRPr="007E716B" w:rsidRDefault="007D0C37" w:rsidP="004F1A68">
      <w:pPr>
        <w:pStyle w:val="texto"/>
        <w:spacing w:before="120" w:after="120"/>
      </w:pPr>
      <w:r w:rsidRPr="007E716B">
        <w:t xml:space="preserve">El Ministerio </w:t>
      </w:r>
      <w:r w:rsidR="005B619D" w:rsidRPr="007E716B">
        <w:t>realiza</w:t>
      </w:r>
      <w:r w:rsidR="00285ACA" w:rsidRPr="007E716B">
        <w:t xml:space="preserve"> dos </w:t>
      </w:r>
      <w:r w:rsidR="0042526B" w:rsidRPr="007E716B">
        <w:t>abonos</w:t>
      </w:r>
      <w:r w:rsidR="005B619D" w:rsidRPr="007E716B">
        <w:t xml:space="preserve">: </w:t>
      </w:r>
      <w:r w:rsidR="00D1702B" w:rsidRPr="007E716B">
        <w:t xml:space="preserve">el primero </w:t>
      </w:r>
      <w:r w:rsidR="005B619D" w:rsidRPr="007E716B">
        <w:t xml:space="preserve">en octubre, finalizado el curso y tras la certificación de la </w:t>
      </w:r>
      <w:r w:rsidR="009D7DD5" w:rsidRPr="007E716B">
        <w:t>Universidad</w:t>
      </w:r>
      <w:r w:rsidR="005B619D" w:rsidRPr="007E716B">
        <w:t xml:space="preserve"> de la relación de estudiantes que han aplicado en su matrícula el descuento por familia numerosa y </w:t>
      </w:r>
      <w:r w:rsidR="00D1702B" w:rsidRPr="007E716B">
        <w:t xml:space="preserve">el segundo </w:t>
      </w:r>
      <w:r w:rsidR="005B619D" w:rsidRPr="007E716B">
        <w:t>en marzo del año siguiente.</w:t>
      </w:r>
    </w:p>
    <w:p w:rsidR="00285ACA" w:rsidRPr="007E716B" w:rsidRDefault="00F33733" w:rsidP="004F1A68">
      <w:pPr>
        <w:pStyle w:val="texto"/>
        <w:spacing w:before="120" w:after="120"/>
      </w:pPr>
      <w:r w:rsidRPr="007E716B">
        <w:t>Los ingresos por este concepto se registran en una partida específica de exenciones, que en 2017 presenta unos derechos reconocidos de 486.708 euros. Estos ingresos corresponden a la liquidación del curso 2015/2016 y al primer pago a cuenta del curso 2016/2017.</w:t>
      </w:r>
      <w:r w:rsidR="00285ACA" w:rsidRPr="007E716B">
        <w:t xml:space="preserve"> </w:t>
      </w:r>
    </w:p>
    <w:p w:rsidR="00285ACA" w:rsidRDefault="00285ACA" w:rsidP="004F1A68">
      <w:pPr>
        <w:pStyle w:val="texto"/>
        <w:spacing w:before="120" w:after="120"/>
      </w:pPr>
      <w:r>
        <w:t xml:space="preserve">Hemos </w:t>
      </w:r>
      <w:r w:rsidR="00E72DC4">
        <w:t xml:space="preserve">verificado </w:t>
      </w:r>
      <w:r>
        <w:t xml:space="preserve">la información enviada por la </w:t>
      </w:r>
      <w:r w:rsidR="009D7DD5">
        <w:t>Universidad</w:t>
      </w:r>
      <w:r>
        <w:t xml:space="preserve"> al Ministerio, referida al curso 2016/2017</w:t>
      </w:r>
      <w:r w:rsidR="001D3314">
        <w:t>,</w:t>
      </w:r>
      <w:r>
        <w:t xml:space="preserve"> </w:t>
      </w:r>
      <w:r w:rsidR="00E72DC4">
        <w:t xml:space="preserve">con </w:t>
      </w:r>
      <w:r>
        <w:t>los ingresos recibidos en los años 2017 y 2018 por este concepto.</w:t>
      </w:r>
      <w:r w:rsidR="00F33733" w:rsidRPr="00285ACA">
        <w:t xml:space="preserve"> </w:t>
      </w:r>
      <w:bookmarkStart w:id="34" w:name="TMB1499762286"/>
      <w:bookmarkEnd w:id="34"/>
      <w:r w:rsidRPr="00285ACA">
        <w:t xml:space="preserve">El número de estudiantes con bonificación es de 1.053 y el importe de la </w:t>
      </w:r>
      <w:r w:rsidR="001D3314">
        <w:t xml:space="preserve">misma </w:t>
      </w:r>
      <w:r w:rsidR="005A48AA">
        <w:t>asciende a 727.505</w:t>
      </w:r>
      <w:r w:rsidRPr="00285ACA">
        <w:t xml:space="preserve"> euros. Aplicando los precios públicos del curso 2011/2012</w:t>
      </w:r>
      <w:r w:rsidR="004F1A68">
        <w:t>,</w:t>
      </w:r>
      <w:r w:rsidRPr="00285ACA">
        <w:t xml:space="preserve"> incrementados en un </w:t>
      </w:r>
      <w:r w:rsidR="005B619D">
        <w:t>uno por ciento</w:t>
      </w:r>
      <w:r w:rsidRPr="00285ACA">
        <w:t xml:space="preserve">, la cantidad </w:t>
      </w:r>
      <w:r w:rsidR="00E72DC4">
        <w:t xml:space="preserve">abonada por el </w:t>
      </w:r>
      <w:r w:rsidR="00DE23E4">
        <w:t>M</w:t>
      </w:r>
      <w:r w:rsidR="00E72DC4">
        <w:t xml:space="preserve">inisterio </w:t>
      </w:r>
      <w:r w:rsidRPr="00285ACA">
        <w:t>ascien</w:t>
      </w:r>
      <w:r w:rsidR="00D85F0C">
        <w:t>de a 583.282</w:t>
      </w:r>
      <w:r w:rsidR="00DE23E4">
        <w:t xml:space="preserve"> euros. La diferencia, 173.677 euros, es un me</w:t>
      </w:r>
      <w:r w:rsidR="004F1A68">
        <w:t>nor ingreso para la universidad.</w:t>
      </w:r>
    </w:p>
    <w:p w:rsidR="00375F08" w:rsidRDefault="00CA7A9A" w:rsidP="004F1A68">
      <w:pPr>
        <w:pStyle w:val="texto"/>
        <w:tabs>
          <w:tab w:val="num" w:pos="6597"/>
        </w:tabs>
        <w:spacing w:before="120" w:after="120"/>
      </w:pPr>
      <w:r>
        <w:t xml:space="preserve">c) </w:t>
      </w:r>
      <w:r w:rsidR="0049001C">
        <w:t xml:space="preserve">El resto de exenciones suponen un menor ingreso para la </w:t>
      </w:r>
      <w:r w:rsidR="009D7DD5">
        <w:t>Universidad</w:t>
      </w:r>
      <w:r w:rsidR="0049001C">
        <w:t xml:space="preserve">. </w:t>
      </w:r>
    </w:p>
    <w:p w:rsidR="00D72B44" w:rsidRDefault="00CA7A9A" w:rsidP="00442648">
      <w:pPr>
        <w:pStyle w:val="texto"/>
      </w:pPr>
      <w:r>
        <w:t xml:space="preserve">d) </w:t>
      </w:r>
      <w:r w:rsidR="00375F08">
        <w:t xml:space="preserve">Todas las </w:t>
      </w:r>
      <w:r w:rsidR="0049001C">
        <w:t xml:space="preserve">exenciones se descuentan del importe total </w:t>
      </w:r>
      <w:r w:rsidR="00375F08">
        <w:t>por matrícula a pagar por el alumno</w:t>
      </w:r>
      <w:r w:rsidR="00793970">
        <w:t>;</w:t>
      </w:r>
      <w:r w:rsidR="00375F08">
        <w:t xml:space="preserve"> </w:t>
      </w:r>
      <w:r w:rsidR="0042526B">
        <w:t xml:space="preserve">al contabilizarse lo realmente </w:t>
      </w:r>
      <w:r w:rsidR="001F13B7">
        <w:t xml:space="preserve">cobrado, no se realiza ningún seguimiento de las exenciones aplicadas, </w:t>
      </w:r>
      <w:r w:rsidR="00375F08">
        <w:t>a excepción de la exención por familia numerosa</w:t>
      </w:r>
      <w:r w:rsidR="001F13B7">
        <w:t xml:space="preserve"> de carácter general, anteriormente señalada.</w:t>
      </w:r>
    </w:p>
    <w:p w:rsidR="00375F08" w:rsidRDefault="00D57EB9" w:rsidP="005910B1">
      <w:pPr>
        <w:pStyle w:val="texto"/>
        <w:spacing w:after="240"/>
      </w:pPr>
      <w:r>
        <w:t xml:space="preserve">Nos han facilitado una estimación de </w:t>
      </w:r>
      <w:r w:rsidR="00D67CDD" w:rsidRPr="00D67CDD">
        <w:t>las exenciones aplicadas para los estudios de grado en el curso 2017/2018 han sido</w:t>
      </w:r>
      <w:r w:rsidR="00D85F0C">
        <w:t xml:space="preserve"> las siguientes</w:t>
      </w:r>
      <w:r w:rsidR="00D67CDD" w:rsidRPr="00D67CDD">
        <w:t>:</w:t>
      </w:r>
    </w:p>
    <w:tbl>
      <w:tblPr>
        <w:tblW w:w="8877"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2907"/>
        <w:gridCol w:w="4298"/>
        <w:gridCol w:w="601"/>
        <w:gridCol w:w="1071"/>
      </w:tblGrid>
      <w:tr w:rsidR="005910B1" w:rsidRPr="00730AE6" w:rsidTr="00283C58">
        <w:trPr>
          <w:trHeight w:val="284"/>
          <w:jc w:val="center"/>
        </w:trPr>
        <w:tc>
          <w:tcPr>
            <w:tcW w:w="2907" w:type="dxa"/>
            <w:tcBorders>
              <w:top w:val="single" w:sz="4" w:space="0" w:color="auto"/>
              <w:bottom w:val="single" w:sz="4" w:space="0" w:color="auto"/>
            </w:tcBorders>
            <w:shd w:val="clear" w:color="auto" w:fill="A0C3E3" w:themeFill="accent1" w:themeFillTint="99"/>
            <w:noWrap/>
            <w:vAlign w:val="center"/>
          </w:tcPr>
          <w:p w:rsidR="005910B1" w:rsidRPr="00730AE6" w:rsidRDefault="005910B1" w:rsidP="00C26E4C">
            <w:pPr>
              <w:pStyle w:val="cuadroCabe"/>
              <w:tabs>
                <w:tab w:val="clear" w:pos="2835"/>
                <w:tab w:val="right" w:pos="2589"/>
              </w:tabs>
              <w:ind w:right="462"/>
              <w:rPr>
                <w:lang w:val="es-ES" w:eastAsia="es-ES"/>
              </w:rPr>
            </w:pPr>
          </w:p>
        </w:tc>
        <w:tc>
          <w:tcPr>
            <w:tcW w:w="4899" w:type="dxa"/>
            <w:gridSpan w:val="2"/>
            <w:tcBorders>
              <w:top w:val="single" w:sz="4" w:space="0" w:color="auto"/>
              <w:bottom w:val="single" w:sz="4" w:space="0" w:color="auto"/>
            </w:tcBorders>
            <w:shd w:val="clear" w:color="auto" w:fill="A0C3E3" w:themeFill="accent1" w:themeFillTint="99"/>
            <w:vAlign w:val="center"/>
          </w:tcPr>
          <w:p w:rsidR="005910B1" w:rsidRDefault="005910B1" w:rsidP="00FF4621">
            <w:pPr>
              <w:spacing w:after="0"/>
              <w:ind w:right="594"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Número beneficiarios</w:t>
            </w:r>
          </w:p>
        </w:tc>
        <w:tc>
          <w:tcPr>
            <w:tcW w:w="1071" w:type="dxa"/>
            <w:tcBorders>
              <w:top w:val="single" w:sz="4" w:space="0" w:color="auto"/>
              <w:bottom w:val="single" w:sz="4" w:space="0" w:color="auto"/>
            </w:tcBorders>
            <w:shd w:val="clear" w:color="auto" w:fill="A0C3E3" w:themeFill="accent1" w:themeFillTint="99"/>
            <w:vAlign w:val="center"/>
          </w:tcPr>
          <w:p w:rsidR="005910B1" w:rsidRDefault="005910B1" w:rsidP="00C26E4C">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Exenciones</w:t>
            </w:r>
          </w:p>
        </w:tc>
      </w:tr>
      <w:tr w:rsidR="005910B1" w:rsidRPr="001D3314" w:rsidTr="00283C58">
        <w:trPr>
          <w:trHeight w:val="284"/>
          <w:jc w:val="center"/>
        </w:trPr>
        <w:tc>
          <w:tcPr>
            <w:tcW w:w="2907" w:type="dxa"/>
            <w:tcBorders>
              <w:top w:val="single" w:sz="4" w:space="0" w:color="auto"/>
              <w:bottom w:val="single" w:sz="2" w:space="0" w:color="auto"/>
            </w:tcBorders>
            <w:shd w:val="clear" w:color="auto" w:fill="auto"/>
            <w:noWrap/>
            <w:vAlign w:val="center"/>
          </w:tcPr>
          <w:p w:rsidR="005910B1" w:rsidRPr="001D3314" w:rsidRDefault="005910B1" w:rsidP="00C26E4C">
            <w:pPr>
              <w:spacing w:after="0"/>
              <w:ind w:firstLine="0"/>
              <w:jc w:val="left"/>
              <w:rPr>
                <w:rFonts w:ascii="Arial Narrow" w:hAnsi="Arial Narrow"/>
                <w:lang w:val="es-ES" w:eastAsia="es-ES"/>
              </w:rPr>
            </w:pPr>
            <w:r w:rsidRPr="001D3314">
              <w:rPr>
                <w:rFonts w:ascii="Arial Narrow" w:hAnsi="Arial Narrow"/>
                <w:lang w:val="es-ES" w:eastAsia="es-ES"/>
              </w:rPr>
              <w:t>Familia numerosa general</w:t>
            </w:r>
          </w:p>
        </w:tc>
        <w:tc>
          <w:tcPr>
            <w:tcW w:w="4298" w:type="dxa"/>
            <w:tcBorders>
              <w:top w:val="single" w:sz="4" w:space="0" w:color="auto"/>
              <w:bottom w:val="single" w:sz="2" w:space="0" w:color="auto"/>
            </w:tcBorders>
            <w:vAlign w:val="center"/>
          </w:tcPr>
          <w:p w:rsidR="005910B1" w:rsidRPr="001D3314" w:rsidRDefault="005910B1" w:rsidP="00C26E4C">
            <w:pPr>
              <w:spacing w:after="0"/>
              <w:ind w:firstLine="0"/>
              <w:jc w:val="right"/>
              <w:rPr>
                <w:rFonts w:ascii="Arial Narrow" w:hAnsi="Arial Narrow"/>
                <w:lang w:val="es-ES" w:eastAsia="es-ES"/>
              </w:rPr>
            </w:pPr>
            <w:r w:rsidRPr="001D3314">
              <w:rPr>
                <w:rFonts w:ascii="Arial Narrow" w:hAnsi="Arial Narrow"/>
                <w:lang w:val="es-ES" w:eastAsia="es-ES"/>
              </w:rPr>
              <w:t>1.226</w:t>
            </w:r>
          </w:p>
        </w:tc>
        <w:tc>
          <w:tcPr>
            <w:tcW w:w="1672" w:type="dxa"/>
            <w:gridSpan w:val="2"/>
            <w:tcBorders>
              <w:top w:val="single" w:sz="4" w:space="0" w:color="auto"/>
              <w:bottom w:val="single" w:sz="2" w:space="0" w:color="auto"/>
            </w:tcBorders>
            <w:vAlign w:val="center"/>
          </w:tcPr>
          <w:p w:rsidR="005910B1" w:rsidRPr="001D3314" w:rsidRDefault="005910B1" w:rsidP="00C26E4C">
            <w:pPr>
              <w:spacing w:after="0"/>
              <w:ind w:firstLine="0"/>
              <w:jc w:val="right"/>
              <w:rPr>
                <w:rFonts w:ascii="Arial Narrow" w:hAnsi="Arial Narrow"/>
                <w:lang w:val="es-ES" w:eastAsia="es-ES"/>
              </w:rPr>
            </w:pPr>
            <w:r w:rsidRPr="001D3314">
              <w:rPr>
                <w:rFonts w:ascii="Arial Narrow" w:hAnsi="Arial Narrow"/>
                <w:lang w:val="es-ES" w:eastAsia="es-ES"/>
              </w:rPr>
              <w:t>890.588</w:t>
            </w:r>
          </w:p>
        </w:tc>
      </w:tr>
      <w:tr w:rsidR="005910B1" w:rsidRPr="001D3314" w:rsidTr="00283C58">
        <w:trPr>
          <w:trHeight w:val="284"/>
          <w:jc w:val="center"/>
        </w:trPr>
        <w:tc>
          <w:tcPr>
            <w:tcW w:w="2907" w:type="dxa"/>
            <w:tcBorders>
              <w:top w:val="single" w:sz="2" w:space="0" w:color="auto"/>
              <w:bottom w:val="single" w:sz="2" w:space="0" w:color="auto"/>
            </w:tcBorders>
            <w:shd w:val="clear" w:color="auto" w:fill="auto"/>
            <w:noWrap/>
            <w:vAlign w:val="center"/>
          </w:tcPr>
          <w:p w:rsidR="005910B1" w:rsidRPr="001D3314" w:rsidRDefault="005910B1" w:rsidP="00C26E4C">
            <w:pPr>
              <w:spacing w:after="0"/>
              <w:ind w:firstLine="0"/>
              <w:jc w:val="left"/>
              <w:rPr>
                <w:rFonts w:ascii="Arial Narrow" w:hAnsi="Arial Narrow"/>
                <w:lang w:val="es-ES" w:eastAsia="es-ES"/>
              </w:rPr>
            </w:pPr>
            <w:r w:rsidRPr="001D3314">
              <w:rPr>
                <w:rFonts w:ascii="Arial Narrow" w:hAnsi="Arial Narrow"/>
                <w:lang w:val="es-ES" w:eastAsia="es-ES"/>
              </w:rPr>
              <w:t>Familia numerosa especial</w:t>
            </w:r>
          </w:p>
        </w:tc>
        <w:tc>
          <w:tcPr>
            <w:tcW w:w="4298" w:type="dxa"/>
            <w:tcBorders>
              <w:top w:val="single" w:sz="2" w:space="0" w:color="auto"/>
              <w:bottom w:val="single" w:sz="2" w:space="0" w:color="auto"/>
            </w:tcBorders>
            <w:vAlign w:val="center"/>
          </w:tcPr>
          <w:p w:rsidR="005910B1" w:rsidRPr="001D3314" w:rsidRDefault="005910B1" w:rsidP="00C26E4C">
            <w:pPr>
              <w:spacing w:after="0"/>
              <w:ind w:firstLine="0"/>
              <w:jc w:val="right"/>
              <w:rPr>
                <w:rFonts w:ascii="Arial Narrow" w:hAnsi="Arial Narrow"/>
                <w:lang w:val="es-ES" w:eastAsia="es-ES"/>
              </w:rPr>
            </w:pPr>
            <w:r w:rsidRPr="001D3314">
              <w:rPr>
                <w:rFonts w:ascii="Arial Narrow" w:hAnsi="Arial Narrow"/>
                <w:lang w:val="es-ES" w:eastAsia="es-ES"/>
              </w:rPr>
              <w:t>135</w:t>
            </w:r>
          </w:p>
        </w:tc>
        <w:tc>
          <w:tcPr>
            <w:tcW w:w="1672" w:type="dxa"/>
            <w:gridSpan w:val="2"/>
            <w:tcBorders>
              <w:top w:val="single" w:sz="2" w:space="0" w:color="auto"/>
              <w:bottom w:val="single" w:sz="2" w:space="0" w:color="auto"/>
            </w:tcBorders>
            <w:vAlign w:val="center"/>
          </w:tcPr>
          <w:p w:rsidR="005910B1" w:rsidRPr="001D3314" w:rsidRDefault="005910B1" w:rsidP="00C26E4C">
            <w:pPr>
              <w:spacing w:after="0"/>
              <w:ind w:firstLine="0"/>
              <w:jc w:val="right"/>
              <w:rPr>
                <w:rFonts w:ascii="Arial Narrow" w:hAnsi="Arial Narrow"/>
                <w:lang w:val="es-ES" w:eastAsia="es-ES"/>
              </w:rPr>
            </w:pPr>
            <w:r w:rsidRPr="001D3314">
              <w:rPr>
                <w:rFonts w:ascii="Arial Narrow" w:hAnsi="Arial Narrow"/>
                <w:lang w:val="es-ES" w:eastAsia="es-ES"/>
              </w:rPr>
              <w:t>207.613</w:t>
            </w:r>
          </w:p>
        </w:tc>
      </w:tr>
      <w:tr w:rsidR="005910B1" w:rsidRPr="001D3314" w:rsidTr="00283C58">
        <w:trPr>
          <w:trHeight w:val="284"/>
          <w:jc w:val="center"/>
        </w:trPr>
        <w:tc>
          <w:tcPr>
            <w:tcW w:w="2907" w:type="dxa"/>
            <w:tcBorders>
              <w:top w:val="single" w:sz="2" w:space="0" w:color="auto"/>
              <w:bottom w:val="single" w:sz="2" w:space="0" w:color="auto"/>
            </w:tcBorders>
            <w:shd w:val="clear" w:color="auto" w:fill="auto"/>
            <w:noWrap/>
            <w:vAlign w:val="center"/>
          </w:tcPr>
          <w:p w:rsidR="005910B1" w:rsidRPr="001D3314" w:rsidRDefault="005910B1" w:rsidP="00C26E4C">
            <w:pPr>
              <w:spacing w:after="0"/>
              <w:ind w:firstLine="0"/>
              <w:jc w:val="left"/>
              <w:rPr>
                <w:rFonts w:ascii="Arial Narrow" w:hAnsi="Arial Narrow"/>
                <w:lang w:val="es-ES" w:eastAsia="es-ES"/>
              </w:rPr>
            </w:pPr>
            <w:r w:rsidRPr="001D3314">
              <w:rPr>
                <w:rFonts w:ascii="Arial Narrow" w:hAnsi="Arial Narrow"/>
                <w:lang w:val="es-ES" w:eastAsia="es-ES"/>
              </w:rPr>
              <w:t>Discapacidad</w:t>
            </w:r>
          </w:p>
        </w:tc>
        <w:tc>
          <w:tcPr>
            <w:tcW w:w="4298" w:type="dxa"/>
            <w:tcBorders>
              <w:top w:val="single" w:sz="2" w:space="0" w:color="auto"/>
              <w:bottom w:val="single" w:sz="2" w:space="0" w:color="auto"/>
            </w:tcBorders>
            <w:vAlign w:val="center"/>
          </w:tcPr>
          <w:p w:rsidR="005910B1" w:rsidRPr="001D3314" w:rsidRDefault="005910B1" w:rsidP="00C26E4C">
            <w:pPr>
              <w:spacing w:after="0"/>
              <w:ind w:firstLine="0"/>
              <w:jc w:val="right"/>
              <w:rPr>
                <w:rFonts w:ascii="Arial Narrow" w:hAnsi="Arial Narrow"/>
                <w:lang w:val="es-ES" w:eastAsia="es-ES"/>
              </w:rPr>
            </w:pPr>
            <w:r w:rsidRPr="001D3314">
              <w:rPr>
                <w:rFonts w:ascii="Arial Narrow" w:hAnsi="Arial Narrow"/>
                <w:lang w:val="es-ES" w:eastAsia="es-ES"/>
              </w:rPr>
              <w:t>26</w:t>
            </w:r>
          </w:p>
        </w:tc>
        <w:tc>
          <w:tcPr>
            <w:tcW w:w="1672" w:type="dxa"/>
            <w:gridSpan w:val="2"/>
            <w:tcBorders>
              <w:top w:val="single" w:sz="2" w:space="0" w:color="auto"/>
              <w:bottom w:val="single" w:sz="2" w:space="0" w:color="auto"/>
            </w:tcBorders>
            <w:vAlign w:val="center"/>
          </w:tcPr>
          <w:p w:rsidR="005910B1" w:rsidRPr="001D3314" w:rsidRDefault="005910B1" w:rsidP="00C26E4C">
            <w:pPr>
              <w:spacing w:after="0"/>
              <w:ind w:firstLine="0"/>
              <w:jc w:val="right"/>
              <w:rPr>
                <w:rFonts w:ascii="Arial Narrow" w:hAnsi="Arial Narrow"/>
                <w:lang w:val="es-ES" w:eastAsia="es-ES"/>
              </w:rPr>
            </w:pPr>
            <w:r w:rsidRPr="001D3314">
              <w:rPr>
                <w:rFonts w:ascii="Arial Narrow" w:hAnsi="Arial Narrow"/>
                <w:lang w:val="es-ES" w:eastAsia="es-ES"/>
              </w:rPr>
              <w:t>34.446</w:t>
            </w:r>
          </w:p>
        </w:tc>
      </w:tr>
      <w:tr w:rsidR="005910B1" w:rsidRPr="001D3314" w:rsidTr="00283C58">
        <w:trPr>
          <w:trHeight w:val="284"/>
          <w:jc w:val="center"/>
        </w:trPr>
        <w:tc>
          <w:tcPr>
            <w:tcW w:w="2907" w:type="dxa"/>
            <w:tcBorders>
              <w:top w:val="single" w:sz="2" w:space="0" w:color="auto"/>
              <w:bottom w:val="single" w:sz="2" w:space="0" w:color="auto"/>
            </w:tcBorders>
            <w:shd w:val="clear" w:color="auto" w:fill="auto"/>
            <w:noWrap/>
            <w:vAlign w:val="center"/>
          </w:tcPr>
          <w:p w:rsidR="005910B1" w:rsidRPr="001D3314" w:rsidRDefault="005910B1" w:rsidP="00C26E4C">
            <w:pPr>
              <w:spacing w:after="0"/>
              <w:ind w:firstLine="0"/>
              <w:jc w:val="left"/>
              <w:rPr>
                <w:rFonts w:ascii="Arial Narrow" w:hAnsi="Arial Narrow"/>
                <w:lang w:val="es-ES" w:eastAsia="es-ES"/>
              </w:rPr>
            </w:pPr>
            <w:r w:rsidRPr="001D3314">
              <w:rPr>
                <w:rFonts w:ascii="Arial Narrow" w:hAnsi="Arial Narrow"/>
                <w:lang w:val="es-ES" w:eastAsia="es-ES"/>
              </w:rPr>
              <w:t>Víctimas del terrorismo</w:t>
            </w:r>
          </w:p>
        </w:tc>
        <w:tc>
          <w:tcPr>
            <w:tcW w:w="4298" w:type="dxa"/>
            <w:tcBorders>
              <w:top w:val="single" w:sz="2" w:space="0" w:color="auto"/>
              <w:bottom w:val="single" w:sz="2" w:space="0" w:color="auto"/>
            </w:tcBorders>
            <w:vAlign w:val="center"/>
          </w:tcPr>
          <w:p w:rsidR="005910B1" w:rsidRPr="001D3314" w:rsidRDefault="005910B1" w:rsidP="00C26E4C">
            <w:pPr>
              <w:spacing w:after="0"/>
              <w:ind w:firstLine="0"/>
              <w:jc w:val="right"/>
              <w:rPr>
                <w:rFonts w:ascii="Arial Narrow" w:hAnsi="Arial Narrow"/>
                <w:lang w:val="es-ES" w:eastAsia="es-ES"/>
              </w:rPr>
            </w:pPr>
            <w:r w:rsidRPr="001D3314">
              <w:rPr>
                <w:rFonts w:ascii="Arial Narrow" w:hAnsi="Arial Narrow"/>
                <w:lang w:val="es-ES" w:eastAsia="es-ES"/>
              </w:rPr>
              <w:t>5</w:t>
            </w:r>
          </w:p>
        </w:tc>
        <w:tc>
          <w:tcPr>
            <w:tcW w:w="1672" w:type="dxa"/>
            <w:gridSpan w:val="2"/>
            <w:tcBorders>
              <w:top w:val="single" w:sz="2" w:space="0" w:color="auto"/>
              <w:bottom w:val="single" w:sz="2" w:space="0" w:color="auto"/>
            </w:tcBorders>
            <w:vAlign w:val="center"/>
          </w:tcPr>
          <w:p w:rsidR="005910B1" w:rsidRPr="001D3314" w:rsidRDefault="005910B1" w:rsidP="00C26E4C">
            <w:pPr>
              <w:spacing w:after="0"/>
              <w:ind w:firstLine="0"/>
              <w:jc w:val="right"/>
              <w:rPr>
                <w:rFonts w:ascii="Arial Narrow" w:hAnsi="Arial Narrow"/>
                <w:lang w:val="es-ES" w:eastAsia="es-ES"/>
              </w:rPr>
            </w:pPr>
            <w:r w:rsidRPr="001D3314">
              <w:rPr>
                <w:rFonts w:ascii="Arial Narrow" w:hAnsi="Arial Narrow"/>
                <w:lang w:val="es-ES" w:eastAsia="es-ES"/>
              </w:rPr>
              <w:t>7.020</w:t>
            </w:r>
          </w:p>
        </w:tc>
      </w:tr>
      <w:tr w:rsidR="005910B1" w:rsidRPr="001D3314" w:rsidTr="00283C58">
        <w:trPr>
          <w:trHeight w:val="284"/>
          <w:jc w:val="center"/>
        </w:trPr>
        <w:tc>
          <w:tcPr>
            <w:tcW w:w="2907" w:type="dxa"/>
            <w:tcBorders>
              <w:top w:val="single" w:sz="2" w:space="0" w:color="auto"/>
              <w:bottom w:val="single" w:sz="2" w:space="0" w:color="auto"/>
            </w:tcBorders>
            <w:shd w:val="clear" w:color="auto" w:fill="auto"/>
            <w:noWrap/>
            <w:vAlign w:val="center"/>
          </w:tcPr>
          <w:p w:rsidR="005910B1" w:rsidRPr="001D3314" w:rsidRDefault="005910B1" w:rsidP="00C26E4C">
            <w:pPr>
              <w:spacing w:after="0"/>
              <w:ind w:firstLine="0"/>
              <w:jc w:val="left"/>
              <w:rPr>
                <w:rFonts w:ascii="Arial Narrow" w:hAnsi="Arial Narrow"/>
                <w:lang w:val="es-ES" w:eastAsia="es-ES"/>
              </w:rPr>
            </w:pPr>
            <w:r w:rsidRPr="001D3314">
              <w:rPr>
                <w:rFonts w:ascii="Arial Narrow" w:hAnsi="Arial Narrow"/>
                <w:lang w:val="es-ES" w:eastAsia="es-ES"/>
              </w:rPr>
              <w:t>Matrícula honor bachillerato</w:t>
            </w:r>
          </w:p>
        </w:tc>
        <w:tc>
          <w:tcPr>
            <w:tcW w:w="4298" w:type="dxa"/>
            <w:tcBorders>
              <w:top w:val="single" w:sz="2" w:space="0" w:color="auto"/>
              <w:bottom w:val="single" w:sz="2" w:space="0" w:color="auto"/>
            </w:tcBorders>
            <w:vAlign w:val="center"/>
          </w:tcPr>
          <w:p w:rsidR="005910B1" w:rsidRPr="001D3314" w:rsidRDefault="005910B1" w:rsidP="00C26E4C">
            <w:pPr>
              <w:spacing w:after="0"/>
              <w:ind w:firstLine="0"/>
              <w:jc w:val="right"/>
              <w:rPr>
                <w:rFonts w:ascii="Arial Narrow" w:hAnsi="Arial Narrow"/>
                <w:lang w:val="es-ES" w:eastAsia="es-ES"/>
              </w:rPr>
            </w:pPr>
            <w:r w:rsidRPr="001D3314">
              <w:rPr>
                <w:rFonts w:ascii="Arial Narrow" w:hAnsi="Arial Narrow"/>
                <w:lang w:val="es-ES" w:eastAsia="es-ES"/>
              </w:rPr>
              <w:t>52</w:t>
            </w:r>
          </w:p>
        </w:tc>
        <w:tc>
          <w:tcPr>
            <w:tcW w:w="1672" w:type="dxa"/>
            <w:gridSpan w:val="2"/>
            <w:tcBorders>
              <w:top w:val="single" w:sz="2" w:space="0" w:color="auto"/>
              <w:bottom w:val="single" w:sz="2" w:space="0" w:color="auto"/>
            </w:tcBorders>
            <w:vAlign w:val="center"/>
          </w:tcPr>
          <w:p w:rsidR="005910B1" w:rsidRPr="001D3314" w:rsidRDefault="005910B1" w:rsidP="00C26E4C">
            <w:pPr>
              <w:spacing w:after="0"/>
              <w:ind w:firstLine="0"/>
              <w:jc w:val="right"/>
              <w:rPr>
                <w:rFonts w:ascii="Arial Narrow" w:hAnsi="Arial Narrow"/>
                <w:lang w:val="es-ES" w:eastAsia="es-ES"/>
              </w:rPr>
            </w:pPr>
            <w:r w:rsidRPr="001D3314">
              <w:rPr>
                <w:rFonts w:ascii="Arial Narrow" w:hAnsi="Arial Narrow"/>
                <w:lang w:val="es-ES" w:eastAsia="es-ES"/>
              </w:rPr>
              <w:t>63.786</w:t>
            </w:r>
          </w:p>
        </w:tc>
      </w:tr>
      <w:tr w:rsidR="005910B1" w:rsidRPr="001D3314" w:rsidTr="00F5594F">
        <w:trPr>
          <w:trHeight w:val="284"/>
          <w:jc w:val="center"/>
        </w:trPr>
        <w:tc>
          <w:tcPr>
            <w:tcW w:w="2907" w:type="dxa"/>
            <w:tcBorders>
              <w:top w:val="single" w:sz="2" w:space="0" w:color="auto"/>
              <w:bottom w:val="single" w:sz="4" w:space="0" w:color="auto"/>
            </w:tcBorders>
            <w:shd w:val="clear" w:color="auto" w:fill="auto"/>
            <w:noWrap/>
            <w:vAlign w:val="center"/>
          </w:tcPr>
          <w:p w:rsidR="005910B1" w:rsidRPr="001D3314" w:rsidRDefault="005910B1" w:rsidP="00C26E4C">
            <w:pPr>
              <w:spacing w:after="0"/>
              <w:ind w:firstLine="0"/>
              <w:jc w:val="left"/>
              <w:rPr>
                <w:rFonts w:ascii="Arial Narrow" w:hAnsi="Arial Narrow"/>
                <w:lang w:val="es-ES" w:eastAsia="es-ES"/>
              </w:rPr>
            </w:pPr>
            <w:r w:rsidRPr="001D3314">
              <w:rPr>
                <w:rFonts w:ascii="Arial Narrow" w:hAnsi="Arial Narrow"/>
                <w:lang w:val="es-ES" w:eastAsia="es-ES"/>
              </w:rPr>
              <w:t>Víctimas violencia género</w:t>
            </w:r>
          </w:p>
        </w:tc>
        <w:tc>
          <w:tcPr>
            <w:tcW w:w="4298" w:type="dxa"/>
            <w:tcBorders>
              <w:top w:val="single" w:sz="2" w:space="0" w:color="auto"/>
              <w:bottom w:val="single" w:sz="4" w:space="0" w:color="auto"/>
            </w:tcBorders>
            <w:vAlign w:val="center"/>
          </w:tcPr>
          <w:p w:rsidR="005910B1" w:rsidRPr="001D3314" w:rsidRDefault="005910B1" w:rsidP="00C26E4C">
            <w:pPr>
              <w:spacing w:after="0"/>
              <w:ind w:firstLine="0"/>
              <w:jc w:val="right"/>
              <w:rPr>
                <w:rFonts w:ascii="Arial Narrow" w:hAnsi="Arial Narrow"/>
                <w:lang w:val="es-ES" w:eastAsia="es-ES"/>
              </w:rPr>
            </w:pPr>
            <w:r w:rsidRPr="001D3314">
              <w:rPr>
                <w:rFonts w:ascii="Arial Narrow" w:hAnsi="Arial Narrow"/>
                <w:lang w:val="es-ES" w:eastAsia="es-ES"/>
              </w:rPr>
              <w:t>5</w:t>
            </w:r>
          </w:p>
        </w:tc>
        <w:tc>
          <w:tcPr>
            <w:tcW w:w="1672" w:type="dxa"/>
            <w:gridSpan w:val="2"/>
            <w:tcBorders>
              <w:top w:val="single" w:sz="2" w:space="0" w:color="auto"/>
              <w:bottom w:val="single" w:sz="4" w:space="0" w:color="auto"/>
            </w:tcBorders>
            <w:vAlign w:val="center"/>
          </w:tcPr>
          <w:p w:rsidR="005910B1" w:rsidRPr="001D3314" w:rsidRDefault="005910B1" w:rsidP="00C26E4C">
            <w:pPr>
              <w:spacing w:after="0"/>
              <w:ind w:firstLine="0"/>
              <w:jc w:val="right"/>
              <w:rPr>
                <w:rFonts w:ascii="Arial Narrow" w:hAnsi="Arial Narrow"/>
                <w:lang w:val="es-ES" w:eastAsia="es-ES"/>
              </w:rPr>
            </w:pPr>
            <w:r w:rsidRPr="001D3314">
              <w:rPr>
                <w:rFonts w:ascii="Arial Narrow" w:hAnsi="Arial Narrow"/>
                <w:lang w:val="es-ES" w:eastAsia="es-ES"/>
              </w:rPr>
              <w:t>9.975</w:t>
            </w:r>
          </w:p>
        </w:tc>
      </w:tr>
      <w:tr w:rsidR="005910B1" w:rsidRPr="001D3314" w:rsidTr="00F5594F">
        <w:trPr>
          <w:trHeight w:val="284"/>
          <w:jc w:val="center"/>
        </w:trPr>
        <w:tc>
          <w:tcPr>
            <w:tcW w:w="2907" w:type="dxa"/>
            <w:tcBorders>
              <w:top w:val="single" w:sz="4" w:space="0" w:color="auto"/>
              <w:bottom w:val="single" w:sz="4" w:space="0" w:color="auto"/>
            </w:tcBorders>
            <w:shd w:val="clear" w:color="auto" w:fill="A0C3E3" w:themeFill="accent1" w:themeFillTint="99"/>
            <w:noWrap/>
            <w:vAlign w:val="center"/>
          </w:tcPr>
          <w:p w:rsidR="005910B1" w:rsidRPr="001D3314" w:rsidRDefault="005910B1" w:rsidP="00C26E4C">
            <w:pPr>
              <w:spacing w:after="0"/>
              <w:ind w:firstLine="0"/>
              <w:jc w:val="left"/>
              <w:rPr>
                <w:rFonts w:ascii="Arial Narrow" w:hAnsi="Arial Narrow"/>
                <w:lang w:val="es-ES" w:eastAsia="es-ES"/>
              </w:rPr>
            </w:pPr>
            <w:r w:rsidRPr="001D3314">
              <w:rPr>
                <w:rFonts w:ascii="Arial Narrow" w:hAnsi="Arial Narrow"/>
                <w:lang w:val="es-ES" w:eastAsia="es-ES"/>
              </w:rPr>
              <w:t>Total exenciones</w:t>
            </w:r>
          </w:p>
        </w:tc>
        <w:tc>
          <w:tcPr>
            <w:tcW w:w="4298" w:type="dxa"/>
            <w:tcBorders>
              <w:top w:val="single" w:sz="4" w:space="0" w:color="auto"/>
              <w:bottom w:val="single" w:sz="4" w:space="0" w:color="auto"/>
            </w:tcBorders>
            <w:shd w:val="clear" w:color="auto" w:fill="A0C3E3" w:themeFill="accent1" w:themeFillTint="99"/>
            <w:vAlign w:val="center"/>
          </w:tcPr>
          <w:p w:rsidR="005910B1" w:rsidRPr="001D3314" w:rsidRDefault="005910B1" w:rsidP="00C26E4C">
            <w:pPr>
              <w:spacing w:after="0"/>
              <w:ind w:firstLine="0"/>
              <w:jc w:val="right"/>
              <w:rPr>
                <w:rFonts w:ascii="Arial Narrow" w:hAnsi="Arial Narrow"/>
                <w:lang w:val="es-ES" w:eastAsia="es-ES"/>
              </w:rPr>
            </w:pPr>
            <w:r w:rsidRPr="001D3314">
              <w:rPr>
                <w:rFonts w:ascii="Arial Narrow" w:hAnsi="Arial Narrow"/>
                <w:lang w:val="es-ES" w:eastAsia="es-ES"/>
              </w:rPr>
              <w:t>1.449</w:t>
            </w:r>
          </w:p>
        </w:tc>
        <w:tc>
          <w:tcPr>
            <w:tcW w:w="1672" w:type="dxa"/>
            <w:gridSpan w:val="2"/>
            <w:tcBorders>
              <w:top w:val="single" w:sz="4" w:space="0" w:color="auto"/>
              <w:bottom w:val="single" w:sz="4" w:space="0" w:color="auto"/>
            </w:tcBorders>
            <w:shd w:val="clear" w:color="auto" w:fill="A0C3E3" w:themeFill="accent1" w:themeFillTint="99"/>
            <w:vAlign w:val="center"/>
          </w:tcPr>
          <w:p w:rsidR="005910B1" w:rsidRPr="001D3314" w:rsidRDefault="005910B1" w:rsidP="007D0C37">
            <w:pPr>
              <w:spacing w:after="0"/>
              <w:ind w:firstLine="0"/>
              <w:jc w:val="right"/>
              <w:rPr>
                <w:rFonts w:ascii="Arial Narrow" w:hAnsi="Arial Narrow"/>
                <w:lang w:val="es-ES" w:eastAsia="es-ES"/>
              </w:rPr>
            </w:pPr>
            <w:r w:rsidRPr="001D3314">
              <w:rPr>
                <w:rFonts w:ascii="Arial Narrow" w:hAnsi="Arial Narrow"/>
                <w:lang w:val="es-ES" w:eastAsia="es-ES"/>
              </w:rPr>
              <w:t>1.213.42</w:t>
            </w:r>
            <w:r>
              <w:rPr>
                <w:rFonts w:ascii="Arial Narrow" w:hAnsi="Arial Narrow"/>
                <w:lang w:val="es-ES" w:eastAsia="es-ES"/>
              </w:rPr>
              <w:t>8</w:t>
            </w:r>
          </w:p>
        </w:tc>
      </w:tr>
    </w:tbl>
    <w:p w:rsidR="00F427E6" w:rsidRPr="003A694D" w:rsidRDefault="00F427E6" w:rsidP="001F13B7">
      <w:pPr>
        <w:pStyle w:val="texto"/>
        <w:tabs>
          <w:tab w:val="num" w:pos="300"/>
          <w:tab w:val="num" w:pos="720"/>
        </w:tabs>
        <w:spacing w:before="240"/>
      </w:pPr>
      <w:r w:rsidRPr="001F13B7">
        <w:rPr>
          <w:b/>
        </w:rPr>
        <w:t>En conclusión</w:t>
      </w:r>
      <w:r w:rsidRPr="003A694D">
        <w:t xml:space="preserve">, la gestión administrativa de las matrículas es </w:t>
      </w:r>
      <w:r w:rsidR="00B97F9B">
        <w:t>c</w:t>
      </w:r>
      <w:r w:rsidRPr="003A694D">
        <w:t xml:space="preserve">ompleja, presenta muchas singularidades y conlleva una importante carga administrativa. </w:t>
      </w:r>
    </w:p>
    <w:p w:rsidR="00E70A82" w:rsidRPr="00730AE6" w:rsidRDefault="00E70A82" w:rsidP="00E70A82">
      <w:pPr>
        <w:pStyle w:val="texto"/>
      </w:pPr>
      <w:r w:rsidRPr="00730AE6">
        <w:t>Recomenda</w:t>
      </w:r>
      <w:r w:rsidR="000A445A">
        <w:t>mos</w:t>
      </w:r>
      <w:r w:rsidRPr="00730AE6">
        <w:t>:</w:t>
      </w:r>
    </w:p>
    <w:p w:rsidR="00D33084" w:rsidRDefault="00D33084" w:rsidP="00BD5BE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i/>
          <w:szCs w:val="26"/>
        </w:rPr>
      </w:pPr>
      <w:r>
        <w:rPr>
          <w:i/>
          <w:szCs w:val="26"/>
        </w:rPr>
        <w:t xml:space="preserve">Incluir en la Memoria de las cuentas anuales información sobre los derechos pendientes de cobro </w:t>
      </w:r>
      <w:r w:rsidR="004F1A68">
        <w:rPr>
          <w:i/>
          <w:szCs w:val="26"/>
        </w:rPr>
        <w:t xml:space="preserve">por matrículas </w:t>
      </w:r>
      <w:r>
        <w:rPr>
          <w:i/>
          <w:szCs w:val="26"/>
        </w:rPr>
        <w:t xml:space="preserve">al </w:t>
      </w:r>
      <w:r w:rsidR="004F1A68">
        <w:rPr>
          <w:i/>
          <w:szCs w:val="26"/>
        </w:rPr>
        <w:t xml:space="preserve">cierre del </w:t>
      </w:r>
      <w:r>
        <w:rPr>
          <w:i/>
          <w:szCs w:val="26"/>
        </w:rPr>
        <w:t>ejercicio.</w:t>
      </w:r>
    </w:p>
    <w:p w:rsidR="00D33084" w:rsidRPr="00D01CDE" w:rsidRDefault="00D33084" w:rsidP="00BD5BE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i/>
          <w:szCs w:val="26"/>
        </w:rPr>
      </w:pPr>
      <w:r>
        <w:rPr>
          <w:i/>
          <w:szCs w:val="26"/>
        </w:rPr>
        <w:t>Realizar un seguimiento de las exenciones aplicadas en las matrículas al objeto de conocer su importe total por concepto, tipo de matrícula y número de beneficiarios.</w:t>
      </w:r>
    </w:p>
    <w:p w:rsidR="007D0C37" w:rsidRDefault="007D0C37" w:rsidP="00BD5BE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i/>
          <w:szCs w:val="26"/>
        </w:rPr>
      </w:pPr>
      <w:r>
        <w:rPr>
          <w:i/>
          <w:szCs w:val="26"/>
        </w:rPr>
        <w:t>Estudiar la posibilidad de convenir con el Departamento de Hacienda del Gobierno de Navarra la gestión de la recaudación de los impagados por vía ejecutiva.</w:t>
      </w:r>
    </w:p>
    <w:p w:rsidR="00FB40AD" w:rsidRDefault="00631937" w:rsidP="005245C0">
      <w:pPr>
        <w:pStyle w:val="atitulo3"/>
        <w:spacing w:before="240"/>
        <w:rPr>
          <w:i w:val="0"/>
        </w:rPr>
      </w:pPr>
      <w:r w:rsidRPr="009F32D5">
        <w:rPr>
          <w:i w:val="0"/>
        </w:rPr>
        <w:t>V</w:t>
      </w:r>
      <w:r w:rsidR="00613F68">
        <w:rPr>
          <w:i w:val="0"/>
        </w:rPr>
        <w:t>I</w:t>
      </w:r>
      <w:r w:rsidRPr="009F32D5">
        <w:rPr>
          <w:i w:val="0"/>
        </w:rPr>
        <w:t>.</w:t>
      </w:r>
      <w:r w:rsidR="00E037D2">
        <w:rPr>
          <w:i w:val="0"/>
        </w:rPr>
        <w:t>4</w:t>
      </w:r>
      <w:r w:rsidRPr="009F32D5">
        <w:rPr>
          <w:i w:val="0"/>
        </w:rPr>
        <w:t>.</w:t>
      </w:r>
      <w:r w:rsidR="005245C0">
        <w:rPr>
          <w:i w:val="0"/>
        </w:rPr>
        <w:t>8</w:t>
      </w:r>
      <w:r w:rsidRPr="009F32D5">
        <w:rPr>
          <w:i w:val="0"/>
        </w:rPr>
        <w:t xml:space="preserve">. </w:t>
      </w:r>
      <w:r>
        <w:rPr>
          <w:i w:val="0"/>
        </w:rPr>
        <w:t>Ingresos por transferencias</w:t>
      </w:r>
      <w:r w:rsidR="00395296">
        <w:rPr>
          <w:i w:val="0"/>
        </w:rPr>
        <w:t xml:space="preserve"> corrientes y de capital</w:t>
      </w:r>
    </w:p>
    <w:p w:rsidR="00395296" w:rsidRDefault="00E873F8" w:rsidP="005910B1">
      <w:pPr>
        <w:pStyle w:val="texto"/>
        <w:spacing w:before="120" w:after="0"/>
      </w:pPr>
      <w:r>
        <w:t>En 2017, l</w:t>
      </w:r>
      <w:r w:rsidR="00631937" w:rsidRPr="00E06B86">
        <w:t>os ingresos por transferencias corrientes y de capital</w:t>
      </w:r>
      <w:r w:rsidR="00E06B86" w:rsidRPr="00E06B86">
        <w:t xml:space="preserve"> ascendieron a 60,47 y 0,7 millones </w:t>
      </w:r>
      <w:r>
        <w:t>de euros, respectivamente</w:t>
      </w:r>
      <w:r w:rsidR="00395296">
        <w:t xml:space="preserve">. Estos ingresos constituyen la principal fuente de financiación de la </w:t>
      </w:r>
      <w:r w:rsidR="009D7DD5">
        <w:t>Universidad</w:t>
      </w:r>
      <w:r w:rsidR="00D01CDE">
        <w:t>;</w:t>
      </w:r>
      <w:r w:rsidR="00395296">
        <w:t xml:space="preserve"> prácticamente el </w:t>
      </w:r>
      <w:r w:rsidR="00C3157B">
        <w:t>80</w:t>
      </w:r>
      <w:r w:rsidR="00395296">
        <w:t xml:space="preserve"> por ciento de los ingresos totales. Su detalle es el siguiente:</w:t>
      </w:r>
    </w:p>
    <w:p w:rsidR="00D522EF" w:rsidRPr="00F5594F" w:rsidRDefault="0000117B" w:rsidP="00F5594F">
      <w:pPr>
        <w:pStyle w:val="texto"/>
        <w:tabs>
          <w:tab w:val="left" w:pos="8222"/>
        </w:tabs>
        <w:spacing w:before="120" w:after="0"/>
        <w:jc w:val="right"/>
        <w:rPr>
          <w:rFonts w:ascii="Arial" w:hAnsi="Arial" w:cs="Arial"/>
          <w:sz w:val="18"/>
          <w:szCs w:val="18"/>
        </w:rPr>
      </w:pPr>
      <w:r w:rsidRPr="00F5594F">
        <w:rPr>
          <w:rFonts w:ascii="Arial" w:hAnsi="Arial" w:cs="Arial"/>
          <w:sz w:val="18"/>
          <w:szCs w:val="18"/>
        </w:rPr>
        <w:t>(En miles de euros)</w:t>
      </w:r>
    </w:p>
    <w:tbl>
      <w:tblPr>
        <w:tblW w:w="8901" w:type="dxa"/>
        <w:jc w:val="center"/>
        <w:tblInd w:w="-48" w:type="dxa"/>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3595"/>
        <w:gridCol w:w="1942"/>
        <w:gridCol w:w="1821"/>
        <w:gridCol w:w="1543"/>
      </w:tblGrid>
      <w:tr w:rsidR="00D522EF" w:rsidRPr="00EE6E9F" w:rsidTr="00F5594F">
        <w:trPr>
          <w:trHeight w:val="306"/>
          <w:jc w:val="center"/>
        </w:trPr>
        <w:tc>
          <w:tcPr>
            <w:tcW w:w="3595" w:type="dxa"/>
            <w:tcBorders>
              <w:top w:val="single" w:sz="4" w:space="0" w:color="auto"/>
              <w:bottom w:val="single" w:sz="2" w:space="0" w:color="auto"/>
            </w:tcBorders>
            <w:shd w:val="clear" w:color="auto" w:fill="ACCBF9" w:themeFill="background2"/>
            <w:noWrap/>
            <w:vAlign w:val="center"/>
          </w:tcPr>
          <w:p w:rsidR="00D522EF" w:rsidRPr="00EE6E9F" w:rsidRDefault="00D522EF" w:rsidP="00A86004">
            <w:pPr>
              <w:spacing w:after="0"/>
              <w:ind w:right="-225" w:firstLine="0"/>
              <w:jc w:val="left"/>
              <w:rPr>
                <w:rFonts w:ascii="Arial" w:hAnsi="Arial" w:cs="Arial"/>
                <w:sz w:val="18"/>
                <w:szCs w:val="18"/>
                <w:lang w:val="es-ES" w:eastAsia="es-ES"/>
              </w:rPr>
            </w:pPr>
            <w:r w:rsidRPr="00EE6E9F">
              <w:rPr>
                <w:rFonts w:ascii="Arial" w:hAnsi="Arial" w:cs="Arial"/>
                <w:sz w:val="18"/>
                <w:szCs w:val="18"/>
                <w:lang w:val="es-ES" w:eastAsia="es-ES"/>
              </w:rPr>
              <w:t>Transferencias corrientes</w:t>
            </w:r>
          </w:p>
        </w:tc>
        <w:tc>
          <w:tcPr>
            <w:tcW w:w="1942" w:type="dxa"/>
            <w:tcBorders>
              <w:top w:val="single" w:sz="4" w:space="0" w:color="auto"/>
              <w:bottom w:val="single" w:sz="2" w:space="0" w:color="auto"/>
            </w:tcBorders>
            <w:shd w:val="clear" w:color="auto" w:fill="ACCBF9" w:themeFill="background2"/>
            <w:vAlign w:val="center"/>
          </w:tcPr>
          <w:p w:rsidR="00F5594F" w:rsidRDefault="00D522EF" w:rsidP="00EE6E9F">
            <w:pPr>
              <w:spacing w:after="0"/>
              <w:ind w:right="37" w:firstLine="0"/>
              <w:jc w:val="right"/>
              <w:rPr>
                <w:rFonts w:ascii="Arial" w:hAnsi="Arial" w:cs="Arial"/>
                <w:sz w:val="18"/>
                <w:szCs w:val="18"/>
                <w:lang w:val="es-ES" w:eastAsia="es-ES"/>
              </w:rPr>
            </w:pPr>
            <w:r w:rsidRPr="00EE6E9F">
              <w:rPr>
                <w:rFonts w:ascii="Arial" w:hAnsi="Arial" w:cs="Arial"/>
                <w:sz w:val="18"/>
                <w:szCs w:val="18"/>
                <w:lang w:val="es-ES" w:eastAsia="es-ES"/>
              </w:rPr>
              <w:t>Derechos</w:t>
            </w:r>
            <w:r w:rsidR="005910B1" w:rsidRPr="00EE6E9F">
              <w:rPr>
                <w:rFonts w:ascii="Arial" w:hAnsi="Arial" w:cs="Arial"/>
                <w:sz w:val="18"/>
                <w:szCs w:val="18"/>
                <w:lang w:val="es-ES" w:eastAsia="es-ES"/>
              </w:rPr>
              <w:t xml:space="preserve"> </w:t>
            </w:r>
          </w:p>
          <w:p w:rsidR="00D522EF" w:rsidRPr="00EE6E9F" w:rsidRDefault="00D522EF" w:rsidP="00EE6E9F">
            <w:pPr>
              <w:spacing w:after="0"/>
              <w:ind w:right="37" w:firstLine="0"/>
              <w:jc w:val="right"/>
              <w:rPr>
                <w:rFonts w:ascii="Arial" w:hAnsi="Arial" w:cs="Arial"/>
                <w:sz w:val="18"/>
                <w:szCs w:val="18"/>
                <w:lang w:val="es-ES" w:eastAsia="es-ES"/>
              </w:rPr>
            </w:pPr>
            <w:r w:rsidRPr="00EE6E9F">
              <w:rPr>
                <w:rFonts w:ascii="Arial" w:hAnsi="Arial" w:cs="Arial"/>
                <w:sz w:val="18"/>
                <w:szCs w:val="18"/>
                <w:lang w:val="es-ES" w:eastAsia="es-ES"/>
              </w:rPr>
              <w:t>Reconocidos</w:t>
            </w:r>
            <w:r w:rsidR="005910B1" w:rsidRPr="00EE6E9F">
              <w:rPr>
                <w:rFonts w:ascii="Arial" w:hAnsi="Arial" w:cs="Arial"/>
                <w:sz w:val="18"/>
                <w:szCs w:val="18"/>
                <w:lang w:val="es-ES" w:eastAsia="es-ES"/>
              </w:rPr>
              <w:t xml:space="preserve"> </w:t>
            </w:r>
            <w:r w:rsidRPr="00EE6E9F">
              <w:rPr>
                <w:rFonts w:ascii="Arial" w:hAnsi="Arial" w:cs="Arial"/>
                <w:sz w:val="18"/>
                <w:szCs w:val="18"/>
                <w:lang w:val="es-ES" w:eastAsia="es-ES"/>
              </w:rPr>
              <w:t>2016</w:t>
            </w:r>
          </w:p>
        </w:tc>
        <w:tc>
          <w:tcPr>
            <w:tcW w:w="1821" w:type="dxa"/>
            <w:tcBorders>
              <w:top w:val="single" w:sz="4" w:space="0" w:color="auto"/>
              <w:bottom w:val="single" w:sz="2" w:space="0" w:color="auto"/>
            </w:tcBorders>
            <w:shd w:val="clear" w:color="auto" w:fill="ACCBF9" w:themeFill="background2"/>
            <w:vAlign w:val="center"/>
          </w:tcPr>
          <w:p w:rsidR="00F5594F" w:rsidRDefault="00D522EF" w:rsidP="00EE6E9F">
            <w:pPr>
              <w:spacing w:after="0"/>
              <w:ind w:right="-55" w:firstLine="0"/>
              <w:jc w:val="right"/>
              <w:rPr>
                <w:rFonts w:ascii="Arial" w:hAnsi="Arial" w:cs="Arial"/>
                <w:sz w:val="18"/>
                <w:szCs w:val="18"/>
                <w:lang w:val="es-ES" w:eastAsia="es-ES"/>
              </w:rPr>
            </w:pPr>
            <w:r w:rsidRPr="00EE6E9F">
              <w:rPr>
                <w:rFonts w:ascii="Arial" w:hAnsi="Arial" w:cs="Arial"/>
                <w:sz w:val="18"/>
                <w:szCs w:val="18"/>
                <w:lang w:val="es-ES" w:eastAsia="es-ES"/>
              </w:rPr>
              <w:t>Derechos</w:t>
            </w:r>
            <w:r w:rsidR="005910B1" w:rsidRPr="00EE6E9F">
              <w:rPr>
                <w:rFonts w:ascii="Arial" w:hAnsi="Arial" w:cs="Arial"/>
                <w:sz w:val="18"/>
                <w:szCs w:val="18"/>
                <w:lang w:val="es-ES" w:eastAsia="es-ES"/>
              </w:rPr>
              <w:t xml:space="preserve"> </w:t>
            </w:r>
          </w:p>
          <w:p w:rsidR="00D522EF" w:rsidRPr="00EE6E9F" w:rsidRDefault="00D522EF" w:rsidP="00EE6E9F">
            <w:pPr>
              <w:spacing w:after="0"/>
              <w:ind w:right="-55" w:firstLine="0"/>
              <w:jc w:val="right"/>
              <w:rPr>
                <w:rFonts w:ascii="Arial" w:hAnsi="Arial" w:cs="Arial"/>
                <w:sz w:val="18"/>
                <w:szCs w:val="18"/>
                <w:lang w:val="es-ES" w:eastAsia="es-ES"/>
              </w:rPr>
            </w:pPr>
            <w:r w:rsidRPr="00EE6E9F">
              <w:rPr>
                <w:rFonts w:ascii="Arial" w:hAnsi="Arial" w:cs="Arial"/>
                <w:sz w:val="18"/>
                <w:szCs w:val="18"/>
                <w:lang w:val="es-ES" w:eastAsia="es-ES"/>
              </w:rPr>
              <w:t>Reconocidos</w:t>
            </w:r>
            <w:r w:rsidR="00EE6E9F" w:rsidRPr="00EE6E9F">
              <w:rPr>
                <w:rFonts w:ascii="Arial" w:hAnsi="Arial" w:cs="Arial"/>
                <w:sz w:val="18"/>
                <w:szCs w:val="18"/>
                <w:lang w:val="es-ES" w:eastAsia="es-ES"/>
              </w:rPr>
              <w:t xml:space="preserve"> </w:t>
            </w:r>
            <w:r w:rsidRPr="00EE6E9F">
              <w:rPr>
                <w:rFonts w:ascii="Arial" w:hAnsi="Arial" w:cs="Arial"/>
                <w:sz w:val="18"/>
                <w:szCs w:val="18"/>
                <w:lang w:val="es-ES" w:eastAsia="es-ES"/>
              </w:rPr>
              <w:t>2017</w:t>
            </w:r>
          </w:p>
        </w:tc>
        <w:tc>
          <w:tcPr>
            <w:tcW w:w="1543" w:type="dxa"/>
            <w:tcBorders>
              <w:top w:val="single" w:sz="4" w:space="0" w:color="auto"/>
              <w:bottom w:val="single" w:sz="2" w:space="0" w:color="auto"/>
            </w:tcBorders>
            <w:shd w:val="clear" w:color="auto" w:fill="ACCBF9" w:themeFill="background2"/>
            <w:vAlign w:val="center"/>
          </w:tcPr>
          <w:p w:rsidR="00D522EF" w:rsidRPr="00EE6E9F" w:rsidRDefault="00D522EF" w:rsidP="005910B1">
            <w:pPr>
              <w:spacing w:after="0"/>
              <w:ind w:firstLine="0"/>
              <w:jc w:val="right"/>
              <w:rPr>
                <w:rFonts w:ascii="Arial" w:hAnsi="Arial" w:cs="Arial"/>
                <w:sz w:val="18"/>
                <w:szCs w:val="18"/>
                <w:lang w:val="es-ES" w:eastAsia="es-ES"/>
              </w:rPr>
            </w:pPr>
            <w:r w:rsidRPr="00EE6E9F">
              <w:rPr>
                <w:rFonts w:ascii="Arial" w:hAnsi="Arial" w:cs="Arial"/>
                <w:sz w:val="18"/>
                <w:szCs w:val="18"/>
                <w:lang w:val="es-ES" w:eastAsia="es-ES"/>
              </w:rPr>
              <w:t>% variación</w:t>
            </w:r>
          </w:p>
          <w:p w:rsidR="00D522EF" w:rsidRPr="00EE6E9F" w:rsidRDefault="00D522EF" w:rsidP="005910B1">
            <w:pPr>
              <w:spacing w:after="0"/>
              <w:ind w:firstLine="0"/>
              <w:jc w:val="right"/>
              <w:rPr>
                <w:rFonts w:ascii="Arial" w:hAnsi="Arial" w:cs="Arial"/>
                <w:sz w:val="18"/>
                <w:szCs w:val="18"/>
                <w:lang w:val="es-ES" w:eastAsia="es-ES"/>
              </w:rPr>
            </w:pPr>
            <w:r w:rsidRPr="00EE6E9F">
              <w:rPr>
                <w:rFonts w:ascii="Arial" w:hAnsi="Arial" w:cs="Arial"/>
                <w:sz w:val="18"/>
                <w:szCs w:val="18"/>
                <w:lang w:val="es-ES" w:eastAsia="es-ES"/>
              </w:rPr>
              <w:t>201772016</w:t>
            </w:r>
          </w:p>
        </w:tc>
      </w:tr>
      <w:tr w:rsidR="00D522EF" w:rsidRPr="00730AE6" w:rsidTr="00F5594F">
        <w:trPr>
          <w:trHeight w:val="306"/>
          <w:jc w:val="center"/>
        </w:trPr>
        <w:tc>
          <w:tcPr>
            <w:tcW w:w="3595" w:type="dxa"/>
            <w:tcBorders>
              <w:top w:val="single" w:sz="4" w:space="0" w:color="auto"/>
              <w:bottom w:val="single" w:sz="2" w:space="0" w:color="auto"/>
            </w:tcBorders>
            <w:shd w:val="clear" w:color="auto" w:fill="auto"/>
            <w:noWrap/>
            <w:vAlign w:val="center"/>
          </w:tcPr>
          <w:p w:rsidR="00D522EF" w:rsidRPr="00730AE6" w:rsidRDefault="00D522EF" w:rsidP="00A86004">
            <w:pPr>
              <w:spacing w:after="0"/>
              <w:ind w:right="-225" w:firstLine="0"/>
              <w:jc w:val="left"/>
              <w:rPr>
                <w:rFonts w:ascii="Arial Narrow" w:hAnsi="Arial Narrow"/>
                <w:sz w:val="18"/>
                <w:szCs w:val="18"/>
                <w:lang w:val="es-ES" w:eastAsia="es-ES"/>
              </w:rPr>
            </w:pPr>
            <w:r>
              <w:rPr>
                <w:rFonts w:ascii="Arial Narrow" w:hAnsi="Arial Narrow"/>
                <w:sz w:val="18"/>
                <w:szCs w:val="18"/>
                <w:lang w:val="es-ES" w:eastAsia="es-ES"/>
              </w:rPr>
              <w:t>Convenio de financiación Gobierno de Navarra</w:t>
            </w:r>
          </w:p>
        </w:tc>
        <w:tc>
          <w:tcPr>
            <w:tcW w:w="1942" w:type="dxa"/>
            <w:tcBorders>
              <w:top w:val="single" w:sz="4" w:space="0" w:color="auto"/>
              <w:bottom w:val="single" w:sz="2" w:space="0" w:color="auto"/>
            </w:tcBorders>
            <w:vAlign w:val="center"/>
          </w:tcPr>
          <w:p w:rsidR="00D522EF" w:rsidRDefault="00D522EF" w:rsidP="00EE6E9F">
            <w:pPr>
              <w:spacing w:after="0"/>
              <w:ind w:right="37" w:firstLine="0"/>
              <w:jc w:val="right"/>
              <w:rPr>
                <w:rFonts w:ascii="Arial Narrow" w:hAnsi="Arial Narrow"/>
                <w:sz w:val="18"/>
                <w:szCs w:val="18"/>
                <w:lang w:val="es-ES" w:eastAsia="es-ES"/>
              </w:rPr>
            </w:pPr>
            <w:r>
              <w:rPr>
                <w:rFonts w:ascii="Arial Narrow" w:hAnsi="Arial Narrow"/>
                <w:sz w:val="18"/>
                <w:szCs w:val="18"/>
                <w:lang w:val="es-ES" w:eastAsia="es-ES"/>
              </w:rPr>
              <w:t>51.639</w:t>
            </w:r>
          </w:p>
        </w:tc>
        <w:tc>
          <w:tcPr>
            <w:tcW w:w="1821" w:type="dxa"/>
            <w:tcBorders>
              <w:top w:val="single" w:sz="4" w:space="0" w:color="auto"/>
              <w:bottom w:val="single" w:sz="2" w:space="0" w:color="auto"/>
            </w:tcBorders>
            <w:vAlign w:val="center"/>
          </w:tcPr>
          <w:p w:rsidR="00D522EF" w:rsidRDefault="00D522EF" w:rsidP="00EE6E9F">
            <w:pPr>
              <w:spacing w:after="0"/>
              <w:ind w:right="-55" w:firstLine="0"/>
              <w:jc w:val="right"/>
              <w:rPr>
                <w:rFonts w:ascii="Arial Narrow" w:hAnsi="Arial Narrow"/>
                <w:sz w:val="18"/>
                <w:szCs w:val="18"/>
                <w:lang w:val="es-ES" w:eastAsia="es-ES"/>
              </w:rPr>
            </w:pPr>
            <w:r>
              <w:rPr>
                <w:rFonts w:ascii="Arial Narrow" w:hAnsi="Arial Narrow"/>
                <w:sz w:val="18"/>
                <w:szCs w:val="18"/>
                <w:lang w:val="es-ES" w:eastAsia="es-ES"/>
              </w:rPr>
              <w:t>54.467</w:t>
            </w:r>
          </w:p>
        </w:tc>
        <w:tc>
          <w:tcPr>
            <w:tcW w:w="1543" w:type="dxa"/>
            <w:tcBorders>
              <w:top w:val="single" w:sz="4" w:space="0" w:color="auto"/>
              <w:bottom w:val="single" w:sz="2" w:space="0" w:color="auto"/>
            </w:tcBorders>
            <w:vAlign w:val="center"/>
          </w:tcPr>
          <w:p w:rsidR="00D522EF" w:rsidRPr="00730AE6" w:rsidRDefault="00D522EF" w:rsidP="005910B1">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5</w:t>
            </w:r>
          </w:p>
        </w:tc>
      </w:tr>
      <w:tr w:rsidR="00D522EF" w:rsidRPr="00730AE6" w:rsidTr="00F5594F">
        <w:trPr>
          <w:trHeight w:val="306"/>
          <w:jc w:val="center"/>
        </w:trPr>
        <w:tc>
          <w:tcPr>
            <w:tcW w:w="3595" w:type="dxa"/>
            <w:tcBorders>
              <w:top w:val="single" w:sz="2" w:space="0" w:color="auto"/>
              <w:bottom w:val="single" w:sz="2" w:space="0" w:color="auto"/>
            </w:tcBorders>
            <w:shd w:val="clear" w:color="auto" w:fill="auto"/>
            <w:noWrap/>
            <w:vAlign w:val="center"/>
          </w:tcPr>
          <w:p w:rsidR="00D522EF" w:rsidRPr="00730AE6" w:rsidRDefault="00D522EF" w:rsidP="00A86004">
            <w:pPr>
              <w:spacing w:after="0"/>
              <w:ind w:right="-225" w:firstLine="0"/>
              <w:jc w:val="left"/>
              <w:rPr>
                <w:rFonts w:ascii="Arial Narrow" w:hAnsi="Arial Narrow"/>
                <w:sz w:val="18"/>
                <w:szCs w:val="18"/>
                <w:lang w:val="es-ES" w:eastAsia="es-ES"/>
              </w:rPr>
            </w:pPr>
            <w:r>
              <w:rPr>
                <w:rFonts w:ascii="Arial Narrow" w:hAnsi="Arial Narrow"/>
                <w:sz w:val="18"/>
                <w:szCs w:val="18"/>
                <w:lang w:val="es-ES" w:eastAsia="es-ES"/>
              </w:rPr>
              <w:t>Investigación</w:t>
            </w:r>
          </w:p>
        </w:tc>
        <w:tc>
          <w:tcPr>
            <w:tcW w:w="1942" w:type="dxa"/>
            <w:tcBorders>
              <w:top w:val="single" w:sz="2" w:space="0" w:color="auto"/>
              <w:bottom w:val="single" w:sz="2" w:space="0" w:color="auto"/>
            </w:tcBorders>
            <w:vAlign w:val="center"/>
          </w:tcPr>
          <w:p w:rsidR="00D522EF" w:rsidRDefault="00D522EF" w:rsidP="00EE6E9F">
            <w:pPr>
              <w:spacing w:after="0"/>
              <w:ind w:right="37" w:firstLine="0"/>
              <w:jc w:val="right"/>
              <w:rPr>
                <w:rFonts w:ascii="Arial Narrow" w:hAnsi="Arial Narrow"/>
                <w:sz w:val="18"/>
                <w:szCs w:val="18"/>
                <w:lang w:val="es-ES" w:eastAsia="es-ES"/>
              </w:rPr>
            </w:pPr>
            <w:r>
              <w:rPr>
                <w:rFonts w:ascii="Arial Narrow" w:hAnsi="Arial Narrow"/>
                <w:sz w:val="18"/>
                <w:szCs w:val="18"/>
                <w:lang w:val="es-ES" w:eastAsia="es-ES"/>
              </w:rPr>
              <w:t>3.361</w:t>
            </w:r>
          </w:p>
        </w:tc>
        <w:tc>
          <w:tcPr>
            <w:tcW w:w="1821" w:type="dxa"/>
            <w:tcBorders>
              <w:top w:val="single" w:sz="2" w:space="0" w:color="auto"/>
              <w:bottom w:val="single" w:sz="2" w:space="0" w:color="auto"/>
            </w:tcBorders>
            <w:vAlign w:val="center"/>
          </w:tcPr>
          <w:p w:rsidR="00D522EF" w:rsidRDefault="00D522EF" w:rsidP="00EE6E9F">
            <w:pPr>
              <w:spacing w:after="0"/>
              <w:ind w:right="-55" w:firstLine="0"/>
              <w:jc w:val="right"/>
              <w:rPr>
                <w:rFonts w:ascii="Arial Narrow" w:hAnsi="Arial Narrow"/>
                <w:sz w:val="18"/>
                <w:szCs w:val="18"/>
                <w:lang w:val="es-ES" w:eastAsia="es-ES"/>
              </w:rPr>
            </w:pPr>
            <w:r>
              <w:rPr>
                <w:rFonts w:ascii="Arial Narrow" w:hAnsi="Arial Narrow"/>
                <w:sz w:val="18"/>
                <w:szCs w:val="18"/>
                <w:lang w:val="es-ES" w:eastAsia="es-ES"/>
              </w:rPr>
              <w:t>4.282</w:t>
            </w:r>
          </w:p>
        </w:tc>
        <w:tc>
          <w:tcPr>
            <w:tcW w:w="1543" w:type="dxa"/>
            <w:tcBorders>
              <w:top w:val="single" w:sz="2" w:space="0" w:color="auto"/>
              <w:bottom w:val="single" w:sz="2" w:space="0" w:color="auto"/>
            </w:tcBorders>
            <w:vAlign w:val="center"/>
          </w:tcPr>
          <w:p w:rsidR="00D522EF" w:rsidRPr="00730AE6" w:rsidRDefault="00D522EF" w:rsidP="005910B1">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27</w:t>
            </w:r>
          </w:p>
        </w:tc>
      </w:tr>
      <w:tr w:rsidR="00D522EF" w:rsidRPr="00730AE6" w:rsidTr="00F5594F">
        <w:trPr>
          <w:trHeight w:val="306"/>
          <w:jc w:val="center"/>
        </w:trPr>
        <w:tc>
          <w:tcPr>
            <w:tcW w:w="3595" w:type="dxa"/>
            <w:tcBorders>
              <w:top w:val="single" w:sz="2" w:space="0" w:color="auto"/>
              <w:bottom w:val="single" w:sz="2" w:space="0" w:color="auto"/>
            </w:tcBorders>
            <w:shd w:val="clear" w:color="auto" w:fill="auto"/>
            <w:noWrap/>
            <w:vAlign w:val="center"/>
          </w:tcPr>
          <w:p w:rsidR="00D522EF" w:rsidRPr="00730AE6" w:rsidRDefault="00D522EF" w:rsidP="00A86004">
            <w:pPr>
              <w:spacing w:after="0"/>
              <w:ind w:right="-225" w:firstLine="0"/>
              <w:jc w:val="left"/>
              <w:rPr>
                <w:rFonts w:ascii="Arial Narrow" w:hAnsi="Arial Narrow"/>
                <w:sz w:val="18"/>
                <w:szCs w:val="18"/>
                <w:lang w:val="es-ES" w:eastAsia="es-ES"/>
              </w:rPr>
            </w:pPr>
            <w:r>
              <w:rPr>
                <w:rFonts w:ascii="Arial Narrow" w:hAnsi="Arial Narrow"/>
                <w:sz w:val="18"/>
                <w:szCs w:val="18"/>
                <w:lang w:val="es-ES" w:eastAsia="es-ES"/>
              </w:rPr>
              <w:t>Movilidad Internacional</w:t>
            </w:r>
          </w:p>
        </w:tc>
        <w:tc>
          <w:tcPr>
            <w:tcW w:w="1942" w:type="dxa"/>
            <w:tcBorders>
              <w:top w:val="single" w:sz="2" w:space="0" w:color="auto"/>
              <w:bottom w:val="single" w:sz="2" w:space="0" w:color="auto"/>
            </w:tcBorders>
            <w:vAlign w:val="center"/>
          </w:tcPr>
          <w:p w:rsidR="00D522EF" w:rsidRDefault="00D522EF" w:rsidP="00EE6E9F">
            <w:pPr>
              <w:spacing w:after="0"/>
              <w:ind w:right="37" w:firstLine="0"/>
              <w:jc w:val="right"/>
              <w:rPr>
                <w:rFonts w:ascii="Arial Narrow" w:hAnsi="Arial Narrow"/>
                <w:sz w:val="18"/>
                <w:szCs w:val="18"/>
                <w:lang w:val="es-ES" w:eastAsia="es-ES"/>
              </w:rPr>
            </w:pPr>
            <w:r>
              <w:rPr>
                <w:rFonts w:ascii="Arial Narrow" w:hAnsi="Arial Narrow"/>
                <w:sz w:val="18"/>
                <w:szCs w:val="18"/>
                <w:lang w:val="es-ES" w:eastAsia="es-ES"/>
              </w:rPr>
              <w:t>819</w:t>
            </w:r>
          </w:p>
        </w:tc>
        <w:tc>
          <w:tcPr>
            <w:tcW w:w="1821" w:type="dxa"/>
            <w:tcBorders>
              <w:top w:val="single" w:sz="2" w:space="0" w:color="auto"/>
              <w:bottom w:val="single" w:sz="2" w:space="0" w:color="auto"/>
            </w:tcBorders>
            <w:vAlign w:val="center"/>
          </w:tcPr>
          <w:p w:rsidR="00D522EF" w:rsidRDefault="00D522EF" w:rsidP="00EE6E9F">
            <w:pPr>
              <w:spacing w:after="0"/>
              <w:ind w:right="-55" w:firstLine="0"/>
              <w:jc w:val="right"/>
              <w:rPr>
                <w:rFonts w:ascii="Arial Narrow" w:hAnsi="Arial Narrow"/>
                <w:sz w:val="18"/>
                <w:szCs w:val="18"/>
                <w:lang w:val="es-ES" w:eastAsia="es-ES"/>
              </w:rPr>
            </w:pPr>
            <w:r>
              <w:rPr>
                <w:rFonts w:ascii="Arial Narrow" w:hAnsi="Arial Narrow"/>
                <w:sz w:val="18"/>
                <w:szCs w:val="18"/>
                <w:lang w:val="es-ES" w:eastAsia="es-ES"/>
              </w:rPr>
              <w:t>1.101</w:t>
            </w:r>
          </w:p>
        </w:tc>
        <w:tc>
          <w:tcPr>
            <w:tcW w:w="1543" w:type="dxa"/>
            <w:tcBorders>
              <w:top w:val="single" w:sz="2" w:space="0" w:color="auto"/>
              <w:bottom w:val="single" w:sz="2" w:space="0" w:color="auto"/>
            </w:tcBorders>
            <w:vAlign w:val="center"/>
          </w:tcPr>
          <w:p w:rsidR="00D522EF" w:rsidRPr="00730AE6" w:rsidRDefault="00D522EF" w:rsidP="005910B1">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34</w:t>
            </w:r>
          </w:p>
        </w:tc>
      </w:tr>
      <w:tr w:rsidR="00D522EF" w:rsidRPr="00730AE6" w:rsidTr="00F5594F">
        <w:trPr>
          <w:trHeight w:val="306"/>
          <w:jc w:val="center"/>
        </w:trPr>
        <w:tc>
          <w:tcPr>
            <w:tcW w:w="3595" w:type="dxa"/>
            <w:tcBorders>
              <w:top w:val="single" w:sz="2" w:space="0" w:color="auto"/>
              <w:bottom w:val="single" w:sz="2" w:space="0" w:color="auto"/>
            </w:tcBorders>
            <w:shd w:val="clear" w:color="auto" w:fill="auto"/>
            <w:noWrap/>
            <w:vAlign w:val="center"/>
          </w:tcPr>
          <w:p w:rsidR="00D522EF" w:rsidRPr="00730AE6" w:rsidRDefault="00D522EF" w:rsidP="00A86004">
            <w:pPr>
              <w:spacing w:after="0"/>
              <w:ind w:right="-225" w:firstLine="0"/>
              <w:jc w:val="left"/>
              <w:rPr>
                <w:rFonts w:ascii="Arial Narrow" w:hAnsi="Arial Narrow"/>
                <w:sz w:val="18"/>
                <w:szCs w:val="18"/>
                <w:lang w:val="es-ES" w:eastAsia="es-ES"/>
              </w:rPr>
            </w:pPr>
            <w:r>
              <w:rPr>
                <w:rFonts w:ascii="Arial Narrow" w:hAnsi="Arial Narrow"/>
                <w:sz w:val="18"/>
                <w:szCs w:val="18"/>
                <w:lang w:val="es-ES" w:eastAsia="es-ES"/>
              </w:rPr>
              <w:t>Convenio Banco de Santander</w:t>
            </w:r>
          </w:p>
        </w:tc>
        <w:tc>
          <w:tcPr>
            <w:tcW w:w="1942" w:type="dxa"/>
            <w:tcBorders>
              <w:top w:val="single" w:sz="2" w:space="0" w:color="auto"/>
              <w:bottom w:val="single" w:sz="2" w:space="0" w:color="auto"/>
            </w:tcBorders>
            <w:vAlign w:val="center"/>
          </w:tcPr>
          <w:p w:rsidR="00D522EF" w:rsidRDefault="00D522EF" w:rsidP="00EE6E9F">
            <w:pPr>
              <w:spacing w:after="0"/>
              <w:ind w:right="37" w:firstLine="0"/>
              <w:jc w:val="right"/>
              <w:rPr>
                <w:rFonts w:ascii="Arial Narrow" w:hAnsi="Arial Narrow"/>
                <w:sz w:val="18"/>
                <w:szCs w:val="18"/>
                <w:lang w:val="es-ES" w:eastAsia="es-ES"/>
              </w:rPr>
            </w:pPr>
            <w:r>
              <w:rPr>
                <w:rFonts w:ascii="Arial Narrow" w:hAnsi="Arial Narrow"/>
                <w:sz w:val="18"/>
                <w:szCs w:val="18"/>
                <w:lang w:val="es-ES" w:eastAsia="es-ES"/>
              </w:rPr>
              <w:t>398</w:t>
            </w:r>
          </w:p>
        </w:tc>
        <w:tc>
          <w:tcPr>
            <w:tcW w:w="1821" w:type="dxa"/>
            <w:tcBorders>
              <w:top w:val="single" w:sz="2" w:space="0" w:color="auto"/>
              <w:bottom w:val="single" w:sz="2" w:space="0" w:color="auto"/>
            </w:tcBorders>
            <w:vAlign w:val="center"/>
          </w:tcPr>
          <w:p w:rsidR="00D522EF" w:rsidRDefault="00D522EF" w:rsidP="00EE6E9F">
            <w:pPr>
              <w:spacing w:after="0"/>
              <w:ind w:right="-55" w:firstLine="0"/>
              <w:jc w:val="right"/>
              <w:rPr>
                <w:rFonts w:ascii="Arial Narrow" w:hAnsi="Arial Narrow"/>
                <w:sz w:val="18"/>
                <w:szCs w:val="18"/>
                <w:lang w:val="es-ES" w:eastAsia="es-ES"/>
              </w:rPr>
            </w:pPr>
            <w:r>
              <w:rPr>
                <w:rFonts w:ascii="Arial Narrow" w:hAnsi="Arial Narrow"/>
                <w:sz w:val="18"/>
                <w:szCs w:val="18"/>
                <w:lang w:val="es-ES" w:eastAsia="es-ES"/>
              </w:rPr>
              <w:t>450</w:t>
            </w:r>
          </w:p>
        </w:tc>
        <w:tc>
          <w:tcPr>
            <w:tcW w:w="1543" w:type="dxa"/>
            <w:tcBorders>
              <w:top w:val="single" w:sz="2" w:space="0" w:color="auto"/>
              <w:bottom w:val="single" w:sz="2" w:space="0" w:color="auto"/>
            </w:tcBorders>
            <w:vAlign w:val="center"/>
          </w:tcPr>
          <w:p w:rsidR="00D522EF" w:rsidRPr="00730AE6" w:rsidRDefault="00D522EF" w:rsidP="005910B1">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13</w:t>
            </w:r>
          </w:p>
        </w:tc>
      </w:tr>
      <w:tr w:rsidR="00D522EF" w:rsidRPr="00730AE6" w:rsidTr="00F5594F">
        <w:trPr>
          <w:trHeight w:val="306"/>
          <w:jc w:val="center"/>
        </w:trPr>
        <w:tc>
          <w:tcPr>
            <w:tcW w:w="3595" w:type="dxa"/>
            <w:tcBorders>
              <w:top w:val="single" w:sz="2" w:space="0" w:color="auto"/>
              <w:bottom w:val="single" w:sz="2" w:space="0" w:color="auto"/>
            </w:tcBorders>
            <w:shd w:val="clear" w:color="auto" w:fill="auto"/>
            <w:noWrap/>
            <w:vAlign w:val="center"/>
          </w:tcPr>
          <w:p w:rsidR="00D522EF" w:rsidRDefault="00D522EF" w:rsidP="00A86004">
            <w:pPr>
              <w:spacing w:after="0"/>
              <w:ind w:right="-225" w:firstLine="0"/>
              <w:jc w:val="left"/>
              <w:rPr>
                <w:rFonts w:ascii="Arial Narrow" w:hAnsi="Arial Narrow"/>
                <w:sz w:val="18"/>
                <w:szCs w:val="18"/>
                <w:lang w:val="es-ES" w:eastAsia="es-ES"/>
              </w:rPr>
            </w:pPr>
            <w:r>
              <w:rPr>
                <w:rFonts w:ascii="Arial Narrow" w:hAnsi="Arial Narrow"/>
                <w:sz w:val="18"/>
                <w:szCs w:val="18"/>
                <w:lang w:val="es-ES" w:eastAsia="es-ES"/>
              </w:rPr>
              <w:t>Proyectos Europeos no investigación</w:t>
            </w:r>
          </w:p>
        </w:tc>
        <w:tc>
          <w:tcPr>
            <w:tcW w:w="1942" w:type="dxa"/>
            <w:tcBorders>
              <w:top w:val="single" w:sz="2" w:space="0" w:color="auto"/>
              <w:bottom w:val="single" w:sz="2" w:space="0" w:color="auto"/>
            </w:tcBorders>
            <w:vAlign w:val="center"/>
          </w:tcPr>
          <w:p w:rsidR="00D522EF" w:rsidRDefault="00D522EF" w:rsidP="00EE6E9F">
            <w:pPr>
              <w:spacing w:after="0"/>
              <w:ind w:right="37" w:firstLine="0"/>
              <w:jc w:val="right"/>
              <w:rPr>
                <w:rFonts w:ascii="Arial Narrow" w:hAnsi="Arial Narrow"/>
                <w:sz w:val="18"/>
                <w:szCs w:val="18"/>
                <w:lang w:val="es-ES" w:eastAsia="es-ES"/>
              </w:rPr>
            </w:pPr>
            <w:r>
              <w:rPr>
                <w:rFonts w:ascii="Arial Narrow" w:hAnsi="Arial Narrow"/>
                <w:sz w:val="18"/>
                <w:szCs w:val="18"/>
                <w:lang w:val="es-ES" w:eastAsia="es-ES"/>
              </w:rPr>
              <w:t>37</w:t>
            </w:r>
          </w:p>
        </w:tc>
        <w:tc>
          <w:tcPr>
            <w:tcW w:w="1821" w:type="dxa"/>
            <w:tcBorders>
              <w:top w:val="single" w:sz="2" w:space="0" w:color="auto"/>
              <w:bottom w:val="single" w:sz="2" w:space="0" w:color="auto"/>
            </w:tcBorders>
            <w:vAlign w:val="center"/>
          </w:tcPr>
          <w:p w:rsidR="00D522EF" w:rsidRDefault="00D522EF" w:rsidP="00EE6E9F">
            <w:pPr>
              <w:spacing w:after="0"/>
              <w:ind w:right="-55" w:firstLine="0"/>
              <w:jc w:val="right"/>
              <w:rPr>
                <w:rFonts w:ascii="Arial Narrow" w:hAnsi="Arial Narrow"/>
                <w:sz w:val="18"/>
                <w:szCs w:val="18"/>
                <w:lang w:val="es-ES" w:eastAsia="es-ES"/>
              </w:rPr>
            </w:pPr>
            <w:r>
              <w:rPr>
                <w:rFonts w:ascii="Arial Narrow" w:hAnsi="Arial Narrow"/>
                <w:sz w:val="18"/>
                <w:szCs w:val="18"/>
                <w:lang w:val="es-ES" w:eastAsia="es-ES"/>
              </w:rPr>
              <w:t>0</w:t>
            </w:r>
          </w:p>
        </w:tc>
        <w:tc>
          <w:tcPr>
            <w:tcW w:w="1543" w:type="dxa"/>
            <w:tcBorders>
              <w:top w:val="single" w:sz="2" w:space="0" w:color="auto"/>
              <w:bottom w:val="single" w:sz="2" w:space="0" w:color="auto"/>
            </w:tcBorders>
            <w:vAlign w:val="center"/>
          </w:tcPr>
          <w:p w:rsidR="00D522EF" w:rsidRPr="00730AE6" w:rsidRDefault="00D522EF" w:rsidP="005910B1">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w:t>
            </w:r>
          </w:p>
        </w:tc>
      </w:tr>
      <w:tr w:rsidR="00D522EF" w:rsidRPr="00730AE6" w:rsidTr="00F5594F">
        <w:trPr>
          <w:trHeight w:val="306"/>
          <w:jc w:val="center"/>
        </w:trPr>
        <w:tc>
          <w:tcPr>
            <w:tcW w:w="3595" w:type="dxa"/>
            <w:tcBorders>
              <w:top w:val="single" w:sz="2" w:space="0" w:color="auto"/>
              <w:bottom w:val="single" w:sz="2" w:space="0" w:color="auto"/>
            </w:tcBorders>
            <w:shd w:val="clear" w:color="auto" w:fill="auto"/>
            <w:noWrap/>
            <w:vAlign w:val="center"/>
          </w:tcPr>
          <w:p w:rsidR="00D522EF" w:rsidRDefault="00D522EF" w:rsidP="00A86004">
            <w:pPr>
              <w:spacing w:after="0"/>
              <w:ind w:right="-225" w:firstLine="0"/>
              <w:jc w:val="left"/>
              <w:rPr>
                <w:rFonts w:ascii="Arial Narrow" w:hAnsi="Arial Narrow"/>
                <w:sz w:val="18"/>
                <w:szCs w:val="18"/>
                <w:lang w:val="es-ES" w:eastAsia="es-ES"/>
              </w:rPr>
            </w:pPr>
            <w:r>
              <w:rPr>
                <w:rFonts w:ascii="Arial Narrow" w:hAnsi="Arial Narrow"/>
                <w:sz w:val="18"/>
                <w:szCs w:val="18"/>
                <w:lang w:val="es-ES" w:eastAsia="es-ES"/>
              </w:rPr>
              <w:t>Extensión universitaria</w:t>
            </w:r>
          </w:p>
        </w:tc>
        <w:tc>
          <w:tcPr>
            <w:tcW w:w="1942" w:type="dxa"/>
            <w:tcBorders>
              <w:top w:val="single" w:sz="2" w:space="0" w:color="auto"/>
              <w:bottom w:val="single" w:sz="2" w:space="0" w:color="auto"/>
            </w:tcBorders>
            <w:vAlign w:val="center"/>
          </w:tcPr>
          <w:p w:rsidR="00D522EF" w:rsidRDefault="00D522EF" w:rsidP="00EE6E9F">
            <w:pPr>
              <w:spacing w:after="0"/>
              <w:ind w:right="37" w:firstLine="0"/>
              <w:jc w:val="right"/>
              <w:rPr>
                <w:rFonts w:ascii="Arial Narrow" w:hAnsi="Arial Narrow"/>
                <w:sz w:val="18"/>
                <w:szCs w:val="18"/>
                <w:lang w:val="es-ES" w:eastAsia="es-ES"/>
              </w:rPr>
            </w:pPr>
            <w:r>
              <w:rPr>
                <w:rFonts w:ascii="Arial Narrow" w:hAnsi="Arial Narrow"/>
                <w:sz w:val="18"/>
                <w:szCs w:val="18"/>
                <w:lang w:val="es-ES" w:eastAsia="es-ES"/>
              </w:rPr>
              <w:t>98</w:t>
            </w:r>
          </w:p>
        </w:tc>
        <w:tc>
          <w:tcPr>
            <w:tcW w:w="1821" w:type="dxa"/>
            <w:tcBorders>
              <w:top w:val="single" w:sz="2" w:space="0" w:color="auto"/>
              <w:bottom w:val="single" w:sz="2" w:space="0" w:color="auto"/>
            </w:tcBorders>
            <w:vAlign w:val="center"/>
          </w:tcPr>
          <w:p w:rsidR="00D522EF" w:rsidRDefault="00D522EF" w:rsidP="00EE6E9F">
            <w:pPr>
              <w:spacing w:after="0"/>
              <w:ind w:right="-55" w:firstLine="0"/>
              <w:jc w:val="right"/>
              <w:rPr>
                <w:rFonts w:ascii="Arial Narrow" w:hAnsi="Arial Narrow"/>
                <w:sz w:val="18"/>
                <w:szCs w:val="18"/>
                <w:lang w:val="es-ES" w:eastAsia="es-ES"/>
              </w:rPr>
            </w:pPr>
            <w:r>
              <w:rPr>
                <w:rFonts w:ascii="Arial Narrow" w:hAnsi="Arial Narrow"/>
                <w:sz w:val="18"/>
                <w:szCs w:val="18"/>
                <w:lang w:val="es-ES" w:eastAsia="es-ES"/>
              </w:rPr>
              <w:t>66</w:t>
            </w:r>
          </w:p>
        </w:tc>
        <w:tc>
          <w:tcPr>
            <w:tcW w:w="1543" w:type="dxa"/>
            <w:tcBorders>
              <w:top w:val="single" w:sz="2" w:space="0" w:color="auto"/>
              <w:bottom w:val="single" w:sz="2" w:space="0" w:color="auto"/>
            </w:tcBorders>
            <w:vAlign w:val="center"/>
          </w:tcPr>
          <w:p w:rsidR="00D522EF" w:rsidRPr="00730AE6" w:rsidRDefault="00D522EF" w:rsidP="005910B1">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-33</w:t>
            </w:r>
          </w:p>
        </w:tc>
      </w:tr>
      <w:tr w:rsidR="00D522EF" w:rsidRPr="00730AE6" w:rsidTr="00F5594F">
        <w:trPr>
          <w:trHeight w:val="306"/>
          <w:jc w:val="center"/>
        </w:trPr>
        <w:tc>
          <w:tcPr>
            <w:tcW w:w="3595" w:type="dxa"/>
            <w:tcBorders>
              <w:top w:val="single" w:sz="2" w:space="0" w:color="auto"/>
              <w:bottom w:val="single" w:sz="2" w:space="0" w:color="auto"/>
            </w:tcBorders>
            <w:shd w:val="clear" w:color="auto" w:fill="auto"/>
            <w:noWrap/>
            <w:vAlign w:val="center"/>
          </w:tcPr>
          <w:p w:rsidR="00D522EF" w:rsidRDefault="00D522EF" w:rsidP="00A86004">
            <w:pPr>
              <w:spacing w:after="0"/>
              <w:ind w:right="-225" w:firstLine="0"/>
              <w:jc w:val="left"/>
              <w:rPr>
                <w:rFonts w:ascii="Arial Narrow" w:hAnsi="Arial Narrow"/>
                <w:sz w:val="18"/>
                <w:szCs w:val="18"/>
                <w:lang w:val="es-ES" w:eastAsia="es-ES"/>
              </w:rPr>
            </w:pPr>
            <w:r>
              <w:rPr>
                <w:rFonts w:ascii="Arial Narrow" w:hAnsi="Arial Narrow"/>
                <w:sz w:val="18"/>
                <w:szCs w:val="18"/>
                <w:lang w:val="es-ES" w:eastAsia="es-ES"/>
              </w:rPr>
              <w:t>Otras actividades docentes</w:t>
            </w:r>
          </w:p>
        </w:tc>
        <w:tc>
          <w:tcPr>
            <w:tcW w:w="1942" w:type="dxa"/>
            <w:tcBorders>
              <w:top w:val="single" w:sz="2" w:space="0" w:color="auto"/>
              <w:bottom w:val="single" w:sz="2" w:space="0" w:color="auto"/>
            </w:tcBorders>
            <w:vAlign w:val="center"/>
          </w:tcPr>
          <w:p w:rsidR="00D522EF" w:rsidRDefault="00D522EF" w:rsidP="00EE6E9F">
            <w:pPr>
              <w:spacing w:after="0"/>
              <w:ind w:right="37" w:firstLine="0"/>
              <w:jc w:val="right"/>
              <w:rPr>
                <w:rFonts w:ascii="Arial Narrow" w:hAnsi="Arial Narrow"/>
                <w:sz w:val="18"/>
                <w:szCs w:val="18"/>
                <w:lang w:val="es-ES" w:eastAsia="es-ES"/>
              </w:rPr>
            </w:pPr>
            <w:r>
              <w:rPr>
                <w:rFonts w:ascii="Arial Narrow" w:hAnsi="Arial Narrow"/>
                <w:sz w:val="18"/>
                <w:szCs w:val="18"/>
                <w:lang w:val="es-ES" w:eastAsia="es-ES"/>
              </w:rPr>
              <w:t>26</w:t>
            </w:r>
          </w:p>
        </w:tc>
        <w:tc>
          <w:tcPr>
            <w:tcW w:w="1821" w:type="dxa"/>
            <w:tcBorders>
              <w:top w:val="single" w:sz="2" w:space="0" w:color="auto"/>
              <w:bottom w:val="single" w:sz="2" w:space="0" w:color="auto"/>
            </w:tcBorders>
            <w:vAlign w:val="center"/>
          </w:tcPr>
          <w:p w:rsidR="00D522EF" w:rsidRDefault="00D522EF" w:rsidP="00EE6E9F">
            <w:pPr>
              <w:spacing w:after="0"/>
              <w:ind w:right="-55" w:firstLine="0"/>
              <w:jc w:val="right"/>
              <w:rPr>
                <w:rFonts w:ascii="Arial Narrow" w:hAnsi="Arial Narrow"/>
                <w:sz w:val="18"/>
                <w:szCs w:val="18"/>
                <w:lang w:val="es-ES" w:eastAsia="es-ES"/>
              </w:rPr>
            </w:pPr>
            <w:r>
              <w:rPr>
                <w:rFonts w:ascii="Arial Narrow" w:hAnsi="Arial Narrow"/>
                <w:sz w:val="18"/>
                <w:szCs w:val="18"/>
                <w:lang w:val="es-ES" w:eastAsia="es-ES"/>
              </w:rPr>
              <w:t>10</w:t>
            </w:r>
          </w:p>
        </w:tc>
        <w:tc>
          <w:tcPr>
            <w:tcW w:w="1543" w:type="dxa"/>
            <w:tcBorders>
              <w:top w:val="single" w:sz="2" w:space="0" w:color="auto"/>
              <w:bottom w:val="single" w:sz="2" w:space="0" w:color="auto"/>
            </w:tcBorders>
            <w:vAlign w:val="center"/>
          </w:tcPr>
          <w:p w:rsidR="00D522EF" w:rsidRPr="00730AE6" w:rsidRDefault="00D522EF" w:rsidP="005910B1">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-61</w:t>
            </w:r>
          </w:p>
        </w:tc>
      </w:tr>
      <w:tr w:rsidR="00D522EF" w:rsidRPr="00730AE6" w:rsidTr="00F5594F">
        <w:trPr>
          <w:trHeight w:val="306"/>
          <w:jc w:val="center"/>
        </w:trPr>
        <w:tc>
          <w:tcPr>
            <w:tcW w:w="3595" w:type="dxa"/>
            <w:tcBorders>
              <w:top w:val="single" w:sz="2" w:space="0" w:color="auto"/>
              <w:bottom w:val="single" w:sz="2" w:space="0" w:color="auto"/>
            </w:tcBorders>
            <w:shd w:val="clear" w:color="auto" w:fill="auto"/>
            <w:noWrap/>
            <w:vAlign w:val="center"/>
          </w:tcPr>
          <w:p w:rsidR="00D522EF" w:rsidRPr="00BB3D21" w:rsidRDefault="00D522EF" w:rsidP="00A86004">
            <w:pPr>
              <w:spacing w:after="0"/>
              <w:ind w:right="-225" w:firstLine="0"/>
              <w:jc w:val="left"/>
              <w:rPr>
                <w:rFonts w:ascii="Arial Narrow" w:hAnsi="Arial Narrow"/>
                <w:sz w:val="18"/>
                <w:szCs w:val="18"/>
                <w:lang w:eastAsia="es-ES"/>
              </w:rPr>
            </w:pPr>
            <w:r>
              <w:rPr>
                <w:rFonts w:ascii="Arial Narrow" w:hAnsi="Arial Narrow"/>
                <w:sz w:val="18"/>
                <w:szCs w:val="18"/>
                <w:lang w:eastAsia="es-ES"/>
              </w:rPr>
              <w:t>Otras</w:t>
            </w:r>
          </w:p>
        </w:tc>
        <w:tc>
          <w:tcPr>
            <w:tcW w:w="1942" w:type="dxa"/>
            <w:tcBorders>
              <w:top w:val="single" w:sz="2" w:space="0" w:color="auto"/>
              <w:bottom w:val="single" w:sz="2" w:space="0" w:color="auto"/>
            </w:tcBorders>
            <w:vAlign w:val="center"/>
          </w:tcPr>
          <w:p w:rsidR="00D522EF" w:rsidRDefault="00D522EF" w:rsidP="00EE6E9F">
            <w:pPr>
              <w:spacing w:after="0"/>
              <w:ind w:right="37" w:firstLine="0"/>
              <w:jc w:val="right"/>
              <w:rPr>
                <w:rFonts w:ascii="Arial Narrow" w:hAnsi="Arial Narrow"/>
                <w:sz w:val="18"/>
                <w:szCs w:val="18"/>
                <w:lang w:val="es-ES" w:eastAsia="es-ES"/>
              </w:rPr>
            </w:pPr>
            <w:r>
              <w:rPr>
                <w:rFonts w:ascii="Arial Narrow" w:hAnsi="Arial Narrow"/>
                <w:sz w:val="18"/>
                <w:szCs w:val="18"/>
                <w:lang w:val="es-ES" w:eastAsia="es-ES"/>
              </w:rPr>
              <w:t>8</w:t>
            </w:r>
          </w:p>
        </w:tc>
        <w:tc>
          <w:tcPr>
            <w:tcW w:w="1821" w:type="dxa"/>
            <w:tcBorders>
              <w:top w:val="single" w:sz="2" w:space="0" w:color="auto"/>
              <w:bottom w:val="single" w:sz="2" w:space="0" w:color="auto"/>
            </w:tcBorders>
            <w:vAlign w:val="center"/>
          </w:tcPr>
          <w:p w:rsidR="00D522EF" w:rsidRDefault="00D522EF" w:rsidP="00EE6E9F">
            <w:pPr>
              <w:spacing w:after="0"/>
              <w:ind w:right="-55" w:firstLine="0"/>
              <w:jc w:val="right"/>
              <w:rPr>
                <w:rFonts w:ascii="Arial Narrow" w:hAnsi="Arial Narrow"/>
                <w:sz w:val="18"/>
                <w:szCs w:val="18"/>
                <w:lang w:val="es-ES" w:eastAsia="es-ES"/>
              </w:rPr>
            </w:pPr>
            <w:r>
              <w:rPr>
                <w:rFonts w:ascii="Arial Narrow" w:hAnsi="Arial Narrow"/>
                <w:sz w:val="18"/>
                <w:szCs w:val="18"/>
                <w:lang w:val="es-ES" w:eastAsia="es-ES"/>
              </w:rPr>
              <w:t>95</w:t>
            </w:r>
          </w:p>
        </w:tc>
        <w:tc>
          <w:tcPr>
            <w:tcW w:w="1543" w:type="dxa"/>
            <w:tcBorders>
              <w:top w:val="single" w:sz="2" w:space="0" w:color="auto"/>
              <w:bottom w:val="single" w:sz="2" w:space="0" w:color="auto"/>
            </w:tcBorders>
            <w:vAlign w:val="center"/>
          </w:tcPr>
          <w:p w:rsidR="00D522EF" w:rsidRPr="00730AE6" w:rsidRDefault="00D522EF" w:rsidP="005910B1">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1.187</w:t>
            </w:r>
          </w:p>
        </w:tc>
      </w:tr>
      <w:tr w:rsidR="00D522EF" w:rsidRPr="00EE6E9F" w:rsidTr="00F5594F">
        <w:trPr>
          <w:trHeight w:val="306"/>
          <w:jc w:val="center"/>
        </w:trPr>
        <w:tc>
          <w:tcPr>
            <w:tcW w:w="3595" w:type="dxa"/>
            <w:tcBorders>
              <w:top w:val="single" w:sz="2" w:space="0" w:color="auto"/>
              <w:bottom w:val="single" w:sz="2" w:space="0" w:color="auto"/>
            </w:tcBorders>
            <w:shd w:val="clear" w:color="auto" w:fill="A0C3E3" w:themeFill="accent1" w:themeFillTint="99"/>
            <w:noWrap/>
            <w:vAlign w:val="center"/>
          </w:tcPr>
          <w:p w:rsidR="00D522EF" w:rsidRPr="00EE6E9F" w:rsidRDefault="00D522EF" w:rsidP="00D522EF">
            <w:pPr>
              <w:spacing w:after="0"/>
              <w:ind w:right="-225" w:firstLine="0"/>
              <w:jc w:val="left"/>
              <w:rPr>
                <w:rFonts w:ascii="Arial" w:hAnsi="Arial" w:cs="Arial"/>
                <w:sz w:val="18"/>
                <w:szCs w:val="18"/>
                <w:lang w:eastAsia="es-ES"/>
              </w:rPr>
            </w:pPr>
            <w:r w:rsidRPr="00EE6E9F">
              <w:rPr>
                <w:rFonts w:ascii="Arial" w:hAnsi="Arial" w:cs="Arial"/>
                <w:sz w:val="18"/>
                <w:szCs w:val="18"/>
                <w:lang w:eastAsia="es-ES"/>
              </w:rPr>
              <w:t>Total transferencias corrientes</w:t>
            </w:r>
          </w:p>
        </w:tc>
        <w:tc>
          <w:tcPr>
            <w:tcW w:w="1942" w:type="dxa"/>
            <w:tcBorders>
              <w:top w:val="single" w:sz="2" w:space="0" w:color="auto"/>
              <w:bottom w:val="single" w:sz="2" w:space="0" w:color="auto"/>
            </w:tcBorders>
            <w:shd w:val="clear" w:color="auto" w:fill="A0C3E3" w:themeFill="accent1" w:themeFillTint="99"/>
            <w:vAlign w:val="center"/>
          </w:tcPr>
          <w:p w:rsidR="00D522EF" w:rsidRPr="00EE6E9F" w:rsidRDefault="00D522EF" w:rsidP="00EE6E9F">
            <w:pPr>
              <w:spacing w:after="0"/>
              <w:ind w:right="37" w:firstLine="0"/>
              <w:jc w:val="right"/>
              <w:rPr>
                <w:rFonts w:ascii="Arial" w:hAnsi="Arial" w:cs="Arial"/>
                <w:sz w:val="18"/>
                <w:szCs w:val="18"/>
                <w:lang w:val="es-ES" w:eastAsia="es-ES"/>
              </w:rPr>
            </w:pPr>
            <w:r w:rsidRPr="00EE6E9F">
              <w:rPr>
                <w:rFonts w:ascii="Arial" w:hAnsi="Arial" w:cs="Arial"/>
                <w:sz w:val="18"/>
                <w:szCs w:val="18"/>
                <w:lang w:val="es-ES" w:eastAsia="es-ES"/>
              </w:rPr>
              <w:t>56.386</w:t>
            </w:r>
          </w:p>
        </w:tc>
        <w:tc>
          <w:tcPr>
            <w:tcW w:w="1821" w:type="dxa"/>
            <w:tcBorders>
              <w:top w:val="single" w:sz="2" w:space="0" w:color="auto"/>
              <w:bottom w:val="single" w:sz="2" w:space="0" w:color="auto"/>
            </w:tcBorders>
            <w:shd w:val="clear" w:color="auto" w:fill="A0C3E3" w:themeFill="accent1" w:themeFillTint="99"/>
            <w:vAlign w:val="center"/>
          </w:tcPr>
          <w:p w:rsidR="00D522EF" w:rsidRPr="00EE6E9F" w:rsidRDefault="00D522EF" w:rsidP="00EE6E9F">
            <w:pPr>
              <w:spacing w:after="0"/>
              <w:ind w:right="-55" w:firstLine="0"/>
              <w:jc w:val="right"/>
              <w:rPr>
                <w:rFonts w:ascii="Arial" w:hAnsi="Arial" w:cs="Arial"/>
                <w:sz w:val="18"/>
                <w:szCs w:val="18"/>
                <w:lang w:val="es-ES" w:eastAsia="es-ES"/>
              </w:rPr>
            </w:pPr>
            <w:r w:rsidRPr="00EE6E9F">
              <w:rPr>
                <w:rFonts w:ascii="Arial" w:hAnsi="Arial" w:cs="Arial"/>
                <w:sz w:val="18"/>
                <w:szCs w:val="18"/>
                <w:lang w:val="es-ES" w:eastAsia="es-ES"/>
              </w:rPr>
              <w:t>60.471</w:t>
            </w:r>
          </w:p>
        </w:tc>
        <w:tc>
          <w:tcPr>
            <w:tcW w:w="1543" w:type="dxa"/>
            <w:tcBorders>
              <w:top w:val="single" w:sz="2" w:space="0" w:color="auto"/>
              <w:bottom w:val="single" w:sz="2" w:space="0" w:color="auto"/>
            </w:tcBorders>
            <w:shd w:val="clear" w:color="auto" w:fill="A0C3E3" w:themeFill="accent1" w:themeFillTint="99"/>
            <w:vAlign w:val="center"/>
          </w:tcPr>
          <w:p w:rsidR="00D522EF" w:rsidRPr="00EE6E9F" w:rsidRDefault="00D522EF" w:rsidP="005910B1">
            <w:pPr>
              <w:spacing w:after="0"/>
              <w:ind w:firstLine="0"/>
              <w:jc w:val="right"/>
              <w:rPr>
                <w:rFonts w:ascii="Arial" w:hAnsi="Arial" w:cs="Arial"/>
                <w:sz w:val="18"/>
                <w:szCs w:val="18"/>
                <w:lang w:val="es-ES" w:eastAsia="es-ES"/>
              </w:rPr>
            </w:pPr>
            <w:r w:rsidRPr="00EE6E9F">
              <w:rPr>
                <w:rFonts w:ascii="Arial" w:hAnsi="Arial" w:cs="Arial"/>
                <w:sz w:val="18"/>
                <w:szCs w:val="18"/>
                <w:lang w:val="es-ES" w:eastAsia="es-ES"/>
              </w:rPr>
              <w:t>7</w:t>
            </w:r>
          </w:p>
        </w:tc>
      </w:tr>
      <w:tr w:rsidR="00D522EF" w:rsidRPr="00730AE6" w:rsidTr="00F5594F">
        <w:trPr>
          <w:trHeight w:val="306"/>
          <w:jc w:val="center"/>
        </w:trPr>
        <w:tc>
          <w:tcPr>
            <w:tcW w:w="3595" w:type="dxa"/>
            <w:tcBorders>
              <w:top w:val="single" w:sz="2" w:space="0" w:color="auto"/>
              <w:bottom w:val="single" w:sz="2" w:space="0" w:color="auto"/>
            </w:tcBorders>
            <w:shd w:val="clear" w:color="auto" w:fill="auto"/>
            <w:noWrap/>
            <w:vAlign w:val="center"/>
          </w:tcPr>
          <w:p w:rsidR="00D522EF" w:rsidRDefault="00D522EF" w:rsidP="00A86004">
            <w:pPr>
              <w:spacing w:after="0"/>
              <w:ind w:right="-225" w:firstLine="0"/>
              <w:jc w:val="left"/>
              <w:rPr>
                <w:rFonts w:ascii="Arial Narrow" w:hAnsi="Arial Narrow"/>
                <w:sz w:val="18"/>
                <w:szCs w:val="18"/>
                <w:lang w:eastAsia="es-ES"/>
              </w:rPr>
            </w:pPr>
            <w:r>
              <w:rPr>
                <w:rFonts w:ascii="Arial Narrow" w:hAnsi="Arial Narrow"/>
                <w:sz w:val="18"/>
                <w:szCs w:val="18"/>
                <w:lang w:eastAsia="es-ES"/>
              </w:rPr>
              <w:t>Convenio de financiación Gobierno de Navarra</w:t>
            </w:r>
          </w:p>
        </w:tc>
        <w:tc>
          <w:tcPr>
            <w:tcW w:w="1942" w:type="dxa"/>
            <w:tcBorders>
              <w:top w:val="single" w:sz="2" w:space="0" w:color="auto"/>
              <w:bottom w:val="single" w:sz="2" w:space="0" w:color="auto"/>
            </w:tcBorders>
            <w:vAlign w:val="center"/>
          </w:tcPr>
          <w:p w:rsidR="00D522EF" w:rsidRPr="00D522EF" w:rsidRDefault="00D522EF" w:rsidP="00EE6E9F">
            <w:pPr>
              <w:spacing w:after="0"/>
              <w:ind w:right="37" w:firstLine="0"/>
              <w:jc w:val="right"/>
              <w:rPr>
                <w:rFonts w:ascii="Arial Narrow" w:hAnsi="Arial Narrow"/>
                <w:sz w:val="18"/>
                <w:szCs w:val="18"/>
                <w:lang w:eastAsia="es-ES"/>
              </w:rPr>
            </w:pPr>
            <w:r>
              <w:rPr>
                <w:rFonts w:ascii="Arial Narrow" w:hAnsi="Arial Narrow"/>
                <w:sz w:val="18"/>
                <w:szCs w:val="18"/>
                <w:lang w:eastAsia="es-ES"/>
              </w:rPr>
              <w:t>0</w:t>
            </w:r>
          </w:p>
        </w:tc>
        <w:tc>
          <w:tcPr>
            <w:tcW w:w="1821" w:type="dxa"/>
            <w:tcBorders>
              <w:top w:val="single" w:sz="2" w:space="0" w:color="auto"/>
              <w:bottom w:val="single" w:sz="2" w:space="0" w:color="auto"/>
            </w:tcBorders>
            <w:vAlign w:val="center"/>
          </w:tcPr>
          <w:p w:rsidR="00D522EF" w:rsidRDefault="00D522EF" w:rsidP="00EE6E9F">
            <w:pPr>
              <w:spacing w:after="0"/>
              <w:ind w:right="-55" w:firstLine="0"/>
              <w:jc w:val="right"/>
              <w:rPr>
                <w:rFonts w:ascii="Arial Narrow" w:hAnsi="Arial Narrow"/>
                <w:sz w:val="18"/>
                <w:szCs w:val="18"/>
                <w:lang w:val="es-ES" w:eastAsia="es-ES"/>
              </w:rPr>
            </w:pPr>
            <w:r>
              <w:rPr>
                <w:rFonts w:ascii="Arial Narrow" w:hAnsi="Arial Narrow"/>
                <w:sz w:val="18"/>
                <w:szCs w:val="18"/>
                <w:lang w:val="es-ES" w:eastAsia="es-ES"/>
              </w:rPr>
              <w:t>700</w:t>
            </w:r>
          </w:p>
        </w:tc>
        <w:tc>
          <w:tcPr>
            <w:tcW w:w="1543" w:type="dxa"/>
            <w:tcBorders>
              <w:top w:val="single" w:sz="2" w:space="0" w:color="auto"/>
              <w:bottom w:val="single" w:sz="2" w:space="0" w:color="auto"/>
            </w:tcBorders>
            <w:vAlign w:val="center"/>
          </w:tcPr>
          <w:p w:rsidR="00D522EF" w:rsidRDefault="00D522EF" w:rsidP="005910B1">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w:t>
            </w:r>
          </w:p>
        </w:tc>
      </w:tr>
      <w:tr w:rsidR="00D522EF" w:rsidRPr="00730AE6" w:rsidTr="00F5594F">
        <w:trPr>
          <w:trHeight w:val="306"/>
          <w:jc w:val="center"/>
        </w:trPr>
        <w:tc>
          <w:tcPr>
            <w:tcW w:w="3595" w:type="dxa"/>
            <w:tcBorders>
              <w:top w:val="single" w:sz="2" w:space="0" w:color="auto"/>
              <w:bottom w:val="single" w:sz="2" w:space="0" w:color="auto"/>
            </w:tcBorders>
            <w:shd w:val="clear" w:color="auto" w:fill="auto"/>
            <w:noWrap/>
            <w:vAlign w:val="center"/>
          </w:tcPr>
          <w:p w:rsidR="00D522EF" w:rsidRDefault="00D522EF" w:rsidP="00A86004">
            <w:pPr>
              <w:spacing w:after="0"/>
              <w:ind w:right="-225" w:firstLine="0"/>
              <w:jc w:val="left"/>
              <w:rPr>
                <w:rFonts w:ascii="Arial Narrow" w:hAnsi="Arial Narrow"/>
                <w:sz w:val="18"/>
                <w:szCs w:val="18"/>
                <w:lang w:eastAsia="es-ES"/>
              </w:rPr>
            </w:pPr>
            <w:r>
              <w:rPr>
                <w:rFonts w:ascii="Arial Narrow" w:hAnsi="Arial Narrow"/>
                <w:sz w:val="18"/>
                <w:szCs w:val="18"/>
                <w:lang w:eastAsia="es-ES"/>
              </w:rPr>
              <w:t>Investigación</w:t>
            </w:r>
          </w:p>
        </w:tc>
        <w:tc>
          <w:tcPr>
            <w:tcW w:w="1942" w:type="dxa"/>
            <w:tcBorders>
              <w:top w:val="single" w:sz="2" w:space="0" w:color="auto"/>
              <w:bottom w:val="single" w:sz="2" w:space="0" w:color="auto"/>
            </w:tcBorders>
            <w:vAlign w:val="center"/>
          </w:tcPr>
          <w:p w:rsidR="00D522EF" w:rsidRDefault="00D522EF" w:rsidP="00EE6E9F">
            <w:pPr>
              <w:spacing w:after="0"/>
              <w:ind w:right="37" w:firstLine="0"/>
              <w:jc w:val="right"/>
              <w:rPr>
                <w:rFonts w:ascii="Arial Narrow" w:hAnsi="Arial Narrow"/>
                <w:sz w:val="18"/>
                <w:szCs w:val="18"/>
                <w:lang w:val="es-ES" w:eastAsia="es-ES"/>
              </w:rPr>
            </w:pPr>
            <w:r>
              <w:rPr>
                <w:rFonts w:ascii="Arial Narrow" w:hAnsi="Arial Narrow"/>
                <w:sz w:val="18"/>
                <w:szCs w:val="18"/>
                <w:lang w:val="es-ES" w:eastAsia="es-ES"/>
              </w:rPr>
              <w:t>2</w:t>
            </w:r>
          </w:p>
        </w:tc>
        <w:tc>
          <w:tcPr>
            <w:tcW w:w="1821" w:type="dxa"/>
            <w:tcBorders>
              <w:top w:val="single" w:sz="2" w:space="0" w:color="auto"/>
              <w:bottom w:val="single" w:sz="2" w:space="0" w:color="auto"/>
            </w:tcBorders>
            <w:vAlign w:val="center"/>
          </w:tcPr>
          <w:p w:rsidR="00D522EF" w:rsidRDefault="00D522EF" w:rsidP="00EE6E9F">
            <w:pPr>
              <w:spacing w:after="0"/>
              <w:ind w:right="-55" w:firstLine="0"/>
              <w:jc w:val="right"/>
              <w:rPr>
                <w:rFonts w:ascii="Arial Narrow" w:hAnsi="Arial Narrow"/>
                <w:sz w:val="18"/>
                <w:szCs w:val="18"/>
                <w:lang w:val="es-ES" w:eastAsia="es-ES"/>
              </w:rPr>
            </w:pPr>
            <w:r>
              <w:rPr>
                <w:rFonts w:ascii="Arial Narrow" w:hAnsi="Arial Narrow"/>
                <w:sz w:val="18"/>
                <w:szCs w:val="18"/>
                <w:lang w:val="es-ES" w:eastAsia="es-ES"/>
              </w:rPr>
              <w:t>3</w:t>
            </w:r>
          </w:p>
        </w:tc>
        <w:tc>
          <w:tcPr>
            <w:tcW w:w="1543" w:type="dxa"/>
            <w:tcBorders>
              <w:top w:val="single" w:sz="2" w:space="0" w:color="auto"/>
              <w:bottom w:val="single" w:sz="2" w:space="0" w:color="auto"/>
            </w:tcBorders>
            <w:vAlign w:val="center"/>
          </w:tcPr>
          <w:p w:rsidR="00D522EF" w:rsidRDefault="00D522EF" w:rsidP="005910B1">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50</w:t>
            </w:r>
          </w:p>
        </w:tc>
      </w:tr>
      <w:tr w:rsidR="00D522EF" w:rsidRPr="00730AE6" w:rsidTr="00F5594F">
        <w:trPr>
          <w:trHeight w:val="306"/>
          <w:jc w:val="center"/>
        </w:trPr>
        <w:tc>
          <w:tcPr>
            <w:tcW w:w="3595" w:type="dxa"/>
            <w:tcBorders>
              <w:top w:val="single" w:sz="2" w:space="0" w:color="auto"/>
              <w:bottom w:val="single" w:sz="2" w:space="0" w:color="auto"/>
            </w:tcBorders>
            <w:shd w:val="clear" w:color="auto" w:fill="auto"/>
            <w:noWrap/>
            <w:vAlign w:val="center"/>
          </w:tcPr>
          <w:p w:rsidR="00D522EF" w:rsidRDefault="00D522EF" w:rsidP="00A86004">
            <w:pPr>
              <w:spacing w:after="0"/>
              <w:ind w:right="-225" w:firstLine="0"/>
              <w:jc w:val="left"/>
              <w:rPr>
                <w:rFonts w:ascii="Arial Narrow" w:hAnsi="Arial Narrow"/>
                <w:sz w:val="18"/>
                <w:szCs w:val="18"/>
                <w:lang w:eastAsia="es-ES"/>
              </w:rPr>
            </w:pPr>
            <w:r>
              <w:rPr>
                <w:rFonts w:ascii="Arial Narrow" w:hAnsi="Arial Narrow"/>
                <w:sz w:val="18"/>
                <w:szCs w:val="18"/>
                <w:lang w:eastAsia="es-ES"/>
              </w:rPr>
              <w:t>Total transferencias de capital</w:t>
            </w:r>
          </w:p>
        </w:tc>
        <w:tc>
          <w:tcPr>
            <w:tcW w:w="1942" w:type="dxa"/>
            <w:tcBorders>
              <w:top w:val="single" w:sz="2" w:space="0" w:color="auto"/>
              <w:bottom w:val="single" w:sz="2" w:space="0" w:color="auto"/>
            </w:tcBorders>
            <w:vAlign w:val="center"/>
          </w:tcPr>
          <w:p w:rsidR="00D522EF" w:rsidRDefault="00D522EF" w:rsidP="00EE6E9F">
            <w:pPr>
              <w:spacing w:after="0"/>
              <w:ind w:right="37" w:firstLine="0"/>
              <w:jc w:val="right"/>
              <w:rPr>
                <w:rFonts w:ascii="Arial Narrow" w:hAnsi="Arial Narrow"/>
                <w:sz w:val="18"/>
                <w:szCs w:val="18"/>
                <w:lang w:val="es-ES" w:eastAsia="es-ES"/>
              </w:rPr>
            </w:pPr>
            <w:r>
              <w:rPr>
                <w:rFonts w:ascii="Arial Narrow" w:hAnsi="Arial Narrow"/>
                <w:sz w:val="18"/>
                <w:szCs w:val="18"/>
                <w:lang w:val="es-ES" w:eastAsia="es-ES"/>
              </w:rPr>
              <w:t>2</w:t>
            </w:r>
          </w:p>
        </w:tc>
        <w:tc>
          <w:tcPr>
            <w:tcW w:w="1821" w:type="dxa"/>
            <w:tcBorders>
              <w:top w:val="single" w:sz="2" w:space="0" w:color="auto"/>
              <w:bottom w:val="single" w:sz="2" w:space="0" w:color="auto"/>
            </w:tcBorders>
            <w:vAlign w:val="center"/>
          </w:tcPr>
          <w:p w:rsidR="00D522EF" w:rsidRDefault="00DD277E" w:rsidP="00EE6E9F">
            <w:pPr>
              <w:spacing w:after="0"/>
              <w:ind w:right="-55" w:firstLine="0"/>
              <w:jc w:val="right"/>
              <w:rPr>
                <w:rFonts w:ascii="Arial Narrow" w:hAnsi="Arial Narrow"/>
                <w:sz w:val="18"/>
                <w:szCs w:val="18"/>
                <w:lang w:val="es-ES" w:eastAsia="es-ES"/>
              </w:rPr>
            </w:pPr>
            <w:r>
              <w:rPr>
                <w:rFonts w:ascii="Arial Narrow" w:hAnsi="Arial Narrow"/>
                <w:sz w:val="18"/>
                <w:szCs w:val="18"/>
                <w:lang w:val="es-ES" w:eastAsia="es-ES"/>
              </w:rPr>
              <w:t>703</w:t>
            </w:r>
          </w:p>
        </w:tc>
        <w:tc>
          <w:tcPr>
            <w:tcW w:w="1543" w:type="dxa"/>
            <w:tcBorders>
              <w:top w:val="single" w:sz="2" w:space="0" w:color="auto"/>
              <w:bottom w:val="single" w:sz="2" w:space="0" w:color="auto"/>
            </w:tcBorders>
            <w:vAlign w:val="center"/>
          </w:tcPr>
          <w:p w:rsidR="00D522EF" w:rsidRDefault="00DD277E" w:rsidP="005910B1">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351</w:t>
            </w:r>
          </w:p>
        </w:tc>
      </w:tr>
    </w:tbl>
    <w:p w:rsidR="002E04BF" w:rsidRPr="00F5594F" w:rsidRDefault="002E04BF" w:rsidP="00EE6E9F">
      <w:pPr>
        <w:pStyle w:val="texto"/>
        <w:tabs>
          <w:tab w:val="clear" w:pos="2835"/>
          <w:tab w:val="clear" w:pos="3969"/>
          <w:tab w:val="clear" w:pos="5103"/>
          <w:tab w:val="clear" w:pos="6237"/>
          <w:tab w:val="clear" w:pos="7371"/>
          <w:tab w:val="left" w:pos="480"/>
          <w:tab w:val="num" w:pos="928"/>
          <w:tab w:val="num" w:pos="6597"/>
        </w:tabs>
        <w:spacing w:before="60"/>
        <w:ind w:firstLine="0"/>
        <w:rPr>
          <w:rFonts w:ascii="Arial" w:hAnsi="Arial" w:cs="Arial"/>
          <w:sz w:val="14"/>
          <w:szCs w:val="14"/>
        </w:rPr>
      </w:pPr>
      <w:r w:rsidRPr="00F5594F">
        <w:rPr>
          <w:rFonts w:ascii="Arial" w:hAnsi="Arial" w:cs="Arial"/>
          <w:sz w:val="14"/>
          <w:szCs w:val="14"/>
        </w:rPr>
        <w:t>*Ejercicio no auditado</w:t>
      </w:r>
    </w:p>
    <w:p w:rsidR="00E06B86" w:rsidRDefault="00395296" w:rsidP="00EE6E9F">
      <w:pPr>
        <w:pStyle w:val="texto"/>
        <w:spacing w:before="120"/>
      </w:pPr>
      <w:r>
        <w:t>Sobre 2016, las transferencias corrientes se han incrementado en un siete por ciento, es decir, en 4,1 millones. L</w:t>
      </w:r>
      <w:r w:rsidR="00D01CDE">
        <w:t>a</w:t>
      </w:r>
      <w:r>
        <w:t xml:space="preserve">s de capital aumentan un </w:t>
      </w:r>
      <w:r w:rsidR="008778A3">
        <w:t>351 por ciento, al contemplar</w:t>
      </w:r>
      <w:r w:rsidR="00486044">
        <w:t>se</w:t>
      </w:r>
      <w:r w:rsidR="008778A3">
        <w:t xml:space="preserve"> un ingreso de tal naturaleza en el convenio de financiación con el Gobierno de Navarra destinado a financiar inversiones.</w:t>
      </w:r>
    </w:p>
    <w:p w:rsidR="00770518" w:rsidRDefault="00B37F18" w:rsidP="00670292">
      <w:pPr>
        <w:pStyle w:val="texto"/>
        <w:spacing w:before="120" w:after="240"/>
      </w:pPr>
      <w:r w:rsidRPr="00E873F8">
        <w:t>En 2017, los ingresos procedentes del convenio de financiación con el Gobierno de Navarra ascienden a 55,17 millones de euros</w:t>
      </w:r>
      <w:r w:rsidR="00770518">
        <w:t xml:space="preserve">, </w:t>
      </w:r>
      <w:r w:rsidRPr="00E873F8">
        <w:t>representan el 72 por ciento de los</w:t>
      </w:r>
      <w:r w:rsidR="00770518">
        <w:t xml:space="preserve"> ingresos totales del ejercicio y se aplican a los siguientes fines:</w:t>
      </w:r>
    </w:p>
    <w:p w:rsidR="00770518" w:rsidRPr="00F5594F" w:rsidRDefault="0000117B" w:rsidP="00670292">
      <w:pPr>
        <w:pStyle w:val="texto"/>
        <w:spacing w:after="40"/>
        <w:jc w:val="right"/>
        <w:rPr>
          <w:rFonts w:ascii="Arial" w:hAnsi="Arial" w:cs="Arial"/>
          <w:sz w:val="18"/>
          <w:szCs w:val="18"/>
        </w:rPr>
      </w:pPr>
      <w:r w:rsidRPr="00F5594F">
        <w:rPr>
          <w:rFonts w:ascii="Arial" w:hAnsi="Arial" w:cs="Arial"/>
          <w:sz w:val="18"/>
          <w:szCs w:val="18"/>
        </w:rPr>
        <w:t>(En miles de euros)</w:t>
      </w:r>
    </w:p>
    <w:tbl>
      <w:tblPr>
        <w:tblW w:w="9039" w:type="dxa"/>
        <w:jc w:val="center"/>
        <w:tblInd w:w="1799" w:type="dxa"/>
        <w:tblLayout w:type="fixed"/>
        <w:tblLook w:val="01E0" w:firstRow="1" w:lastRow="1" w:firstColumn="1" w:lastColumn="1" w:noHBand="0" w:noVBand="0"/>
      </w:tblPr>
      <w:tblGrid>
        <w:gridCol w:w="3929"/>
        <w:gridCol w:w="1125"/>
        <w:gridCol w:w="1644"/>
        <w:gridCol w:w="1322"/>
        <w:gridCol w:w="1019"/>
      </w:tblGrid>
      <w:tr w:rsidR="00770518" w:rsidRPr="00EE6E9F" w:rsidTr="00670292">
        <w:trPr>
          <w:trHeight w:val="255"/>
          <w:jc w:val="center"/>
        </w:trPr>
        <w:tc>
          <w:tcPr>
            <w:tcW w:w="3929" w:type="dxa"/>
            <w:tcBorders>
              <w:top w:val="single" w:sz="4" w:space="0" w:color="auto"/>
              <w:bottom w:val="single" w:sz="2" w:space="0" w:color="auto"/>
            </w:tcBorders>
            <w:shd w:val="clear" w:color="auto" w:fill="A8CBEE" w:themeFill="accent2" w:themeFillTint="66"/>
            <w:vAlign w:val="center"/>
          </w:tcPr>
          <w:p w:rsidR="00770518" w:rsidRPr="00EE6E9F" w:rsidRDefault="00770518" w:rsidP="00EE6E9F">
            <w:pPr>
              <w:spacing w:after="0"/>
              <w:ind w:firstLine="0"/>
              <w:jc w:val="left"/>
              <w:rPr>
                <w:rFonts w:ascii="Arial" w:hAnsi="Arial" w:cs="Arial"/>
                <w:sz w:val="16"/>
                <w:szCs w:val="16"/>
                <w:lang w:val="es-ES" w:eastAsia="es-ES"/>
              </w:rPr>
            </w:pPr>
            <w:r w:rsidRPr="00EE6E9F">
              <w:rPr>
                <w:rFonts w:ascii="Arial" w:hAnsi="Arial" w:cs="Arial"/>
                <w:sz w:val="16"/>
                <w:szCs w:val="16"/>
                <w:lang w:val="es-ES" w:eastAsia="es-ES"/>
              </w:rPr>
              <w:t xml:space="preserve">Financiación </w:t>
            </w:r>
          </w:p>
        </w:tc>
        <w:tc>
          <w:tcPr>
            <w:tcW w:w="1125" w:type="dxa"/>
            <w:tcBorders>
              <w:top w:val="single" w:sz="4" w:space="0" w:color="auto"/>
              <w:bottom w:val="single" w:sz="2" w:space="0" w:color="auto"/>
            </w:tcBorders>
            <w:shd w:val="clear" w:color="auto" w:fill="A8CBEE" w:themeFill="accent2" w:themeFillTint="66"/>
            <w:vAlign w:val="center"/>
          </w:tcPr>
          <w:p w:rsidR="00770518" w:rsidRPr="00EE6E9F" w:rsidRDefault="00770518" w:rsidP="00770518">
            <w:pPr>
              <w:spacing w:after="0"/>
              <w:ind w:firstLine="0"/>
              <w:jc w:val="right"/>
              <w:rPr>
                <w:rFonts w:ascii="Arial" w:hAnsi="Arial" w:cs="Arial"/>
                <w:sz w:val="16"/>
                <w:szCs w:val="16"/>
                <w:lang w:val="es-ES" w:eastAsia="es-ES"/>
              </w:rPr>
            </w:pPr>
            <w:r w:rsidRPr="00EE6E9F">
              <w:rPr>
                <w:rFonts w:ascii="Arial" w:hAnsi="Arial" w:cs="Arial"/>
                <w:sz w:val="16"/>
                <w:szCs w:val="16"/>
                <w:lang w:val="es-ES" w:eastAsia="es-ES"/>
              </w:rPr>
              <w:t>Previsión definitiva</w:t>
            </w:r>
          </w:p>
        </w:tc>
        <w:tc>
          <w:tcPr>
            <w:tcW w:w="1644" w:type="dxa"/>
            <w:tcBorders>
              <w:top w:val="single" w:sz="4" w:space="0" w:color="auto"/>
              <w:bottom w:val="single" w:sz="2" w:space="0" w:color="auto"/>
            </w:tcBorders>
            <w:shd w:val="clear" w:color="auto" w:fill="A8CBEE" w:themeFill="accent2" w:themeFillTint="66"/>
            <w:vAlign w:val="center"/>
          </w:tcPr>
          <w:p w:rsidR="00EE6E9F" w:rsidRDefault="00770518" w:rsidP="00770518">
            <w:pPr>
              <w:spacing w:after="0"/>
              <w:ind w:firstLine="0"/>
              <w:jc w:val="right"/>
              <w:rPr>
                <w:rFonts w:ascii="Arial" w:hAnsi="Arial" w:cs="Arial"/>
                <w:sz w:val="16"/>
                <w:szCs w:val="16"/>
                <w:lang w:val="es-ES" w:eastAsia="es-ES"/>
              </w:rPr>
            </w:pPr>
            <w:r w:rsidRPr="00EE6E9F">
              <w:rPr>
                <w:rFonts w:ascii="Arial" w:hAnsi="Arial" w:cs="Arial"/>
                <w:sz w:val="16"/>
                <w:szCs w:val="16"/>
                <w:lang w:val="es-ES" w:eastAsia="es-ES"/>
              </w:rPr>
              <w:t xml:space="preserve">Derechos </w:t>
            </w:r>
          </w:p>
          <w:p w:rsidR="00770518" w:rsidRPr="00EE6E9F" w:rsidRDefault="00770518" w:rsidP="00770518">
            <w:pPr>
              <w:spacing w:after="0"/>
              <w:ind w:firstLine="0"/>
              <w:jc w:val="right"/>
              <w:rPr>
                <w:rFonts w:ascii="Arial" w:hAnsi="Arial" w:cs="Arial"/>
                <w:sz w:val="16"/>
                <w:szCs w:val="16"/>
                <w:lang w:val="es-ES" w:eastAsia="es-ES"/>
              </w:rPr>
            </w:pPr>
            <w:r w:rsidRPr="00EE6E9F">
              <w:rPr>
                <w:rFonts w:ascii="Arial" w:hAnsi="Arial" w:cs="Arial"/>
                <w:sz w:val="16"/>
                <w:szCs w:val="16"/>
                <w:lang w:val="es-ES" w:eastAsia="es-ES"/>
              </w:rPr>
              <w:t>reconocidos netos</w:t>
            </w:r>
          </w:p>
        </w:tc>
        <w:tc>
          <w:tcPr>
            <w:tcW w:w="1322" w:type="dxa"/>
            <w:tcBorders>
              <w:top w:val="single" w:sz="4" w:space="0" w:color="auto"/>
              <w:bottom w:val="single" w:sz="2" w:space="0" w:color="auto"/>
            </w:tcBorders>
            <w:shd w:val="clear" w:color="auto" w:fill="A8CBEE" w:themeFill="accent2" w:themeFillTint="66"/>
            <w:vAlign w:val="center"/>
          </w:tcPr>
          <w:p w:rsidR="00770518" w:rsidRPr="00EE6E9F" w:rsidRDefault="00770518" w:rsidP="00770518">
            <w:pPr>
              <w:spacing w:after="0"/>
              <w:ind w:firstLine="0"/>
              <w:jc w:val="right"/>
              <w:rPr>
                <w:rFonts w:ascii="Arial" w:hAnsi="Arial" w:cs="Arial"/>
                <w:sz w:val="16"/>
                <w:szCs w:val="16"/>
                <w:lang w:val="es-ES" w:eastAsia="es-ES"/>
              </w:rPr>
            </w:pPr>
            <w:r w:rsidRPr="00EE6E9F">
              <w:rPr>
                <w:rFonts w:ascii="Arial" w:hAnsi="Arial" w:cs="Arial"/>
                <w:sz w:val="16"/>
                <w:szCs w:val="16"/>
                <w:lang w:val="es-ES" w:eastAsia="es-ES"/>
              </w:rPr>
              <w:t>Recaudación neta</w:t>
            </w:r>
          </w:p>
        </w:tc>
        <w:tc>
          <w:tcPr>
            <w:tcW w:w="1019" w:type="dxa"/>
            <w:tcBorders>
              <w:top w:val="single" w:sz="4" w:space="0" w:color="auto"/>
              <w:bottom w:val="single" w:sz="2" w:space="0" w:color="auto"/>
            </w:tcBorders>
            <w:shd w:val="clear" w:color="auto" w:fill="A8CBEE" w:themeFill="accent2" w:themeFillTint="66"/>
            <w:vAlign w:val="center"/>
          </w:tcPr>
          <w:p w:rsidR="00770518" w:rsidRPr="00EE6E9F" w:rsidRDefault="00770518" w:rsidP="00770518">
            <w:pPr>
              <w:spacing w:after="0"/>
              <w:ind w:firstLine="0"/>
              <w:jc w:val="right"/>
              <w:rPr>
                <w:rFonts w:ascii="Arial" w:hAnsi="Arial" w:cs="Arial"/>
                <w:sz w:val="16"/>
                <w:szCs w:val="16"/>
                <w:lang w:val="es-ES" w:eastAsia="es-ES"/>
              </w:rPr>
            </w:pPr>
            <w:r w:rsidRPr="00EE6E9F">
              <w:rPr>
                <w:rFonts w:ascii="Arial" w:hAnsi="Arial" w:cs="Arial"/>
                <w:sz w:val="16"/>
                <w:szCs w:val="16"/>
                <w:lang w:val="es-ES" w:eastAsia="es-ES"/>
              </w:rPr>
              <w:t>Pendiente de cobro</w:t>
            </w:r>
          </w:p>
        </w:tc>
      </w:tr>
      <w:tr w:rsidR="00770518" w:rsidRPr="00770518" w:rsidTr="00EE6E9F">
        <w:trPr>
          <w:trHeight w:val="312"/>
          <w:jc w:val="center"/>
        </w:trPr>
        <w:tc>
          <w:tcPr>
            <w:tcW w:w="3929" w:type="dxa"/>
            <w:tcBorders>
              <w:top w:val="single" w:sz="4" w:space="0" w:color="auto"/>
              <w:bottom w:val="single" w:sz="2" w:space="0" w:color="auto"/>
            </w:tcBorders>
            <w:vAlign w:val="center"/>
          </w:tcPr>
          <w:p w:rsidR="00770518" w:rsidRPr="00770518" w:rsidRDefault="00770518" w:rsidP="00EE6E9F">
            <w:pPr>
              <w:spacing w:after="0"/>
              <w:ind w:firstLine="0"/>
              <w:jc w:val="left"/>
              <w:rPr>
                <w:rFonts w:ascii="Arial Narrow" w:hAnsi="Arial Narrow"/>
                <w:lang w:val="es-ES" w:eastAsia="es-ES"/>
              </w:rPr>
            </w:pPr>
            <w:r w:rsidRPr="00770518">
              <w:rPr>
                <w:rFonts w:ascii="Arial Narrow" w:hAnsi="Arial Narrow"/>
                <w:lang w:val="es-ES" w:eastAsia="es-ES"/>
              </w:rPr>
              <w:t>T. corrientes financiación docente e investigadora</w:t>
            </w:r>
          </w:p>
        </w:tc>
        <w:tc>
          <w:tcPr>
            <w:tcW w:w="1125" w:type="dxa"/>
            <w:tcBorders>
              <w:top w:val="single" w:sz="4" w:space="0" w:color="auto"/>
              <w:bottom w:val="single" w:sz="2" w:space="0" w:color="auto"/>
            </w:tcBorders>
            <w:vAlign w:val="center"/>
          </w:tcPr>
          <w:p w:rsidR="00770518" w:rsidRPr="00770518" w:rsidRDefault="00770518" w:rsidP="00697EA9">
            <w:pPr>
              <w:spacing w:after="0"/>
              <w:ind w:firstLine="0"/>
              <w:jc w:val="right"/>
              <w:rPr>
                <w:rFonts w:ascii="Arial Narrow" w:hAnsi="Arial Narrow"/>
                <w:lang w:val="es-ES" w:eastAsia="es-ES"/>
              </w:rPr>
            </w:pPr>
            <w:r w:rsidRPr="00770518">
              <w:rPr>
                <w:rFonts w:ascii="Arial Narrow" w:hAnsi="Arial Narrow"/>
                <w:lang w:val="es-ES" w:eastAsia="es-ES"/>
              </w:rPr>
              <w:t>5</w:t>
            </w:r>
            <w:r w:rsidR="00697EA9">
              <w:rPr>
                <w:rFonts w:ascii="Arial Narrow" w:hAnsi="Arial Narrow"/>
                <w:lang w:val="es-ES" w:eastAsia="es-ES"/>
              </w:rPr>
              <w:t>3</w:t>
            </w:r>
            <w:r w:rsidRPr="00770518">
              <w:rPr>
                <w:rFonts w:ascii="Arial Narrow" w:hAnsi="Arial Narrow"/>
                <w:lang w:val="es-ES" w:eastAsia="es-ES"/>
              </w:rPr>
              <w:t>.</w:t>
            </w:r>
            <w:r w:rsidR="00697EA9">
              <w:rPr>
                <w:rFonts w:ascii="Arial Narrow" w:hAnsi="Arial Narrow"/>
                <w:lang w:val="es-ES" w:eastAsia="es-ES"/>
              </w:rPr>
              <w:t>944</w:t>
            </w:r>
          </w:p>
        </w:tc>
        <w:tc>
          <w:tcPr>
            <w:tcW w:w="1644" w:type="dxa"/>
            <w:tcBorders>
              <w:top w:val="single" w:sz="4" w:space="0" w:color="auto"/>
              <w:bottom w:val="single" w:sz="2" w:space="0" w:color="auto"/>
            </w:tcBorders>
            <w:vAlign w:val="center"/>
          </w:tcPr>
          <w:p w:rsidR="00770518" w:rsidRPr="00770518" w:rsidRDefault="00770518" w:rsidP="00697EA9">
            <w:pPr>
              <w:spacing w:after="0"/>
              <w:ind w:firstLine="0"/>
              <w:jc w:val="right"/>
              <w:rPr>
                <w:rFonts w:ascii="Arial Narrow" w:hAnsi="Arial Narrow"/>
                <w:lang w:val="es-ES" w:eastAsia="es-ES"/>
              </w:rPr>
            </w:pPr>
            <w:r w:rsidRPr="00770518">
              <w:rPr>
                <w:rFonts w:ascii="Arial Narrow" w:hAnsi="Arial Narrow"/>
                <w:lang w:val="es-ES" w:eastAsia="es-ES"/>
              </w:rPr>
              <w:t>5</w:t>
            </w:r>
            <w:r w:rsidR="00697EA9">
              <w:rPr>
                <w:rFonts w:ascii="Arial Narrow" w:hAnsi="Arial Narrow"/>
                <w:lang w:val="es-ES" w:eastAsia="es-ES"/>
              </w:rPr>
              <w:t>3</w:t>
            </w:r>
            <w:r w:rsidRPr="00770518">
              <w:rPr>
                <w:rFonts w:ascii="Arial Narrow" w:hAnsi="Arial Narrow"/>
                <w:lang w:val="es-ES" w:eastAsia="es-ES"/>
              </w:rPr>
              <w:t>.</w:t>
            </w:r>
            <w:r w:rsidR="00697EA9">
              <w:rPr>
                <w:rFonts w:ascii="Arial Narrow" w:hAnsi="Arial Narrow"/>
                <w:lang w:val="es-ES" w:eastAsia="es-ES"/>
              </w:rPr>
              <w:t>944</w:t>
            </w:r>
          </w:p>
        </w:tc>
        <w:tc>
          <w:tcPr>
            <w:tcW w:w="1322" w:type="dxa"/>
            <w:tcBorders>
              <w:top w:val="single" w:sz="4" w:space="0" w:color="auto"/>
              <w:bottom w:val="single" w:sz="2" w:space="0" w:color="auto"/>
            </w:tcBorders>
            <w:vAlign w:val="center"/>
          </w:tcPr>
          <w:p w:rsidR="00770518" w:rsidRPr="00770518" w:rsidRDefault="00770518" w:rsidP="00697EA9">
            <w:pPr>
              <w:spacing w:after="0"/>
              <w:ind w:firstLine="0"/>
              <w:jc w:val="right"/>
              <w:rPr>
                <w:rFonts w:ascii="Arial Narrow" w:hAnsi="Arial Narrow"/>
                <w:lang w:val="es-ES" w:eastAsia="es-ES"/>
              </w:rPr>
            </w:pPr>
            <w:r w:rsidRPr="00770518">
              <w:rPr>
                <w:rFonts w:ascii="Arial Narrow" w:hAnsi="Arial Narrow"/>
                <w:lang w:val="es-ES" w:eastAsia="es-ES"/>
              </w:rPr>
              <w:t>5</w:t>
            </w:r>
            <w:r w:rsidR="00697EA9">
              <w:rPr>
                <w:rFonts w:ascii="Arial Narrow" w:hAnsi="Arial Narrow"/>
                <w:lang w:val="es-ES" w:eastAsia="es-ES"/>
              </w:rPr>
              <w:t>3</w:t>
            </w:r>
            <w:r w:rsidRPr="00770518">
              <w:rPr>
                <w:rFonts w:ascii="Arial Narrow" w:hAnsi="Arial Narrow"/>
                <w:lang w:val="es-ES" w:eastAsia="es-ES"/>
              </w:rPr>
              <w:t>.</w:t>
            </w:r>
            <w:r w:rsidR="00697EA9">
              <w:rPr>
                <w:rFonts w:ascii="Arial Narrow" w:hAnsi="Arial Narrow"/>
                <w:lang w:val="es-ES" w:eastAsia="es-ES"/>
              </w:rPr>
              <w:t>944</w:t>
            </w:r>
          </w:p>
        </w:tc>
        <w:tc>
          <w:tcPr>
            <w:tcW w:w="1019" w:type="dxa"/>
            <w:tcBorders>
              <w:top w:val="single" w:sz="4" w:space="0" w:color="auto"/>
              <w:bottom w:val="single" w:sz="2" w:space="0" w:color="auto"/>
            </w:tcBorders>
            <w:vAlign w:val="center"/>
          </w:tcPr>
          <w:p w:rsidR="00770518" w:rsidRPr="00770518" w:rsidRDefault="00770518" w:rsidP="0034364C">
            <w:pPr>
              <w:spacing w:after="0"/>
              <w:ind w:firstLine="0"/>
              <w:jc w:val="right"/>
              <w:rPr>
                <w:rFonts w:ascii="Arial Narrow" w:hAnsi="Arial Narrow"/>
                <w:lang w:val="es-ES" w:eastAsia="es-ES"/>
              </w:rPr>
            </w:pPr>
            <w:r w:rsidRPr="00770518">
              <w:rPr>
                <w:rFonts w:ascii="Arial Narrow" w:hAnsi="Arial Narrow"/>
                <w:lang w:val="es-ES" w:eastAsia="es-ES"/>
              </w:rPr>
              <w:t>0</w:t>
            </w:r>
          </w:p>
        </w:tc>
      </w:tr>
      <w:tr w:rsidR="00770518" w:rsidRPr="00770518" w:rsidTr="00EE6E9F">
        <w:trPr>
          <w:trHeight w:val="312"/>
          <w:jc w:val="center"/>
        </w:trPr>
        <w:tc>
          <w:tcPr>
            <w:tcW w:w="3929" w:type="dxa"/>
            <w:tcBorders>
              <w:top w:val="single" w:sz="4" w:space="0" w:color="auto"/>
              <w:bottom w:val="single" w:sz="2" w:space="0" w:color="auto"/>
            </w:tcBorders>
            <w:vAlign w:val="center"/>
          </w:tcPr>
          <w:p w:rsidR="00770518" w:rsidRPr="00770518" w:rsidRDefault="00770518" w:rsidP="00EE6E9F">
            <w:pPr>
              <w:spacing w:after="0"/>
              <w:ind w:firstLine="0"/>
              <w:jc w:val="left"/>
              <w:rPr>
                <w:rFonts w:ascii="Arial Narrow" w:hAnsi="Arial Narrow"/>
                <w:lang w:val="es-ES" w:eastAsia="es-ES"/>
              </w:rPr>
            </w:pPr>
            <w:r w:rsidRPr="00770518">
              <w:rPr>
                <w:rFonts w:ascii="Arial Narrow" w:hAnsi="Arial Narrow"/>
                <w:lang w:val="es-ES" w:eastAsia="es-ES"/>
              </w:rPr>
              <w:t>T. corrientes financiación incremento salarial 1%</w:t>
            </w:r>
          </w:p>
        </w:tc>
        <w:tc>
          <w:tcPr>
            <w:tcW w:w="1125" w:type="dxa"/>
            <w:tcBorders>
              <w:top w:val="single" w:sz="4" w:space="0" w:color="auto"/>
              <w:bottom w:val="single" w:sz="2" w:space="0" w:color="auto"/>
            </w:tcBorders>
            <w:vAlign w:val="center"/>
          </w:tcPr>
          <w:p w:rsidR="00770518" w:rsidRPr="00770518" w:rsidRDefault="00770518" w:rsidP="0034364C">
            <w:pPr>
              <w:spacing w:after="0"/>
              <w:ind w:firstLine="0"/>
              <w:jc w:val="right"/>
              <w:rPr>
                <w:rFonts w:ascii="Arial Narrow" w:hAnsi="Arial Narrow"/>
                <w:lang w:val="es-ES" w:eastAsia="es-ES"/>
              </w:rPr>
            </w:pPr>
            <w:r w:rsidRPr="00770518">
              <w:rPr>
                <w:rFonts w:ascii="Arial Narrow" w:hAnsi="Arial Narrow"/>
                <w:lang w:val="es-ES" w:eastAsia="es-ES"/>
              </w:rPr>
              <w:t>523</w:t>
            </w:r>
          </w:p>
        </w:tc>
        <w:tc>
          <w:tcPr>
            <w:tcW w:w="1644" w:type="dxa"/>
            <w:tcBorders>
              <w:top w:val="single" w:sz="4" w:space="0" w:color="auto"/>
              <w:bottom w:val="single" w:sz="2" w:space="0" w:color="auto"/>
            </w:tcBorders>
            <w:vAlign w:val="center"/>
          </w:tcPr>
          <w:p w:rsidR="00770518" w:rsidRPr="00770518" w:rsidRDefault="00770518" w:rsidP="0034364C">
            <w:pPr>
              <w:spacing w:after="0"/>
              <w:ind w:firstLine="0"/>
              <w:jc w:val="right"/>
              <w:rPr>
                <w:rFonts w:ascii="Arial Narrow" w:hAnsi="Arial Narrow"/>
                <w:lang w:val="es-ES" w:eastAsia="es-ES"/>
              </w:rPr>
            </w:pPr>
            <w:r w:rsidRPr="00770518">
              <w:rPr>
                <w:rFonts w:ascii="Arial Narrow" w:hAnsi="Arial Narrow"/>
                <w:lang w:val="es-ES" w:eastAsia="es-ES"/>
              </w:rPr>
              <w:t>523</w:t>
            </w:r>
          </w:p>
        </w:tc>
        <w:tc>
          <w:tcPr>
            <w:tcW w:w="1322" w:type="dxa"/>
            <w:tcBorders>
              <w:top w:val="single" w:sz="4" w:space="0" w:color="auto"/>
              <w:bottom w:val="single" w:sz="2" w:space="0" w:color="auto"/>
            </w:tcBorders>
            <w:vAlign w:val="center"/>
          </w:tcPr>
          <w:p w:rsidR="00770518" w:rsidRPr="00770518" w:rsidRDefault="00770518" w:rsidP="0034364C">
            <w:pPr>
              <w:spacing w:after="0"/>
              <w:ind w:firstLine="0"/>
              <w:jc w:val="right"/>
              <w:rPr>
                <w:rFonts w:ascii="Arial Narrow" w:hAnsi="Arial Narrow"/>
                <w:lang w:val="es-ES" w:eastAsia="es-ES"/>
              </w:rPr>
            </w:pPr>
            <w:r w:rsidRPr="00770518">
              <w:rPr>
                <w:rFonts w:ascii="Arial Narrow" w:hAnsi="Arial Narrow"/>
                <w:lang w:val="es-ES" w:eastAsia="es-ES"/>
              </w:rPr>
              <w:t>523</w:t>
            </w:r>
          </w:p>
        </w:tc>
        <w:tc>
          <w:tcPr>
            <w:tcW w:w="1019" w:type="dxa"/>
            <w:tcBorders>
              <w:top w:val="single" w:sz="4" w:space="0" w:color="auto"/>
              <w:bottom w:val="single" w:sz="2" w:space="0" w:color="auto"/>
            </w:tcBorders>
            <w:vAlign w:val="center"/>
          </w:tcPr>
          <w:p w:rsidR="00770518" w:rsidRPr="00770518" w:rsidRDefault="00770518" w:rsidP="0034364C">
            <w:pPr>
              <w:spacing w:after="0"/>
              <w:ind w:firstLine="0"/>
              <w:jc w:val="right"/>
              <w:rPr>
                <w:rFonts w:ascii="Arial Narrow" w:hAnsi="Arial Narrow"/>
                <w:lang w:val="es-ES" w:eastAsia="es-ES"/>
              </w:rPr>
            </w:pPr>
            <w:r w:rsidRPr="00770518">
              <w:rPr>
                <w:rFonts w:ascii="Arial Narrow" w:hAnsi="Arial Narrow"/>
                <w:lang w:val="es-ES" w:eastAsia="es-ES"/>
              </w:rPr>
              <w:t>0</w:t>
            </w:r>
          </w:p>
        </w:tc>
      </w:tr>
      <w:tr w:rsidR="00770518" w:rsidRPr="00770518" w:rsidTr="00EE6E9F">
        <w:trPr>
          <w:trHeight w:val="312"/>
          <w:jc w:val="center"/>
        </w:trPr>
        <w:tc>
          <w:tcPr>
            <w:tcW w:w="3929" w:type="dxa"/>
            <w:tcBorders>
              <w:top w:val="single" w:sz="4" w:space="0" w:color="auto"/>
              <w:bottom w:val="single" w:sz="2" w:space="0" w:color="auto"/>
            </w:tcBorders>
            <w:vAlign w:val="center"/>
          </w:tcPr>
          <w:p w:rsidR="00770518" w:rsidRPr="00770518" w:rsidRDefault="00770518" w:rsidP="00EE6E9F">
            <w:pPr>
              <w:spacing w:after="0"/>
              <w:ind w:firstLine="0"/>
              <w:jc w:val="left"/>
              <w:rPr>
                <w:rFonts w:ascii="Arial Narrow" w:hAnsi="Arial Narrow"/>
                <w:lang w:val="es-ES" w:eastAsia="es-ES"/>
              </w:rPr>
            </w:pPr>
            <w:r w:rsidRPr="00770518">
              <w:rPr>
                <w:rFonts w:ascii="Arial Narrow" w:hAnsi="Arial Narrow"/>
                <w:lang w:val="es-ES" w:eastAsia="es-ES"/>
              </w:rPr>
              <w:t>T. capital inversiones Pamplona y Tudela</w:t>
            </w:r>
          </w:p>
        </w:tc>
        <w:tc>
          <w:tcPr>
            <w:tcW w:w="1125" w:type="dxa"/>
            <w:tcBorders>
              <w:top w:val="single" w:sz="4" w:space="0" w:color="auto"/>
              <w:bottom w:val="single" w:sz="2" w:space="0" w:color="auto"/>
            </w:tcBorders>
            <w:vAlign w:val="center"/>
          </w:tcPr>
          <w:p w:rsidR="00770518" w:rsidRPr="00770518" w:rsidRDefault="00770518" w:rsidP="0034364C">
            <w:pPr>
              <w:spacing w:after="0"/>
              <w:ind w:firstLine="0"/>
              <w:jc w:val="right"/>
              <w:rPr>
                <w:rFonts w:ascii="Arial Narrow" w:hAnsi="Arial Narrow"/>
                <w:lang w:val="es-ES" w:eastAsia="es-ES"/>
              </w:rPr>
            </w:pPr>
            <w:r w:rsidRPr="00770518">
              <w:rPr>
                <w:rFonts w:ascii="Arial Narrow" w:hAnsi="Arial Narrow"/>
                <w:lang w:val="es-ES" w:eastAsia="es-ES"/>
              </w:rPr>
              <w:t>700</w:t>
            </w:r>
          </w:p>
        </w:tc>
        <w:tc>
          <w:tcPr>
            <w:tcW w:w="1644" w:type="dxa"/>
            <w:tcBorders>
              <w:top w:val="single" w:sz="4" w:space="0" w:color="auto"/>
              <w:bottom w:val="single" w:sz="2" w:space="0" w:color="auto"/>
            </w:tcBorders>
            <w:vAlign w:val="center"/>
          </w:tcPr>
          <w:p w:rsidR="00770518" w:rsidRPr="00770518" w:rsidRDefault="00770518" w:rsidP="0034364C">
            <w:pPr>
              <w:spacing w:after="0"/>
              <w:ind w:firstLine="0"/>
              <w:jc w:val="right"/>
              <w:rPr>
                <w:rFonts w:ascii="Arial Narrow" w:hAnsi="Arial Narrow"/>
                <w:lang w:val="es-ES" w:eastAsia="es-ES"/>
              </w:rPr>
            </w:pPr>
            <w:r w:rsidRPr="00770518">
              <w:rPr>
                <w:rFonts w:ascii="Arial Narrow" w:hAnsi="Arial Narrow"/>
                <w:lang w:val="es-ES" w:eastAsia="es-ES"/>
              </w:rPr>
              <w:t>700</w:t>
            </w:r>
          </w:p>
        </w:tc>
        <w:tc>
          <w:tcPr>
            <w:tcW w:w="1322" w:type="dxa"/>
            <w:tcBorders>
              <w:top w:val="single" w:sz="4" w:space="0" w:color="auto"/>
              <w:bottom w:val="single" w:sz="2" w:space="0" w:color="auto"/>
            </w:tcBorders>
            <w:vAlign w:val="center"/>
          </w:tcPr>
          <w:p w:rsidR="00770518" w:rsidRPr="00770518" w:rsidRDefault="00770518" w:rsidP="0034364C">
            <w:pPr>
              <w:spacing w:after="0"/>
              <w:ind w:firstLine="0"/>
              <w:jc w:val="right"/>
              <w:rPr>
                <w:rFonts w:ascii="Arial Narrow" w:hAnsi="Arial Narrow"/>
                <w:lang w:val="es-ES" w:eastAsia="es-ES"/>
              </w:rPr>
            </w:pPr>
            <w:r w:rsidRPr="00770518">
              <w:rPr>
                <w:rFonts w:ascii="Arial Narrow" w:hAnsi="Arial Narrow"/>
                <w:lang w:val="es-ES" w:eastAsia="es-ES"/>
              </w:rPr>
              <w:t>284</w:t>
            </w:r>
          </w:p>
        </w:tc>
        <w:tc>
          <w:tcPr>
            <w:tcW w:w="1019" w:type="dxa"/>
            <w:tcBorders>
              <w:top w:val="single" w:sz="4" w:space="0" w:color="auto"/>
              <w:bottom w:val="single" w:sz="2" w:space="0" w:color="auto"/>
            </w:tcBorders>
            <w:vAlign w:val="center"/>
          </w:tcPr>
          <w:p w:rsidR="00770518" w:rsidRPr="00770518" w:rsidRDefault="00770518" w:rsidP="0034364C">
            <w:pPr>
              <w:spacing w:after="0"/>
              <w:ind w:firstLine="0"/>
              <w:jc w:val="right"/>
              <w:rPr>
                <w:rFonts w:ascii="Arial Narrow" w:hAnsi="Arial Narrow"/>
                <w:lang w:val="es-ES" w:eastAsia="es-ES"/>
              </w:rPr>
            </w:pPr>
            <w:r w:rsidRPr="00770518">
              <w:rPr>
                <w:rFonts w:ascii="Arial Narrow" w:hAnsi="Arial Narrow"/>
                <w:lang w:val="es-ES" w:eastAsia="es-ES"/>
              </w:rPr>
              <w:t>416</w:t>
            </w:r>
          </w:p>
        </w:tc>
      </w:tr>
      <w:tr w:rsidR="00770518" w:rsidRPr="00770518" w:rsidTr="00EE6E9F">
        <w:trPr>
          <w:trHeight w:val="312"/>
          <w:jc w:val="center"/>
        </w:trPr>
        <w:tc>
          <w:tcPr>
            <w:tcW w:w="3929" w:type="dxa"/>
            <w:tcBorders>
              <w:top w:val="single" w:sz="4" w:space="0" w:color="auto"/>
              <w:bottom w:val="single" w:sz="4" w:space="0" w:color="auto"/>
            </w:tcBorders>
            <w:vAlign w:val="center"/>
          </w:tcPr>
          <w:p w:rsidR="00770518" w:rsidRPr="00770518" w:rsidRDefault="00770518" w:rsidP="00EE6E9F">
            <w:pPr>
              <w:spacing w:after="0"/>
              <w:ind w:firstLine="0"/>
              <w:jc w:val="left"/>
              <w:rPr>
                <w:rFonts w:ascii="Arial Narrow" w:hAnsi="Arial Narrow"/>
                <w:lang w:val="es-ES" w:eastAsia="es-ES"/>
              </w:rPr>
            </w:pPr>
            <w:r>
              <w:rPr>
                <w:rFonts w:ascii="Arial Narrow" w:hAnsi="Arial Narrow"/>
                <w:lang w:val="es-ES" w:eastAsia="es-ES"/>
              </w:rPr>
              <w:t>Total convenio de financiación</w:t>
            </w:r>
          </w:p>
        </w:tc>
        <w:tc>
          <w:tcPr>
            <w:tcW w:w="1125" w:type="dxa"/>
            <w:tcBorders>
              <w:top w:val="single" w:sz="4" w:space="0" w:color="auto"/>
              <w:bottom w:val="single" w:sz="4" w:space="0" w:color="auto"/>
            </w:tcBorders>
            <w:vAlign w:val="center"/>
          </w:tcPr>
          <w:p w:rsidR="00770518" w:rsidRPr="00770518" w:rsidRDefault="00770518" w:rsidP="0034364C">
            <w:pPr>
              <w:spacing w:after="0"/>
              <w:ind w:firstLine="0"/>
              <w:jc w:val="right"/>
              <w:rPr>
                <w:rFonts w:ascii="Arial Narrow" w:hAnsi="Arial Narrow"/>
                <w:lang w:val="es-ES" w:eastAsia="es-ES"/>
              </w:rPr>
            </w:pPr>
            <w:r w:rsidRPr="00770518">
              <w:rPr>
                <w:rFonts w:ascii="Arial Narrow" w:hAnsi="Arial Narrow"/>
                <w:lang w:val="es-ES" w:eastAsia="es-ES"/>
              </w:rPr>
              <w:t>55.167</w:t>
            </w:r>
          </w:p>
        </w:tc>
        <w:tc>
          <w:tcPr>
            <w:tcW w:w="1644" w:type="dxa"/>
            <w:tcBorders>
              <w:top w:val="single" w:sz="4" w:space="0" w:color="auto"/>
              <w:bottom w:val="single" w:sz="4" w:space="0" w:color="auto"/>
            </w:tcBorders>
            <w:vAlign w:val="center"/>
          </w:tcPr>
          <w:p w:rsidR="00770518" w:rsidRPr="00770518" w:rsidRDefault="00770518" w:rsidP="0034364C">
            <w:pPr>
              <w:spacing w:after="0"/>
              <w:ind w:firstLine="0"/>
              <w:jc w:val="right"/>
              <w:rPr>
                <w:rFonts w:ascii="Arial Narrow" w:hAnsi="Arial Narrow"/>
                <w:lang w:val="es-ES" w:eastAsia="es-ES"/>
              </w:rPr>
            </w:pPr>
            <w:r w:rsidRPr="00770518">
              <w:rPr>
                <w:rFonts w:ascii="Arial Narrow" w:hAnsi="Arial Narrow"/>
                <w:lang w:val="es-ES" w:eastAsia="es-ES"/>
              </w:rPr>
              <w:t>55.167</w:t>
            </w:r>
          </w:p>
        </w:tc>
        <w:tc>
          <w:tcPr>
            <w:tcW w:w="1322" w:type="dxa"/>
            <w:tcBorders>
              <w:top w:val="single" w:sz="4" w:space="0" w:color="auto"/>
              <w:bottom w:val="single" w:sz="4" w:space="0" w:color="auto"/>
            </w:tcBorders>
            <w:vAlign w:val="center"/>
          </w:tcPr>
          <w:p w:rsidR="00770518" w:rsidRPr="00770518" w:rsidRDefault="00770518" w:rsidP="0034364C">
            <w:pPr>
              <w:spacing w:after="0"/>
              <w:ind w:firstLine="0"/>
              <w:jc w:val="right"/>
              <w:rPr>
                <w:rFonts w:ascii="Arial Narrow" w:hAnsi="Arial Narrow"/>
                <w:lang w:val="es-ES" w:eastAsia="es-ES"/>
              </w:rPr>
            </w:pPr>
            <w:r w:rsidRPr="00770518">
              <w:rPr>
                <w:rFonts w:ascii="Arial Narrow" w:hAnsi="Arial Narrow"/>
                <w:lang w:val="es-ES" w:eastAsia="es-ES"/>
              </w:rPr>
              <w:t>54.751</w:t>
            </w:r>
          </w:p>
        </w:tc>
        <w:tc>
          <w:tcPr>
            <w:tcW w:w="1019" w:type="dxa"/>
            <w:tcBorders>
              <w:top w:val="single" w:sz="4" w:space="0" w:color="auto"/>
              <w:bottom w:val="single" w:sz="4" w:space="0" w:color="auto"/>
            </w:tcBorders>
            <w:vAlign w:val="center"/>
          </w:tcPr>
          <w:p w:rsidR="00770518" w:rsidRPr="00770518" w:rsidRDefault="00770518" w:rsidP="0034364C">
            <w:pPr>
              <w:spacing w:after="0"/>
              <w:ind w:firstLine="0"/>
              <w:jc w:val="right"/>
              <w:rPr>
                <w:rFonts w:ascii="Arial Narrow" w:hAnsi="Arial Narrow"/>
                <w:lang w:val="es-ES" w:eastAsia="es-ES"/>
              </w:rPr>
            </w:pPr>
            <w:r w:rsidRPr="00770518">
              <w:rPr>
                <w:rFonts w:ascii="Arial Narrow" w:hAnsi="Arial Narrow"/>
                <w:lang w:val="es-ES" w:eastAsia="es-ES"/>
              </w:rPr>
              <w:t>416</w:t>
            </w:r>
          </w:p>
        </w:tc>
      </w:tr>
    </w:tbl>
    <w:p w:rsidR="00E34BE4" w:rsidRPr="00730AE6" w:rsidRDefault="003312B7" w:rsidP="00EE6E9F">
      <w:pPr>
        <w:pStyle w:val="texto"/>
        <w:tabs>
          <w:tab w:val="clear" w:pos="2835"/>
          <w:tab w:val="clear" w:pos="3969"/>
          <w:tab w:val="clear" w:pos="5103"/>
          <w:tab w:val="clear" w:pos="6237"/>
          <w:tab w:val="clear" w:pos="7371"/>
          <w:tab w:val="num" w:pos="300"/>
          <w:tab w:val="num" w:pos="720"/>
        </w:tabs>
        <w:spacing w:before="240"/>
        <w:rPr>
          <w:szCs w:val="26"/>
        </w:rPr>
      </w:pPr>
      <w:r>
        <w:rPr>
          <w:szCs w:val="26"/>
        </w:rPr>
        <w:t>E</w:t>
      </w:r>
      <w:r w:rsidR="00E34BE4">
        <w:rPr>
          <w:szCs w:val="26"/>
        </w:rPr>
        <w:t xml:space="preserve">n </w:t>
      </w:r>
      <w:r w:rsidR="00E34BE4" w:rsidRPr="00730AE6">
        <w:rPr>
          <w:szCs w:val="26"/>
        </w:rPr>
        <w:t xml:space="preserve">los Presupuestos Generales de Navarra para el año 2017 </w:t>
      </w:r>
      <w:r>
        <w:rPr>
          <w:szCs w:val="26"/>
        </w:rPr>
        <w:t xml:space="preserve">constan </w:t>
      </w:r>
      <w:r w:rsidR="00E34BE4" w:rsidRPr="00730AE6">
        <w:rPr>
          <w:szCs w:val="26"/>
        </w:rPr>
        <w:t>dos partidas presupuestari</w:t>
      </w:r>
      <w:r w:rsidR="00E34BE4">
        <w:rPr>
          <w:szCs w:val="26"/>
        </w:rPr>
        <w:t xml:space="preserve">as en transferencias de capital, </w:t>
      </w:r>
      <w:r w:rsidR="00E34BE4" w:rsidRPr="00730AE6">
        <w:rPr>
          <w:szCs w:val="26"/>
        </w:rPr>
        <w:t>para la financiación de las inversiones en Pamplona y Tudela por importe de 0,7 millones; desde el ejercicio de 2012 no se contemplaba, en los correspondientes convenios, financiación específica para inversiones.</w:t>
      </w:r>
    </w:p>
    <w:p w:rsidR="00770518" w:rsidRDefault="00770518" w:rsidP="00BD5BE5">
      <w:pPr>
        <w:pStyle w:val="texto"/>
        <w:spacing w:before="120" w:after="120"/>
      </w:pPr>
      <w:r>
        <w:t xml:space="preserve">El importe pendiente al cierre del ejercicio ha sido pagado por el </w:t>
      </w:r>
      <w:r w:rsidR="00D24B8F">
        <w:t>G</w:t>
      </w:r>
      <w:r>
        <w:t>obierno de Navarra en enero de 2019</w:t>
      </w:r>
      <w:r w:rsidR="002B6B26">
        <w:t>.</w:t>
      </w:r>
      <w:r>
        <w:t xml:space="preserve"> </w:t>
      </w:r>
    </w:p>
    <w:p w:rsidR="00770518" w:rsidRDefault="00B97F9B" w:rsidP="00670292">
      <w:pPr>
        <w:pStyle w:val="texto"/>
        <w:spacing w:before="120" w:after="240"/>
      </w:pPr>
      <w:r>
        <w:t>La evolución del convenio de financiación</w:t>
      </w:r>
      <w:r w:rsidR="00770518">
        <w:t xml:space="preserve"> desde 2013 ha sido la siguiente:</w:t>
      </w:r>
    </w:p>
    <w:p w:rsidR="00770518" w:rsidRPr="007579DD" w:rsidRDefault="0000117B" w:rsidP="00770518">
      <w:pPr>
        <w:pStyle w:val="texto"/>
        <w:spacing w:after="0"/>
        <w:jc w:val="right"/>
        <w:rPr>
          <w:rFonts w:ascii="Arial" w:hAnsi="Arial" w:cs="Arial"/>
          <w:sz w:val="18"/>
          <w:szCs w:val="18"/>
        </w:rPr>
      </w:pPr>
      <w:r w:rsidRPr="007579DD">
        <w:rPr>
          <w:rFonts w:ascii="Arial" w:hAnsi="Arial" w:cs="Arial"/>
          <w:sz w:val="18"/>
          <w:szCs w:val="18"/>
        </w:rPr>
        <w:t>(En miles de euros)</w:t>
      </w:r>
    </w:p>
    <w:tbl>
      <w:tblPr>
        <w:tblW w:w="8927" w:type="dxa"/>
        <w:jc w:val="center"/>
        <w:tblLayout w:type="fixed"/>
        <w:tblLook w:val="01E0" w:firstRow="1" w:lastRow="1" w:firstColumn="1" w:lastColumn="1" w:noHBand="0" w:noVBand="0"/>
      </w:tblPr>
      <w:tblGrid>
        <w:gridCol w:w="2959"/>
        <w:gridCol w:w="1193"/>
        <w:gridCol w:w="1194"/>
        <w:gridCol w:w="1193"/>
        <w:gridCol w:w="1194"/>
        <w:gridCol w:w="1194"/>
      </w:tblGrid>
      <w:tr w:rsidR="00770518" w:rsidRPr="00283C58" w:rsidTr="00670292">
        <w:trPr>
          <w:trHeight w:val="284"/>
          <w:jc w:val="center"/>
        </w:trPr>
        <w:tc>
          <w:tcPr>
            <w:tcW w:w="2959" w:type="dxa"/>
            <w:tcBorders>
              <w:top w:val="single" w:sz="4" w:space="0" w:color="auto"/>
              <w:bottom w:val="single" w:sz="4" w:space="0" w:color="auto"/>
            </w:tcBorders>
            <w:shd w:val="clear" w:color="auto" w:fill="A8CBEE" w:themeFill="accent2" w:themeFillTint="66"/>
            <w:vAlign w:val="center"/>
          </w:tcPr>
          <w:p w:rsidR="00F5594F" w:rsidRDefault="00770518" w:rsidP="00F5594F">
            <w:pPr>
              <w:spacing w:after="0"/>
              <w:ind w:right="-832" w:firstLine="0"/>
              <w:jc w:val="left"/>
              <w:rPr>
                <w:rFonts w:ascii="Arial" w:hAnsi="Arial" w:cs="Arial"/>
                <w:sz w:val="18"/>
                <w:szCs w:val="18"/>
                <w:lang w:val="es-ES" w:eastAsia="es-ES"/>
              </w:rPr>
            </w:pPr>
            <w:r w:rsidRPr="00283C58">
              <w:rPr>
                <w:rFonts w:ascii="Arial" w:hAnsi="Arial" w:cs="Arial"/>
                <w:sz w:val="18"/>
                <w:szCs w:val="18"/>
                <w:lang w:val="es-ES" w:eastAsia="es-ES"/>
              </w:rPr>
              <w:t xml:space="preserve">Convenio financiación </w:t>
            </w:r>
          </w:p>
          <w:p w:rsidR="00770518" w:rsidRPr="00283C58" w:rsidRDefault="00770518" w:rsidP="00F5594F">
            <w:pPr>
              <w:spacing w:after="0"/>
              <w:ind w:right="-832" w:firstLine="0"/>
              <w:jc w:val="left"/>
              <w:rPr>
                <w:rFonts w:ascii="Arial" w:hAnsi="Arial" w:cs="Arial"/>
                <w:sz w:val="18"/>
                <w:szCs w:val="18"/>
                <w:lang w:val="es-ES" w:eastAsia="es-ES"/>
              </w:rPr>
            </w:pPr>
            <w:r w:rsidRPr="00283C58">
              <w:rPr>
                <w:rFonts w:ascii="Arial" w:hAnsi="Arial" w:cs="Arial"/>
                <w:sz w:val="18"/>
                <w:szCs w:val="18"/>
                <w:lang w:val="es-ES" w:eastAsia="es-ES"/>
              </w:rPr>
              <w:t>Gobierno Navarra</w:t>
            </w:r>
          </w:p>
        </w:tc>
        <w:tc>
          <w:tcPr>
            <w:tcW w:w="1193" w:type="dxa"/>
            <w:tcBorders>
              <w:top w:val="single" w:sz="4" w:space="0" w:color="auto"/>
              <w:bottom w:val="single" w:sz="4" w:space="0" w:color="auto"/>
            </w:tcBorders>
            <w:shd w:val="clear" w:color="auto" w:fill="A8CBEE" w:themeFill="accent2" w:themeFillTint="66"/>
            <w:vAlign w:val="center"/>
          </w:tcPr>
          <w:p w:rsidR="00770518" w:rsidRPr="00283C58" w:rsidRDefault="00770518" w:rsidP="0034364C">
            <w:pPr>
              <w:spacing w:after="0"/>
              <w:ind w:firstLine="0"/>
              <w:jc w:val="right"/>
              <w:rPr>
                <w:rFonts w:ascii="Arial" w:hAnsi="Arial" w:cs="Arial"/>
                <w:sz w:val="18"/>
                <w:szCs w:val="18"/>
                <w:lang w:val="es-ES" w:eastAsia="es-ES"/>
              </w:rPr>
            </w:pPr>
            <w:r w:rsidRPr="00283C58">
              <w:rPr>
                <w:rFonts w:ascii="Arial" w:hAnsi="Arial" w:cs="Arial"/>
                <w:sz w:val="18"/>
                <w:szCs w:val="18"/>
                <w:lang w:val="es-ES" w:eastAsia="es-ES"/>
              </w:rPr>
              <w:t>2013</w:t>
            </w:r>
          </w:p>
        </w:tc>
        <w:tc>
          <w:tcPr>
            <w:tcW w:w="1194" w:type="dxa"/>
            <w:tcBorders>
              <w:top w:val="single" w:sz="4" w:space="0" w:color="auto"/>
              <w:bottom w:val="single" w:sz="4" w:space="0" w:color="auto"/>
            </w:tcBorders>
            <w:shd w:val="clear" w:color="auto" w:fill="A8CBEE" w:themeFill="accent2" w:themeFillTint="66"/>
            <w:vAlign w:val="center"/>
          </w:tcPr>
          <w:p w:rsidR="00770518" w:rsidRPr="00283C58" w:rsidRDefault="00770518" w:rsidP="0034364C">
            <w:pPr>
              <w:spacing w:after="0"/>
              <w:ind w:firstLine="0"/>
              <w:jc w:val="right"/>
              <w:rPr>
                <w:rFonts w:ascii="Arial" w:hAnsi="Arial" w:cs="Arial"/>
                <w:sz w:val="18"/>
                <w:szCs w:val="18"/>
                <w:lang w:val="es-ES" w:eastAsia="es-ES"/>
              </w:rPr>
            </w:pPr>
            <w:r w:rsidRPr="00283C58">
              <w:rPr>
                <w:rFonts w:ascii="Arial" w:hAnsi="Arial" w:cs="Arial"/>
                <w:sz w:val="18"/>
                <w:szCs w:val="18"/>
                <w:lang w:val="es-ES" w:eastAsia="es-ES"/>
              </w:rPr>
              <w:t>2014</w:t>
            </w:r>
          </w:p>
        </w:tc>
        <w:tc>
          <w:tcPr>
            <w:tcW w:w="1193" w:type="dxa"/>
            <w:tcBorders>
              <w:top w:val="single" w:sz="4" w:space="0" w:color="auto"/>
              <w:bottom w:val="single" w:sz="4" w:space="0" w:color="auto"/>
            </w:tcBorders>
            <w:shd w:val="clear" w:color="auto" w:fill="A8CBEE" w:themeFill="accent2" w:themeFillTint="66"/>
            <w:vAlign w:val="center"/>
          </w:tcPr>
          <w:p w:rsidR="00770518" w:rsidRPr="00283C58" w:rsidRDefault="00770518" w:rsidP="0034364C">
            <w:pPr>
              <w:spacing w:after="0"/>
              <w:ind w:firstLine="0"/>
              <w:jc w:val="right"/>
              <w:rPr>
                <w:rFonts w:ascii="Arial" w:hAnsi="Arial" w:cs="Arial"/>
                <w:sz w:val="18"/>
                <w:szCs w:val="18"/>
                <w:lang w:val="es-ES" w:eastAsia="es-ES"/>
              </w:rPr>
            </w:pPr>
            <w:r w:rsidRPr="00283C58">
              <w:rPr>
                <w:rFonts w:ascii="Arial" w:hAnsi="Arial" w:cs="Arial"/>
                <w:sz w:val="18"/>
                <w:szCs w:val="18"/>
                <w:lang w:val="es-ES" w:eastAsia="es-ES"/>
              </w:rPr>
              <w:t>2015</w:t>
            </w:r>
          </w:p>
        </w:tc>
        <w:tc>
          <w:tcPr>
            <w:tcW w:w="1194" w:type="dxa"/>
            <w:tcBorders>
              <w:top w:val="single" w:sz="4" w:space="0" w:color="auto"/>
              <w:bottom w:val="single" w:sz="4" w:space="0" w:color="auto"/>
            </w:tcBorders>
            <w:shd w:val="clear" w:color="auto" w:fill="A8CBEE" w:themeFill="accent2" w:themeFillTint="66"/>
            <w:vAlign w:val="center"/>
          </w:tcPr>
          <w:p w:rsidR="00770518" w:rsidRPr="00283C58" w:rsidRDefault="00770518" w:rsidP="0034364C">
            <w:pPr>
              <w:spacing w:after="0"/>
              <w:ind w:firstLine="0"/>
              <w:jc w:val="right"/>
              <w:rPr>
                <w:rFonts w:ascii="Arial" w:hAnsi="Arial" w:cs="Arial"/>
                <w:sz w:val="18"/>
                <w:szCs w:val="18"/>
                <w:lang w:val="es-ES" w:eastAsia="es-ES"/>
              </w:rPr>
            </w:pPr>
            <w:r w:rsidRPr="00283C58">
              <w:rPr>
                <w:rFonts w:ascii="Arial" w:hAnsi="Arial" w:cs="Arial"/>
                <w:sz w:val="18"/>
                <w:szCs w:val="18"/>
                <w:lang w:val="es-ES" w:eastAsia="es-ES"/>
              </w:rPr>
              <w:t>2016</w:t>
            </w:r>
          </w:p>
        </w:tc>
        <w:tc>
          <w:tcPr>
            <w:tcW w:w="1194" w:type="dxa"/>
            <w:tcBorders>
              <w:top w:val="single" w:sz="4" w:space="0" w:color="auto"/>
              <w:bottom w:val="single" w:sz="4" w:space="0" w:color="auto"/>
            </w:tcBorders>
            <w:shd w:val="clear" w:color="auto" w:fill="A8CBEE" w:themeFill="accent2" w:themeFillTint="66"/>
            <w:vAlign w:val="center"/>
          </w:tcPr>
          <w:p w:rsidR="00770518" w:rsidRPr="00283C58" w:rsidRDefault="00770518" w:rsidP="0034364C">
            <w:pPr>
              <w:spacing w:after="0"/>
              <w:ind w:firstLine="0"/>
              <w:jc w:val="right"/>
              <w:rPr>
                <w:rFonts w:ascii="Arial" w:hAnsi="Arial" w:cs="Arial"/>
                <w:sz w:val="18"/>
                <w:szCs w:val="18"/>
                <w:lang w:val="es-ES" w:eastAsia="es-ES"/>
              </w:rPr>
            </w:pPr>
            <w:r w:rsidRPr="00283C58">
              <w:rPr>
                <w:rFonts w:ascii="Arial" w:hAnsi="Arial" w:cs="Arial"/>
                <w:sz w:val="18"/>
                <w:szCs w:val="18"/>
                <w:lang w:val="es-ES" w:eastAsia="es-ES"/>
              </w:rPr>
              <w:t>2017</w:t>
            </w:r>
          </w:p>
        </w:tc>
      </w:tr>
      <w:tr w:rsidR="00770518" w:rsidRPr="00D01CDE" w:rsidTr="00F5594F">
        <w:trPr>
          <w:trHeight w:val="284"/>
          <w:jc w:val="center"/>
        </w:trPr>
        <w:tc>
          <w:tcPr>
            <w:tcW w:w="2959" w:type="dxa"/>
            <w:tcBorders>
              <w:top w:val="single" w:sz="4" w:space="0" w:color="auto"/>
              <w:bottom w:val="single" w:sz="2" w:space="0" w:color="auto"/>
            </w:tcBorders>
            <w:vAlign w:val="center"/>
          </w:tcPr>
          <w:p w:rsidR="00770518" w:rsidRPr="00D01CDE" w:rsidRDefault="00770518" w:rsidP="0034364C">
            <w:pPr>
              <w:spacing w:after="0"/>
              <w:ind w:right="-832" w:firstLine="0"/>
              <w:jc w:val="left"/>
              <w:rPr>
                <w:rFonts w:ascii="Arial Narrow" w:hAnsi="Arial Narrow"/>
                <w:lang w:val="es-ES" w:eastAsia="es-ES"/>
              </w:rPr>
            </w:pPr>
            <w:r w:rsidRPr="00D01CDE">
              <w:rPr>
                <w:rFonts w:ascii="Arial Narrow" w:hAnsi="Arial Narrow"/>
                <w:lang w:val="es-ES" w:eastAsia="es-ES"/>
              </w:rPr>
              <w:t>Importe convenio</w:t>
            </w:r>
          </w:p>
        </w:tc>
        <w:tc>
          <w:tcPr>
            <w:tcW w:w="1193" w:type="dxa"/>
            <w:tcBorders>
              <w:top w:val="single" w:sz="4" w:space="0" w:color="auto"/>
              <w:bottom w:val="single" w:sz="2" w:space="0" w:color="auto"/>
            </w:tcBorders>
            <w:vAlign w:val="center"/>
          </w:tcPr>
          <w:p w:rsidR="00770518" w:rsidRPr="00D01CDE" w:rsidRDefault="00770518" w:rsidP="0034364C">
            <w:pPr>
              <w:spacing w:after="0"/>
              <w:ind w:firstLine="0"/>
              <w:jc w:val="right"/>
              <w:rPr>
                <w:rFonts w:ascii="Arial Narrow" w:hAnsi="Arial Narrow"/>
                <w:lang w:val="es-ES" w:eastAsia="es-ES"/>
              </w:rPr>
            </w:pPr>
            <w:r w:rsidRPr="00D01CDE">
              <w:rPr>
                <w:rFonts w:ascii="Arial Narrow" w:hAnsi="Arial Narrow"/>
                <w:lang w:val="es-ES" w:eastAsia="es-ES"/>
              </w:rPr>
              <w:t>51.017</w:t>
            </w:r>
          </w:p>
        </w:tc>
        <w:tc>
          <w:tcPr>
            <w:tcW w:w="1194" w:type="dxa"/>
            <w:tcBorders>
              <w:top w:val="single" w:sz="4" w:space="0" w:color="auto"/>
              <w:bottom w:val="single" w:sz="2" w:space="0" w:color="auto"/>
            </w:tcBorders>
            <w:vAlign w:val="center"/>
          </w:tcPr>
          <w:p w:rsidR="00770518" w:rsidRPr="00D01CDE" w:rsidRDefault="00770518" w:rsidP="0034364C">
            <w:pPr>
              <w:spacing w:after="0"/>
              <w:ind w:firstLine="0"/>
              <w:jc w:val="right"/>
              <w:rPr>
                <w:rFonts w:ascii="Arial Narrow" w:hAnsi="Arial Narrow"/>
                <w:lang w:val="es-ES" w:eastAsia="es-ES"/>
              </w:rPr>
            </w:pPr>
            <w:r w:rsidRPr="00D01CDE">
              <w:rPr>
                <w:rFonts w:ascii="Arial Narrow" w:hAnsi="Arial Narrow"/>
                <w:lang w:val="es-ES" w:eastAsia="es-ES"/>
              </w:rPr>
              <w:t>51.751</w:t>
            </w:r>
          </w:p>
        </w:tc>
        <w:tc>
          <w:tcPr>
            <w:tcW w:w="1193" w:type="dxa"/>
            <w:tcBorders>
              <w:top w:val="single" w:sz="4" w:space="0" w:color="auto"/>
              <w:bottom w:val="single" w:sz="2" w:space="0" w:color="auto"/>
            </w:tcBorders>
            <w:vAlign w:val="center"/>
          </w:tcPr>
          <w:p w:rsidR="00770518" w:rsidRPr="00D01CDE" w:rsidRDefault="00770518" w:rsidP="0034364C">
            <w:pPr>
              <w:spacing w:after="0"/>
              <w:ind w:firstLine="0"/>
              <w:jc w:val="right"/>
              <w:rPr>
                <w:rFonts w:ascii="Arial Narrow" w:hAnsi="Arial Narrow"/>
                <w:lang w:val="es-ES" w:eastAsia="es-ES"/>
              </w:rPr>
            </w:pPr>
            <w:r w:rsidRPr="00D01CDE">
              <w:rPr>
                <w:rFonts w:ascii="Arial Narrow" w:hAnsi="Arial Narrow"/>
                <w:lang w:val="es-ES" w:eastAsia="es-ES"/>
              </w:rPr>
              <w:t>52.444</w:t>
            </w:r>
          </w:p>
        </w:tc>
        <w:tc>
          <w:tcPr>
            <w:tcW w:w="1194" w:type="dxa"/>
            <w:tcBorders>
              <w:top w:val="single" w:sz="4" w:space="0" w:color="auto"/>
              <w:bottom w:val="single" w:sz="2" w:space="0" w:color="auto"/>
            </w:tcBorders>
            <w:vAlign w:val="center"/>
          </w:tcPr>
          <w:p w:rsidR="00770518" w:rsidRPr="00D01CDE" w:rsidRDefault="00770518" w:rsidP="0034364C">
            <w:pPr>
              <w:spacing w:after="0"/>
              <w:ind w:firstLine="0"/>
              <w:jc w:val="right"/>
              <w:rPr>
                <w:rFonts w:ascii="Arial Narrow" w:hAnsi="Arial Narrow"/>
                <w:lang w:val="es-ES" w:eastAsia="es-ES"/>
              </w:rPr>
            </w:pPr>
            <w:r w:rsidRPr="00D01CDE">
              <w:rPr>
                <w:rFonts w:ascii="Arial Narrow" w:hAnsi="Arial Narrow"/>
                <w:lang w:val="es-ES" w:eastAsia="es-ES"/>
              </w:rPr>
              <w:t>51.639</w:t>
            </w:r>
          </w:p>
        </w:tc>
        <w:tc>
          <w:tcPr>
            <w:tcW w:w="1194" w:type="dxa"/>
            <w:tcBorders>
              <w:top w:val="single" w:sz="4" w:space="0" w:color="auto"/>
              <w:bottom w:val="single" w:sz="2" w:space="0" w:color="auto"/>
            </w:tcBorders>
            <w:vAlign w:val="center"/>
          </w:tcPr>
          <w:p w:rsidR="00770518" w:rsidRPr="00D01CDE" w:rsidRDefault="00770518" w:rsidP="0034364C">
            <w:pPr>
              <w:spacing w:after="0"/>
              <w:ind w:firstLine="0"/>
              <w:jc w:val="right"/>
              <w:rPr>
                <w:rFonts w:ascii="Arial Narrow" w:hAnsi="Arial Narrow"/>
                <w:lang w:val="es-ES" w:eastAsia="es-ES"/>
              </w:rPr>
            </w:pPr>
            <w:r w:rsidRPr="00D01CDE">
              <w:rPr>
                <w:rFonts w:ascii="Arial Narrow" w:hAnsi="Arial Narrow"/>
                <w:lang w:val="es-ES" w:eastAsia="es-ES"/>
              </w:rPr>
              <w:t>55.167</w:t>
            </w:r>
          </w:p>
        </w:tc>
      </w:tr>
      <w:tr w:rsidR="00770518" w:rsidRPr="00D01CDE" w:rsidTr="00F5594F">
        <w:trPr>
          <w:trHeight w:val="284"/>
          <w:jc w:val="center"/>
        </w:trPr>
        <w:tc>
          <w:tcPr>
            <w:tcW w:w="2959" w:type="dxa"/>
            <w:tcBorders>
              <w:top w:val="single" w:sz="2" w:space="0" w:color="auto"/>
              <w:bottom w:val="single" w:sz="2" w:space="0" w:color="auto"/>
            </w:tcBorders>
            <w:vAlign w:val="center"/>
          </w:tcPr>
          <w:p w:rsidR="00770518" w:rsidRPr="00D01CDE" w:rsidRDefault="00770518" w:rsidP="0034364C">
            <w:pPr>
              <w:spacing w:after="0"/>
              <w:ind w:right="-832" w:firstLine="0"/>
              <w:jc w:val="left"/>
              <w:rPr>
                <w:rFonts w:ascii="Arial Narrow" w:hAnsi="Arial Narrow"/>
                <w:i/>
                <w:lang w:val="es-ES" w:eastAsia="es-ES"/>
              </w:rPr>
            </w:pPr>
            <w:r w:rsidRPr="00D01CDE">
              <w:rPr>
                <w:rFonts w:ascii="Arial Narrow" w:hAnsi="Arial Narrow"/>
                <w:i/>
                <w:lang w:val="es-ES" w:eastAsia="es-ES"/>
              </w:rPr>
              <w:t>Total ingresos presupuestarios</w:t>
            </w:r>
          </w:p>
        </w:tc>
        <w:tc>
          <w:tcPr>
            <w:tcW w:w="1193" w:type="dxa"/>
            <w:tcBorders>
              <w:top w:val="single" w:sz="2" w:space="0" w:color="auto"/>
              <w:bottom w:val="single" w:sz="2" w:space="0" w:color="auto"/>
            </w:tcBorders>
            <w:vAlign w:val="center"/>
          </w:tcPr>
          <w:p w:rsidR="00770518" w:rsidRPr="00D01CDE" w:rsidRDefault="00770518" w:rsidP="0034364C">
            <w:pPr>
              <w:spacing w:after="0"/>
              <w:ind w:firstLine="0"/>
              <w:jc w:val="right"/>
              <w:rPr>
                <w:rFonts w:ascii="Arial Narrow" w:hAnsi="Arial Narrow"/>
                <w:i/>
                <w:lang w:val="es-ES" w:eastAsia="es-ES"/>
              </w:rPr>
            </w:pPr>
            <w:r w:rsidRPr="00D01CDE">
              <w:rPr>
                <w:rFonts w:ascii="Arial Narrow" w:hAnsi="Arial Narrow"/>
                <w:i/>
                <w:lang w:val="es-ES" w:eastAsia="es-ES"/>
              </w:rPr>
              <w:t>70.106</w:t>
            </w:r>
          </w:p>
        </w:tc>
        <w:tc>
          <w:tcPr>
            <w:tcW w:w="1194" w:type="dxa"/>
            <w:tcBorders>
              <w:top w:val="single" w:sz="2" w:space="0" w:color="auto"/>
              <w:bottom w:val="single" w:sz="2" w:space="0" w:color="auto"/>
            </w:tcBorders>
            <w:vAlign w:val="center"/>
          </w:tcPr>
          <w:p w:rsidR="00770518" w:rsidRPr="00D01CDE" w:rsidRDefault="00770518" w:rsidP="0034364C">
            <w:pPr>
              <w:spacing w:after="0"/>
              <w:ind w:firstLine="0"/>
              <w:jc w:val="right"/>
              <w:rPr>
                <w:rFonts w:ascii="Arial Narrow" w:hAnsi="Arial Narrow"/>
                <w:i/>
                <w:lang w:val="es-ES" w:eastAsia="es-ES"/>
              </w:rPr>
            </w:pPr>
            <w:r w:rsidRPr="00D01CDE">
              <w:rPr>
                <w:rFonts w:ascii="Arial Narrow" w:hAnsi="Arial Narrow"/>
                <w:i/>
                <w:lang w:val="es-ES" w:eastAsia="es-ES"/>
              </w:rPr>
              <w:t>71.743</w:t>
            </w:r>
          </w:p>
        </w:tc>
        <w:tc>
          <w:tcPr>
            <w:tcW w:w="1193" w:type="dxa"/>
            <w:tcBorders>
              <w:top w:val="single" w:sz="2" w:space="0" w:color="auto"/>
              <w:bottom w:val="single" w:sz="2" w:space="0" w:color="auto"/>
            </w:tcBorders>
            <w:vAlign w:val="center"/>
          </w:tcPr>
          <w:p w:rsidR="00770518" w:rsidRPr="00D01CDE" w:rsidRDefault="00770518" w:rsidP="0034364C">
            <w:pPr>
              <w:spacing w:after="0"/>
              <w:ind w:firstLine="0"/>
              <w:jc w:val="right"/>
              <w:rPr>
                <w:rFonts w:ascii="Arial Narrow" w:hAnsi="Arial Narrow"/>
                <w:i/>
                <w:lang w:val="es-ES" w:eastAsia="es-ES"/>
              </w:rPr>
            </w:pPr>
            <w:r w:rsidRPr="00D01CDE">
              <w:rPr>
                <w:rFonts w:ascii="Arial Narrow" w:hAnsi="Arial Narrow"/>
                <w:i/>
                <w:lang w:val="es-ES" w:eastAsia="es-ES"/>
              </w:rPr>
              <w:t>72.460</w:t>
            </w:r>
          </w:p>
        </w:tc>
        <w:tc>
          <w:tcPr>
            <w:tcW w:w="1194" w:type="dxa"/>
            <w:tcBorders>
              <w:top w:val="single" w:sz="2" w:space="0" w:color="auto"/>
              <w:bottom w:val="single" w:sz="2" w:space="0" w:color="auto"/>
            </w:tcBorders>
            <w:vAlign w:val="center"/>
          </w:tcPr>
          <w:p w:rsidR="00770518" w:rsidRPr="00D01CDE" w:rsidRDefault="00770518" w:rsidP="0034364C">
            <w:pPr>
              <w:spacing w:after="0"/>
              <w:ind w:firstLine="0"/>
              <w:jc w:val="right"/>
              <w:rPr>
                <w:rFonts w:ascii="Arial Narrow" w:hAnsi="Arial Narrow"/>
                <w:i/>
                <w:lang w:val="es-ES" w:eastAsia="es-ES"/>
              </w:rPr>
            </w:pPr>
            <w:r w:rsidRPr="00D01CDE">
              <w:rPr>
                <w:rFonts w:ascii="Arial Narrow" w:hAnsi="Arial Narrow"/>
                <w:i/>
                <w:lang w:val="es-ES" w:eastAsia="es-ES"/>
              </w:rPr>
              <w:t>73.330</w:t>
            </w:r>
          </w:p>
        </w:tc>
        <w:tc>
          <w:tcPr>
            <w:tcW w:w="1194" w:type="dxa"/>
            <w:tcBorders>
              <w:top w:val="single" w:sz="2" w:space="0" w:color="auto"/>
              <w:bottom w:val="single" w:sz="2" w:space="0" w:color="auto"/>
            </w:tcBorders>
            <w:vAlign w:val="center"/>
          </w:tcPr>
          <w:p w:rsidR="00770518" w:rsidRPr="00D01CDE" w:rsidRDefault="00770518" w:rsidP="0034364C">
            <w:pPr>
              <w:spacing w:after="0"/>
              <w:ind w:firstLine="0"/>
              <w:jc w:val="right"/>
              <w:rPr>
                <w:rFonts w:ascii="Arial Narrow" w:hAnsi="Arial Narrow"/>
                <w:i/>
                <w:lang w:val="es-ES" w:eastAsia="es-ES"/>
              </w:rPr>
            </w:pPr>
            <w:r w:rsidRPr="00D01CDE">
              <w:rPr>
                <w:rFonts w:ascii="Arial Narrow" w:hAnsi="Arial Narrow"/>
                <w:i/>
                <w:lang w:val="es-ES" w:eastAsia="es-ES"/>
              </w:rPr>
              <w:t>76.988</w:t>
            </w:r>
          </w:p>
        </w:tc>
      </w:tr>
      <w:tr w:rsidR="00770518" w:rsidRPr="00D01CDE" w:rsidTr="00F5594F">
        <w:trPr>
          <w:trHeight w:val="284"/>
          <w:jc w:val="center"/>
        </w:trPr>
        <w:tc>
          <w:tcPr>
            <w:tcW w:w="2959" w:type="dxa"/>
            <w:tcBorders>
              <w:top w:val="single" w:sz="2" w:space="0" w:color="auto"/>
              <w:bottom w:val="single" w:sz="2" w:space="0" w:color="auto"/>
            </w:tcBorders>
            <w:vAlign w:val="center"/>
          </w:tcPr>
          <w:p w:rsidR="00770518" w:rsidRPr="00D01CDE" w:rsidRDefault="00770518" w:rsidP="0034364C">
            <w:pPr>
              <w:spacing w:after="0"/>
              <w:ind w:right="-832" w:firstLine="0"/>
              <w:jc w:val="left"/>
              <w:rPr>
                <w:rFonts w:ascii="Arial Narrow" w:hAnsi="Arial Narrow"/>
                <w:lang w:val="es-ES" w:eastAsia="es-ES"/>
              </w:rPr>
            </w:pPr>
            <w:r w:rsidRPr="00D01CDE">
              <w:rPr>
                <w:rFonts w:ascii="Arial Narrow" w:hAnsi="Arial Narrow"/>
                <w:lang w:val="es-ES" w:eastAsia="es-ES"/>
              </w:rPr>
              <w:t>Porcentaje convenio sobre ingresos</w:t>
            </w:r>
          </w:p>
        </w:tc>
        <w:tc>
          <w:tcPr>
            <w:tcW w:w="1193" w:type="dxa"/>
            <w:tcBorders>
              <w:top w:val="single" w:sz="2" w:space="0" w:color="auto"/>
              <w:bottom w:val="single" w:sz="2" w:space="0" w:color="auto"/>
            </w:tcBorders>
            <w:vAlign w:val="center"/>
          </w:tcPr>
          <w:p w:rsidR="00770518" w:rsidRPr="00D01CDE" w:rsidRDefault="00770518" w:rsidP="0034364C">
            <w:pPr>
              <w:spacing w:after="0"/>
              <w:ind w:firstLine="0"/>
              <w:jc w:val="right"/>
              <w:rPr>
                <w:rFonts w:ascii="Arial Narrow" w:hAnsi="Arial Narrow"/>
                <w:lang w:val="es-ES" w:eastAsia="es-ES"/>
              </w:rPr>
            </w:pPr>
            <w:r w:rsidRPr="00D01CDE">
              <w:rPr>
                <w:rFonts w:ascii="Arial Narrow" w:hAnsi="Arial Narrow"/>
                <w:lang w:val="es-ES" w:eastAsia="es-ES"/>
              </w:rPr>
              <w:t>73</w:t>
            </w:r>
          </w:p>
        </w:tc>
        <w:tc>
          <w:tcPr>
            <w:tcW w:w="1194" w:type="dxa"/>
            <w:tcBorders>
              <w:top w:val="single" w:sz="2" w:space="0" w:color="auto"/>
              <w:bottom w:val="single" w:sz="2" w:space="0" w:color="auto"/>
            </w:tcBorders>
            <w:vAlign w:val="center"/>
          </w:tcPr>
          <w:p w:rsidR="00770518" w:rsidRPr="00D01CDE" w:rsidRDefault="00770518" w:rsidP="0034364C">
            <w:pPr>
              <w:spacing w:after="0"/>
              <w:ind w:firstLine="0"/>
              <w:jc w:val="right"/>
              <w:rPr>
                <w:rFonts w:ascii="Arial Narrow" w:hAnsi="Arial Narrow"/>
                <w:lang w:val="es-ES" w:eastAsia="es-ES"/>
              </w:rPr>
            </w:pPr>
            <w:r w:rsidRPr="00D01CDE">
              <w:rPr>
                <w:rFonts w:ascii="Arial Narrow" w:hAnsi="Arial Narrow"/>
                <w:lang w:val="es-ES" w:eastAsia="es-ES"/>
              </w:rPr>
              <w:t>72</w:t>
            </w:r>
          </w:p>
        </w:tc>
        <w:tc>
          <w:tcPr>
            <w:tcW w:w="1193" w:type="dxa"/>
            <w:tcBorders>
              <w:top w:val="single" w:sz="2" w:space="0" w:color="auto"/>
              <w:bottom w:val="single" w:sz="2" w:space="0" w:color="auto"/>
            </w:tcBorders>
            <w:vAlign w:val="center"/>
          </w:tcPr>
          <w:p w:rsidR="00770518" w:rsidRPr="00D01CDE" w:rsidRDefault="00770518" w:rsidP="0034364C">
            <w:pPr>
              <w:spacing w:after="0"/>
              <w:ind w:firstLine="0"/>
              <w:jc w:val="right"/>
              <w:rPr>
                <w:rFonts w:ascii="Arial Narrow" w:hAnsi="Arial Narrow"/>
                <w:lang w:val="es-ES" w:eastAsia="es-ES"/>
              </w:rPr>
            </w:pPr>
            <w:r w:rsidRPr="00D01CDE">
              <w:rPr>
                <w:rFonts w:ascii="Arial Narrow" w:hAnsi="Arial Narrow"/>
                <w:lang w:val="es-ES" w:eastAsia="es-ES"/>
              </w:rPr>
              <w:t>72</w:t>
            </w:r>
          </w:p>
        </w:tc>
        <w:tc>
          <w:tcPr>
            <w:tcW w:w="1194" w:type="dxa"/>
            <w:tcBorders>
              <w:top w:val="single" w:sz="2" w:space="0" w:color="auto"/>
              <w:bottom w:val="single" w:sz="2" w:space="0" w:color="auto"/>
            </w:tcBorders>
            <w:vAlign w:val="center"/>
          </w:tcPr>
          <w:p w:rsidR="00770518" w:rsidRPr="00D01CDE" w:rsidRDefault="00770518" w:rsidP="0034364C">
            <w:pPr>
              <w:spacing w:after="0"/>
              <w:ind w:firstLine="0"/>
              <w:jc w:val="right"/>
              <w:rPr>
                <w:rFonts w:ascii="Arial Narrow" w:hAnsi="Arial Narrow"/>
                <w:lang w:val="es-ES" w:eastAsia="es-ES"/>
              </w:rPr>
            </w:pPr>
            <w:r w:rsidRPr="00D01CDE">
              <w:rPr>
                <w:rFonts w:ascii="Arial Narrow" w:hAnsi="Arial Narrow"/>
                <w:lang w:val="es-ES" w:eastAsia="es-ES"/>
              </w:rPr>
              <w:t>70</w:t>
            </w:r>
          </w:p>
        </w:tc>
        <w:tc>
          <w:tcPr>
            <w:tcW w:w="1194" w:type="dxa"/>
            <w:tcBorders>
              <w:top w:val="single" w:sz="2" w:space="0" w:color="auto"/>
              <w:bottom w:val="single" w:sz="2" w:space="0" w:color="auto"/>
            </w:tcBorders>
            <w:vAlign w:val="center"/>
          </w:tcPr>
          <w:p w:rsidR="00770518" w:rsidRPr="00D01CDE" w:rsidRDefault="00770518" w:rsidP="0034364C">
            <w:pPr>
              <w:spacing w:after="0"/>
              <w:ind w:firstLine="0"/>
              <w:jc w:val="right"/>
              <w:rPr>
                <w:rFonts w:ascii="Arial Narrow" w:hAnsi="Arial Narrow"/>
                <w:lang w:val="es-ES" w:eastAsia="es-ES"/>
              </w:rPr>
            </w:pPr>
            <w:r w:rsidRPr="00D01CDE">
              <w:rPr>
                <w:rFonts w:ascii="Arial Narrow" w:hAnsi="Arial Narrow"/>
                <w:lang w:val="es-ES" w:eastAsia="es-ES"/>
              </w:rPr>
              <w:t>72</w:t>
            </w:r>
          </w:p>
        </w:tc>
      </w:tr>
      <w:tr w:rsidR="00770518" w:rsidRPr="00D01CDE" w:rsidTr="00F5594F">
        <w:trPr>
          <w:trHeight w:val="284"/>
          <w:jc w:val="center"/>
        </w:trPr>
        <w:tc>
          <w:tcPr>
            <w:tcW w:w="2959" w:type="dxa"/>
            <w:tcBorders>
              <w:top w:val="single" w:sz="2" w:space="0" w:color="auto"/>
              <w:bottom w:val="single" w:sz="2" w:space="0" w:color="auto"/>
            </w:tcBorders>
            <w:vAlign w:val="center"/>
          </w:tcPr>
          <w:p w:rsidR="00770518" w:rsidRPr="00D01CDE" w:rsidRDefault="00770518" w:rsidP="0034364C">
            <w:pPr>
              <w:spacing w:after="0"/>
              <w:ind w:right="-832" w:firstLine="0"/>
              <w:jc w:val="left"/>
              <w:rPr>
                <w:rFonts w:ascii="Arial Narrow" w:hAnsi="Arial Narrow"/>
                <w:i/>
                <w:lang w:val="es-ES" w:eastAsia="es-ES"/>
              </w:rPr>
            </w:pPr>
            <w:r w:rsidRPr="00D01CDE">
              <w:rPr>
                <w:rFonts w:ascii="Arial Narrow" w:hAnsi="Arial Narrow"/>
                <w:i/>
                <w:lang w:val="es-ES" w:eastAsia="es-ES"/>
              </w:rPr>
              <w:t>Total gastos presupuestarios</w:t>
            </w:r>
          </w:p>
        </w:tc>
        <w:tc>
          <w:tcPr>
            <w:tcW w:w="1193" w:type="dxa"/>
            <w:tcBorders>
              <w:top w:val="single" w:sz="2" w:space="0" w:color="auto"/>
              <w:bottom w:val="single" w:sz="2" w:space="0" w:color="auto"/>
            </w:tcBorders>
            <w:vAlign w:val="center"/>
          </w:tcPr>
          <w:p w:rsidR="00770518" w:rsidRPr="00D01CDE" w:rsidRDefault="00770518" w:rsidP="0034364C">
            <w:pPr>
              <w:spacing w:after="0"/>
              <w:ind w:firstLine="0"/>
              <w:jc w:val="right"/>
              <w:rPr>
                <w:rFonts w:ascii="Arial Narrow" w:hAnsi="Arial Narrow"/>
                <w:i/>
                <w:lang w:val="es-ES" w:eastAsia="es-ES"/>
              </w:rPr>
            </w:pPr>
            <w:r w:rsidRPr="00D01CDE">
              <w:rPr>
                <w:rFonts w:ascii="Arial Narrow" w:hAnsi="Arial Narrow"/>
                <w:i/>
                <w:lang w:val="es-ES" w:eastAsia="es-ES"/>
              </w:rPr>
              <w:t>71.455</w:t>
            </w:r>
          </w:p>
        </w:tc>
        <w:tc>
          <w:tcPr>
            <w:tcW w:w="1194" w:type="dxa"/>
            <w:tcBorders>
              <w:top w:val="single" w:sz="2" w:space="0" w:color="auto"/>
              <w:bottom w:val="single" w:sz="2" w:space="0" w:color="auto"/>
            </w:tcBorders>
            <w:vAlign w:val="center"/>
          </w:tcPr>
          <w:p w:rsidR="00770518" w:rsidRPr="00D01CDE" w:rsidRDefault="00770518" w:rsidP="0034364C">
            <w:pPr>
              <w:spacing w:after="0"/>
              <w:ind w:firstLine="0"/>
              <w:jc w:val="right"/>
              <w:rPr>
                <w:rFonts w:ascii="Arial Narrow" w:hAnsi="Arial Narrow"/>
                <w:i/>
                <w:lang w:val="es-ES" w:eastAsia="es-ES"/>
              </w:rPr>
            </w:pPr>
            <w:r w:rsidRPr="00D01CDE">
              <w:rPr>
                <w:rFonts w:ascii="Arial Narrow" w:hAnsi="Arial Narrow"/>
                <w:i/>
                <w:lang w:val="es-ES" w:eastAsia="es-ES"/>
              </w:rPr>
              <w:t>70.558</w:t>
            </w:r>
          </w:p>
        </w:tc>
        <w:tc>
          <w:tcPr>
            <w:tcW w:w="1193" w:type="dxa"/>
            <w:tcBorders>
              <w:top w:val="single" w:sz="2" w:space="0" w:color="auto"/>
              <w:bottom w:val="single" w:sz="2" w:space="0" w:color="auto"/>
            </w:tcBorders>
            <w:vAlign w:val="center"/>
          </w:tcPr>
          <w:p w:rsidR="00770518" w:rsidRPr="00D01CDE" w:rsidRDefault="00770518" w:rsidP="0034364C">
            <w:pPr>
              <w:spacing w:after="0"/>
              <w:ind w:firstLine="0"/>
              <w:jc w:val="right"/>
              <w:rPr>
                <w:rFonts w:ascii="Arial Narrow" w:hAnsi="Arial Narrow"/>
                <w:i/>
                <w:lang w:val="es-ES" w:eastAsia="es-ES"/>
              </w:rPr>
            </w:pPr>
            <w:r w:rsidRPr="00D01CDE">
              <w:rPr>
                <w:rFonts w:ascii="Arial Narrow" w:hAnsi="Arial Narrow"/>
                <w:i/>
                <w:lang w:val="es-ES" w:eastAsia="es-ES"/>
              </w:rPr>
              <w:t>71.410</w:t>
            </w:r>
          </w:p>
        </w:tc>
        <w:tc>
          <w:tcPr>
            <w:tcW w:w="1194" w:type="dxa"/>
            <w:tcBorders>
              <w:top w:val="single" w:sz="2" w:space="0" w:color="auto"/>
              <w:bottom w:val="single" w:sz="2" w:space="0" w:color="auto"/>
            </w:tcBorders>
            <w:vAlign w:val="center"/>
          </w:tcPr>
          <w:p w:rsidR="00770518" w:rsidRPr="00D01CDE" w:rsidRDefault="00770518" w:rsidP="0034364C">
            <w:pPr>
              <w:spacing w:after="0"/>
              <w:ind w:firstLine="0"/>
              <w:jc w:val="right"/>
              <w:rPr>
                <w:rFonts w:ascii="Arial Narrow" w:hAnsi="Arial Narrow"/>
                <w:i/>
                <w:lang w:val="es-ES" w:eastAsia="es-ES"/>
              </w:rPr>
            </w:pPr>
            <w:r w:rsidRPr="00D01CDE">
              <w:rPr>
                <w:rFonts w:ascii="Arial Narrow" w:hAnsi="Arial Narrow"/>
                <w:i/>
                <w:lang w:val="es-ES" w:eastAsia="es-ES"/>
              </w:rPr>
              <w:t>75.316</w:t>
            </w:r>
          </w:p>
        </w:tc>
        <w:tc>
          <w:tcPr>
            <w:tcW w:w="1194" w:type="dxa"/>
            <w:tcBorders>
              <w:top w:val="single" w:sz="2" w:space="0" w:color="auto"/>
              <w:bottom w:val="single" w:sz="2" w:space="0" w:color="auto"/>
            </w:tcBorders>
            <w:vAlign w:val="center"/>
          </w:tcPr>
          <w:p w:rsidR="00770518" w:rsidRPr="00D01CDE" w:rsidRDefault="00770518" w:rsidP="0034364C">
            <w:pPr>
              <w:spacing w:after="0"/>
              <w:ind w:firstLine="0"/>
              <w:jc w:val="right"/>
              <w:rPr>
                <w:rFonts w:ascii="Arial Narrow" w:hAnsi="Arial Narrow"/>
                <w:i/>
                <w:lang w:val="es-ES" w:eastAsia="es-ES"/>
              </w:rPr>
            </w:pPr>
            <w:r w:rsidRPr="00D01CDE">
              <w:rPr>
                <w:rFonts w:ascii="Arial Narrow" w:hAnsi="Arial Narrow"/>
                <w:i/>
                <w:lang w:val="es-ES" w:eastAsia="es-ES"/>
              </w:rPr>
              <w:t>78.201</w:t>
            </w:r>
          </w:p>
        </w:tc>
      </w:tr>
      <w:tr w:rsidR="00770518" w:rsidRPr="00D01CDE" w:rsidTr="00F5594F">
        <w:trPr>
          <w:trHeight w:val="284"/>
          <w:jc w:val="center"/>
        </w:trPr>
        <w:tc>
          <w:tcPr>
            <w:tcW w:w="2959" w:type="dxa"/>
            <w:tcBorders>
              <w:top w:val="single" w:sz="2" w:space="0" w:color="auto"/>
              <w:bottom w:val="single" w:sz="4" w:space="0" w:color="auto"/>
            </w:tcBorders>
            <w:vAlign w:val="center"/>
          </w:tcPr>
          <w:p w:rsidR="00770518" w:rsidRPr="00D01CDE" w:rsidRDefault="00770518" w:rsidP="0034364C">
            <w:pPr>
              <w:spacing w:after="0"/>
              <w:ind w:right="-832" w:firstLine="0"/>
              <w:jc w:val="left"/>
              <w:rPr>
                <w:rFonts w:ascii="Arial Narrow" w:hAnsi="Arial Narrow"/>
                <w:i/>
                <w:lang w:val="es-ES" w:eastAsia="es-ES"/>
              </w:rPr>
            </w:pPr>
            <w:r w:rsidRPr="00D01CDE">
              <w:rPr>
                <w:rFonts w:ascii="Arial Narrow" w:hAnsi="Arial Narrow"/>
                <w:i/>
                <w:lang w:val="es-ES" w:eastAsia="es-ES"/>
              </w:rPr>
              <w:t>Porcentaje convenio sobre gastos</w:t>
            </w:r>
          </w:p>
        </w:tc>
        <w:tc>
          <w:tcPr>
            <w:tcW w:w="1193" w:type="dxa"/>
            <w:tcBorders>
              <w:top w:val="single" w:sz="2" w:space="0" w:color="auto"/>
              <w:bottom w:val="single" w:sz="4" w:space="0" w:color="auto"/>
            </w:tcBorders>
            <w:vAlign w:val="center"/>
          </w:tcPr>
          <w:p w:rsidR="00770518" w:rsidRPr="00D01CDE" w:rsidRDefault="00770518" w:rsidP="0034364C">
            <w:pPr>
              <w:spacing w:after="0"/>
              <w:ind w:firstLine="0"/>
              <w:jc w:val="right"/>
              <w:rPr>
                <w:rFonts w:ascii="Arial Narrow" w:hAnsi="Arial Narrow"/>
                <w:i/>
                <w:lang w:val="es-ES" w:eastAsia="es-ES"/>
              </w:rPr>
            </w:pPr>
            <w:r w:rsidRPr="00D01CDE">
              <w:rPr>
                <w:rFonts w:ascii="Arial Narrow" w:hAnsi="Arial Narrow"/>
                <w:i/>
                <w:lang w:val="es-ES" w:eastAsia="es-ES"/>
              </w:rPr>
              <w:t>71</w:t>
            </w:r>
          </w:p>
        </w:tc>
        <w:tc>
          <w:tcPr>
            <w:tcW w:w="1194" w:type="dxa"/>
            <w:tcBorders>
              <w:top w:val="single" w:sz="2" w:space="0" w:color="auto"/>
              <w:bottom w:val="single" w:sz="4" w:space="0" w:color="auto"/>
            </w:tcBorders>
            <w:vAlign w:val="center"/>
          </w:tcPr>
          <w:p w:rsidR="00770518" w:rsidRPr="00D01CDE" w:rsidRDefault="00770518" w:rsidP="0034364C">
            <w:pPr>
              <w:spacing w:after="0"/>
              <w:ind w:firstLine="0"/>
              <w:jc w:val="right"/>
              <w:rPr>
                <w:rFonts w:ascii="Arial Narrow" w:hAnsi="Arial Narrow"/>
                <w:i/>
                <w:lang w:val="es-ES" w:eastAsia="es-ES"/>
              </w:rPr>
            </w:pPr>
            <w:r w:rsidRPr="00D01CDE">
              <w:rPr>
                <w:rFonts w:ascii="Arial Narrow" w:hAnsi="Arial Narrow"/>
                <w:i/>
                <w:lang w:val="es-ES" w:eastAsia="es-ES"/>
              </w:rPr>
              <w:t>73</w:t>
            </w:r>
          </w:p>
        </w:tc>
        <w:tc>
          <w:tcPr>
            <w:tcW w:w="1193" w:type="dxa"/>
            <w:tcBorders>
              <w:top w:val="single" w:sz="2" w:space="0" w:color="auto"/>
              <w:bottom w:val="single" w:sz="4" w:space="0" w:color="auto"/>
            </w:tcBorders>
            <w:vAlign w:val="center"/>
          </w:tcPr>
          <w:p w:rsidR="00770518" w:rsidRPr="00D01CDE" w:rsidRDefault="00770518" w:rsidP="0034364C">
            <w:pPr>
              <w:spacing w:after="0"/>
              <w:ind w:firstLine="0"/>
              <w:jc w:val="right"/>
              <w:rPr>
                <w:rFonts w:ascii="Arial Narrow" w:hAnsi="Arial Narrow"/>
                <w:i/>
                <w:lang w:val="es-ES" w:eastAsia="es-ES"/>
              </w:rPr>
            </w:pPr>
            <w:r w:rsidRPr="00D01CDE">
              <w:rPr>
                <w:rFonts w:ascii="Arial Narrow" w:hAnsi="Arial Narrow"/>
                <w:i/>
                <w:lang w:val="es-ES" w:eastAsia="es-ES"/>
              </w:rPr>
              <w:t>73</w:t>
            </w:r>
          </w:p>
        </w:tc>
        <w:tc>
          <w:tcPr>
            <w:tcW w:w="1194" w:type="dxa"/>
            <w:tcBorders>
              <w:top w:val="single" w:sz="2" w:space="0" w:color="auto"/>
              <w:bottom w:val="single" w:sz="4" w:space="0" w:color="auto"/>
            </w:tcBorders>
            <w:vAlign w:val="center"/>
          </w:tcPr>
          <w:p w:rsidR="00770518" w:rsidRPr="00D01CDE" w:rsidRDefault="00770518" w:rsidP="0034364C">
            <w:pPr>
              <w:spacing w:after="0"/>
              <w:ind w:firstLine="0"/>
              <w:jc w:val="right"/>
              <w:rPr>
                <w:rFonts w:ascii="Arial Narrow" w:hAnsi="Arial Narrow"/>
                <w:i/>
                <w:lang w:val="es-ES" w:eastAsia="es-ES"/>
              </w:rPr>
            </w:pPr>
            <w:r w:rsidRPr="00D01CDE">
              <w:rPr>
                <w:rFonts w:ascii="Arial Narrow" w:hAnsi="Arial Narrow"/>
                <w:i/>
                <w:lang w:val="es-ES" w:eastAsia="es-ES"/>
              </w:rPr>
              <w:t>69</w:t>
            </w:r>
          </w:p>
        </w:tc>
        <w:tc>
          <w:tcPr>
            <w:tcW w:w="1194" w:type="dxa"/>
            <w:tcBorders>
              <w:top w:val="single" w:sz="2" w:space="0" w:color="auto"/>
              <w:bottom w:val="single" w:sz="4" w:space="0" w:color="auto"/>
            </w:tcBorders>
            <w:vAlign w:val="center"/>
          </w:tcPr>
          <w:p w:rsidR="00770518" w:rsidRPr="00D01CDE" w:rsidRDefault="00770518" w:rsidP="0034364C">
            <w:pPr>
              <w:spacing w:after="0"/>
              <w:ind w:firstLine="0"/>
              <w:jc w:val="right"/>
              <w:rPr>
                <w:rFonts w:ascii="Arial Narrow" w:hAnsi="Arial Narrow"/>
                <w:i/>
                <w:lang w:val="es-ES" w:eastAsia="es-ES"/>
              </w:rPr>
            </w:pPr>
            <w:r w:rsidRPr="00D01CDE">
              <w:rPr>
                <w:rFonts w:ascii="Arial Narrow" w:hAnsi="Arial Narrow"/>
                <w:i/>
                <w:lang w:val="es-ES" w:eastAsia="es-ES"/>
              </w:rPr>
              <w:t>71</w:t>
            </w:r>
          </w:p>
        </w:tc>
      </w:tr>
    </w:tbl>
    <w:p w:rsidR="008C56C8" w:rsidRDefault="003E6262" w:rsidP="00770518">
      <w:pPr>
        <w:pStyle w:val="texto"/>
        <w:spacing w:before="240"/>
      </w:pPr>
      <w:r w:rsidRPr="005A4461">
        <w:t xml:space="preserve">Es decir, la aportación del Gobierno </w:t>
      </w:r>
      <w:r w:rsidR="00B97F9B">
        <w:t xml:space="preserve">de Navarra </w:t>
      </w:r>
      <w:r w:rsidRPr="005A4461">
        <w:t>se mantiene con cierta es</w:t>
      </w:r>
      <w:r w:rsidR="006104B0" w:rsidRPr="005A4461">
        <w:t xml:space="preserve">tabilidad en los años 2013-2016 y aumenta </w:t>
      </w:r>
      <w:r w:rsidRPr="005A4461">
        <w:t>3,5 millones en 2017.</w:t>
      </w:r>
    </w:p>
    <w:p w:rsidR="005A4461" w:rsidRPr="00DE7D34" w:rsidRDefault="00486044" w:rsidP="00DE7D3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DE7D34">
        <w:t xml:space="preserve">Hemos analizado los ingresos por transferencias corrientes relativos a Internacionalización y cooperación al desarrollo. Su importe reconocido asciende a 1,1 millones </w:t>
      </w:r>
      <w:r w:rsidR="003A0C00" w:rsidRPr="00DE7D34">
        <w:t xml:space="preserve">de euros </w:t>
      </w:r>
      <w:r w:rsidRPr="00DE7D34">
        <w:t xml:space="preserve">y se han cobrado </w:t>
      </w:r>
      <w:r w:rsidR="00B64B6C" w:rsidRPr="00DE7D34">
        <w:t xml:space="preserve">en su totalidad </w:t>
      </w:r>
      <w:r w:rsidRPr="00DE7D34">
        <w:t>en el ejercicio</w:t>
      </w:r>
      <w:r w:rsidR="00B64B6C" w:rsidRPr="00DE7D34">
        <w:t xml:space="preserve"> 2017.</w:t>
      </w:r>
    </w:p>
    <w:p w:rsidR="00DD277E" w:rsidRDefault="003A0C00" w:rsidP="00DD277E">
      <w:pPr>
        <w:pStyle w:val="texto"/>
        <w:tabs>
          <w:tab w:val="clear" w:pos="2835"/>
          <w:tab w:val="clear" w:pos="3969"/>
          <w:tab w:val="clear" w:pos="5103"/>
          <w:tab w:val="clear" w:pos="6237"/>
          <w:tab w:val="clear" w:pos="7371"/>
          <w:tab w:val="num" w:pos="300"/>
          <w:tab w:val="num" w:pos="720"/>
        </w:tabs>
        <w:spacing w:before="120" w:after="120"/>
        <w:rPr>
          <w:szCs w:val="26"/>
        </w:rPr>
      </w:pPr>
      <w:r>
        <w:rPr>
          <w:szCs w:val="26"/>
        </w:rPr>
        <w:t>Con respecto al 2016, estos ingresos han aumentado un 34 por ciento</w:t>
      </w:r>
      <w:r w:rsidR="0064659B">
        <w:rPr>
          <w:szCs w:val="26"/>
        </w:rPr>
        <w:t xml:space="preserve">; </w:t>
      </w:r>
      <w:r w:rsidR="00DD277E">
        <w:rPr>
          <w:szCs w:val="26"/>
        </w:rPr>
        <w:t>en 2017 se han reconocido ingresos por un pago realizado por error desde el Organismo Autónomo Programas educativos europeos (SEPI) que se ha devuelto en 2018. Sin tener en cuenta este importe</w:t>
      </w:r>
      <w:r w:rsidR="007579DD">
        <w:rPr>
          <w:szCs w:val="26"/>
        </w:rPr>
        <w:t>,</w:t>
      </w:r>
      <w:r w:rsidR="00DD277E">
        <w:rPr>
          <w:szCs w:val="26"/>
        </w:rPr>
        <w:t xml:space="preserve"> el incremento de estos ingresos </w:t>
      </w:r>
      <w:r w:rsidR="008E1D90">
        <w:rPr>
          <w:szCs w:val="26"/>
        </w:rPr>
        <w:t>respecto a 2016 sería de</w:t>
      </w:r>
      <w:r w:rsidR="007579DD">
        <w:rPr>
          <w:szCs w:val="26"/>
        </w:rPr>
        <w:t>l</w:t>
      </w:r>
      <w:r w:rsidR="008E1D90">
        <w:rPr>
          <w:szCs w:val="26"/>
        </w:rPr>
        <w:t xml:space="preserve"> 15 por ciento.</w:t>
      </w:r>
    </w:p>
    <w:p w:rsidR="0064659B" w:rsidRDefault="0064659B" w:rsidP="00DD277E">
      <w:pPr>
        <w:pStyle w:val="texto"/>
        <w:tabs>
          <w:tab w:val="clear" w:pos="2835"/>
          <w:tab w:val="clear" w:pos="3969"/>
          <w:tab w:val="clear" w:pos="5103"/>
          <w:tab w:val="clear" w:pos="6237"/>
          <w:tab w:val="clear" w:pos="7371"/>
          <w:tab w:val="num" w:pos="300"/>
          <w:tab w:val="num" w:pos="720"/>
        </w:tabs>
        <w:spacing w:before="120" w:after="120"/>
        <w:rPr>
          <w:szCs w:val="26"/>
        </w:rPr>
      </w:pPr>
      <w:r>
        <w:rPr>
          <w:szCs w:val="26"/>
        </w:rPr>
        <w:t xml:space="preserve">Estos ingresos proceden </w:t>
      </w:r>
      <w:r w:rsidR="005C39D2">
        <w:rPr>
          <w:szCs w:val="26"/>
        </w:rPr>
        <w:t xml:space="preserve">fundamentalmente </w:t>
      </w:r>
      <w:r w:rsidR="007579DD">
        <w:rPr>
          <w:szCs w:val="26"/>
        </w:rPr>
        <w:t xml:space="preserve">del </w:t>
      </w:r>
      <w:r>
        <w:rPr>
          <w:szCs w:val="26"/>
        </w:rPr>
        <w:t xml:space="preserve">SEPI, un 73 por ciento, y del convenio con una entidad bancaria, un 11 por ciento, </w:t>
      </w:r>
      <w:r w:rsidR="008E1D90">
        <w:rPr>
          <w:szCs w:val="26"/>
        </w:rPr>
        <w:t xml:space="preserve">para financiar </w:t>
      </w:r>
      <w:r>
        <w:rPr>
          <w:szCs w:val="26"/>
        </w:rPr>
        <w:t xml:space="preserve">programas de movilidad Erasmus. </w:t>
      </w:r>
    </w:p>
    <w:p w:rsidR="00FB21CE" w:rsidRDefault="00FB21CE" w:rsidP="00DD277E">
      <w:pPr>
        <w:pStyle w:val="texto"/>
        <w:tabs>
          <w:tab w:val="clear" w:pos="2835"/>
          <w:tab w:val="clear" w:pos="3969"/>
          <w:tab w:val="clear" w:pos="5103"/>
          <w:tab w:val="clear" w:pos="6237"/>
          <w:tab w:val="clear" w:pos="7371"/>
          <w:tab w:val="num" w:pos="300"/>
          <w:tab w:val="num" w:pos="720"/>
        </w:tabs>
        <w:spacing w:before="120" w:after="120"/>
        <w:rPr>
          <w:szCs w:val="26"/>
        </w:rPr>
      </w:pPr>
      <w:r>
        <w:rPr>
          <w:szCs w:val="26"/>
        </w:rPr>
        <w:t xml:space="preserve">Hemos seleccionado una muestra de </w:t>
      </w:r>
      <w:r w:rsidR="003312B7">
        <w:rPr>
          <w:szCs w:val="26"/>
        </w:rPr>
        <w:t xml:space="preserve">estos </w:t>
      </w:r>
      <w:r>
        <w:rPr>
          <w:szCs w:val="26"/>
        </w:rPr>
        <w:t xml:space="preserve">ingresos </w:t>
      </w:r>
      <w:r w:rsidR="0093353E">
        <w:rPr>
          <w:szCs w:val="26"/>
        </w:rPr>
        <w:t xml:space="preserve">y hemos </w:t>
      </w:r>
      <w:r>
        <w:rPr>
          <w:szCs w:val="26"/>
        </w:rPr>
        <w:t>comproba</w:t>
      </w:r>
      <w:r w:rsidR="0093353E">
        <w:rPr>
          <w:szCs w:val="26"/>
        </w:rPr>
        <w:t>do</w:t>
      </w:r>
      <w:r>
        <w:rPr>
          <w:szCs w:val="26"/>
        </w:rPr>
        <w:t xml:space="preserve"> la finalidad de la subvención, </w:t>
      </w:r>
      <w:r w:rsidR="0093353E">
        <w:rPr>
          <w:szCs w:val="26"/>
        </w:rPr>
        <w:t xml:space="preserve">el </w:t>
      </w:r>
      <w:r>
        <w:rPr>
          <w:szCs w:val="26"/>
        </w:rPr>
        <w:t xml:space="preserve">criterio de registro contable aplicado, </w:t>
      </w:r>
      <w:r w:rsidR="0093353E">
        <w:rPr>
          <w:szCs w:val="26"/>
        </w:rPr>
        <w:t xml:space="preserve">las </w:t>
      </w:r>
      <w:r>
        <w:rPr>
          <w:szCs w:val="26"/>
        </w:rPr>
        <w:t>justificaci</w:t>
      </w:r>
      <w:r w:rsidR="0093353E">
        <w:rPr>
          <w:szCs w:val="26"/>
        </w:rPr>
        <w:t>ones presentadas</w:t>
      </w:r>
      <w:r>
        <w:rPr>
          <w:szCs w:val="26"/>
        </w:rPr>
        <w:t xml:space="preserve"> y </w:t>
      </w:r>
      <w:r w:rsidR="0093353E">
        <w:rPr>
          <w:szCs w:val="26"/>
        </w:rPr>
        <w:t xml:space="preserve">el </w:t>
      </w:r>
      <w:r>
        <w:rPr>
          <w:szCs w:val="26"/>
        </w:rPr>
        <w:t>control</w:t>
      </w:r>
      <w:r w:rsidR="00325449">
        <w:rPr>
          <w:szCs w:val="26"/>
        </w:rPr>
        <w:t xml:space="preserve"> </w:t>
      </w:r>
      <w:r w:rsidR="0093353E">
        <w:rPr>
          <w:szCs w:val="26"/>
        </w:rPr>
        <w:t>realiza</w:t>
      </w:r>
      <w:r w:rsidR="00325449">
        <w:rPr>
          <w:szCs w:val="26"/>
        </w:rPr>
        <w:t>do para garantizar la correcta aplicación de los fondos recibidos</w:t>
      </w:r>
      <w:r w:rsidR="0093353E">
        <w:rPr>
          <w:szCs w:val="26"/>
        </w:rPr>
        <w:t>,</w:t>
      </w:r>
      <w:r w:rsidR="00325449">
        <w:rPr>
          <w:szCs w:val="26"/>
        </w:rPr>
        <w:t xml:space="preserve"> </w:t>
      </w:r>
      <w:r w:rsidR="0093353E">
        <w:rPr>
          <w:szCs w:val="26"/>
        </w:rPr>
        <w:t xml:space="preserve">obteniendo </w:t>
      </w:r>
      <w:r w:rsidR="00325449">
        <w:rPr>
          <w:szCs w:val="26"/>
        </w:rPr>
        <w:t>un resultado razonable.</w:t>
      </w:r>
    </w:p>
    <w:p w:rsidR="00670292" w:rsidRDefault="00670292">
      <w:pPr>
        <w:spacing w:after="0"/>
        <w:ind w:firstLine="0"/>
        <w:jc w:val="left"/>
        <w:rPr>
          <w:rFonts w:ascii="Arial" w:hAnsi="Arial"/>
          <w:iCs/>
          <w:color w:val="000000"/>
          <w:spacing w:val="10"/>
          <w:kern w:val="28"/>
          <w:sz w:val="25"/>
          <w:szCs w:val="26"/>
        </w:rPr>
      </w:pPr>
      <w:r>
        <w:rPr>
          <w:i/>
        </w:rPr>
        <w:br w:type="page"/>
      </w:r>
    </w:p>
    <w:p w:rsidR="00B64B6C" w:rsidRPr="001E3A33" w:rsidRDefault="005245C0" w:rsidP="00DE7D34">
      <w:pPr>
        <w:pStyle w:val="atitulo3"/>
        <w:spacing w:before="240"/>
        <w:rPr>
          <w:i w:val="0"/>
        </w:rPr>
      </w:pPr>
      <w:r w:rsidRPr="001E3A33">
        <w:rPr>
          <w:i w:val="0"/>
        </w:rPr>
        <w:t>VI.</w:t>
      </w:r>
      <w:r w:rsidR="00E037D2">
        <w:rPr>
          <w:i w:val="0"/>
        </w:rPr>
        <w:t>4</w:t>
      </w:r>
      <w:r w:rsidRPr="001E3A33">
        <w:rPr>
          <w:i w:val="0"/>
        </w:rPr>
        <w:t xml:space="preserve">.9. </w:t>
      </w:r>
      <w:r w:rsidR="00BF21A8" w:rsidRPr="001E3A33">
        <w:rPr>
          <w:i w:val="0"/>
        </w:rPr>
        <w:t>Deudores a corto plazo</w:t>
      </w:r>
    </w:p>
    <w:p w:rsidR="00F9184B" w:rsidRDefault="00BF21A8" w:rsidP="00EE6E9F">
      <w:pPr>
        <w:pStyle w:val="texto"/>
        <w:tabs>
          <w:tab w:val="clear" w:pos="2835"/>
          <w:tab w:val="clear" w:pos="3969"/>
          <w:tab w:val="clear" w:pos="5103"/>
          <w:tab w:val="clear" w:pos="6237"/>
          <w:tab w:val="clear" w:pos="7371"/>
          <w:tab w:val="num" w:pos="300"/>
          <w:tab w:val="num" w:pos="720"/>
        </w:tabs>
        <w:spacing w:before="240" w:after="0"/>
        <w:rPr>
          <w:szCs w:val="26"/>
        </w:rPr>
      </w:pPr>
      <w:r>
        <w:rPr>
          <w:szCs w:val="26"/>
        </w:rPr>
        <w:t xml:space="preserve">El saldo de deudores a 31 de diciembre de 2017 asciende a </w:t>
      </w:r>
      <w:r w:rsidR="003312B7">
        <w:rPr>
          <w:szCs w:val="26"/>
        </w:rPr>
        <w:t>1,81</w:t>
      </w:r>
      <w:r>
        <w:rPr>
          <w:szCs w:val="26"/>
        </w:rPr>
        <w:t xml:space="preserve"> millones de euros y corresponde a:</w:t>
      </w:r>
      <w:r w:rsidR="00F9184B">
        <w:rPr>
          <w:szCs w:val="26"/>
        </w:rPr>
        <w:t xml:space="preserve"> </w:t>
      </w:r>
    </w:p>
    <w:p w:rsidR="005905F4" w:rsidRPr="00F5594F" w:rsidRDefault="00F9184B" w:rsidP="00670292">
      <w:pPr>
        <w:pStyle w:val="texto"/>
        <w:tabs>
          <w:tab w:val="clear" w:pos="2835"/>
          <w:tab w:val="clear" w:pos="3969"/>
          <w:tab w:val="clear" w:pos="5103"/>
          <w:tab w:val="clear" w:pos="6237"/>
          <w:tab w:val="clear" w:pos="7371"/>
          <w:tab w:val="num" w:pos="300"/>
          <w:tab w:val="num" w:pos="720"/>
        </w:tabs>
        <w:spacing w:after="40"/>
        <w:jc w:val="right"/>
        <w:rPr>
          <w:rFonts w:ascii="Arial" w:hAnsi="Arial" w:cs="Arial"/>
          <w:sz w:val="18"/>
          <w:szCs w:val="18"/>
        </w:rPr>
      </w:pPr>
      <w:r w:rsidRPr="00F5594F">
        <w:rPr>
          <w:rFonts w:ascii="Arial" w:hAnsi="Arial" w:cs="Arial"/>
          <w:sz w:val="18"/>
          <w:szCs w:val="18"/>
        </w:rPr>
        <w:tab/>
      </w:r>
      <w:r w:rsidR="0000117B" w:rsidRPr="00F5594F">
        <w:rPr>
          <w:rFonts w:ascii="Arial" w:hAnsi="Arial" w:cs="Arial"/>
          <w:sz w:val="18"/>
          <w:szCs w:val="18"/>
        </w:rPr>
        <w:t>(En miles de euros)</w:t>
      </w:r>
    </w:p>
    <w:tbl>
      <w:tblPr>
        <w:tblW w:w="9008"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3985"/>
        <w:gridCol w:w="1570"/>
        <w:gridCol w:w="64"/>
        <w:gridCol w:w="1978"/>
        <w:gridCol w:w="1411"/>
      </w:tblGrid>
      <w:tr w:rsidR="005905F4" w:rsidRPr="00283C58" w:rsidTr="00EE6E9F">
        <w:trPr>
          <w:trHeight w:val="284"/>
          <w:jc w:val="center"/>
        </w:trPr>
        <w:tc>
          <w:tcPr>
            <w:tcW w:w="3985" w:type="dxa"/>
            <w:tcBorders>
              <w:top w:val="single" w:sz="4" w:space="0" w:color="auto"/>
              <w:bottom w:val="single" w:sz="4" w:space="0" w:color="auto"/>
            </w:tcBorders>
            <w:shd w:val="clear" w:color="auto" w:fill="A8CBEE" w:themeFill="accent2" w:themeFillTint="66"/>
            <w:noWrap/>
            <w:vAlign w:val="center"/>
          </w:tcPr>
          <w:p w:rsidR="005905F4" w:rsidRPr="00283C58" w:rsidRDefault="005905F4" w:rsidP="00C73DB2">
            <w:pPr>
              <w:pStyle w:val="cuadroCabe"/>
              <w:tabs>
                <w:tab w:val="clear" w:pos="2835"/>
                <w:tab w:val="right" w:pos="2589"/>
              </w:tabs>
              <w:ind w:right="462"/>
              <w:rPr>
                <w:rFonts w:cs="Arial"/>
                <w:szCs w:val="18"/>
                <w:lang w:val="es-ES" w:eastAsia="es-ES"/>
              </w:rPr>
            </w:pPr>
            <w:r w:rsidRPr="00283C58">
              <w:rPr>
                <w:rFonts w:cs="Arial"/>
                <w:szCs w:val="18"/>
                <w:lang w:val="es-ES" w:eastAsia="es-ES"/>
              </w:rPr>
              <w:t>Deudores</w:t>
            </w:r>
          </w:p>
        </w:tc>
        <w:tc>
          <w:tcPr>
            <w:tcW w:w="1634" w:type="dxa"/>
            <w:gridSpan w:val="2"/>
            <w:tcBorders>
              <w:top w:val="single" w:sz="4" w:space="0" w:color="auto"/>
              <w:bottom w:val="single" w:sz="4" w:space="0" w:color="auto"/>
            </w:tcBorders>
            <w:shd w:val="clear" w:color="auto" w:fill="A8CBEE" w:themeFill="accent2" w:themeFillTint="66"/>
            <w:vAlign w:val="center"/>
          </w:tcPr>
          <w:p w:rsidR="005905F4" w:rsidRPr="00283C58" w:rsidRDefault="005905F4" w:rsidP="005905F4">
            <w:pPr>
              <w:spacing w:after="0"/>
              <w:ind w:hanging="608"/>
              <w:jc w:val="right"/>
              <w:rPr>
                <w:rFonts w:ascii="Arial" w:hAnsi="Arial" w:cs="Arial"/>
                <w:bCs/>
                <w:sz w:val="18"/>
                <w:szCs w:val="18"/>
                <w:lang w:val="es-ES" w:eastAsia="es-ES"/>
              </w:rPr>
            </w:pPr>
            <w:r w:rsidRPr="00283C58">
              <w:rPr>
                <w:rFonts w:ascii="Arial" w:hAnsi="Arial" w:cs="Arial"/>
                <w:bCs/>
                <w:sz w:val="18"/>
                <w:szCs w:val="18"/>
                <w:lang w:val="es-ES" w:eastAsia="es-ES"/>
              </w:rPr>
              <w:t>31/12/2016</w:t>
            </w:r>
          </w:p>
        </w:tc>
        <w:tc>
          <w:tcPr>
            <w:tcW w:w="1978" w:type="dxa"/>
            <w:tcBorders>
              <w:top w:val="single" w:sz="4" w:space="0" w:color="auto"/>
              <w:bottom w:val="single" w:sz="4" w:space="0" w:color="auto"/>
            </w:tcBorders>
            <w:shd w:val="clear" w:color="auto" w:fill="A8CBEE" w:themeFill="accent2" w:themeFillTint="66"/>
            <w:vAlign w:val="center"/>
          </w:tcPr>
          <w:p w:rsidR="005905F4" w:rsidRPr="00283C58" w:rsidRDefault="005905F4" w:rsidP="005905F4">
            <w:pPr>
              <w:spacing w:after="0"/>
              <w:ind w:hanging="608"/>
              <w:jc w:val="right"/>
              <w:rPr>
                <w:rFonts w:ascii="Arial" w:hAnsi="Arial" w:cs="Arial"/>
                <w:bCs/>
                <w:color w:val="000000"/>
                <w:sz w:val="18"/>
                <w:szCs w:val="18"/>
                <w:lang w:val="es-ES" w:eastAsia="es-ES"/>
              </w:rPr>
            </w:pPr>
            <w:r w:rsidRPr="00283C58">
              <w:rPr>
                <w:rFonts w:ascii="Arial" w:hAnsi="Arial" w:cs="Arial"/>
                <w:bCs/>
                <w:color w:val="000000"/>
                <w:sz w:val="18"/>
                <w:szCs w:val="18"/>
                <w:lang w:val="es-ES" w:eastAsia="es-ES"/>
              </w:rPr>
              <w:t>31/12/2017</w:t>
            </w:r>
          </w:p>
        </w:tc>
        <w:tc>
          <w:tcPr>
            <w:tcW w:w="1411" w:type="dxa"/>
            <w:tcBorders>
              <w:top w:val="single" w:sz="4" w:space="0" w:color="auto"/>
              <w:bottom w:val="single" w:sz="4" w:space="0" w:color="auto"/>
            </w:tcBorders>
            <w:shd w:val="clear" w:color="auto" w:fill="A8CBEE" w:themeFill="accent2" w:themeFillTint="66"/>
            <w:vAlign w:val="center"/>
          </w:tcPr>
          <w:p w:rsidR="005905F4" w:rsidRPr="00283C58" w:rsidRDefault="005905F4" w:rsidP="005905F4">
            <w:pPr>
              <w:spacing w:after="0"/>
              <w:ind w:hanging="608"/>
              <w:jc w:val="right"/>
              <w:rPr>
                <w:rFonts w:ascii="Arial" w:hAnsi="Arial" w:cs="Arial"/>
                <w:bCs/>
                <w:color w:val="000000"/>
                <w:sz w:val="18"/>
                <w:szCs w:val="18"/>
                <w:lang w:val="es-ES" w:eastAsia="es-ES"/>
              </w:rPr>
            </w:pPr>
            <w:r w:rsidRPr="00283C58">
              <w:rPr>
                <w:rFonts w:ascii="Arial" w:hAnsi="Arial" w:cs="Arial"/>
                <w:bCs/>
                <w:color w:val="000000"/>
                <w:sz w:val="18"/>
                <w:szCs w:val="18"/>
                <w:lang w:val="es-ES" w:eastAsia="es-ES"/>
              </w:rPr>
              <w:t xml:space="preserve">% variación </w:t>
            </w:r>
          </w:p>
          <w:p w:rsidR="005905F4" w:rsidRPr="00283C58" w:rsidRDefault="005905F4" w:rsidP="005905F4">
            <w:pPr>
              <w:spacing w:after="0"/>
              <w:ind w:hanging="608"/>
              <w:jc w:val="right"/>
              <w:rPr>
                <w:rFonts w:ascii="Arial" w:hAnsi="Arial" w:cs="Arial"/>
                <w:bCs/>
                <w:color w:val="000000"/>
                <w:sz w:val="18"/>
                <w:szCs w:val="18"/>
                <w:lang w:val="es-ES" w:eastAsia="es-ES"/>
              </w:rPr>
            </w:pPr>
            <w:r w:rsidRPr="00283C58">
              <w:rPr>
                <w:rFonts w:ascii="Arial" w:hAnsi="Arial" w:cs="Arial"/>
                <w:bCs/>
                <w:color w:val="000000"/>
                <w:sz w:val="18"/>
                <w:szCs w:val="18"/>
                <w:lang w:val="es-ES" w:eastAsia="es-ES"/>
              </w:rPr>
              <w:t>2017/2016</w:t>
            </w:r>
          </w:p>
        </w:tc>
      </w:tr>
      <w:tr w:rsidR="005905F4" w:rsidRPr="00856C8B" w:rsidTr="00EE6E9F">
        <w:trPr>
          <w:trHeight w:val="284"/>
          <w:jc w:val="center"/>
        </w:trPr>
        <w:tc>
          <w:tcPr>
            <w:tcW w:w="3985" w:type="dxa"/>
            <w:tcBorders>
              <w:top w:val="single" w:sz="4" w:space="0" w:color="auto"/>
              <w:bottom w:val="single" w:sz="2" w:space="0" w:color="auto"/>
            </w:tcBorders>
            <w:shd w:val="clear" w:color="auto" w:fill="auto"/>
            <w:noWrap/>
            <w:vAlign w:val="center"/>
          </w:tcPr>
          <w:p w:rsidR="005905F4" w:rsidRPr="00856C8B" w:rsidRDefault="005905F4" w:rsidP="00C73DB2">
            <w:pPr>
              <w:spacing w:after="0"/>
              <w:ind w:firstLine="0"/>
              <w:jc w:val="left"/>
              <w:rPr>
                <w:rFonts w:ascii="Arial Narrow" w:hAnsi="Arial Narrow"/>
                <w:lang w:val="es-ES" w:eastAsia="es-ES"/>
              </w:rPr>
            </w:pPr>
            <w:r w:rsidRPr="00856C8B">
              <w:rPr>
                <w:rFonts w:ascii="Arial Narrow" w:hAnsi="Arial Narrow"/>
                <w:lang w:val="es-ES" w:eastAsia="es-ES"/>
              </w:rPr>
              <w:t>Deudores presupuestarios</w:t>
            </w:r>
          </w:p>
        </w:tc>
        <w:tc>
          <w:tcPr>
            <w:tcW w:w="1570" w:type="dxa"/>
            <w:tcBorders>
              <w:top w:val="single" w:sz="4" w:space="0" w:color="auto"/>
              <w:bottom w:val="single" w:sz="2" w:space="0" w:color="auto"/>
            </w:tcBorders>
            <w:vAlign w:val="center"/>
          </w:tcPr>
          <w:p w:rsidR="005905F4" w:rsidRPr="00856C8B" w:rsidRDefault="00381411" w:rsidP="005905F4">
            <w:pPr>
              <w:spacing w:after="0"/>
              <w:ind w:hanging="608"/>
              <w:jc w:val="right"/>
              <w:rPr>
                <w:rFonts w:ascii="Arial Narrow" w:hAnsi="Arial Narrow"/>
                <w:lang w:val="es-ES" w:eastAsia="es-ES"/>
              </w:rPr>
            </w:pPr>
            <w:r w:rsidRPr="00856C8B">
              <w:rPr>
                <w:rFonts w:ascii="Arial Narrow" w:hAnsi="Arial Narrow"/>
                <w:lang w:val="es-ES" w:eastAsia="es-ES"/>
              </w:rPr>
              <w:t>2.333</w:t>
            </w:r>
          </w:p>
        </w:tc>
        <w:tc>
          <w:tcPr>
            <w:tcW w:w="2042" w:type="dxa"/>
            <w:gridSpan w:val="2"/>
            <w:tcBorders>
              <w:top w:val="single" w:sz="4" w:space="0" w:color="auto"/>
              <w:bottom w:val="single" w:sz="2" w:space="0" w:color="auto"/>
            </w:tcBorders>
            <w:vAlign w:val="center"/>
          </w:tcPr>
          <w:p w:rsidR="005905F4" w:rsidRPr="00856C8B" w:rsidRDefault="00F9184B" w:rsidP="005905F4">
            <w:pPr>
              <w:spacing w:after="0"/>
              <w:ind w:hanging="608"/>
              <w:jc w:val="right"/>
              <w:rPr>
                <w:rFonts w:ascii="Arial Narrow" w:hAnsi="Arial Narrow"/>
                <w:lang w:val="es-ES" w:eastAsia="es-ES"/>
              </w:rPr>
            </w:pPr>
            <w:r w:rsidRPr="00856C8B">
              <w:rPr>
                <w:rFonts w:ascii="Arial Narrow" w:hAnsi="Arial Narrow"/>
                <w:lang w:val="es-ES" w:eastAsia="es-ES"/>
              </w:rPr>
              <w:t>2.585</w:t>
            </w:r>
          </w:p>
        </w:tc>
        <w:tc>
          <w:tcPr>
            <w:tcW w:w="1411" w:type="dxa"/>
            <w:tcBorders>
              <w:top w:val="single" w:sz="4" w:space="0" w:color="auto"/>
              <w:bottom w:val="single" w:sz="2" w:space="0" w:color="auto"/>
            </w:tcBorders>
            <w:vAlign w:val="center"/>
          </w:tcPr>
          <w:p w:rsidR="005905F4" w:rsidRPr="00856C8B" w:rsidRDefault="00F9184B" w:rsidP="005905F4">
            <w:pPr>
              <w:spacing w:after="0"/>
              <w:ind w:hanging="608"/>
              <w:jc w:val="right"/>
              <w:rPr>
                <w:rFonts w:ascii="Arial Narrow" w:hAnsi="Arial Narrow"/>
                <w:lang w:val="es-ES" w:eastAsia="es-ES"/>
              </w:rPr>
            </w:pPr>
            <w:r w:rsidRPr="00856C8B">
              <w:rPr>
                <w:rFonts w:ascii="Arial Narrow" w:hAnsi="Arial Narrow"/>
                <w:lang w:val="es-ES" w:eastAsia="es-ES"/>
              </w:rPr>
              <w:t>11</w:t>
            </w:r>
          </w:p>
        </w:tc>
      </w:tr>
      <w:tr w:rsidR="005905F4" w:rsidRPr="00856C8B" w:rsidTr="00EE6E9F">
        <w:trPr>
          <w:trHeight w:val="284"/>
          <w:jc w:val="center"/>
        </w:trPr>
        <w:tc>
          <w:tcPr>
            <w:tcW w:w="3985" w:type="dxa"/>
            <w:tcBorders>
              <w:top w:val="single" w:sz="2" w:space="0" w:color="auto"/>
              <w:bottom w:val="single" w:sz="2" w:space="0" w:color="auto"/>
            </w:tcBorders>
            <w:shd w:val="clear" w:color="auto" w:fill="auto"/>
            <w:noWrap/>
            <w:vAlign w:val="center"/>
          </w:tcPr>
          <w:p w:rsidR="005905F4" w:rsidRPr="00856C8B" w:rsidRDefault="005905F4" w:rsidP="00C73DB2">
            <w:pPr>
              <w:spacing w:after="0"/>
              <w:ind w:firstLine="0"/>
              <w:jc w:val="left"/>
              <w:rPr>
                <w:rFonts w:ascii="Arial Narrow" w:hAnsi="Arial Narrow"/>
                <w:lang w:val="es-ES" w:eastAsia="es-ES"/>
              </w:rPr>
            </w:pPr>
            <w:r w:rsidRPr="00856C8B">
              <w:rPr>
                <w:rFonts w:ascii="Arial Narrow" w:hAnsi="Arial Narrow"/>
                <w:lang w:val="es-ES" w:eastAsia="es-ES"/>
              </w:rPr>
              <w:t>Deudores no presupuestarios</w:t>
            </w:r>
          </w:p>
        </w:tc>
        <w:tc>
          <w:tcPr>
            <w:tcW w:w="1570" w:type="dxa"/>
            <w:tcBorders>
              <w:top w:val="single" w:sz="2" w:space="0" w:color="auto"/>
              <w:bottom w:val="single" w:sz="2" w:space="0" w:color="auto"/>
            </w:tcBorders>
            <w:vAlign w:val="center"/>
          </w:tcPr>
          <w:p w:rsidR="005905F4" w:rsidRPr="00856C8B" w:rsidRDefault="00381411" w:rsidP="005905F4">
            <w:pPr>
              <w:spacing w:after="0"/>
              <w:ind w:hanging="608"/>
              <w:jc w:val="right"/>
              <w:rPr>
                <w:rFonts w:ascii="Arial Narrow" w:hAnsi="Arial Narrow"/>
                <w:lang w:val="es-ES" w:eastAsia="es-ES"/>
              </w:rPr>
            </w:pPr>
            <w:r w:rsidRPr="00856C8B">
              <w:rPr>
                <w:rFonts w:ascii="Arial Narrow" w:hAnsi="Arial Narrow"/>
                <w:lang w:val="es-ES" w:eastAsia="es-ES"/>
              </w:rPr>
              <w:t>194</w:t>
            </w:r>
          </w:p>
        </w:tc>
        <w:tc>
          <w:tcPr>
            <w:tcW w:w="2042" w:type="dxa"/>
            <w:gridSpan w:val="2"/>
            <w:tcBorders>
              <w:top w:val="single" w:sz="2" w:space="0" w:color="auto"/>
              <w:bottom w:val="single" w:sz="2" w:space="0" w:color="auto"/>
            </w:tcBorders>
            <w:vAlign w:val="center"/>
          </w:tcPr>
          <w:p w:rsidR="005905F4" w:rsidRPr="00856C8B" w:rsidRDefault="00F9184B" w:rsidP="005905F4">
            <w:pPr>
              <w:spacing w:after="0"/>
              <w:ind w:hanging="608"/>
              <w:jc w:val="right"/>
              <w:rPr>
                <w:rFonts w:ascii="Arial Narrow" w:hAnsi="Arial Narrow"/>
                <w:lang w:val="es-ES" w:eastAsia="es-ES"/>
              </w:rPr>
            </w:pPr>
            <w:r w:rsidRPr="00856C8B">
              <w:rPr>
                <w:rFonts w:ascii="Arial Narrow" w:hAnsi="Arial Narrow"/>
                <w:lang w:val="es-ES" w:eastAsia="es-ES"/>
              </w:rPr>
              <w:t>227</w:t>
            </w:r>
          </w:p>
        </w:tc>
        <w:tc>
          <w:tcPr>
            <w:tcW w:w="1411" w:type="dxa"/>
            <w:tcBorders>
              <w:top w:val="single" w:sz="2" w:space="0" w:color="auto"/>
              <w:bottom w:val="single" w:sz="2" w:space="0" w:color="auto"/>
            </w:tcBorders>
            <w:vAlign w:val="center"/>
          </w:tcPr>
          <w:p w:rsidR="005905F4" w:rsidRPr="00856C8B" w:rsidRDefault="00F9184B" w:rsidP="005905F4">
            <w:pPr>
              <w:spacing w:after="0"/>
              <w:ind w:hanging="608"/>
              <w:jc w:val="right"/>
              <w:rPr>
                <w:rFonts w:ascii="Arial Narrow" w:hAnsi="Arial Narrow"/>
                <w:lang w:val="es-ES" w:eastAsia="es-ES"/>
              </w:rPr>
            </w:pPr>
            <w:r w:rsidRPr="00856C8B">
              <w:rPr>
                <w:rFonts w:ascii="Arial Narrow" w:hAnsi="Arial Narrow"/>
                <w:lang w:val="es-ES" w:eastAsia="es-ES"/>
              </w:rPr>
              <w:t>17</w:t>
            </w:r>
          </w:p>
        </w:tc>
      </w:tr>
      <w:tr w:rsidR="005905F4" w:rsidRPr="00856C8B" w:rsidTr="00EE6E9F">
        <w:trPr>
          <w:trHeight w:val="284"/>
          <w:jc w:val="center"/>
        </w:trPr>
        <w:tc>
          <w:tcPr>
            <w:tcW w:w="3985" w:type="dxa"/>
            <w:tcBorders>
              <w:top w:val="single" w:sz="2" w:space="0" w:color="auto"/>
              <w:bottom w:val="single" w:sz="2" w:space="0" w:color="auto"/>
            </w:tcBorders>
            <w:shd w:val="clear" w:color="auto" w:fill="auto"/>
            <w:noWrap/>
            <w:vAlign w:val="center"/>
          </w:tcPr>
          <w:p w:rsidR="005905F4" w:rsidRPr="00856C8B" w:rsidRDefault="005905F4" w:rsidP="00C73DB2">
            <w:pPr>
              <w:spacing w:after="0"/>
              <w:ind w:firstLine="0"/>
              <w:jc w:val="left"/>
              <w:rPr>
                <w:rFonts w:ascii="Arial Narrow" w:hAnsi="Arial Narrow"/>
                <w:lang w:val="es-ES" w:eastAsia="es-ES"/>
              </w:rPr>
            </w:pPr>
            <w:r w:rsidRPr="00856C8B">
              <w:rPr>
                <w:rFonts w:ascii="Arial Narrow" w:hAnsi="Arial Narrow"/>
                <w:lang w:val="es-ES" w:eastAsia="es-ES"/>
              </w:rPr>
              <w:t>Administraciones públicas</w:t>
            </w:r>
          </w:p>
        </w:tc>
        <w:tc>
          <w:tcPr>
            <w:tcW w:w="1570" w:type="dxa"/>
            <w:tcBorders>
              <w:top w:val="single" w:sz="2" w:space="0" w:color="auto"/>
              <w:bottom w:val="single" w:sz="2" w:space="0" w:color="auto"/>
            </w:tcBorders>
            <w:vAlign w:val="center"/>
          </w:tcPr>
          <w:p w:rsidR="005905F4" w:rsidRPr="00856C8B" w:rsidRDefault="00381411" w:rsidP="005905F4">
            <w:pPr>
              <w:spacing w:after="0"/>
              <w:ind w:hanging="608"/>
              <w:jc w:val="right"/>
              <w:rPr>
                <w:rFonts w:ascii="Arial Narrow" w:hAnsi="Arial Narrow"/>
                <w:lang w:val="es-ES" w:eastAsia="es-ES"/>
              </w:rPr>
            </w:pPr>
            <w:r w:rsidRPr="00856C8B">
              <w:rPr>
                <w:rFonts w:ascii="Arial Narrow" w:hAnsi="Arial Narrow"/>
                <w:lang w:val="es-ES" w:eastAsia="es-ES"/>
              </w:rPr>
              <w:t>554</w:t>
            </w:r>
          </w:p>
        </w:tc>
        <w:tc>
          <w:tcPr>
            <w:tcW w:w="2042" w:type="dxa"/>
            <w:gridSpan w:val="2"/>
            <w:tcBorders>
              <w:top w:val="single" w:sz="2" w:space="0" w:color="auto"/>
              <w:bottom w:val="single" w:sz="2" w:space="0" w:color="auto"/>
            </w:tcBorders>
            <w:vAlign w:val="center"/>
          </w:tcPr>
          <w:p w:rsidR="005905F4" w:rsidRPr="00856C8B" w:rsidRDefault="00F9184B" w:rsidP="005905F4">
            <w:pPr>
              <w:spacing w:after="0"/>
              <w:ind w:hanging="608"/>
              <w:jc w:val="right"/>
              <w:rPr>
                <w:rFonts w:ascii="Arial Narrow" w:hAnsi="Arial Narrow"/>
                <w:lang w:val="es-ES" w:eastAsia="es-ES"/>
              </w:rPr>
            </w:pPr>
            <w:r w:rsidRPr="00856C8B">
              <w:rPr>
                <w:rFonts w:ascii="Arial Narrow" w:hAnsi="Arial Narrow"/>
                <w:lang w:val="es-ES" w:eastAsia="es-ES"/>
              </w:rPr>
              <w:t>512</w:t>
            </w:r>
          </w:p>
        </w:tc>
        <w:tc>
          <w:tcPr>
            <w:tcW w:w="1411" w:type="dxa"/>
            <w:tcBorders>
              <w:top w:val="single" w:sz="2" w:space="0" w:color="auto"/>
              <w:bottom w:val="single" w:sz="2" w:space="0" w:color="auto"/>
            </w:tcBorders>
            <w:vAlign w:val="center"/>
          </w:tcPr>
          <w:p w:rsidR="005905F4" w:rsidRPr="00856C8B" w:rsidRDefault="00F9184B" w:rsidP="005905F4">
            <w:pPr>
              <w:spacing w:after="0"/>
              <w:ind w:hanging="608"/>
              <w:jc w:val="right"/>
              <w:rPr>
                <w:rFonts w:ascii="Arial Narrow" w:hAnsi="Arial Narrow"/>
                <w:lang w:val="es-ES" w:eastAsia="es-ES"/>
              </w:rPr>
            </w:pPr>
            <w:r w:rsidRPr="00856C8B">
              <w:rPr>
                <w:rFonts w:ascii="Arial Narrow" w:hAnsi="Arial Narrow"/>
                <w:lang w:val="es-ES" w:eastAsia="es-ES"/>
              </w:rPr>
              <w:t>-8</w:t>
            </w:r>
          </w:p>
        </w:tc>
      </w:tr>
      <w:tr w:rsidR="005905F4" w:rsidRPr="00856C8B" w:rsidTr="00EE6E9F">
        <w:trPr>
          <w:trHeight w:val="284"/>
          <w:jc w:val="center"/>
        </w:trPr>
        <w:tc>
          <w:tcPr>
            <w:tcW w:w="3985" w:type="dxa"/>
            <w:tcBorders>
              <w:top w:val="single" w:sz="2" w:space="0" w:color="auto"/>
              <w:bottom w:val="single" w:sz="2" w:space="0" w:color="auto"/>
            </w:tcBorders>
            <w:shd w:val="clear" w:color="auto" w:fill="auto"/>
            <w:noWrap/>
            <w:vAlign w:val="center"/>
          </w:tcPr>
          <w:p w:rsidR="005905F4" w:rsidRPr="00856C8B" w:rsidRDefault="005905F4" w:rsidP="00C73DB2">
            <w:pPr>
              <w:spacing w:after="0"/>
              <w:ind w:firstLine="0"/>
              <w:jc w:val="left"/>
              <w:rPr>
                <w:rFonts w:ascii="Arial Narrow" w:hAnsi="Arial Narrow"/>
                <w:lang w:val="es-ES" w:eastAsia="es-ES"/>
              </w:rPr>
            </w:pPr>
            <w:r w:rsidRPr="00856C8B">
              <w:rPr>
                <w:rFonts w:ascii="Arial Narrow" w:hAnsi="Arial Narrow"/>
                <w:lang w:val="es-ES" w:eastAsia="es-ES"/>
              </w:rPr>
              <w:t>Provisiones</w:t>
            </w:r>
          </w:p>
        </w:tc>
        <w:tc>
          <w:tcPr>
            <w:tcW w:w="1570" w:type="dxa"/>
            <w:tcBorders>
              <w:top w:val="single" w:sz="2" w:space="0" w:color="auto"/>
              <w:bottom w:val="single" w:sz="2" w:space="0" w:color="auto"/>
            </w:tcBorders>
            <w:vAlign w:val="center"/>
          </w:tcPr>
          <w:p w:rsidR="005905F4" w:rsidRPr="00856C8B" w:rsidRDefault="00F9184B" w:rsidP="005905F4">
            <w:pPr>
              <w:spacing w:after="0"/>
              <w:ind w:hanging="608"/>
              <w:jc w:val="right"/>
              <w:rPr>
                <w:rFonts w:ascii="Arial Narrow" w:hAnsi="Arial Narrow"/>
                <w:lang w:val="es-ES" w:eastAsia="es-ES"/>
              </w:rPr>
            </w:pPr>
            <w:r w:rsidRPr="00856C8B">
              <w:rPr>
                <w:rFonts w:ascii="Arial Narrow" w:hAnsi="Arial Narrow"/>
                <w:lang w:val="es-ES" w:eastAsia="es-ES"/>
              </w:rPr>
              <w:t>(</w:t>
            </w:r>
            <w:r w:rsidR="00381411" w:rsidRPr="00856C8B">
              <w:rPr>
                <w:rFonts w:ascii="Arial Narrow" w:hAnsi="Arial Narrow"/>
                <w:lang w:val="es-ES" w:eastAsia="es-ES"/>
              </w:rPr>
              <w:t>1.216</w:t>
            </w:r>
            <w:r w:rsidRPr="00856C8B">
              <w:rPr>
                <w:rFonts w:ascii="Arial Narrow" w:hAnsi="Arial Narrow"/>
                <w:lang w:val="es-ES" w:eastAsia="es-ES"/>
              </w:rPr>
              <w:t>)</w:t>
            </w:r>
          </w:p>
        </w:tc>
        <w:tc>
          <w:tcPr>
            <w:tcW w:w="2042" w:type="dxa"/>
            <w:gridSpan w:val="2"/>
            <w:tcBorders>
              <w:top w:val="single" w:sz="2" w:space="0" w:color="auto"/>
              <w:bottom w:val="single" w:sz="2" w:space="0" w:color="auto"/>
            </w:tcBorders>
            <w:vAlign w:val="center"/>
          </w:tcPr>
          <w:p w:rsidR="005905F4" w:rsidRPr="00856C8B" w:rsidRDefault="00F9184B" w:rsidP="005905F4">
            <w:pPr>
              <w:spacing w:after="0"/>
              <w:ind w:hanging="608"/>
              <w:jc w:val="right"/>
              <w:rPr>
                <w:rFonts w:ascii="Arial Narrow" w:hAnsi="Arial Narrow"/>
                <w:lang w:val="es-ES" w:eastAsia="es-ES"/>
              </w:rPr>
            </w:pPr>
            <w:r w:rsidRPr="00856C8B">
              <w:rPr>
                <w:rFonts w:ascii="Arial Narrow" w:hAnsi="Arial Narrow"/>
                <w:lang w:val="es-ES" w:eastAsia="es-ES"/>
              </w:rPr>
              <w:t>(1.511)</w:t>
            </w:r>
          </w:p>
        </w:tc>
        <w:tc>
          <w:tcPr>
            <w:tcW w:w="1411" w:type="dxa"/>
            <w:tcBorders>
              <w:top w:val="single" w:sz="2" w:space="0" w:color="auto"/>
              <w:bottom w:val="single" w:sz="2" w:space="0" w:color="auto"/>
            </w:tcBorders>
            <w:vAlign w:val="center"/>
          </w:tcPr>
          <w:p w:rsidR="005905F4" w:rsidRPr="00856C8B" w:rsidRDefault="00F9184B" w:rsidP="005905F4">
            <w:pPr>
              <w:spacing w:after="0"/>
              <w:ind w:hanging="608"/>
              <w:jc w:val="right"/>
              <w:rPr>
                <w:rFonts w:ascii="Arial Narrow" w:hAnsi="Arial Narrow"/>
                <w:lang w:val="es-ES" w:eastAsia="es-ES"/>
              </w:rPr>
            </w:pPr>
            <w:r w:rsidRPr="00856C8B">
              <w:rPr>
                <w:rFonts w:ascii="Arial Narrow" w:hAnsi="Arial Narrow"/>
                <w:lang w:val="es-ES" w:eastAsia="es-ES"/>
              </w:rPr>
              <w:t>24</w:t>
            </w:r>
          </w:p>
        </w:tc>
      </w:tr>
      <w:tr w:rsidR="005905F4" w:rsidRPr="00283C58" w:rsidTr="00670292">
        <w:trPr>
          <w:trHeight w:val="284"/>
          <w:jc w:val="center"/>
        </w:trPr>
        <w:tc>
          <w:tcPr>
            <w:tcW w:w="3985" w:type="dxa"/>
            <w:tcBorders>
              <w:top w:val="single" w:sz="2" w:space="0" w:color="auto"/>
              <w:bottom w:val="single" w:sz="2" w:space="0" w:color="auto"/>
            </w:tcBorders>
            <w:shd w:val="clear" w:color="auto" w:fill="A8CBEE" w:themeFill="accent2" w:themeFillTint="66"/>
            <w:noWrap/>
            <w:vAlign w:val="center"/>
          </w:tcPr>
          <w:p w:rsidR="005905F4" w:rsidRPr="00283C58" w:rsidRDefault="00F9184B" w:rsidP="00C73DB2">
            <w:pPr>
              <w:spacing w:after="0"/>
              <w:ind w:firstLine="0"/>
              <w:jc w:val="left"/>
              <w:rPr>
                <w:rFonts w:ascii="Arial" w:hAnsi="Arial" w:cs="Arial"/>
                <w:sz w:val="18"/>
                <w:szCs w:val="18"/>
                <w:lang w:val="es-ES" w:eastAsia="es-ES"/>
              </w:rPr>
            </w:pPr>
            <w:r w:rsidRPr="00283C58">
              <w:rPr>
                <w:rFonts w:ascii="Arial" w:hAnsi="Arial" w:cs="Arial"/>
                <w:sz w:val="18"/>
                <w:szCs w:val="18"/>
                <w:lang w:val="es-ES" w:eastAsia="es-ES"/>
              </w:rPr>
              <w:t>Total deudores</w:t>
            </w:r>
          </w:p>
        </w:tc>
        <w:tc>
          <w:tcPr>
            <w:tcW w:w="1570" w:type="dxa"/>
            <w:tcBorders>
              <w:top w:val="single" w:sz="2" w:space="0" w:color="auto"/>
              <w:bottom w:val="single" w:sz="2" w:space="0" w:color="auto"/>
            </w:tcBorders>
            <w:shd w:val="clear" w:color="auto" w:fill="A8CBEE" w:themeFill="accent2" w:themeFillTint="66"/>
            <w:vAlign w:val="center"/>
          </w:tcPr>
          <w:p w:rsidR="005905F4" w:rsidRPr="00283C58" w:rsidRDefault="00F9184B" w:rsidP="005905F4">
            <w:pPr>
              <w:spacing w:after="0"/>
              <w:ind w:hanging="608"/>
              <w:jc w:val="right"/>
              <w:rPr>
                <w:rFonts w:ascii="Arial" w:hAnsi="Arial" w:cs="Arial"/>
                <w:sz w:val="18"/>
                <w:szCs w:val="18"/>
                <w:lang w:val="es-ES" w:eastAsia="es-ES"/>
              </w:rPr>
            </w:pPr>
            <w:r w:rsidRPr="00283C58">
              <w:rPr>
                <w:rFonts w:ascii="Arial" w:hAnsi="Arial" w:cs="Arial"/>
                <w:sz w:val="18"/>
                <w:szCs w:val="18"/>
                <w:lang w:val="es-ES" w:eastAsia="es-ES"/>
              </w:rPr>
              <w:t>1.86</w:t>
            </w:r>
            <w:r w:rsidR="007278B9" w:rsidRPr="00283C58">
              <w:rPr>
                <w:rFonts w:ascii="Arial" w:hAnsi="Arial" w:cs="Arial"/>
                <w:sz w:val="18"/>
                <w:szCs w:val="18"/>
                <w:lang w:val="es-ES" w:eastAsia="es-ES"/>
              </w:rPr>
              <w:t>5</w:t>
            </w:r>
          </w:p>
        </w:tc>
        <w:tc>
          <w:tcPr>
            <w:tcW w:w="2042" w:type="dxa"/>
            <w:gridSpan w:val="2"/>
            <w:tcBorders>
              <w:top w:val="single" w:sz="2" w:space="0" w:color="auto"/>
              <w:bottom w:val="single" w:sz="2" w:space="0" w:color="auto"/>
            </w:tcBorders>
            <w:shd w:val="clear" w:color="auto" w:fill="A8CBEE" w:themeFill="accent2" w:themeFillTint="66"/>
            <w:vAlign w:val="center"/>
          </w:tcPr>
          <w:p w:rsidR="005905F4" w:rsidRPr="00283C58" w:rsidRDefault="00F9184B" w:rsidP="009B54E4">
            <w:pPr>
              <w:spacing w:after="0"/>
              <w:ind w:hanging="608"/>
              <w:jc w:val="right"/>
              <w:rPr>
                <w:rFonts w:ascii="Arial" w:hAnsi="Arial" w:cs="Arial"/>
                <w:sz w:val="18"/>
                <w:szCs w:val="18"/>
                <w:lang w:val="es-ES" w:eastAsia="es-ES"/>
              </w:rPr>
            </w:pPr>
            <w:r w:rsidRPr="00283C58">
              <w:rPr>
                <w:rFonts w:ascii="Arial" w:hAnsi="Arial" w:cs="Arial"/>
                <w:sz w:val="18"/>
                <w:szCs w:val="18"/>
                <w:lang w:val="es-ES" w:eastAsia="es-ES"/>
              </w:rPr>
              <w:t>1.8</w:t>
            </w:r>
            <w:r w:rsidR="009B54E4" w:rsidRPr="00283C58">
              <w:rPr>
                <w:rFonts w:ascii="Arial" w:hAnsi="Arial" w:cs="Arial"/>
                <w:sz w:val="18"/>
                <w:szCs w:val="18"/>
                <w:lang w:val="es-ES" w:eastAsia="es-ES"/>
              </w:rPr>
              <w:t>13</w:t>
            </w:r>
          </w:p>
        </w:tc>
        <w:tc>
          <w:tcPr>
            <w:tcW w:w="1411" w:type="dxa"/>
            <w:tcBorders>
              <w:top w:val="single" w:sz="2" w:space="0" w:color="auto"/>
              <w:bottom w:val="single" w:sz="2" w:space="0" w:color="auto"/>
            </w:tcBorders>
            <w:shd w:val="clear" w:color="auto" w:fill="A8CBEE" w:themeFill="accent2" w:themeFillTint="66"/>
            <w:vAlign w:val="center"/>
          </w:tcPr>
          <w:p w:rsidR="005905F4" w:rsidRPr="00283C58" w:rsidRDefault="003772EE" w:rsidP="005905F4">
            <w:pPr>
              <w:spacing w:after="0"/>
              <w:ind w:hanging="608"/>
              <w:jc w:val="right"/>
              <w:rPr>
                <w:rFonts w:ascii="Arial" w:hAnsi="Arial" w:cs="Arial"/>
                <w:sz w:val="18"/>
                <w:szCs w:val="18"/>
                <w:lang w:val="es-ES" w:eastAsia="es-ES"/>
              </w:rPr>
            </w:pPr>
            <w:r w:rsidRPr="00283C58">
              <w:rPr>
                <w:rFonts w:ascii="Arial" w:hAnsi="Arial" w:cs="Arial"/>
                <w:sz w:val="18"/>
                <w:szCs w:val="18"/>
                <w:lang w:val="es-ES" w:eastAsia="es-ES"/>
              </w:rPr>
              <w:t>1</w:t>
            </w:r>
          </w:p>
        </w:tc>
      </w:tr>
    </w:tbl>
    <w:p w:rsidR="001530EF" w:rsidRPr="00F5594F" w:rsidRDefault="005907EB" w:rsidP="00670292">
      <w:pPr>
        <w:pStyle w:val="texto"/>
        <w:tabs>
          <w:tab w:val="clear" w:pos="2835"/>
          <w:tab w:val="clear" w:pos="3969"/>
          <w:tab w:val="clear" w:pos="5103"/>
          <w:tab w:val="clear" w:pos="6237"/>
          <w:tab w:val="clear" w:pos="7371"/>
          <w:tab w:val="num" w:pos="300"/>
          <w:tab w:val="num" w:pos="720"/>
        </w:tabs>
        <w:spacing w:before="240"/>
        <w:rPr>
          <w:szCs w:val="26"/>
        </w:rPr>
      </w:pPr>
      <w:r w:rsidRPr="00F5594F">
        <w:rPr>
          <w:szCs w:val="26"/>
        </w:rPr>
        <w:t>Los deudores presupuestarios son el componente más significativo y corres</w:t>
      </w:r>
      <w:r w:rsidR="00E0777D" w:rsidRPr="00F5594F">
        <w:rPr>
          <w:szCs w:val="26"/>
        </w:rPr>
        <w:t xml:space="preserve">ponde un 76 por ciento a deudores del ejercicio corriente 2017 y un 24 por ciento a </w:t>
      </w:r>
      <w:r w:rsidRPr="00F5594F">
        <w:rPr>
          <w:szCs w:val="26"/>
        </w:rPr>
        <w:t xml:space="preserve">deudores </w:t>
      </w:r>
      <w:r w:rsidR="00E0777D" w:rsidRPr="00F5594F">
        <w:rPr>
          <w:szCs w:val="26"/>
        </w:rPr>
        <w:t>de ejercicios cerrados.</w:t>
      </w:r>
    </w:p>
    <w:p w:rsidR="000F3D8D" w:rsidRPr="00F5594F" w:rsidRDefault="00FE4DFC" w:rsidP="00F5594F">
      <w:pPr>
        <w:pStyle w:val="texto"/>
        <w:tabs>
          <w:tab w:val="num" w:pos="300"/>
          <w:tab w:val="num" w:pos="720"/>
        </w:tabs>
      </w:pPr>
      <w:r w:rsidRPr="00F5594F">
        <w:t xml:space="preserve">El saldo de </w:t>
      </w:r>
      <w:r w:rsidR="0025731A" w:rsidRPr="00F5594F">
        <w:t>las provisiones</w:t>
      </w:r>
      <w:r w:rsidRPr="00F5594F">
        <w:t>, 1</w:t>
      </w:r>
      <w:r w:rsidR="0054496E" w:rsidRPr="00F5594F">
        <w:t>,</w:t>
      </w:r>
      <w:r w:rsidRPr="00F5594F">
        <w:t>51</w:t>
      </w:r>
      <w:r w:rsidR="0054496E" w:rsidRPr="00F5594F">
        <w:t xml:space="preserve"> </w:t>
      </w:r>
      <w:r w:rsidRPr="00F5594F">
        <w:t xml:space="preserve">millones de euros, se </w:t>
      </w:r>
      <w:r w:rsidR="000F3D8D" w:rsidRPr="00F5594F">
        <w:t>obtiene</w:t>
      </w:r>
      <w:r w:rsidRPr="00F5594F">
        <w:t xml:space="preserve"> mediante </w:t>
      </w:r>
      <w:r w:rsidR="000F3D8D" w:rsidRPr="00F5594F">
        <w:t>la consideración como de dudoso cobro de los derechos pendientes de cobro antes de 31 de diciembre de 2015 y los d</w:t>
      </w:r>
      <w:r w:rsidR="000B70B0" w:rsidRPr="00F5594F">
        <w:t>erechos devengados en 2016</w:t>
      </w:r>
      <w:r w:rsidR="000F3D8D" w:rsidRPr="00F5594F">
        <w:t xml:space="preserve"> que provengan de ingresos no afectos.</w:t>
      </w:r>
    </w:p>
    <w:p w:rsidR="000F3D8D" w:rsidRPr="00F5594F" w:rsidRDefault="000F3D8D" w:rsidP="00F5594F">
      <w:pPr>
        <w:pStyle w:val="texto"/>
        <w:tabs>
          <w:tab w:val="num" w:pos="300"/>
          <w:tab w:val="num" w:pos="720"/>
        </w:tabs>
      </w:pPr>
      <w:r w:rsidRPr="00F5594F">
        <w:t>Además</w:t>
      </w:r>
      <w:r w:rsidR="0017522F" w:rsidRPr="00F5594F">
        <w:t>,</w:t>
      </w:r>
      <w:r w:rsidRPr="00F5594F">
        <w:t xml:space="preserve"> se consideran de dudoso cobro los d</w:t>
      </w:r>
      <w:r w:rsidR="00554225" w:rsidRPr="00F5594F">
        <w:t xml:space="preserve">erechos devengados en </w:t>
      </w:r>
      <w:r w:rsidRPr="00F5594F">
        <w:t xml:space="preserve">2016 y </w:t>
      </w:r>
      <w:r w:rsidR="00554225" w:rsidRPr="00F5594F">
        <w:t xml:space="preserve">2017, </w:t>
      </w:r>
      <w:r w:rsidRPr="00F5594F">
        <w:t>que provengan de anticipos de crédito no cobrados a fecha de cierre de las cuentas</w:t>
      </w:r>
      <w:r w:rsidR="0017522F" w:rsidRPr="00F5594F">
        <w:t xml:space="preserve"> y que hayan sido </w:t>
      </w:r>
      <w:r w:rsidRPr="00F5594F">
        <w:t xml:space="preserve">concedidos por Resolución del Rector o el Gerente de la Universidad, </w:t>
      </w:r>
      <w:r w:rsidR="004C1E90" w:rsidRPr="00F5594F">
        <w:t>de acuerdo a lo establecido en las bases de ejecución del presupuesto.</w:t>
      </w:r>
    </w:p>
    <w:p w:rsidR="001530EF" w:rsidRPr="00F5594F" w:rsidRDefault="001530EF" w:rsidP="00F5594F">
      <w:pPr>
        <w:pStyle w:val="texto"/>
        <w:tabs>
          <w:tab w:val="num" w:pos="300"/>
          <w:tab w:val="num" w:pos="720"/>
        </w:tabs>
        <w:rPr>
          <w:rFonts w:ascii="Verdana" w:hAnsi="Verdana" w:cs="Verdana"/>
          <w:lang w:val="es-ES" w:eastAsia="es-ES"/>
        </w:rPr>
      </w:pPr>
      <w:r w:rsidRPr="00F5594F">
        <w:t>La Universidad tiene concedido</w:t>
      </w:r>
      <w:r w:rsidR="004C1E90" w:rsidRPr="00F5594F">
        <w:t>s anticipos pendientes de cobro,</w:t>
      </w:r>
      <w:r w:rsidRPr="00F5594F">
        <w:t xml:space="preserve"> correspondientes a los años 2016 y 2017, por importe de </w:t>
      </w:r>
      <w:r w:rsidR="00235E3C" w:rsidRPr="00F5594F">
        <w:t>0,</w:t>
      </w:r>
      <w:r w:rsidRPr="00F5594F">
        <w:t>97</w:t>
      </w:r>
      <w:r w:rsidR="00235E3C" w:rsidRPr="00F5594F">
        <w:t xml:space="preserve"> millones de</w:t>
      </w:r>
      <w:r w:rsidRPr="00F5594F">
        <w:t xml:space="preserve"> euros</w:t>
      </w:r>
      <w:r w:rsidR="004C1E90" w:rsidRPr="00F5594F">
        <w:t xml:space="preserve">. Estos anticipos corresponden </w:t>
      </w:r>
      <w:r w:rsidRPr="00F5594F">
        <w:t>fundamentalmente a proyectos y ayudas a la investigación,</w:t>
      </w:r>
      <w:r w:rsidR="004C1E90" w:rsidRPr="00F5594F">
        <w:t xml:space="preserve"> </w:t>
      </w:r>
      <w:r w:rsidR="00F2353A" w:rsidRPr="00F5594F">
        <w:t>que figuran como derechos reconocidos pendientes de obro,</w:t>
      </w:r>
      <w:r w:rsidR="004C1E90" w:rsidRPr="00F5594F">
        <w:t xml:space="preserve"> que de no hacerse efectiv</w:t>
      </w:r>
      <w:r w:rsidR="003312B7" w:rsidRPr="00F5594F">
        <w:t>os</w:t>
      </w:r>
      <w:r w:rsidR="004C1E90" w:rsidRPr="00F5594F">
        <w:t xml:space="preserve"> disminuiría</w:t>
      </w:r>
      <w:r w:rsidR="003312B7" w:rsidRPr="00F5594F">
        <w:t>n</w:t>
      </w:r>
      <w:r w:rsidR="004C1E90" w:rsidRPr="00F5594F">
        <w:t xml:space="preserve"> el reman</w:t>
      </w:r>
      <w:r w:rsidR="0017522F" w:rsidRPr="00F5594F">
        <w:t>en</w:t>
      </w:r>
      <w:r w:rsidR="004C1E90" w:rsidRPr="00F5594F">
        <w:t>te general de la Universidad.</w:t>
      </w:r>
      <w:r w:rsidRPr="00F5594F">
        <w:t xml:space="preserve"> Por este motivo, </w:t>
      </w:r>
      <w:r w:rsidR="004C1E90" w:rsidRPr="00F5594F">
        <w:t xml:space="preserve">desde </w:t>
      </w:r>
      <w:r w:rsidRPr="00F5594F">
        <w:t xml:space="preserve">2013 se </w:t>
      </w:r>
      <w:r w:rsidR="007829B6" w:rsidRPr="00F5594F">
        <w:t>incluyen</w:t>
      </w:r>
      <w:r w:rsidRPr="00F5594F">
        <w:t xml:space="preserve"> en el cálculo de la dotación de la provisión</w:t>
      </w:r>
      <w:r w:rsidR="004C1E90" w:rsidRPr="00F5594F">
        <w:t xml:space="preserve"> </w:t>
      </w:r>
      <w:r w:rsidRPr="00F5594F">
        <w:t>de dudoso cobro</w:t>
      </w:r>
      <w:r w:rsidRPr="00F5594F">
        <w:rPr>
          <w:rFonts w:ascii="Verdana" w:hAnsi="Verdana" w:cs="Verdana"/>
          <w:lang w:val="es-ES" w:eastAsia="es-ES"/>
        </w:rPr>
        <w:t>.</w:t>
      </w:r>
    </w:p>
    <w:p w:rsidR="00CC311C" w:rsidRPr="00F5594F" w:rsidRDefault="00CC311C" w:rsidP="00F5594F">
      <w:pPr>
        <w:pStyle w:val="texto"/>
        <w:rPr>
          <w:szCs w:val="26"/>
        </w:rPr>
      </w:pPr>
      <w:r w:rsidRPr="00F5594F">
        <w:rPr>
          <w:szCs w:val="26"/>
        </w:rPr>
        <w:t xml:space="preserve">Las provisiones han aumentado un 24 por ciento, 295.000 euros, respecto al 2016. Este incremento se debe fundamentalmente al </w:t>
      </w:r>
      <w:r w:rsidR="00FE4DFC" w:rsidRPr="00F5594F">
        <w:rPr>
          <w:szCs w:val="26"/>
        </w:rPr>
        <w:t xml:space="preserve">aumento </w:t>
      </w:r>
      <w:r w:rsidRPr="00F5594F">
        <w:rPr>
          <w:szCs w:val="26"/>
        </w:rPr>
        <w:t xml:space="preserve">de </w:t>
      </w:r>
      <w:r w:rsidR="00FE4DFC" w:rsidRPr="00F5594F">
        <w:rPr>
          <w:szCs w:val="26"/>
        </w:rPr>
        <w:t xml:space="preserve">los </w:t>
      </w:r>
      <w:r w:rsidRPr="00F5594F">
        <w:rPr>
          <w:szCs w:val="26"/>
        </w:rPr>
        <w:t>anticipos</w:t>
      </w:r>
      <w:r w:rsidR="00FE4DFC" w:rsidRPr="00F5594F">
        <w:rPr>
          <w:szCs w:val="26"/>
        </w:rPr>
        <w:t xml:space="preserve"> concedidos y no cobrados en 2017 por proyectos de investigación, que </w:t>
      </w:r>
      <w:r w:rsidR="009F6B04" w:rsidRPr="00F5594F">
        <w:rPr>
          <w:szCs w:val="26"/>
        </w:rPr>
        <w:t xml:space="preserve">como hemos </w:t>
      </w:r>
      <w:r w:rsidR="00F2353A" w:rsidRPr="00F5594F">
        <w:rPr>
          <w:szCs w:val="26"/>
        </w:rPr>
        <w:t>señalado</w:t>
      </w:r>
      <w:r w:rsidR="009F6B04" w:rsidRPr="00F5594F">
        <w:rPr>
          <w:szCs w:val="26"/>
        </w:rPr>
        <w:t xml:space="preserve">, </w:t>
      </w:r>
      <w:r w:rsidR="00FE4DFC" w:rsidRPr="00F5594F">
        <w:rPr>
          <w:szCs w:val="26"/>
        </w:rPr>
        <w:t>se consi</w:t>
      </w:r>
      <w:r w:rsidR="009F6B04" w:rsidRPr="00F5594F">
        <w:rPr>
          <w:szCs w:val="26"/>
        </w:rPr>
        <w:t>deran de dudoso cobro.</w:t>
      </w:r>
    </w:p>
    <w:p w:rsidR="00670292" w:rsidRDefault="00670292">
      <w:pPr>
        <w:spacing w:after="0"/>
        <w:ind w:firstLine="0"/>
        <w:jc w:val="left"/>
        <w:rPr>
          <w:rFonts w:ascii="Arial" w:hAnsi="Arial"/>
          <w:iCs/>
          <w:color w:val="000000"/>
          <w:spacing w:val="10"/>
          <w:kern w:val="28"/>
          <w:sz w:val="25"/>
          <w:szCs w:val="26"/>
        </w:rPr>
      </w:pPr>
      <w:r>
        <w:rPr>
          <w:i/>
        </w:rPr>
        <w:br w:type="page"/>
      </w:r>
    </w:p>
    <w:p w:rsidR="004B0D73" w:rsidRPr="001E3A33" w:rsidRDefault="004B0D73" w:rsidP="00B67536">
      <w:pPr>
        <w:pStyle w:val="atitulo3"/>
        <w:spacing w:before="240"/>
        <w:rPr>
          <w:i w:val="0"/>
        </w:rPr>
      </w:pPr>
      <w:r w:rsidRPr="001E3A33">
        <w:rPr>
          <w:i w:val="0"/>
        </w:rPr>
        <w:t>V</w:t>
      </w:r>
      <w:r w:rsidR="00613F68" w:rsidRPr="001E3A33">
        <w:rPr>
          <w:i w:val="0"/>
        </w:rPr>
        <w:t>I</w:t>
      </w:r>
      <w:r w:rsidRPr="001E3A33">
        <w:rPr>
          <w:i w:val="0"/>
        </w:rPr>
        <w:t>.</w:t>
      </w:r>
      <w:r w:rsidR="00E037D2">
        <w:rPr>
          <w:i w:val="0"/>
        </w:rPr>
        <w:t>4</w:t>
      </w:r>
      <w:r w:rsidRPr="001E3A33">
        <w:rPr>
          <w:i w:val="0"/>
        </w:rPr>
        <w:t>.</w:t>
      </w:r>
      <w:r w:rsidR="005245C0" w:rsidRPr="001E3A33">
        <w:rPr>
          <w:i w:val="0"/>
        </w:rPr>
        <w:t>1</w:t>
      </w:r>
      <w:r w:rsidR="00734F3C" w:rsidRPr="001E3A33">
        <w:rPr>
          <w:i w:val="0"/>
        </w:rPr>
        <w:t>2</w:t>
      </w:r>
      <w:r w:rsidRPr="001E3A33">
        <w:rPr>
          <w:i w:val="0"/>
        </w:rPr>
        <w:t>. Fundación Universidad-Sociedad</w:t>
      </w:r>
    </w:p>
    <w:p w:rsidR="00941DA8" w:rsidRDefault="00941DA8" w:rsidP="003312B7">
      <w:pPr>
        <w:pStyle w:val="texto"/>
        <w:spacing w:before="120" w:after="120"/>
      </w:pPr>
      <w:r>
        <w:t xml:space="preserve">La </w:t>
      </w:r>
      <w:r w:rsidR="00723883">
        <w:t>Fundación</w:t>
      </w:r>
      <w:r>
        <w:t xml:space="preserve"> Universidad-Sociedad fue creada por Acuerdo de la Junta de Gobierno de 20 de diciembre de 1996, con el objeto fundacional de fomentar el diálogo y canalizar la cooperación entre la Universidad y la Sociedad Navarra.</w:t>
      </w:r>
    </w:p>
    <w:p w:rsidR="004B0D73" w:rsidRPr="00670292" w:rsidRDefault="004B0D73" w:rsidP="003312B7">
      <w:pPr>
        <w:pStyle w:val="texto"/>
        <w:spacing w:before="120" w:after="120"/>
        <w:rPr>
          <w:spacing w:val="4"/>
        </w:rPr>
      </w:pPr>
      <w:r w:rsidRPr="00670292">
        <w:rPr>
          <w:spacing w:val="4"/>
        </w:rPr>
        <w:t xml:space="preserve">Las cuentas anuales de la </w:t>
      </w:r>
      <w:r w:rsidR="000078F1" w:rsidRPr="00670292">
        <w:rPr>
          <w:spacing w:val="4"/>
        </w:rPr>
        <w:t xml:space="preserve">Fundación </w:t>
      </w:r>
      <w:r w:rsidR="00EB211E" w:rsidRPr="00670292">
        <w:rPr>
          <w:spacing w:val="4"/>
        </w:rPr>
        <w:tab/>
      </w:r>
      <w:r w:rsidRPr="00670292">
        <w:rPr>
          <w:spacing w:val="4"/>
        </w:rPr>
        <w:t>fueron objeto de auditoría financiera por una firma privada, em</w:t>
      </w:r>
      <w:r w:rsidR="00DC2191" w:rsidRPr="00670292">
        <w:rPr>
          <w:spacing w:val="4"/>
        </w:rPr>
        <w:t xml:space="preserve">itiéndose una opinión favorable. </w:t>
      </w:r>
      <w:r w:rsidR="00860A95" w:rsidRPr="00670292">
        <w:rPr>
          <w:spacing w:val="4"/>
        </w:rPr>
        <w:t xml:space="preserve">En la memoria de la Universidad no se incluye, </w:t>
      </w:r>
      <w:r w:rsidR="006847FA" w:rsidRPr="00670292">
        <w:rPr>
          <w:spacing w:val="4"/>
        </w:rPr>
        <w:t>conjuntamente con los estados financieros,</w:t>
      </w:r>
      <w:r w:rsidR="00751E98" w:rsidRPr="00670292">
        <w:rPr>
          <w:spacing w:val="4"/>
        </w:rPr>
        <w:t xml:space="preserve"> </w:t>
      </w:r>
      <w:r w:rsidR="003312B7" w:rsidRPr="00670292">
        <w:rPr>
          <w:spacing w:val="4"/>
        </w:rPr>
        <w:t>dicho informe.</w:t>
      </w:r>
    </w:p>
    <w:p w:rsidR="00DC2191" w:rsidRDefault="004B0D73" w:rsidP="00670292">
      <w:pPr>
        <w:pStyle w:val="texto"/>
        <w:spacing w:after="120"/>
      </w:pPr>
      <w:r w:rsidRPr="00730AE6">
        <w:t xml:space="preserve">En </w:t>
      </w:r>
      <w:r w:rsidR="00751E98" w:rsidRPr="00730AE6">
        <w:t>201</w:t>
      </w:r>
      <w:r w:rsidR="000078F1" w:rsidRPr="00730AE6">
        <w:t>7</w:t>
      </w:r>
      <w:r w:rsidRPr="00730AE6">
        <w:t>,</w:t>
      </w:r>
      <w:r w:rsidR="00751E98" w:rsidRPr="00730AE6">
        <w:t xml:space="preserve"> </w:t>
      </w:r>
      <w:r w:rsidR="000078F1" w:rsidRPr="00730AE6">
        <w:t xml:space="preserve">la </w:t>
      </w:r>
      <w:r w:rsidR="00723883">
        <w:t>Fundación</w:t>
      </w:r>
      <w:r w:rsidRPr="00730AE6">
        <w:t xml:space="preserve"> presenta las siguientes magnitudes relevantes de su actividad económico-financiera y su comparación con el ejercicio anterior:</w:t>
      </w:r>
    </w:p>
    <w:p w:rsidR="004B0D73" w:rsidRPr="00F5594F" w:rsidRDefault="0000117B" w:rsidP="003312B7">
      <w:pPr>
        <w:pStyle w:val="texto"/>
        <w:spacing w:after="0"/>
        <w:jc w:val="right"/>
        <w:rPr>
          <w:rFonts w:ascii="Arial" w:hAnsi="Arial" w:cs="Arial"/>
          <w:sz w:val="18"/>
          <w:szCs w:val="18"/>
        </w:rPr>
      </w:pPr>
      <w:r w:rsidRPr="00F5594F">
        <w:rPr>
          <w:rFonts w:ascii="Arial" w:hAnsi="Arial" w:cs="Arial"/>
          <w:sz w:val="18"/>
          <w:szCs w:val="18"/>
        </w:rPr>
        <w:t>(En miles de euros)</w:t>
      </w:r>
    </w:p>
    <w:tbl>
      <w:tblPr>
        <w:tblW w:w="8891" w:type="dxa"/>
        <w:jc w:val="center"/>
        <w:tblCellMar>
          <w:left w:w="70" w:type="dxa"/>
          <w:right w:w="70" w:type="dxa"/>
        </w:tblCellMar>
        <w:tblLook w:val="04A0" w:firstRow="1" w:lastRow="0" w:firstColumn="1" w:lastColumn="0" w:noHBand="0" w:noVBand="1"/>
      </w:tblPr>
      <w:tblGrid>
        <w:gridCol w:w="6289"/>
        <w:gridCol w:w="1390"/>
        <w:gridCol w:w="1212"/>
      </w:tblGrid>
      <w:tr w:rsidR="004B0D73" w:rsidRPr="00730AE6" w:rsidTr="00670292">
        <w:trPr>
          <w:trHeight w:val="255"/>
          <w:jc w:val="center"/>
        </w:trPr>
        <w:tc>
          <w:tcPr>
            <w:tcW w:w="6289" w:type="dxa"/>
            <w:tcBorders>
              <w:top w:val="single" w:sz="4" w:space="0" w:color="auto"/>
              <w:left w:val="nil"/>
              <w:bottom w:val="single" w:sz="4" w:space="0" w:color="auto"/>
              <w:right w:val="nil"/>
            </w:tcBorders>
            <w:shd w:val="clear" w:color="auto" w:fill="A8CBEE" w:themeFill="accent2" w:themeFillTint="66"/>
            <w:noWrap/>
            <w:vAlign w:val="center"/>
            <w:hideMark/>
          </w:tcPr>
          <w:p w:rsidR="004B0D73" w:rsidRPr="00730AE6" w:rsidRDefault="004B0D73" w:rsidP="006431B3">
            <w:pPr>
              <w:pStyle w:val="cuadroCabe"/>
              <w:rPr>
                <w:lang w:val="es-ES" w:eastAsia="es-ES"/>
              </w:rPr>
            </w:pPr>
            <w:r w:rsidRPr="00730AE6">
              <w:rPr>
                <w:lang w:val="es-ES" w:eastAsia="es-ES"/>
              </w:rPr>
              <w:t>Fundación 201</w:t>
            </w:r>
            <w:r w:rsidR="00DE4DEA" w:rsidRPr="00730AE6">
              <w:rPr>
                <w:lang w:val="es-ES" w:eastAsia="es-ES"/>
              </w:rPr>
              <w:t>7</w:t>
            </w:r>
          </w:p>
        </w:tc>
        <w:tc>
          <w:tcPr>
            <w:tcW w:w="1390" w:type="dxa"/>
            <w:tcBorders>
              <w:top w:val="single" w:sz="4" w:space="0" w:color="auto"/>
              <w:left w:val="nil"/>
              <w:bottom w:val="single" w:sz="4" w:space="0" w:color="auto"/>
              <w:right w:val="nil"/>
            </w:tcBorders>
            <w:shd w:val="clear" w:color="auto" w:fill="A8CBEE" w:themeFill="accent2" w:themeFillTint="66"/>
            <w:noWrap/>
            <w:vAlign w:val="center"/>
            <w:hideMark/>
          </w:tcPr>
          <w:p w:rsidR="004B0D73" w:rsidRPr="00730AE6" w:rsidRDefault="004B0D73" w:rsidP="000078F1">
            <w:pPr>
              <w:pStyle w:val="cuadroCabe"/>
              <w:jc w:val="right"/>
              <w:rPr>
                <w:lang w:val="es-ES" w:eastAsia="es-ES"/>
              </w:rPr>
            </w:pPr>
            <w:r w:rsidRPr="00730AE6">
              <w:rPr>
                <w:lang w:val="es-ES" w:eastAsia="es-ES"/>
              </w:rPr>
              <w:t>31/12/201</w:t>
            </w:r>
            <w:r w:rsidR="000078F1" w:rsidRPr="00730AE6">
              <w:rPr>
                <w:lang w:val="es-ES" w:eastAsia="es-ES"/>
              </w:rPr>
              <w:t>6</w:t>
            </w:r>
          </w:p>
        </w:tc>
        <w:tc>
          <w:tcPr>
            <w:tcW w:w="1212" w:type="dxa"/>
            <w:tcBorders>
              <w:top w:val="single" w:sz="4" w:space="0" w:color="auto"/>
              <w:left w:val="nil"/>
              <w:bottom w:val="single" w:sz="4" w:space="0" w:color="auto"/>
              <w:right w:val="nil"/>
            </w:tcBorders>
            <w:shd w:val="clear" w:color="auto" w:fill="A8CBEE" w:themeFill="accent2" w:themeFillTint="66"/>
            <w:noWrap/>
            <w:vAlign w:val="center"/>
            <w:hideMark/>
          </w:tcPr>
          <w:p w:rsidR="004B0D73" w:rsidRPr="00730AE6" w:rsidRDefault="004B0D73" w:rsidP="000078F1">
            <w:pPr>
              <w:pStyle w:val="cuadroCabe"/>
              <w:jc w:val="right"/>
              <w:rPr>
                <w:lang w:val="es-ES" w:eastAsia="es-ES"/>
              </w:rPr>
            </w:pPr>
            <w:r w:rsidRPr="00730AE6">
              <w:rPr>
                <w:lang w:val="es-ES" w:eastAsia="es-ES"/>
              </w:rPr>
              <w:t>31/12/201</w:t>
            </w:r>
            <w:r w:rsidR="000078F1" w:rsidRPr="00730AE6">
              <w:rPr>
                <w:lang w:val="es-ES" w:eastAsia="es-ES"/>
              </w:rPr>
              <w:t>7</w:t>
            </w:r>
          </w:p>
        </w:tc>
      </w:tr>
      <w:tr w:rsidR="004B0D73" w:rsidRPr="00730AE6" w:rsidTr="00146D16">
        <w:trPr>
          <w:trHeight w:val="255"/>
          <w:jc w:val="center"/>
        </w:trPr>
        <w:tc>
          <w:tcPr>
            <w:tcW w:w="6289" w:type="dxa"/>
            <w:tcBorders>
              <w:top w:val="single" w:sz="4" w:space="0" w:color="auto"/>
              <w:left w:val="nil"/>
              <w:bottom w:val="single" w:sz="2" w:space="0" w:color="auto"/>
              <w:right w:val="nil"/>
            </w:tcBorders>
            <w:shd w:val="clear" w:color="auto" w:fill="auto"/>
            <w:noWrap/>
            <w:vAlign w:val="center"/>
          </w:tcPr>
          <w:p w:rsidR="004B0D73" w:rsidRPr="00730AE6" w:rsidRDefault="004B0D73" w:rsidP="006431B3">
            <w:pPr>
              <w:pStyle w:val="texto"/>
              <w:spacing w:after="0"/>
              <w:ind w:firstLine="0"/>
              <w:rPr>
                <w:rFonts w:ascii="Arial Narrow" w:hAnsi="Arial Narrow"/>
                <w:sz w:val="20"/>
                <w:szCs w:val="20"/>
              </w:rPr>
            </w:pPr>
            <w:r w:rsidRPr="00730AE6">
              <w:rPr>
                <w:rFonts w:ascii="Arial Narrow" w:hAnsi="Arial Narrow"/>
                <w:sz w:val="20"/>
                <w:szCs w:val="20"/>
              </w:rPr>
              <w:t>Fondos propios</w:t>
            </w:r>
          </w:p>
        </w:tc>
        <w:tc>
          <w:tcPr>
            <w:tcW w:w="1390" w:type="dxa"/>
            <w:tcBorders>
              <w:top w:val="single" w:sz="4" w:space="0" w:color="auto"/>
              <w:left w:val="nil"/>
              <w:bottom w:val="single" w:sz="2" w:space="0" w:color="auto"/>
              <w:right w:val="nil"/>
            </w:tcBorders>
            <w:shd w:val="clear" w:color="auto" w:fill="auto"/>
            <w:noWrap/>
            <w:vAlign w:val="center"/>
          </w:tcPr>
          <w:p w:rsidR="004B0D73" w:rsidRPr="00730AE6" w:rsidRDefault="000078F1" w:rsidP="008D4279">
            <w:pPr>
              <w:spacing w:after="0"/>
              <w:ind w:firstLine="0"/>
              <w:jc w:val="right"/>
              <w:rPr>
                <w:rFonts w:ascii="Arial Narrow" w:hAnsi="Arial Narrow"/>
                <w:lang w:val="es-ES" w:eastAsia="es-ES"/>
              </w:rPr>
            </w:pPr>
            <w:r w:rsidRPr="00730AE6">
              <w:rPr>
                <w:rFonts w:ascii="Arial Narrow" w:hAnsi="Arial Narrow"/>
                <w:lang w:val="es-ES" w:eastAsia="es-ES"/>
              </w:rPr>
              <w:t>875</w:t>
            </w:r>
          </w:p>
        </w:tc>
        <w:tc>
          <w:tcPr>
            <w:tcW w:w="1212" w:type="dxa"/>
            <w:tcBorders>
              <w:top w:val="single" w:sz="4" w:space="0" w:color="auto"/>
              <w:left w:val="nil"/>
              <w:bottom w:val="single" w:sz="2" w:space="0" w:color="auto"/>
              <w:right w:val="nil"/>
            </w:tcBorders>
            <w:shd w:val="clear" w:color="auto" w:fill="auto"/>
            <w:noWrap/>
            <w:vAlign w:val="center"/>
          </w:tcPr>
          <w:p w:rsidR="004B0D73" w:rsidRPr="00730AE6" w:rsidRDefault="000078F1" w:rsidP="008D4279">
            <w:pPr>
              <w:spacing w:after="0"/>
              <w:ind w:firstLine="0"/>
              <w:jc w:val="right"/>
              <w:rPr>
                <w:rFonts w:ascii="Arial Narrow" w:hAnsi="Arial Narrow"/>
                <w:lang w:val="es-ES" w:eastAsia="es-ES"/>
              </w:rPr>
            </w:pPr>
            <w:r w:rsidRPr="00730AE6">
              <w:rPr>
                <w:rFonts w:ascii="Arial Narrow" w:hAnsi="Arial Narrow"/>
                <w:lang w:val="es-ES" w:eastAsia="es-ES"/>
              </w:rPr>
              <w:t>871</w:t>
            </w:r>
          </w:p>
        </w:tc>
      </w:tr>
      <w:tr w:rsidR="004B0D73" w:rsidRPr="00730AE6" w:rsidTr="00146D16">
        <w:trPr>
          <w:trHeight w:val="255"/>
          <w:jc w:val="center"/>
        </w:trPr>
        <w:tc>
          <w:tcPr>
            <w:tcW w:w="6289" w:type="dxa"/>
            <w:tcBorders>
              <w:top w:val="single" w:sz="2" w:space="0" w:color="auto"/>
              <w:left w:val="nil"/>
              <w:bottom w:val="single" w:sz="2" w:space="0" w:color="auto"/>
              <w:right w:val="nil"/>
            </w:tcBorders>
            <w:shd w:val="clear" w:color="auto" w:fill="auto"/>
            <w:noWrap/>
            <w:vAlign w:val="center"/>
          </w:tcPr>
          <w:p w:rsidR="004B0D73" w:rsidRPr="00730AE6" w:rsidRDefault="004B0D73" w:rsidP="006431B3">
            <w:pPr>
              <w:pStyle w:val="texto"/>
              <w:spacing w:after="0"/>
              <w:ind w:firstLine="0"/>
              <w:rPr>
                <w:rFonts w:ascii="Arial Narrow" w:hAnsi="Arial Narrow"/>
                <w:sz w:val="20"/>
                <w:szCs w:val="20"/>
              </w:rPr>
            </w:pPr>
            <w:r w:rsidRPr="00730AE6">
              <w:rPr>
                <w:rFonts w:ascii="Arial Narrow" w:hAnsi="Arial Narrow"/>
                <w:sz w:val="20"/>
                <w:szCs w:val="20"/>
              </w:rPr>
              <w:t>Pasivo corriente</w:t>
            </w:r>
          </w:p>
        </w:tc>
        <w:tc>
          <w:tcPr>
            <w:tcW w:w="1390" w:type="dxa"/>
            <w:tcBorders>
              <w:top w:val="single" w:sz="2" w:space="0" w:color="auto"/>
              <w:left w:val="nil"/>
              <w:bottom w:val="single" w:sz="2" w:space="0" w:color="auto"/>
              <w:right w:val="nil"/>
            </w:tcBorders>
            <w:shd w:val="clear" w:color="auto" w:fill="auto"/>
            <w:noWrap/>
            <w:vAlign w:val="center"/>
          </w:tcPr>
          <w:p w:rsidR="004B0D73" w:rsidRPr="00730AE6" w:rsidRDefault="000078F1" w:rsidP="008D4279">
            <w:pPr>
              <w:spacing w:after="0"/>
              <w:ind w:firstLine="0"/>
              <w:jc w:val="right"/>
              <w:rPr>
                <w:rFonts w:ascii="Arial Narrow" w:hAnsi="Arial Narrow"/>
                <w:lang w:val="es-ES" w:eastAsia="es-ES"/>
              </w:rPr>
            </w:pPr>
            <w:r w:rsidRPr="00730AE6">
              <w:rPr>
                <w:rFonts w:ascii="Arial Narrow" w:hAnsi="Arial Narrow"/>
                <w:lang w:val="es-ES" w:eastAsia="es-ES"/>
              </w:rPr>
              <w:t>1.797</w:t>
            </w:r>
          </w:p>
        </w:tc>
        <w:tc>
          <w:tcPr>
            <w:tcW w:w="1212" w:type="dxa"/>
            <w:tcBorders>
              <w:top w:val="single" w:sz="2" w:space="0" w:color="auto"/>
              <w:left w:val="nil"/>
              <w:bottom w:val="single" w:sz="2" w:space="0" w:color="auto"/>
              <w:right w:val="nil"/>
            </w:tcBorders>
            <w:shd w:val="clear" w:color="auto" w:fill="auto"/>
            <w:noWrap/>
            <w:vAlign w:val="center"/>
          </w:tcPr>
          <w:p w:rsidR="004B0D73" w:rsidRPr="00730AE6" w:rsidRDefault="000078F1" w:rsidP="008D4279">
            <w:pPr>
              <w:spacing w:after="0"/>
              <w:ind w:firstLine="0"/>
              <w:jc w:val="right"/>
              <w:rPr>
                <w:rFonts w:ascii="Arial Narrow" w:hAnsi="Arial Narrow"/>
                <w:lang w:val="es-ES" w:eastAsia="es-ES"/>
              </w:rPr>
            </w:pPr>
            <w:r w:rsidRPr="00730AE6">
              <w:rPr>
                <w:rFonts w:ascii="Arial Narrow" w:hAnsi="Arial Narrow"/>
                <w:lang w:val="es-ES" w:eastAsia="es-ES"/>
              </w:rPr>
              <w:t>1.849</w:t>
            </w:r>
          </w:p>
        </w:tc>
      </w:tr>
      <w:tr w:rsidR="004B0D73" w:rsidRPr="00730AE6" w:rsidTr="00146D16">
        <w:trPr>
          <w:trHeight w:val="255"/>
          <w:jc w:val="center"/>
        </w:trPr>
        <w:tc>
          <w:tcPr>
            <w:tcW w:w="6289" w:type="dxa"/>
            <w:tcBorders>
              <w:top w:val="single" w:sz="2" w:space="0" w:color="auto"/>
              <w:left w:val="nil"/>
              <w:bottom w:val="single" w:sz="2" w:space="0" w:color="auto"/>
              <w:right w:val="nil"/>
            </w:tcBorders>
            <w:shd w:val="clear" w:color="auto" w:fill="auto"/>
            <w:noWrap/>
            <w:vAlign w:val="center"/>
          </w:tcPr>
          <w:p w:rsidR="004B0D73" w:rsidRPr="00730AE6" w:rsidRDefault="000078F1" w:rsidP="006431B3">
            <w:pPr>
              <w:pStyle w:val="texto"/>
              <w:spacing w:after="0"/>
              <w:ind w:firstLine="0"/>
              <w:rPr>
                <w:rFonts w:ascii="Arial Narrow" w:hAnsi="Arial Narrow"/>
                <w:sz w:val="20"/>
                <w:szCs w:val="20"/>
              </w:rPr>
            </w:pPr>
            <w:r w:rsidRPr="00730AE6">
              <w:rPr>
                <w:rFonts w:ascii="Arial Narrow" w:hAnsi="Arial Narrow"/>
                <w:sz w:val="20"/>
                <w:szCs w:val="20"/>
              </w:rPr>
              <w:t>Activo no corriente</w:t>
            </w:r>
          </w:p>
        </w:tc>
        <w:tc>
          <w:tcPr>
            <w:tcW w:w="1390" w:type="dxa"/>
            <w:tcBorders>
              <w:top w:val="single" w:sz="2" w:space="0" w:color="auto"/>
              <w:left w:val="nil"/>
              <w:bottom w:val="single" w:sz="2" w:space="0" w:color="auto"/>
              <w:right w:val="nil"/>
            </w:tcBorders>
            <w:shd w:val="clear" w:color="auto" w:fill="auto"/>
            <w:noWrap/>
            <w:vAlign w:val="center"/>
          </w:tcPr>
          <w:p w:rsidR="004B0D73" w:rsidRPr="00730AE6" w:rsidRDefault="000078F1" w:rsidP="008D4279">
            <w:pPr>
              <w:spacing w:after="0"/>
              <w:ind w:firstLine="0"/>
              <w:jc w:val="right"/>
              <w:rPr>
                <w:rFonts w:ascii="Arial Narrow" w:hAnsi="Arial Narrow"/>
                <w:lang w:val="es-ES" w:eastAsia="es-ES"/>
              </w:rPr>
            </w:pPr>
            <w:r w:rsidRPr="00730AE6">
              <w:rPr>
                <w:rFonts w:ascii="Arial Narrow" w:hAnsi="Arial Narrow"/>
                <w:lang w:val="es-ES" w:eastAsia="es-ES"/>
              </w:rPr>
              <w:t>79</w:t>
            </w:r>
          </w:p>
        </w:tc>
        <w:tc>
          <w:tcPr>
            <w:tcW w:w="1212" w:type="dxa"/>
            <w:tcBorders>
              <w:top w:val="single" w:sz="2" w:space="0" w:color="auto"/>
              <w:left w:val="nil"/>
              <w:bottom w:val="single" w:sz="2" w:space="0" w:color="auto"/>
              <w:right w:val="nil"/>
            </w:tcBorders>
            <w:shd w:val="clear" w:color="auto" w:fill="auto"/>
            <w:noWrap/>
            <w:vAlign w:val="center"/>
          </w:tcPr>
          <w:p w:rsidR="004B0D73" w:rsidRPr="00730AE6" w:rsidRDefault="000078F1" w:rsidP="008D4279">
            <w:pPr>
              <w:spacing w:after="0"/>
              <w:ind w:firstLine="0"/>
              <w:jc w:val="right"/>
              <w:rPr>
                <w:rFonts w:ascii="Arial Narrow" w:hAnsi="Arial Narrow"/>
                <w:lang w:val="es-ES" w:eastAsia="es-ES"/>
              </w:rPr>
            </w:pPr>
            <w:r w:rsidRPr="00730AE6">
              <w:rPr>
                <w:rFonts w:ascii="Arial Narrow" w:hAnsi="Arial Narrow"/>
                <w:lang w:val="es-ES" w:eastAsia="es-ES"/>
              </w:rPr>
              <w:t>75</w:t>
            </w:r>
          </w:p>
        </w:tc>
      </w:tr>
      <w:tr w:rsidR="004B0D73" w:rsidRPr="00730AE6" w:rsidTr="00146D16">
        <w:trPr>
          <w:trHeight w:val="255"/>
          <w:jc w:val="center"/>
        </w:trPr>
        <w:tc>
          <w:tcPr>
            <w:tcW w:w="6289" w:type="dxa"/>
            <w:tcBorders>
              <w:top w:val="single" w:sz="2" w:space="0" w:color="auto"/>
              <w:left w:val="nil"/>
              <w:bottom w:val="single" w:sz="2" w:space="0" w:color="auto"/>
              <w:right w:val="nil"/>
            </w:tcBorders>
            <w:shd w:val="clear" w:color="auto" w:fill="auto"/>
            <w:noWrap/>
            <w:vAlign w:val="center"/>
          </w:tcPr>
          <w:p w:rsidR="004B0D73" w:rsidRPr="00730AE6" w:rsidRDefault="004B0D73" w:rsidP="006431B3">
            <w:pPr>
              <w:pStyle w:val="texto"/>
              <w:spacing w:after="0"/>
              <w:ind w:firstLine="0"/>
              <w:rPr>
                <w:rFonts w:ascii="Arial Narrow" w:hAnsi="Arial Narrow"/>
                <w:sz w:val="20"/>
                <w:szCs w:val="20"/>
              </w:rPr>
            </w:pPr>
            <w:r w:rsidRPr="00730AE6">
              <w:rPr>
                <w:rFonts w:ascii="Arial Narrow" w:hAnsi="Arial Narrow"/>
                <w:sz w:val="20"/>
                <w:szCs w:val="20"/>
              </w:rPr>
              <w:t>Tesorería</w:t>
            </w:r>
          </w:p>
        </w:tc>
        <w:tc>
          <w:tcPr>
            <w:tcW w:w="1390" w:type="dxa"/>
            <w:tcBorders>
              <w:top w:val="single" w:sz="2" w:space="0" w:color="auto"/>
              <w:left w:val="nil"/>
              <w:bottom w:val="single" w:sz="2" w:space="0" w:color="auto"/>
              <w:right w:val="nil"/>
            </w:tcBorders>
            <w:shd w:val="clear" w:color="auto" w:fill="auto"/>
            <w:noWrap/>
            <w:vAlign w:val="center"/>
          </w:tcPr>
          <w:p w:rsidR="004B0D73" w:rsidRPr="00730AE6" w:rsidRDefault="000078F1" w:rsidP="008D4279">
            <w:pPr>
              <w:spacing w:after="0"/>
              <w:ind w:firstLine="0"/>
              <w:jc w:val="right"/>
              <w:rPr>
                <w:rFonts w:ascii="Arial Narrow" w:hAnsi="Arial Narrow"/>
                <w:lang w:val="es-ES" w:eastAsia="es-ES"/>
              </w:rPr>
            </w:pPr>
            <w:r w:rsidRPr="00730AE6">
              <w:rPr>
                <w:rFonts w:ascii="Arial Narrow" w:hAnsi="Arial Narrow"/>
                <w:lang w:val="es-ES" w:eastAsia="es-ES"/>
              </w:rPr>
              <w:t>1.847</w:t>
            </w:r>
          </w:p>
        </w:tc>
        <w:tc>
          <w:tcPr>
            <w:tcW w:w="1212" w:type="dxa"/>
            <w:tcBorders>
              <w:top w:val="single" w:sz="2" w:space="0" w:color="auto"/>
              <w:left w:val="nil"/>
              <w:bottom w:val="single" w:sz="2" w:space="0" w:color="auto"/>
              <w:right w:val="nil"/>
            </w:tcBorders>
            <w:shd w:val="clear" w:color="auto" w:fill="auto"/>
            <w:noWrap/>
            <w:vAlign w:val="center"/>
          </w:tcPr>
          <w:p w:rsidR="004B0D73" w:rsidRPr="00730AE6" w:rsidRDefault="000078F1" w:rsidP="008D4279">
            <w:pPr>
              <w:spacing w:after="0"/>
              <w:ind w:firstLine="0"/>
              <w:jc w:val="right"/>
              <w:rPr>
                <w:rFonts w:ascii="Arial Narrow" w:hAnsi="Arial Narrow"/>
                <w:lang w:val="es-ES" w:eastAsia="es-ES"/>
              </w:rPr>
            </w:pPr>
            <w:r w:rsidRPr="00730AE6">
              <w:rPr>
                <w:rFonts w:ascii="Arial Narrow" w:hAnsi="Arial Narrow"/>
                <w:lang w:val="es-ES" w:eastAsia="es-ES"/>
              </w:rPr>
              <w:t>1.716</w:t>
            </w:r>
          </w:p>
        </w:tc>
      </w:tr>
      <w:tr w:rsidR="004B0D73" w:rsidRPr="00730AE6" w:rsidTr="00146D16">
        <w:trPr>
          <w:trHeight w:val="255"/>
          <w:jc w:val="center"/>
        </w:trPr>
        <w:tc>
          <w:tcPr>
            <w:tcW w:w="6289" w:type="dxa"/>
            <w:tcBorders>
              <w:top w:val="single" w:sz="2" w:space="0" w:color="auto"/>
              <w:left w:val="nil"/>
              <w:bottom w:val="single" w:sz="2" w:space="0" w:color="auto"/>
              <w:right w:val="nil"/>
            </w:tcBorders>
            <w:shd w:val="clear" w:color="auto" w:fill="auto"/>
            <w:noWrap/>
            <w:vAlign w:val="center"/>
          </w:tcPr>
          <w:p w:rsidR="004B0D73" w:rsidRPr="00730AE6" w:rsidRDefault="004B0D73" w:rsidP="006431B3">
            <w:pPr>
              <w:pStyle w:val="texto"/>
              <w:spacing w:after="0"/>
              <w:ind w:firstLine="0"/>
              <w:rPr>
                <w:rFonts w:ascii="Arial Narrow" w:hAnsi="Arial Narrow"/>
                <w:sz w:val="20"/>
                <w:szCs w:val="20"/>
              </w:rPr>
            </w:pPr>
            <w:r w:rsidRPr="00730AE6">
              <w:rPr>
                <w:rFonts w:ascii="Arial Narrow" w:hAnsi="Arial Narrow"/>
                <w:sz w:val="20"/>
                <w:szCs w:val="20"/>
              </w:rPr>
              <w:t>Ingresos de la actividad propia</w:t>
            </w:r>
          </w:p>
        </w:tc>
        <w:tc>
          <w:tcPr>
            <w:tcW w:w="1390" w:type="dxa"/>
            <w:tcBorders>
              <w:top w:val="single" w:sz="2" w:space="0" w:color="auto"/>
              <w:left w:val="nil"/>
              <w:bottom w:val="single" w:sz="2" w:space="0" w:color="auto"/>
              <w:right w:val="nil"/>
            </w:tcBorders>
            <w:shd w:val="clear" w:color="auto" w:fill="auto"/>
            <w:noWrap/>
            <w:vAlign w:val="center"/>
          </w:tcPr>
          <w:p w:rsidR="004B0D73" w:rsidRPr="00730AE6" w:rsidRDefault="000078F1" w:rsidP="008D4279">
            <w:pPr>
              <w:spacing w:after="0"/>
              <w:ind w:firstLine="0"/>
              <w:jc w:val="right"/>
              <w:rPr>
                <w:rFonts w:ascii="Arial Narrow" w:hAnsi="Arial Narrow"/>
                <w:lang w:val="es-ES" w:eastAsia="es-ES"/>
              </w:rPr>
            </w:pPr>
            <w:r w:rsidRPr="00730AE6">
              <w:rPr>
                <w:rFonts w:ascii="Arial Narrow" w:hAnsi="Arial Narrow"/>
                <w:lang w:val="es-ES" w:eastAsia="es-ES"/>
              </w:rPr>
              <w:t>6.841</w:t>
            </w:r>
          </w:p>
        </w:tc>
        <w:tc>
          <w:tcPr>
            <w:tcW w:w="1212" w:type="dxa"/>
            <w:tcBorders>
              <w:top w:val="single" w:sz="2" w:space="0" w:color="auto"/>
              <w:left w:val="nil"/>
              <w:bottom w:val="single" w:sz="2" w:space="0" w:color="auto"/>
              <w:right w:val="nil"/>
            </w:tcBorders>
            <w:shd w:val="clear" w:color="auto" w:fill="auto"/>
            <w:noWrap/>
            <w:vAlign w:val="center"/>
          </w:tcPr>
          <w:p w:rsidR="004B0D73" w:rsidRPr="00730AE6" w:rsidRDefault="000078F1" w:rsidP="008D4279">
            <w:pPr>
              <w:spacing w:after="0"/>
              <w:ind w:firstLine="0"/>
              <w:jc w:val="right"/>
              <w:rPr>
                <w:rFonts w:ascii="Arial Narrow" w:hAnsi="Arial Narrow"/>
                <w:lang w:val="es-ES" w:eastAsia="es-ES"/>
              </w:rPr>
            </w:pPr>
            <w:r w:rsidRPr="00730AE6">
              <w:rPr>
                <w:rFonts w:ascii="Arial Narrow" w:hAnsi="Arial Narrow"/>
                <w:lang w:val="es-ES" w:eastAsia="es-ES"/>
              </w:rPr>
              <w:t>6.211</w:t>
            </w:r>
          </w:p>
        </w:tc>
      </w:tr>
      <w:tr w:rsidR="004B0D73" w:rsidRPr="00730AE6" w:rsidTr="00146D16">
        <w:trPr>
          <w:trHeight w:val="255"/>
          <w:jc w:val="center"/>
        </w:trPr>
        <w:tc>
          <w:tcPr>
            <w:tcW w:w="6289" w:type="dxa"/>
            <w:tcBorders>
              <w:top w:val="single" w:sz="2" w:space="0" w:color="auto"/>
              <w:left w:val="nil"/>
              <w:bottom w:val="single" w:sz="2" w:space="0" w:color="auto"/>
              <w:right w:val="nil"/>
            </w:tcBorders>
            <w:shd w:val="clear" w:color="auto" w:fill="auto"/>
            <w:noWrap/>
            <w:vAlign w:val="center"/>
          </w:tcPr>
          <w:p w:rsidR="004B0D73" w:rsidRPr="00730AE6" w:rsidRDefault="004B0D73" w:rsidP="006431B3">
            <w:pPr>
              <w:pStyle w:val="texto"/>
              <w:spacing w:after="0"/>
              <w:ind w:firstLine="0"/>
              <w:rPr>
                <w:rFonts w:ascii="Arial Narrow" w:hAnsi="Arial Narrow"/>
                <w:sz w:val="20"/>
                <w:szCs w:val="20"/>
              </w:rPr>
            </w:pPr>
            <w:r w:rsidRPr="00730AE6">
              <w:rPr>
                <w:rFonts w:ascii="Arial Narrow" w:hAnsi="Arial Narrow"/>
                <w:sz w:val="20"/>
                <w:szCs w:val="20"/>
              </w:rPr>
              <w:t xml:space="preserve">Ingresos aplicación encomienda </w:t>
            </w:r>
            <w:r w:rsidR="009D7DD5">
              <w:rPr>
                <w:rFonts w:ascii="Arial Narrow" w:hAnsi="Arial Narrow"/>
                <w:sz w:val="20"/>
                <w:szCs w:val="20"/>
              </w:rPr>
              <w:t>Universidad</w:t>
            </w:r>
          </w:p>
        </w:tc>
        <w:tc>
          <w:tcPr>
            <w:tcW w:w="1390" w:type="dxa"/>
            <w:tcBorders>
              <w:top w:val="single" w:sz="2" w:space="0" w:color="auto"/>
              <w:left w:val="nil"/>
              <w:bottom w:val="single" w:sz="2" w:space="0" w:color="auto"/>
              <w:right w:val="nil"/>
            </w:tcBorders>
            <w:shd w:val="clear" w:color="auto" w:fill="auto"/>
            <w:noWrap/>
            <w:vAlign w:val="center"/>
          </w:tcPr>
          <w:p w:rsidR="004B0D73" w:rsidRPr="00730AE6" w:rsidRDefault="000078F1" w:rsidP="008D4279">
            <w:pPr>
              <w:spacing w:after="0"/>
              <w:ind w:firstLine="0"/>
              <w:jc w:val="right"/>
              <w:rPr>
                <w:rFonts w:ascii="Arial Narrow" w:hAnsi="Arial Narrow"/>
                <w:lang w:val="es-ES" w:eastAsia="es-ES"/>
              </w:rPr>
            </w:pPr>
            <w:r w:rsidRPr="00730AE6">
              <w:rPr>
                <w:rFonts w:ascii="Arial Narrow" w:hAnsi="Arial Narrow"/>
                <w:lang w:val="es-ES" w:eastAsia="es-ES"/>
              </w:rPr>
              <w:t>364</w:t>
            </w:r>
          </w:p>
        </w:tc>
        <w:tc>
          <w:tcPr>
            <w:tcW w:w="1212" w:type="dxa"/>
            <w:tcBorders>
              <w:top w:val="single" w:sz="2" w:space="0" w:color="auto"/>
              <w:left w:val="nil"/>
              <w:bottom w:val="single" w:sz="2" w:space="0" w:color="auto"/>
              <w:right w:val="nil"/>
            </w:tcBorders>
            <w:shd w:val="clear" w:color="auto" w:fill="auto"/>
            <w:noWrap/>
            <w:vAlign w:val="center"/>
          </w:tcPr>
          <w:p w:rsidR="004B0D73" w:rsidRPr="00730AE6" w:rsidRDefault="000078F1" w:rsidP="008D4279">
            <w:pPr>
              <w:spacing w:after="0"/>
              <w:ind w:firstLine="0"/>
              <w:jc w:val="right"/>
              <w:rPr>
                <w:rFonts w:ascii="Arial Narrow" w:hAnsi="Arial Narrow"/>
                <w:lang w:val="es-ES" w:eastAsia="es-ES"/>
              </w:rPr>
            </w:pPr>
            <w:r w:rsidRPr="00730AE6">
              <w:rPr>
                <w:rFonts w:ascii="Arial Narrow" w:hAnsi="Arial Narrow"/>
                <w:lang w:val="es-ES" w:eastAsia="es-ES"/>
              </w:rPr>
              <w:t>432</w:t>
            </w:r>
          </w:p>
        </w:tc>
      </w:tr>
      <w:tr w:rsidR="004B0D73" w:rsidRPr="00730AE6" w:rsidTr="00146D16">
        <w:trPr>
          <w:trHeight w:val="255"/>
          <w:jc w:val="center"/>
        </w:trPr>
        <w:tc>
          <w:tcPr>
            <w:tcW w:w="6289" w:type="dxa"/>
            <w:tcBorders>
              <w:top w:val="single" w:sz="2" w:space="0" w:color="auto"/>
              <w:left w:val="nil"/>
              <w:bottom w:val="single" w:sz="2" w:space="0" w:color="auto"/>
              <w:right w:val="nil"/>
            </w:tcBorders>
            <w:shd w:val="clear" w:color="auto" w:fill="auto"/>
            <w:noWrap/>
            <w:vAlign w:val="center"/>
          </w:tcPr>
          <w:p w:rsidR="004B0D73" w:rsidRPr="00730AE6" w:rsidRDefault="004B0D73" w:rsidP="006431B3">
            <w:pPr>
              <w:pStyle w:val="texto"/>
              <w:spacing w:after="0"/>
              <w:ind w:firstLine="0"/>
              <w:rPr>
                <w:rFonts w:ascii="Arial Narrow" w:hAnsi="Arial Narrow"/>
                <w:sz w:val="20"/>
                <w:szCs w:val="20"/>
              </w:rPr>
            </w:pPr>
            <w:r w:rsidRPr="00730AE6">
              <w:rPr>
                <w:rFonts w:ascii="Arial Narrow" w:hAnsi="Arial Narrow"/>
                <w:sz w:val="20"/>
                <w:szCs w:val="20"/>
              </w:rPr>
              <w:t>Gastos de personal</w:t>
            </w:r>
          </w:p>
        </w:tc>
        <w:tc>
          <w:tcPr>
            <w:tcW w:w="1390" w:type="dxa"/>
            <w:tcBorders>
              <w:top w:val="single" w:sz="2" w:space="0" w:color="auto"/>
              <w:left w:val="nil"/>
              <w:bottom w:val="single" w:sz="2" w:space="0" w:color="auto"/>
              <w:right w:val="nil"/>
            </w:tcBorders>
            <w:shd w:val="clear" w:color="auto" w:fill="auto"/>
            <w:noWrap/>
            <w:vAlign w:val="center"/>
          </w:tcPr>
          <w:p w:rsidR="004B0D73" w:rsidRPr="00730AE6" w:rsidRDefault="000078F1" w:rsidP="008D4279">
            <w:pPr>
              <w:spacing w:after="0"/>
              <w:ind w:firstLine="0"/>
              <w:jc w:val="right"/>
              <w:rPr>
                <w:rFonts w:ascii="Arial Narrow" w:hAnsi="Arial Narrow"/>
                <w:lang w:val="es-ES" w:eastAsia="es-ES"/>
              </w:rPr>
            </w:pPr>
            <w:r w:rsidRPr="00730AE6">
              <w:rPr>
                <w:rFonts w:ascii="Arial Narrow" w:hAnsi="Arial Narrow"/>
                <w:lang w:val="es-ES" w:eastAsia="es-ES"/>
              </w:rPr>
              <w:t>2.162</w:t>
            </w:r>
          </w:p>
        </w:tc>
        <w:tc>
          <w:tcPr>
            <w:tcW w:w="1212" w:type="dxa"/>
            <w:tcBorders>
              <w:top w:val="single" w:sz="2" w:space="0" w:color="auto"/>
              <w:left w:val="nil"/>
              <w:bottom w:val="single" w:sz="2" w:space="0" w:color="auto"/>
              <w:right w:val="nil"/>
            </w:tcBorders>
            <w:shd w:val="clear" w:color="auto" w:fill="auto"/>
            <w:noWrap/>
            <w:vAlign w:val="center"/>
          </w:tcPr>
          <w:p w:rsidR="004B0D73" w:rsidRPr="00730AE6" w:rsidRDefault="000078F1" w:rsidP="008D4279">
            <w:pPr>
              <w:spacing w:after="0"/>
              <w:ind w:firstLine="0"/>
              <w:jc w:val="right"/>
              <w:rPr>
                <w:rFonts w:ascii="Arial Narrow" w:hAnsi="Arial Narrow"/>
                <w:lang w:val="es-ES" w:eastAsia="es-ES"/>
              </w:rPr>
            </w:pPr>
            <w:r w:rsidRPr="00730AE6">
              <w:rPr>
                <w:rFonts w:ascii="Arial Narrow" w:hAnsi="Arial Narrow"/>
                <w:lang w:val="es-ES" w:eastAsia="es-ES"/>
              </w:rPr>
              <w:t>2.130</w:t>
            </w:r>
          </w:p>
        </w:tc>
      </w:tr>
      <w:tr w:rsidR="004B0D73" w:rsidRPr="00730AE6" w:rsidTr="00146D16">
        <w:trPr>
          <w:trHeight w:val="255"/>
          <w:jc w:val="center"/>
        </w:trPr>
        <w:tc>
          <w:tcPr>
            <w:tcW w:w="6289" w:type="dxa"/>
            <w:tcBorders>
              <w:top w:val="single" w:sz="2" w:space="0" w:color="auto"/>
              <w:left w:val="nil"/>
              <w:bottom w:val="single" w:sz="2" w:space="0" w:color="auto"/>
              <w:right w:val="nil"/>
            </w:tcBorders>
            <w:shd w:val="clear" w:color="auto" w:fill="auto"/>
            <w:noWrap/>
            <w:vAlign w:val="center"/>
          </w:tcPr>
          <w:p w:rsidR="004B0D73" w:rsidRPr="00730AE6" w:rsidRDefault="004B0D73" w:rsidP="006431B3">
            <w:pPr>
              <w:pStyle w:val="texto"/>
              <w:spacing w:after="0"/>
              <w:ind w:firstLine="0"/>
              <w:rPr>
                <w:rFonts w:ascii="Arial Narrow" w:hAnsi="Arial Narrow"/>
                <w:sz w:val="20"/>
                <w:szCs w:val="20"/>
              </w:rPr>
            </w:pPr>
            <w:r w:rsidRPr="00730AE6">
              <w:rPr>
                <w:rFonts w:ascii="Arial Narrow" w:hAnsi="Arial Narrow"/>
                <w:sz w:val="20"/>
                <w:szCs w:val="20"/>
              </w:rPr>
              <w:t>Resultado del ejercicio</w:t>
            </w:r>
          </w:p>
        </w:tc>
        <w:tc>
          <w:tcPr>
            <w:tcW w:w="1390" w:type="dxa"/>
            <w:tcBorders>
              <w:top w:val="single" w:sz="2" w:space="0" w:color="auto"/>
              <w:left w:val="nil"/>
              <w:bottom w:val="single" w:sz="2" w:space="0" w:color="auto"/>
              <w:right w:val="nil"/>
            </w:tcBorders>
            <w:shd w:val="clear" w:color="auto" w:fill="auto"/>
            <w:noWrap/>
            <w:vAlign w:val="center"/>
          </w:tcPr>
          <w:p w:rsidR="004B0D73" w:rsidRPr="00730AE6" w:rsidRDefault="000078F1" w:rsidP="008D4279">
            <w:pPr>
              <w:spacing w:after="0"/>
              <w:ind w:firstLine="0"/>
              <w:jc w:val="right"/>
              <w:rPr>
                <w:rFonts w:ascii="Arial Narrow" w:hAnsi="Arial Narrow"/>
                <w:lang w:val="es-ES" w:eastAsia="es-ES"/>
              </w:rPr>
            </w:pPr>
            <w:r w:rsidRPr="00730AE6">
              <w:rPr>
                <w:rFonts w:ascii="Arial Narrow" w:hAnsi="Arial Narrow"/>
                <w:lang w:val="es-ES" w:eastAsia="es-ES"/>
              </w:rPr>
              <w:t>6</w:t>
            </w:r>
          </w:p>
        </w:tc>
        <w:tc>
          <w:tcPr>
            <w:tcW w:w="1212" w:type="dxa"/>
            <w:tcBorders>
              <w:top w:val="single" w:sz="2" w:space="0" w:color="auto"/>
              <w:left w:val="nil"/>
              <w:bottom w:val="single" w:sz="2" w:space="0" w:color="auto"/>
              <w:right w:val="nil"/>
            </w:tcBorders>
            <w:shd w:val="clear" w:color="auto" w:fill="auto"/>
            <w:noWrap/>
            <w:vAlign w:val="center"/>
          </w:tcPr>
          <w:p w:rsidR="004B0D73" w:rsidRPr="00730AE6" w:rsidRDefault="000078F1" w:rsidP="008D4279">
            <w:pPr>
              <w:spacing w:after="0"/>
              <w:ind w:firstLine="0"/>
              <w:jc w:val="right"/>
              <w:rPr>
                <w:rFonts w:ascii="Arial Narrow" w:hAnsi="Arial Narrow"/>
                <w:lang w:val="es-ES" w:eastAsia="es-ES"/>
              </w:rPr>
            </w:pPr>
            <w:r w:rsidRPr="00730AE6">
              <w:rPr>
                <w:rFonts w:ascii="Arial Narrow" w:hAnsi="Arial Narrow"/>
                <w:lang w:val="es-ES" w:eastAsia="es-ES"/>
              </w:rPr>
              <w:t>-4</w:t>
            </w:r>
          </w:p>
        </w:tc>
      </w:tr>
      <w:tr w:rsidR="004B0D73" w:rsidRPr="00730AE6" w:rsidTr="00146D16">
        <w:trPr>
          <w:trHeight w:val="255"/>
          <w:jc w:val="center"/>
        </w:trPr>
        <w:tc>
          <w:tcPr>
            <w:tcW w:w="6289" w:type="dxa"/>
            <w:tcBorders>
              <w:top w:val="single" w:sz="2" w:space="0" w:color="auto"/>
              <w:left w:val="nil"/>
              <w:bottom w:val="single" w:sz="4" w:space="0" w:color="auto"/>
              <w:right w:val="nil"/>
            </w:tcBorders>
            <w:shd w:val="clear" w:color="auto" w:fill="auto"/>
            <w:noWrap/>
            <w:vAlign w:val="center"/>
          </w:tcPr>
          <w:p w:rsidR="004B0D73" w:rsidRPr="00730AE6" w:rsidRDefault="004B0D73" w:rsidP="006431B3">
            <w:pPr>
              <w:pStyle w:val="texto"/>
              <w:spacing w:after="0"/>
              <w:ind w:firstLine="0"/>
              <w:rPr>
                <w:rFonts w:ascii="Arial Narrow" w:hAnsi="Arial Narrow"/>
                <w:sz w:val="20"/>
                <w:szCs w:val="20"/>
              </w:rPr>
            </w:pPr>
            <w:r w:rsidRPr="00730AE6">
              <w:rPr>
                <w:rFonts w:ascii="Arial Narrow" w:hAnsi="Arial Narrow"/>
                <w:sz w:val="20"/>
                <w:szCs w:val="20"/>
              </w:rPr>
              <w:t>Número medio de empleados</w:t>
            </w:r>
          </w:p>
        </w:tc>
        <w:tc>
          <w:tcPr>
            <w:tcW w:w="1390" w:type="dxa"/>
            <w:tcBorders>
              <w:top w:val="single" w:sz="2" w:space="0" w:color="auto"/>
              <w:left w:val="nil"/>
              <w:bottom w:val="single" w:sz="4" w:space="0" w:color="auto"/>
              <w:right w:val="nil"/>
            </w:tcBorders>
            <w:shd w:val="clear" w:color="auto" w:fill="auto"/>
            <w:noWrap/>
            <w:vAlign w:val="center"/>
          </w:tcPr>
          <w:p w:rsidR="004B0D73" w:rsidRPr="002A2668" w:rsidRDefault="00D63AD4" w:rsidP="008D4279">
            <w:pPr>
              <w:spacing w:after="0"/>
              <w:ind w:firstLine="0"/>
              <w:jc w:val="right"/>
              <w:rPr>
                <w:rFonts w:ascii="Arial Narrow" w:hAnsi="Arial Narrow"/>
                <w:lang w:val="es-ES" w:eastAsia="es-ES"/>
              </w:rPr>
            </w:pPr>
            <w:r w:rsidRPr="002A2668">
              <w:rPr>
                <w:rFonts w:ascii="Arial Narrow" w:hAnsi="Arial Narrow"/>
                <w:lang w:val="es-ES" w:eastAsia="es-ES"/>
              </w:rPr>
              <w:t>45,25</w:t>
            </w:r>
          </w:p>
        </w:tc>
        <w:tc>
          <w:tcPr>
            <w:tcW w:w="1212" w:type="dxa"/>
            <w:tcBorders>
              <w:top w:val="single" w:sz="2" w:space="0" w:color="auto"/>
              <w:left w:val="nil"/>
              <w:bottom w:val="single" w:sz="4" w:space="0" w:color="auto"/>
              <w:right w:val="nil"/>
            </w:tcBorders>
            <w:shd w:val="clear" w:color="auto" w:fill="auto"/>
            <w:noWrap/>
            <w:vAlign w:val="center"/>
          </w:tcPr>
          <w:p w:rsidR="004B0D73" w:rsidRPr="002A2668" w:rsidRDefault="00D63AD4" w:rsidP="008D4279">
            <w:pPr>
              <w:spacing w:after="0"/>
              <w:ind w:firstLine="0"/>
              <w:jc w:val="right"/>
              <w:rPr>
                <w:rFonts w:ascii="Arial Narrow" w:hAnsi="Arial Narrow"/>
                <w:lang w:val="es-ES" w:eastAsia="es-ES"/>
              </w:rPr>
            </w:pPr>
            <w:r w:rsidRPr="002A2668">
              <w:rPr>
                <w:rFonts w:ascii="Arial Narrow" w:hAnsi="Arial Narrow"/>
                <w:lang w:val="es-ES" w:eastAsia="es-ES"/>
              </w:rPr>
              <w:t>44,33</w:t>
            </w:r>
          </w:p>
        </w:tc>
      </w:tr>
    </w:tbl>
    <w:p w:rsidR="00EE6E9F" w:rsidRDefault="004B0D73" w:rsidP="00EE6E9F">
      <w:pPr>
        <w:pStyle w:val="texto"/>
        <w:spacing w:before="240" w:after="0"/>
      </w:pPr>
      <w:r w:rsidRPr="00730AE6">
        <w:t>Los recursos empleados en 201</w:t>
      </w:r>
      <w:r w:rsidR="000078F1" w:rsidRPr="00730AE6">
        <w:t>7</w:t>
      </w:r>
      <w:r w:rsidRPr="00730AE6">
        <w:t xml:space="preserve"> por la </w:t>
      </w:r>
      <w:r w:rsidR="00723883">
        <w:t>Fundación</w:t>
      </w:r>
      <w:r w:rsidRPr="00730AE6">
        <w:t xml:space="preserve"> en sus distintas áreas se detallan en el cuadro siguiente</w:t>
      </w:r>
      <w:r w:rsidR="005E69F0">
        <w:t>:</w:t>
      </w:r>
    </w:p>
    <w:tbl>
      <w:tblPr>
        <w:tblpPr w:leftFromText="141" w:rightFromText="141" w:vertAnchor="text" w:horzAnchor="margin" w:tblpX="70" w:tblpY="267"/>
        <w:tblW w:w="9001" w:type="dxa"/>
        <w:tblCellMar>
          <w:left w:w="70" w:type="dxa"/>
          <w:right w:w="70" w:type="dxa"/>
        </w:tblCellMar>
        <w:tblLook w:val="0000" w:firstRow="0" w:lastRow="0" w:firstColumn="0" w:lastColumn="0" w:noHBand="0" w:noVBand="0"/>
      </w:tblPr>
      <w:tblGrid>
        <w:gridCol w:w="7090"/>
        <w:gridCol w:w="1911"/>
      </w:tblGrid>
      <w:tr w:rsidR="00146D16" w:rsidRPr="005E69F0" w:rsidTr="00670292">
        <w:trPr>
          <w:trHeight w:val="284"/>
        </w:trPr>
        <w:tc>
          <w:tcPr>
            <w:tcW w:w="7090" w:type="dxa"/>
            <w:tcBorders>
              <w:top w:val="single" w:sz="2" w:space="0" w:color="auto"/>
              <w:bottom w:val="single" w:sz="2" w:space="0" w:color="auto"/>
            </w:tcBorders>
            <w:shd w:val="clear" w:color="auto" w:fill="A8CBEE" w:themeFill="accent2" w:themeFillTint="66"/>
            <w:noWrap/>
            <w:vAlign w:val="center"/>
          </w:tcPr>
          <w:p w:rsidR="00146D16" w:rsidRPr="00EE6E9F" w:rsidRDefault="00146D16" w:rsidP="00146D16">
            <w:pPr>
              <w:pStyle w:val="cuadroCabe"/>
              <w:spacing w:line="240" w:lineRule="atLeast"/>
              <w:rPr>
                <w:rFonts w:cs="Arial"/>
                <w:szCs w:val="18"/>
              </w:rPr>
            </w:pPr>
            <w:r w:rsidRPr="00EE6E9F">
              <w:rPr>
                <w:rFonts w:cs="Arial"/>
                <w:szCs w:val="18"/>
              </w:rPr>
              <w:t>Áreas</w:t>
            </w:r>
          </w:p>
        </w:tc>
        <w:tc>
          <w:tcPr>
            <w:tcW w:w="1911" w:type="dxa"/>
            <w:tcBorders>
              <w:top w:val="single" w:sz="2" w:space="0" w:color="auto"/>
              <w:bottom w:val="single" w:sz="2" w:space="0" w:color="auto"/>
            </w:tcBorders>
            <w:shd w:val="clear" w:color="auto" w:fill="A8CBEE" w:themeFill="accent2" w:themeFillTint="66"/>
            <w:noWrap/>
            <w:vAlign w:val="center"/>
          </w:tcPr>
          <w:p w:rsidR="00146D16" w:rsidRPr="00EE6E9F" w:rsidRDefault="00146D16" w:rsidP="00146D16">
            <w:pPr>
              <w:pStyle w:val="cuadroCabe"/>
              <w:spacing w:line="240" w:lineRule="atLeast"/>
              <w:jc w:val="right"/>
              <w:rPr>
                <w:rFonts w:cs="Arial"/>
                <w:szCs w:val="18"/>
              </w:rPr>
            </w:pPr>
            <w:r w:rsidRPr="00EE6E9F">
              <w:rPr>
                <w:rFonts w:cs="Arial"/>
                <w:szCs w:val="18"/>
              </w:rPr>
              <w:t>Importe</w:t>
            </w:r>
          </w:p>
        </w:tc>
      </w:tr>
      <w:tr w:rsidR="00146D16" w:rsidRPr="005E69F0" w:rsidTr="00146D16">
        <w:trPr>
          <w:trHeight w:val="284"/>
        </w:trPr>
        <w:tc>
          <w:tcPr>
            <w:tcW w:w="7090" w:type="dxa"/>
            <w:tcBorders>
              <w:top w:val="single" w:sz="2" w:space="0" w:color="auto"/>
              <w:bottom w:val="single" w:sz="2" w:space="0" w:color="auto"/>
            </w:tcBorders>
            <w:shd w:val="clear" w:color="auto" w:fill="auto"/>
            <w:noWrap/>
            <w:vAlign w:val="center"/>
          </w:tcPr>
          <w:p w:rsidR="00146D16" w:rsidRPr="005E69F0" w:rsidRDefault="00146D16" w:rsidP="00146D16">
            <w:pPr>
              <w:pStyle w:val="cuadroCabe"/>
              <w:spacing w:after="100" w:afterAutospacing="1" w:line="240" w:lineRule="atLeast"/>
              <w:rPr>
                <w:rFonts w:ascii="Arial Narrow" w:hAnsi="Arial Narrow" w:cs="Arial"/>
                <w:sz w:val="20"/>
                <w:szCs w:val="20"/>
                <w:lang w:val="es-ES" w:eastAsia="es-ES"/>
              </w:rPr>
            </w:pPr>
            <w:r w:rsidRPr="005E69F0">
              <w:rPr>
                <w:rFonts w:ascii="Arial Narrow" w:hAnsi="Arial Narrow"/>
                <w:sz w:val="20"/>
                <w:szCs w:val="20"/>
              </w:rPr>
              <w:t>Empleo</w:t>
            </w:r>
          </w:p>
        </w:tc>
        <w:tc>
          <w:tcPr>
            <w:tcW w:w="1911" w:type="dxa"/>
            <w:tcBorders>
              <w:top w:val="single" w:sz="2" w:space="0" w:color="auto"/>
              <w:bottom w:val="single" w:sz="2" w:space="0" w:color="auto"/>
            </w:tcBorders>
            <w:shd w:val="clear" w:color="auto" w:fill="auto"/>
            <w:noWrap/>
            <w:vAlign w:val="center"/>
          </w:tcPr>
          <w:p w:rsidR="00146D16" w:rsidRPr="005E69F0" w:rsidRDefault="00146D16" w:rsidP="00146D16">
            <w:pPr>
              <w:pStyle w:val="cuadroCabe"/>
              <w:spacing w:after="100" w:afterAutospacing="1" w:line="240" w:lineRule="atLeast"/>
              <w:jc w:val="right"/>
              <w:rPr>
                <w:rFonts w:ascii="Arial Narrow" w:hAnsi="Arial Narrow"/>
                <w:sz w:val="20"/>
                <w:szCs w:val="20"/>
                <w:lang w:val="es-ES" w:eastAsia="es-ES"/>
              </w:rPr>
            </w:pPr>
            <w:r w:rsidRPr="005E69F0">
              <w:rPr>
                <w:rFonts w:ascii="Arial Narrow" w:hAnsi="Arial Narrow"/>
                <w:sz w:val="20"/>
                <w:szCs w:val="20"/>
              </w:rPr>
              <w:t>4.427</w:t>
            </w:r>
          </w:p>
        </w:tc>
      </w:tr>
      <w:tr w:rsidR="00146D16" w:rsidRPr="005E69F0" w:rsidTr="00146D16">
        <w:trPr>
          <w:trHeight w:val="284"/>
        </w:trPr>
        <w:tc>
          <w:tcPr>
            <w:tcW w:w="7090" w:type="dxa"/>
            <w:tcBorders>
              <w:top w:val="single" w:sz="2" w:space="0" w:color="auto"/>
              <w:bottom w:val="single" w:sz="2" w:space="0" w:color="auto"/>
            </w:tcBorders>
            <w:shd w:val="clear" w:color="auto" w:fill="auto"/>
            <w:noWrap/>
            <w:vAlign w:val="center"/>
          </w:tcPr>
          <w:p w:rsidR="00146D16" w:rsidRPr="005E69F0" w:rsidRDefault="00146D16" w:rsidP="00146D16">
            <w:pPr>
              <w:pStyle w:val="texto"/>
              <w:spacing w:after="0"/>
              <w:ind w:firstLine="0"/>
              <w:rPr>
                <w:rFonts w:ascii="Arial Narrow" w:hAnsi="Arial Narrow"/>
                <w:sz w:val="20"/>
                <w:szCs w:val="20"/>
              </w:rPr>
            </w:pPr>
            <w:r w:rsidRPr="005E69F0">
              <w:rPr>
                <w:rFonts w:ascii="Arial Narrow" w:hAnsi="Arial Narrow"/>
                <w:sz w:val="20"/>
                <w:szCs w:val="20"/>
              </w:rPr>
              <w:t>Formación</w:t>
            </w:r>
          </w:p>
        </w:tc>
        <w:tc>
          <w:tcPr>
            <w:tcW w:w="1911" w:type="dxa"/>
            <w:tcBorders>
              <w:top w:val="single" w:sz="2" w:space="0" w:color="auto"/>
              <w:bottom w:val="single" w:sz="2" w:space="0" w:color="auto"/>
            </w:tcBorders>
            <w:shd w:val="clear" w:color="auto" w:fill="auto"/>
            <w:noWrap/>
            <w:vAlign w:val="center"/>
          </w:tcPr>
          <w:p w:rsidR="00146D16" w:rsidRPr="005E69F0" w:rsidRDefault="00146D16" w:rsidP="00146D16">
            <w:pPr>
              <w:pStyle w:val="texto"/>
              <w:spacing w:after="0"/>
              <w:ind w:firstLine="0"/>
              <w:jc w:val="right"/>
              <w:rPr>
                <w:rFonts w:ascii="Arial Narrow" w:hAnsi="Arial Narrow"/>
                <w:sz w:val="20"/>
                <w:szCs w:val="20"/>
              </w:rPr>
            </w:pPr>
            <w:r w:rsidRPr="005E69F0">
              <w:rPr>
                <w:rFonts w:ascii="Arial Narrow" w:hAnsi="Arial Narrow"/>
                <w:sz w:val="20"/>
                <w:szCs w:val="20"/>
              </w:rPr>
              <w:t>723</w:t>
            </w:r>
          </w:p>
        </w:tc>
      </w:tr>
      <w:tr w:rsidR="00146D16" w:rsidRPr="005E69F0" w:rsidTr="00146D16">
        <w:trPr>
          <w:trHeight w:val="284"/>
        </w:trPr>
        <w:tc>
          <w:tcPr>
            <w:tcW w:w="7090" w:type="dxa"/>
            <w:tcBorders>
              <w:top w:val="single" w:sz="2" w:space="0" w:color="auto"/>
              <w:bottom w:val="single" w:sz="2" w:space="0" w:color="auto"/>
            </w:tcBorders>
            <w:shd w:val="clear" w:color="auto" w:fill="auto"/>
            <w:noWrap/>
            <w:vAlign w:val="center"/>
          </w:tcPr>
          <w:p w:rsidR="00146D16" w:rsidRPr="005E69F0" w:rsidRDefault="00146D16" w:rsidP="00146D16">
            <w:pPr>
              <w:pStyle w:val="texto"/>
              <w:spacing w:after="0"/>
              <w:ind w:firstLine="0"/>
              <w:rPr>
                <w:rFonts w:ascii="Arial Narrow" w:hAnsi="Arial Narrow"/>
                <w:sz w:val="20"/>
                <w:szCs w:val="20"/>
              </w:rPr>
            </w:pPr>
            <w:r w:rsidRPr="005E69F0">
              <w:rPr>
                <w:rFonts w:ascii="Arial Narrow" w:hAnsi="Arial Narrow"/>
                <w:sz w:val="20"/>
                <w:szCs w:val="20"/>
              </w:rPr>
              <w:t>Apoyo al centro de I+D</w:t>
            </w:r>
          </w:p>
        </w:tc>
        <w:tc>
          <w:tcPr>
            <w:tcW w:w="1911" w:type="dxa"/>
            <w:tcBorders>
              <w:top w:val="single" w:sz="2" w:space="0" w:color="auto"/>
              <w:bottom w:val="single" w:sz="2" w:space="0" w:color="auto"/>
            </w:tcBorders>
            <w:shd w:val="clear" w:color="auto" w:fill="auto"/>
            <w:noWrap/>
            <w:vAlign w:val="center"/>
          </w:tcPr>
          <w:p w:rsidR="00146D16" w:rsidRPr="005E69F0" w:rsidRDefault="00146D16" w:rsidP="00146D16">
            <w:pPr>
              <w:pStyle w:val="texto"/>
              <w:spacing w:after="0"/>
              <w:ind w:firstLine="0"/>
              <w:jc w:val="right"/>
              <w:rPr>
                <w:rFonts w:ascii="Arial Narrow" w:hAnsi="Arial Narrow"/>
                <w:sz w:val="20"/>
                <w:szCs w:val="20"/>
              </w:rPr>
            </w:pPr>
            <w:r w:rsidRPr="005E69F0">
              <w:rPr>
                <w:rFonts w:ascii="Arial Narrow" w:hAnsi="Arial Narrow"/>
                <w:sz w:val="20"/>
                <w:szCs w:val="20"/>
              </w:rPr>
              <w:t>72</w:t>
            </w:r>
          </w:p>
        </w:tc>
      </w:tr>
      <w:tr w:rsidR="00146D16" w:rsidRPr="005E69F0" w:rsidTr="00146D16">
        <w:trPr>
          <w:trHeight w:val="284"/>
        </w:trPr>
        <w:tc>
          <w:tcPr>
            <w:tcW w:w="7090" w:type="dxa"/>
            <w:tcBorders>
              <w:top w:val="single" w:sz="2" w:space="0" w:color="auto"/>
              <w:bottom w:val="single" w:sz="2" w:space="0" w:color="auto"/>
            </w:tcBorders>
            <w:shd w:val="clear" w:color="auto" w:fill="auto"/>
            <w:noWrap/>
            <w:vAlign w:val="center"/>
          </w:tcPr>
          <w:p w:rsidR="00146D16" w:rsidRPr="005E69F0" w:rsidRDefault="00146D16" w:rsidP="00146D16">
            <w:pPr>
              <w:pStyle w:val="texto"/>
              <w:spacing w:after="0"/>
              <w:ind w:firstLine="0"/>
              <w:rPr>
                <w:rFonts w:ascii="Arial Narrow" w:hAnsi="Arial Narrow"/>
                <w:sz w:val="20"/>
                <w:szCs w:val="20"/>
              </w:rPr>
            </w:pPr>
            <w:r w:rsidRPr="005E69F0">
              <w:rPr>
                <w:rFonts w:ascii="Arial Narrow" w:hAnsi="Arial Narrow"/>
                <w:sz w:val="20"/>
                <w:szCs w:val="20"/>
              </w:rPr>
              <w:t>Promoción UPNA+</w:t>
            </w:r>
          </w:p>
        </w:tc>
        <w:tc>
          <w:tcPr>
            <w:tcW w:w="1911" w:type="dxa"/>
            <w:tcBorders>
              <w:top w:val="single" w:sz="2" w:space="0" w:color="auto"/>
              <w:bottom w:val="single" w:sz="2" w:space="0" w:color="auto"/>
            </w:tcBorders>
            <w:shd w:val="clear" w:color="auto" w:fill="auto"/>
            <w:noWrap/>
            <w:vAlign w:val="center"/>
          </w:tcPr>
          <w:p w:rsidR="00146D16" w:rsidRPr="005E69F0" w:rsidRDefault="00146D16" w:rsidP="00146D16">
            <w:pPr>
              <w:pStyle w:val="texto"/>
              <w:spacing w:after="0"/>
              <w:ind w:firstLine="0"/>
              <w:jc w:val="right"/>
              <w:rPr>
                <w:rFonts w:ascii="Arial Narrow" w:hAnsi="Arial Narrow"/>
                <w:sz w:val="20"/>
                <w:szCs w:val="20"/>
              </w:rPr>
            </w:pPr>
            <w:r w:rsidRPr="005E69F0">
              <w:rPr>
                <w:rFonts w:ascii="Arial Narrow" w:hAnsi="Arial Narrow"/>
                <w:sz w:val="20"/>
                <w:szCs w:val="20"/>
              </w:rPr>
              <w:t>90</w:t>
            </w:r>
          </w:p>
        </w:tc>
      </w:tr>
      <w:tr w:rsidR="00146D16" w:rsidRPr="005E69F0" w:rsidTr="00146D16">
        <w:trPr>
          <w:trHeight w:val="284"/>
        </w:trPr>
        <w:tc>
          <w:tcPr>
            <w:tcW w:w="7090" w:type="dxa"/>
            <w:tcBorders>
              <w:top w:val="single" w:sz="2" w:space="0" w:color="auto"/>
              <w:bottom w:val="single" w:sz="2" w:space="0" w:color="auto"/>
            </w:tcBorders>
            <w:shd w:val="clear" w:color="auto" w:fill="auto"/>
            <w:noWrap/>
            <w:vAlign w:val="center"/>
          </w:tcPr>
          <w:p w:rsidR="00146D16" w:rsidRPr="005E69F0" w:rsidRDefault="00146D16" w:rsidP="00146D16">
            <w:pPr>
              <w:pStyle w:val="texto"/>
              <w:spacing w:after="0"/>
              <w:ind w:firstLine="0"/>
              <w:rPr>
                <w:rFonts w:ascii="Arial Narrow" w:hAnsi="Arial Narrow"/>
                <w:sz w:val="20"/>
                <w:szCs w:val="20"/>
              </w:rPr>
            </w:pPr>
            <w:r w:rsidRPr="005E69F0">
              <w:rPr>
                <w:rFonts w:ascii="Arial Narrow" w:hAnsi="Arial Narrow"/>
                <w:sz w:val="20"/>
                <w:szCs w:val="20"/>
              </w:rPr>
              <w:t>Idiomas</w:t>
            </w:r>
          </w:p>
        </w:tc>
        <w:tc>
          <w:tcPr>
            <w:tcW w:w="1911" w:type="dxa"/>
            <w:tcBorders>
              <w:top w:val="single" w:sz="2" w:space="0" w:color="auto"/>
              <w:bottom w:val="single" w:sz="2" w:space="0" w:color="auto"/>
            </w:tcBorders>
            <w:shd w:val="clear" w:color="auto" w:fill="auto"/>
            <w:noWrap/>
            <w:vAlign w:val="center"/>
          </w:tcPr>
          <w:p w:rsidR="00146D16" w:rsidRPr="005E69F0" w:rsidRDefault="00146D16" w:rsidP="00146D16">
            <w:pPr>
              <w:pStyle w:val="texto"/>
              <w:spacing w:after="0"/>
              <w:ind w:firstLine="0"/>
              <w:jc w:val="right"/>
              <w:rPr>
                <w:rFonts w:ascii="Arial Narrow" w:hAnsi="Arial Narrow"/>
                <w:sz w:val="20"/>
                <w:szCs w:val="20"/>
              </w:rPr>
            </w:pPr>
            <w:r w:rsidRPr="005E69F0">
              <w:rPr>
                <w:rFonts w:ascii="Arial Narrow" w:hAnsi="Arial Narrow"/>
                <w:sz w:val="20"/>
                <w:szCs w:val="20"/>
              </w:rPr>
              <w:t>732</w:t>
            </w:r>
          </w:p>
        </w:tc>
      </w:tr>
      <w:tr w:rsidR="00146D16" w:rsidRPr="005E69F0" w:rsidTr="00146D16">
        <w:trPr>
          <w:trHeight w:val="284"/>
        </w:trPr>
        <w:tc>
          <w:tcPr>
            <w:tcW w:w="7090" w:type="dxa"/>
            <w:tcBorders>
              <w:top w:val="single" w:sz="2" w:space="0" w:color="auto"/>
              <w:bottom w:val="single" w:sz="2" w:space="0" w:color="auto"/>
            </w:tcBorders>
            <w:shd w:val="clear" w:color="auto" w:fill="auto"/>
            <w:noWrap/>
            <w:vAlign w:val="center"/>
          </w:tcPr>
          <w:p w:rsidR="00146D16" w:rsidRPr="005E69F0" w:rsidRDefault="00146D16" w:rsidP="00146D16">
            <w:pPr>
              <w:pStyle w:val="texto"/>
              <w:spacing w:after="0"/>
              <w:ind w:firstLine="0"/>
              <w:rPr>
                <w:rFonts w:ascii="Arial Narrow" w:hAnsi="Arial Narrow"/>
                <w:sz w:val="20"/>
                <w:szCs w:val="20"/>
              </w:rPr>
            </w:pPr>
            <w:r w:rsidRPr="005E69F0">
              <w:rPr>
                <w:rFonts w:ascii="Arial Narrow" w:hAnsi="Arial Narrow"/>
                <w:sz w:val="20"/>
                <w:szCs w:val="20"/>
              </w:rPr>
              <w:t>Dirección y soporte técnico</w:t>
            </w:r>
          </w:p>
        </w:tc>
        <w:tc>
          <w:tcPr>
            <w:tcW w:w="1911" w:type="dxa"/>
            <w:tcBorders>
              <w:top w:val="single" w:sz="2" w:space="0" w:color="auto"/>
              <w:bottom w:val="single" w:sz="2" w:space="0" w:color="auto"/>
            </w:tcBorders>
            <w:shd w:val="clear" w:color="auto" w:fill="auto"/>
            <w:noWrap/>
            <w:vAlign w:val="center"/>
          </w:tcPr>
          <w:p w:rsidR="00146D16" w:rsidRPr="005E69F0" w:rsidRDefault="00146D16" w:rsidP="00146D16">
            <w:pPr>
              <w:pStyle w:val="texto"/>
              <w:spacing w:after="0"/>
              <w:ind w:firstLine="0"/>
              <w:jc w:val="right"/>
              <w:rPr>
                <w:rFonts w:ascii="Arial Narrow" w:hAnsi="Arial Narrow"/>
                <w:sz w:val="20"/>
                <w:szCs w:val="20"/>
              </w:rPr>
            </w:pPr>
            <w:r w:rsidRPr="005E69F0">
              <w:rPr>
                <w:rFonts w:ascii="Arial Narrow" w:hAnsi="Arial Narrow"/>
                <w:sz w:val="20"/>
                <w:szCs w:val="20"/>
              </w:rPr>
              <w:t>192</w:t>
            </w:r>
          </w:p>
        </w:tc>
      </w:tr>
      <w:tr w:rsidR="00146D16" w:rsidRPr="005E69F0" w:rsidTr="00670292">
        <w:trPr>
          <w:trHeight w:val="284"/>
        </w:trPr>
        <w:tc>
          <w:tcPr>
            <w:tcW w:w="7090" w:type="dxa"/>
            <w:tcBorders>
              <w:top w:val="single" w:sz="2" w:space="0" w:color="auto"/>
              <w:bottom w:val="single" w:sz="2" w:space="0" w:color="auto"/>
            </w:tcBorders>
            <w:shd w:val="clear" w:color="auto" w:fill="A8CBEE" w:themeFill="accent2" w:themeFillTint="66"/>
            <w:noWrap/>
            <w:vAlign w:val="center"/>
          </w:tcPr>
          <w:p w:rsidR="00146D16" w:rsidRPr="00EE6E9F" w:rsidRDefault="00146D16" w:rsidP="00146D16">
            <w:pPr>
              <w:pStyle w:val="texto"/>
              <w:spacing w:after="0"/>
              <w:ind w:firstLine="0"/>
              <w:rPr>
                <w:rFonts w:ascii="Arial" w:hAnsi="Arial" w:cs="Arial"/>
                <w:sz w:val="18"/>
                <w:szCs w:val="18"/>
              </w:rPr>
            </w:pPr>
            <w:r w:rsidRPr="00EE6E9F">
              <w:rPr>
                <w:rFonts w:ascii="Arial" w:hAnsi="Arial" w:cs="Arial"/>
                <w:sz w:val="18"/>
                <w:szCs w:val="18"/>
                <w:lang w:val="es-ES" w:eastAsia="es-ES"/>
              </w:rPr>
              <w:t>Total recursos empleados 2017</w:t>
            </w:r>
          </w:p>
        </w:tc>
        <w:tc>
          <w:tcPr>
            <w:tcW w:w="1911" w:type="dxa"/>
            <w:tcBorders>
              <w:top w:val="single" w:sz="2" w:space="0" w:color="auto"/>
              <w:bottom w:val="single" w:sz="2" w:space="0" w:color="auto"/>
            </w:tcBorders>
            <w:shd w:val="clear" w:color="auto" w:fill="A8CBEE" w:themeFill="accent2" w:themeFillTint="66"/>
            <w:vAlign w:val="center"/>
          </w:tcPr>
          <w:p w:rsidR="00146D16" w:rsidRPr="00EE6E9F" w:rsidRDefault="00146D16" w:rsidP="00146D16">
            <w:pPr>
              <w:pStyle w:val="texto"/>
              <w:spacing w:after="0"/>
              <w:ind w:firstLine="0"/>
              <w:jc w:val="right"/>
              <w:rPr>
                <w:rFonts w:ascii="Arial" w:hAnsi="Arial" w:cs="Arial"/>
                <w:sz w:val="18"/>
                <w:szCs w:val="18"/>
              </w:rPr>
            </w:pPr>
            <w:r w:rsidRPr="00EE6E9F">
              <w:rPr>
                <w:rFonts w:ascii="Arial" w:hAnsi="Arial" w:cs="Arial"/>
                <w:sz w:val="18"/>
                <w:szCs w:val="18"/>
                <w:lang w:val="es-ES" w:eastAsia="es-ES"/>
              </w:rPr>
              <w:t>6.236</w:t>
            </w:r>
          </w:p>
        </w:tc>
      </w:tr>
    </w:tbl>
    <w:p w:rsidR="00146D16" w:rsidRDefault="00146D16" w:rsidP="00146D16">
      <w:pPr>
        <w:pStyle w:val="texto"/>
        <w:spacing w:after="0"/>
        <w:jc w:val="right"/>
        <w:rPr>
          <w:rFonts w:ascii="Arial" w:hAnsi="Arial" w:cs="Arial"/>
          <w:sz w:val="18"/>
          <w:szCs w:val="18"/>
        </w:rPr>
      </w:pPr>
      <w:r w:rsidRPr="00F5594F">
        <w:rPr>
          <w:rFonts w:ascii="Arial" w:hAnsi="Arial" w:cs="Arial"/>
          <w:sz w:val="18"/>
          <w:szCs w:val="18"/>
        </w:rPr>
        <w:t xml:space="preserve"> </w:t>
      </w:r>
      <w:r w:rsidR="0000117B" w:rsidRPr="00F5594F">
        <w:rPr>
          <w:rFonts w:ascii="Arial" w:hAnsi="Arial" w:cs="Arial"/>
          <w:sz w:val="18"/>
          <w:szCs w:val="18"/>
        </w:rPr>
        <w:t>(En miles de euros)</w:t>
      </w:r>
    </w:p>
    <w:p w:rsidR="004B0D73" w:rsidRPr="00EE6E9F" w:rsidRDefault="004B0D73" w:rsidP="00146D16">
      <w:pPr>
        <w:pStyle w:val="texto"/>
        <w:spacing w:before="240"/>
        <w:jc w:val="right"/>
        <w:rPr>
          <w:spacing w:val="2"/>
        </w:rPr>
      </w:pPr>
      <w:r w:rsidRPr="00EE6E9F">
        <w:rPr>
          <w:spacing w:val="2"/>
        </w:rPr>
        <w:t xml:space="preserve">Mediante </w:t>
      </w:r>
      <w:r w:rsidR="00E269E9" w:rsidRPr="00EE6E9F">
        <w:rPr>
          <w:spacing w:val="2"/>
        </w:rPr>
        <w:t>R</w:t>
      </w:r>
      <w:r w:rsidRPr="00EE6E9F">
        <w:rPr>
          <w:spacing w:val="2"/>
        </w:rPr>
        <w:t xml:space="preserve">esolución </w:t>
      </w:r>
      <w:r w:rsidR="00E269E9" w:rsidRPr="00EE6E9F">
        <w:rPr>
          <w:spacing w:val="2"/>
        </w:rPr>
        <w:t xml:space="preserve">253/2017, de 31 de enero, </w:t>
      </w:r>
      <w:r w:rsidRPr="00EE6E9F">
        <w:rPr>
          <w:spacing w:val="2"/>
        </w:rPr>
        <w:t xml:space="preserve">del Rector de la </w:t>
      </w:r>
      <w:r w:rsidR="009D7DD5" w:rsidRPr="00EE6E9F">
        <w:rPr>
          <w:spacing w:val="2"/>
        </w:rPr>
        <w:t>Universidad</w:t>
      </w:r>
      <w:r w:rsidRPr="00EE6E9F">
        <w:rPr>
          <w:spacing w:val="2"/>
        </w:rPr>
        <w:t xml:space="preserve">, se encomienda a la </w:t>
      </w:r>
      <w:r w:rsidR="00723883" w:rsidRPr="00EE6E9F">
        <w:rPr>
          <w:spacing w:val="2"/>
        </w:rPr>
        <w:t>Fundación</w:t>
      </w:r>
      <w:r w:rsidRPr="00EE6E9F">
        <w:rPr>
          <w:spacing w:val="2"/>
        </w:rPr>
        <w:t>, para 201</w:t>
      </w:r>
      <w:r w:rsidR="000078F1" w:rsidRPr="00EE6E9F">
        <w:rPr>
          <w:spacing w:val="2"/>
        </w:rPr>
        <w:t>7</w:t>
      </w:r>
      <w:r w:rsidRPr="00EE6E9F">
        <w:rPr>
          <w:spacing w:val="2"/>
        </w:rPr>
        <w:t xml:space="preserve">, el desarrollo de las siguientes actividades: </w:t>
      </w:r>
    </w:p>
    <w:p w:rsidR="004B0D73" w:rsidRPr="00730AE6"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730AE6">
        <w:rPr>
          <w:szCs w:val="26"/>
        </w:rPr>
        <w:t xml:space="preserve">Área de empleo: </w:t>
      </w:r>
      <w:r w:rsidR="002B67CD">
        <w:rPr>
          <w:szCs w:val="26"/>
        </w:rPr>
        <w:t>Orientación laboral y empleo y Prácticas laborales para universitarios.</w:t>
      </w:r>
      <w:r w:rsidRPr="00730AE6">
        <w:rPr>
          <w:szCs w:val="26"/>
        </w:rPr>
        <w:t xml:space="preserve"> </w:t>
      </w:r>
    </w:p>
    <w:p w:rsidR="004B0D73" w:rsidRPr="00730AE6" w:rsidRDefault="004B0D73" w:rsidP="0067029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120"/>
        <w:ind w:left="0" w:firstLine="289"/>
        <w:rPr>
          <w:szCs w:val="26"/>
        </w:rPr>
      </w:pPr>
      <w:r w:rsidRPr="00730AE6">
        <w:rPr>
          <w:szCs w:val="26"/>
        </w:rPr>
        <w:t xml:space="preserve">Área de formación: </w:t>
      </w:r>
      <w:r w:rsidR="002B67CD">
        <w:rPr>
          <w:szCs w:val="26"/>
        </w:rPr>
        <w:t>Programas de formación para titula</w:t>
      </w:r>
      <w:r w:rsidRPr="00730AE6">
        <w:rPr>
          <w:szCs w:val="26"/>
        </w:rPr>
        <w:t xml:space="preserve">dos en prácticas y </w:t>
      </w:r>
      <w:r w:rsidR="002B67CD">
        <w:rPr>
          <w:szCs w:val="26"/>
        </w:rPr>
        <w:t>enseñanzas propias</w:t>
      </w:r>
      <w:r w:rsidR="00BA55A1">
        <w:rPr>
          <w:szCs w:val="26"/>
        </w:rPr>
        <w:t>:</w:t>
      </w:r>
      <w:r w:rsidR="002B67CD">
        <w:rPr>
          <w:szCs w:val="26"/>
        </w:rPr>
        <w:t xml:space="preserve"> Títulos propios, Cursos de Especialización y cursos cortos para profesionales</w:t>
      </w:r>
      <w:r w:rsidRPr="00730AE6">
        <w:rPr>
          <w:szCs w:val="26"/>
        </w:rPr>
        <w:t>.</w:t>
      </w:r>
    </w:p>
    <w:p w:rsidR="004B0D73" w:rsidRPr="00730AE6" w:rsidRDefault="004B0D73" w:rsidP="0067029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0"/>
        <w:ind w:left="0" w:firstLine="289"/>
        <w:rPr>
          <w:szCs w:val="26"/>
        </w:rPr>
      </w:pPr>
      <w:r w:rsidRPr="00730AE6">
        <w:rPr>
          <w:szCs w:val="26"/>
        </w:rPr>
        <w:t xml:space="preserve">Área de idiomas: </w:t>
      </w:r>
      <w:r w:rsidR="0033107E">
        <w:rPr>
          <w:szCs w:val="26"/>
        </w:rPr>
        <w:t>G</w:t>
      </w:r>
      <w:r w:rsidRPr="00730AE6">
        <w:rPr>
          <w:szCs w:val="26"/>
        </w:rPr>
        <w:t>estión del Centro Superior de Idiomas</w:t>
      </w:r>
      <w:r w:rsidR="0033107E">
        <w:rPr>
          <w:szCs w:val="26"/>
        </w:rPr>
        <w:t>,</w:t>
      </w:r>
      <w:r w:rsidRPr="00730AE6">
        <w:rPr>
          <w:szCs w:val="26"/>
        </w:rPr>
        <w:t xml:space="preserve"> organización de cursos gen</w:t>
      </w:r>
      <w:r w:rsidR="0033107E">
        <w:rPr>
          <w:szCs w:val="26"/>
        </w:rPr>
        <w:t xml:space="preserve">erales y específicos de idiomas y gestión de exámenes oficiales. </w:t>
      </w:r>
    </w:p>
    <w:p w:rsidR="00DF5023" w:rsidRPr="00730AE6" w:rsidRDefault="00DF502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730AE6">
        <w:rPr>
          <w:szCs w:val="26"/>
        </w:rPr>
        <w:t>Programa A3U de la Universidad Pública de Navarra.</w:t>
      </w:r>
    </w:p>
    <w:p w:rsidR="00DF5023" w:rsidRPr="00146D16" w:rsidRDefault="008E498D" w:rsidP="00EE6E9F">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120"/>
        <w:ind w:left="0" w:firstLine="289"/>
        <w:rPr>
          <w:spacing w:val="-2"/>
          <w:szCs w:val="26"/>
        </w:rPr>
      </w:pPr>
      <w:r w:rsidRPr="00146D16">
        <w:rPr>
          <w:spacing w:val="-2"/>
          <w:szCs w:val="26"/>
        </w:rPr>
        <w:t xml:space="preserve">Área de </w:t>
      </w:r>
      <w:r w:rsidR="00DF5023" w:rsidRPr="00146D16">
        <w:rPr>
          <w:spacing w:val="-2"/>
          <w:szCs w:val="26"/>
        </w:rPr>
        <w:t>Mecenazgo</w:t>
      </w:r>
      <w:r w:rsidR="0033107E" w:rsidRPr="00146D16">
        <w:rPr>
          <w:spacing w:val="-2"/>
          <w:szCs w:val="26"/>
        </w:rPr>
        <w:t xml:space="preserve">. </w:t>
      </w:r>
      <w:r w:rsidR="00BA55A1" w:rsidRPr="00146D16">
        <w:rPr>
          <w:spacing w:val="-2"/>
          <w:szCs w:val="26"/>
        </w:rPr>
        <w:t>Analizar prácticas que en el ámbito del mecenazgo estén desarrollando otras universidades y d</w:t>
      </w:r>
      <w:r w:rsidR="0033107E" w:rsidRPr="00146D16">
        <w:rPr>
          <w:spacing w:val="-2"/>
          <w:szCs w:val="26"/>
        </w:rPr>
        <w:t>efinir un plan de actuaciones para la universidad.</w:t>
      </w:r>
      <w:r w:rsidR="00DF5023" w:rsidRPr="00146D16">
        <w:rPr>
          <w:spacing w:val="-2"/>
          <w:szCs w:val="26"/>
        </w:rPr>
        <w:t xml:space="preserve"> </w:t>
      </w:r>
    </w:p>
    <w:p w:rsidR="004B0D73" w:rsidRPr="00146D16" w:rsidRDefault="004B0D73" w:rsidP="00146D1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0"/>
        <w:ind w:left="0" w:firstLine="289"/>
        <w:rPr>
          <w:spacing w:val="-4"/>
          <w:szCs w:val="26"/>
        </w:rPr>
      </w:pPr>
      <w:r w:rsidRPr="00146D16">
        <w:rPr>
          <w:spacing w:val="-4"/>
          <w:szCs w:val="26"/>
        </w:rPr>
        <w:t>Gestión del Centro de I+D en Electrónica y Comunicaciones</w:t>
      </w:r>
      <w:r w:rsidR="0033107E" w:rsidRPr="00146D16">
        <w:rPr>
          <w:spacing w:val="-4"/>
          <w:szCs w:val="26"/>
        </w:rPr>
        <w:t xml:space="preserve"> Jerónimo de Ayanz.</w:t>
      </w:r>
    </w:p>
    <w:p w:rsidR="00C73DB2" w:rsidRPr="00C73DB2" w:rsidRDefault="00C73DB2" w:rsidP="00146D16">
      <w:pPr>
        <w:pStyle w:val="texto"/>
        <w:spacing w:before="120"/>
        <w:rPr>
          <w:lang w:val="es-ES"/>
        </w:rPr>
      </w:pPr>
      <w:r w:rsidRPr="00C73DB2">
        <w:rPr>
          <w:lang w:val="es-ES"/>
        </w:rPr>
        <w:t>En el Anexo I</w:t>
      </w:r>
      <w:r w:rsidR="001B7C94">
        <w:rPr>
          <w:lang w:val="es-ES"/>
        </w:rPr>
        <w:t>I</w:t>
      </w:r>
      <w:r w:rsidRPr="00C73DB2">
        <w:rPr>
          <w:lang w:val="es-ES"/>
        </w:rPr>
        <w:t xml:space="preserve">I de este informe </w:t>
      </w:r>
      <w:r>
        <w:rPr>
          <w:lang w:val="es-ES"/>
        </w:rPr>
        <w:t xml:space="preserve">señalamos algunos indicadores de </w:t>
      </w:r>
      <w:r w:rsidRPr="00C73DB2">
        <w:rPr>
          <w:lang w:val="es-ES"/>
        </w:rPr>
        <w:t>las actividades realizadas por cada una de estas áreas.</w:t>
      </w:r>
    </w:p>
    <w:p w:rsidR="00BA67AE" w:rsidRPr="00F5594F" w:rsidRDefault="004B0D73" w:rsidP="00F5594F">
      <w:pPr>
        <w:pStyle w:val="texto"/>
        <w:rPr>
          <w:spacing w:val="4"/>
          <w:lang w:val="es-ES"/>
        </w:rPr>
      </w:pPr>
      <w:r w:rsidRPr="00F5594F">
        <w:rPr>
          <w:spacing w:val="4"/>
          <w:lang w:val="es-ES"/>
        </w:rPr>
        <w:t>El presupuesto de esta encomienda asc</w:t>
      </w:r>
      <w:r w:rsidR="005E1547" w:rsidRPr="00F5594F">
        <w:rPr>
          <w:spacing w:val="4"/>
          <w:lang w:val="es-ES"/>
        </w:rPr>
        <w:t>iende</w:t>
      </w:r>
      <w:r w:rsidRPr="00F5594F">
        <w:rPr>
          <w:spacing w:val="4"/>
          <w:lang w:val="es-ES"/>
        </w:rPr>
        <w:t xml:space="preserve"> a un importe máximo de </w:t>
      </w:r>
      <w:r w:rsidR="00DF5023" w:rsidRPr="00F5594F">
        <w:rPr>
          <w:spacing w:val="4"/>
          <w:lang w:val="es-ES"/>
        </w:rPr>
        <w:t>244.21</w:t>
      </w:r>
      <w:r w:rsidR="008E498D" w:rsidRPr="00F5594F">
        <w:rPr>
          <w:spacing w:val="4"/>
          <w:lang w:val="es-ES"/>
        </w:rPr>
        <w:t>2</w:t>
      </w:r>
      <w:r w:rsidR="005E1547" w:rsidRPr="00F5594F">
        <w:rPr>
          <w:spacing w:val="4"/>
          <w:lang w:val="es-ES"/>
        </w:rPr>
        <w:t xml:space="preserve"> euros.</w:t>
      </w:r>
      <w:r w:rsidR="00A811D4" w:rsidRPr="00F5594F">
        <w:rPr>
          <w:spacing w:val="4"/>
          <w:lang w:val="es-ES"/>
        </w:rPr>
        <w:t xml:space="preserve"> </w:t>
      </w:r>
      <w:r w:rsidRPr="00F5594F">
        <w:rPr>
          <w:spacing w:val="4"/>
          <w:lang w:val="es-ES"/>
        </w:rPr>
        <w:t>En el anexo de dicha resolución se regula el procedimiento, requisitos, gestión económica y liquidación de los gastos incurridos en 201</w:t>
      </w:r>
      <w:r w:rsidR="00DF5023" w:rsidRPr="00F5594F">
        <w:rPr>
          <w:spacing w:val="4"/>
          <w:lang w:val="es-ES"/>
        </w:rPr>
        <w:t>7</w:t>
      </w:r>
      <w:r w:rsidRPr="00F5594F">
        <w:rPr>
          <w:spacing w:val="4"/>
          <w:lang w:val="es-ES"/>
        </w:rPr>
        <w:t xml:space="preserve">. Así mismo se indica </w:t>
      </w:r>
      <w:r w:rsidR="00BA67AE" w:rsidRPr="00F5594F">
        <w:rPr>
          <w:spacing w:val="4"/>
          <w:lang w:val="es-ES"/>
        </w:rPr>
        <w:t xml:space="preserve">la gestión económica de las actividades de la </w:t>
      </w:r>
      <w:r w:rsidR="00723883" w:rsidRPr="00F5594F">
        <w:rPr>
          <w:spacing w:val="4"/>
          <w:lang w:val="es-ES"/>
        </w:rPr>
        <w:t>Fundación</w:t>
      </w:r>
      <w:r w:rsidR="00BA67AE" w:rsidRPr="00F5594F">
        <w:rPr>
          <w:spacing w:val="4"/>
          <w:lang w:val="es-ES"/>
        </w:rPr>
        <w:t xml:space="preserve">; la Fundación </w:t>
      </w:r>
      <w:r w:rsidRPr="00F5594F">
        <w:rPr>
          <w:spacing w:val="4"/>
          <w:lang w:val="es-ES"/>
        </w:rPr>
        <w:t xml:space="preserve"> asume la recaudación de los ingresos derivados de las actividades encomendadas</w:t>
      </w:r>
      <w:r w:rsidR="00B17471" w:rsidRPr="00F5594F">
        <w:rPr>
          <w:spacing w:val="4"/>
          <w:lang w:val="es-ES"/>
        </w:rPr>
        <w:t>, f</w:t>
      </w:r>
      <w:r w:rsidRPr="00F5594F">
        <w:rPr>
          <w:spacing w:val="4"/>
          <w:lang w:val="es-ES"/>
        </w:rPr>
        <w:t>undamentalmente</w:t>
      </w:r>
      <w:r w:rsidR="001716FE" w:rsidRPr="00F5594F">
        <w:rPr>
          <w:spacing w:val="4"/>
          <w:lang w:val="es-ES"/>
        </w:rPr>
        <w:t>,</w:t>
      </w:r>
      <w:r w:rsidRPr="00F5594F">
        <w:rPr>
          <w:spacing w:val="4"/>
          <w:lang w:val="es-ES"/>
        </w:rPr>
        <w:t xml:space="preserve"> de títulos propios, idiomas y </w:t>
      </w:r>
      <w:r w:rsidR="001F38E0" w:rsidRPr="00F5594F">
        <w:rPr>
          <w:spacing w:val="4"/>
          <w:lang w:val="es-ES"/>
        </w:rPr>
        <w:t xml:space="preserve">programa </w:t>
      </w:r>
      <w:r w:rsidR="00645E91" w:rsidRPr="00F5594F">
        <w:rPr>
          <w:spacing w:val="4"/>
          <w:lang w:val="es-ES"/>
        </w:rPr>
        <w:t>Alumni</w:t>
      </w:r>
      <w:r w:rsidR="00BA67AE" w:rsidRPr="00F5594F">
        <w:rPr>
          <w:spacing w:val="4"/>
          <w:lang w:val="es-ES"/>
        </w:rPr>
        <w:t>; estos ingresos se abonan a la universidad para que figuren en su presupuesto de ingresos.</w:t>
      </w:r>
    </w:p>
    <w:p w:rsidR="004B0D73" w:rsidRDefault="00E269E9" w:rsidP="00F5594F">
      <w:pPr>
        <w:pStyle w:val="texto"/>
        <w:rPr>
          <w:lang w:val="es-ES"/>
        </w:rPr>
      </w:pPr>
      <w:r>
        <w:rPr>
          <w:lang w:val="es-ES"/>
        </w:rPr>
        <w:t>L</w:t>
      </w:r>
      <w:r w:rsidR="00EE7AEE">
        <w:rPr>
          <w:lang w:val="es-ES"/>
        </w:rPr>
        <w:t xml:space="preserve">a Fundación presenta </w:t>
      </w:r>
      <w:r w:rsidR="00BE2A78">
        <w:rPr>
          <w:lang w:val="es-ES"/>
        </w:rPr>
        <w:t xml:space="preserve">a la Universidad </w:t>
      </w:r>
      <w:r w:rsidR="00EE7AEE">
        <w:rPr>
          <w:lang w:val="es-ES"/>
        </w:rPr>
        <w:t>la liquidación de</w:t>
      </w:r>
      <w:r w:rsidR="00645E91">
        <w:rPr>
          <w:lang w:val="es-ES"/>
        </w:rPr>
        <w:t>l déficit</w:t>
      </w:r>
      <w:r w:rsidR="00026109">
        <w:rPr>
          <w:lang w:val="es-ES"/>
        </w:rPr>
        <w:t>.</w:t>
      </w:r>
      <w:r w:rsidR="00EE7AEE">
        <w:rPr>
          <w:lang w:val="es-ES"/>
        </w:rPr>
        <w:t xml:space="preserve"> </w:t>
      </w:r>
      <w:r w:rsidR="00026109">
        <w:rPr>
          <w:lang w:val="es-ES"/>
        </w:rPr>
        <w:t xml:space="preserve">Presenta facturas </w:t>
      </w:r>
      <w:r w:rsidR="00EE7AEE">
        <w:rPr>
          <w:lang w:val="es-ES"/>
        </w:rPr>
        <w:t>por l</w:t>
      </w:r>
      <w:r w:rsidR="00645E91">
        <w:rPr>
          <w:lang w:val="es-ES"/>
        </w:rPr>
        <w:t>os</w:t>
      </w:r>
      <w:r w:rsidR="00D26902">
        <w:rPr>
          <w:lang w:val="es-ES"/>
        </w:rPr>
        <w:t xml:space="preserve"> ingresos </w:t>
      </w:r>
      <w:r w:rsidR="00EE7AEE">
        <w:rPr>
          <w:lang w:val="es-ES"/>
        </w:rPr>
        <w:t xml:space="preserve">de las matrículas </w:t>
      </w:r>
      <w:r w:rsidR="001716FE">
        <w:rPr>
          <w:lang w:val="es-ES"/>
        </w:rPr>
        <w:t xml:space="preserve">(menos tasas) </w:t>
      </w:r>
      <w:r w:rsidR="00B9274D">
        <w:rPr>
          <w:lang w:val="es-ES"/>
        </w:rPr>
        <w:t xml:space="preserve">de enseñanzas propias, por matrículas de idiomas </w:t>
      </w:r>
      <w:r w:rsidR="00D26902">
        <w:rPr>
          <w:lang w:val="es-ES"/>
        </w:rPr>
        <w:t xml:space="preserve">y </w:t>
      </w:r>
      <w:r w:rsidR="00645E91">
        <w:rPr>
          <w:lang w:val="es-ES"/>
        </w:rPr>
        <w:t>por las</w:t>
      </w:r>
      <w:r w:rsidR="006B0879">
        <w:rPr>
          <w:lang w:val="es-ES"/>
        </w:rPr>
        <w:t xml:space="preserve"> </w:t>
      </w:r>
      <w:r w:rsidR="00D26902">
        <w:rPr>
          <w:lang w:val="es-ES"/>
        </w:rPr>
        <w:t xml:space="preserve">cuotas </w:t>
      </w:r>
      <w:r w:rsidR="00645E91">
        <w:rPr>
          <w:lang w:val="es-ES"/>
        </w:rPr>
        <w:t>Alumni</w:t>
      </w:r>
      <w:r>
        <w:rPr>
          <w:lang w:val="es-ES"/>
        </w:rPr>
        <w:t>;</w:t>
      </w:r>
      <w:r w:rsidR="00D26902">
        <w:rPr>
          <w:lang w:val="es-ES"/>
        </w:rPr>
        <w:t xml:space="preserve"> </w:t>
      </w:r>
      <w:r w:rsidR="001716FE">
        <w:rPr>
          <w:lang w:val="es-ES"/>
        </w:rPr>
        <w:t xml:space="preserve">la Universidad </w:t>
      </w:r>
      <w:r w:rsidR="00BB1450">
        <w:rPr>
          <w:lang w:val="es-ES"/>
        </w:rPr>
        <w:t>paga estas facturas a la Funda</w:t>
      </w:r>
      <w:r w:rsidR="00B9274D">
        <w:rPr>
          <w:lang w:val="es-ES"/>
        </w:rPr>
        <w:t>ción y</w:t>
      </w:r>
      <w:r w:rsidR="00BB1450">
        <w:rPr>
          <w:lang w:val="es-ES"/>
        </w:rPr>
        <w:t xml:space="preserve"> </w:t>
      </w:r>
      <w:r w:rsidR="001716FE">
        <w:rPr>
          <w:lang w:val="es-ES"/>
        </w:rPr>
        <w:t>d</w:t>
      </w:r>
      <w:r w:rsidR="00BB1450">
        <w:rPr>
          <w:lang w:val="es-ES"/>
        </w:rPr>
        <w:t>evuelve a la Fundación los ingresos de matrículas que previamente había recibido.</w:t>
      </w:r>
    </w:p>
    <w:p w:rsidR="00B17471" w:rsidRDefault="001F38E0" w:rsidP="00F5594F">
      <w:pPr>
        <w:pStyle w:val="texto"/>
        <w:rPr>
          <w:lang w:val="es-ES"/>
        </w:rPr>
      </w:pPr>
      <w:r>
        <w:rPr>
          <w:lang w:val="es-ES"/>
        </w:rPr>
        <w:t xml:space="preserve">Al </w:t>
      </w:r>
      <w:r w:rsidR="00A3250B">
        <w:rPr>
          <w:lang w:val="es-ES"/>
        </w:rPr>
        <w:t>respecto</w:t>
      </w:r>
      <w:r>
        <w:rPr>
          <w:lang w:val="es-ES"/>
        </w:rPr>
        <w:t xml:space="preserve"> queremos señalar que actualmente</w:t>
      </w:r>
      <w:r w:rsidR="00EE7AEE">
        <w:rPr>
          <w:lang w:val="es-ES"/>
        </w:rPr>
        <w:t xml:space="preserve"> </w:t>
      </w:r>
      <w:r w:rsidR="006B0879">
        <w:rPr>
          <w:lang w:val="es-ES"/>
        </w:rPr>
        <w:t xml:space="preserve">y </w:t>
      </w:r>
      <w:r w:rsidR="00EE7AEE">
        <w:rPr>
          <w:lang w:val="es-ES"/>
        </w:rPr>
        <w:t xml:space="preserve">puesto que las cuentas de la Fundación se </w:t>
      </w:r>
      <w:r w:rsidR="00BB1450">
        <w:rPr>
          <w:lang w:val="es-ES"/>
        </w:rPr>
        <w:t xml:space="preserve">presentan </w:t>
      </w:r>
      <w:r w:rsidR="00EE7AEE">
        <w:rPr>
          <w:lang w:val="es-ES"/>
        </w:rPr>
        <w:t>consolida</w:t>
      </w:r>
      <w:r w:rsidR="00BB1450">
        <w:rPr>
          <w:lang w:val="es-ES"/>
        </w:rPr>
        <w:t>das</w:t>
      </w:r>
      <w:r w:rsidR="00EE7AEE">
        <w:rPr>
          <w:lang w:val="es-ES"/>
        </w:rPr>
        <w:t xml:space="preserve"> con las de la Universidad no sería</w:t>
      </w:r>
      <w:r w:rsidR="00645E91">
        <w:rPr>
          <w:lang w:val="es-ES"/>
        </w:rPr>
        <w:t>n</w:t>
      </w:r>
      <w:r w:rsidR="00EE7AEE">
        <w:rPr>
          <w:lang w:val="es-ES"/>
        </w:rPr>
        <w:t xml:space="preserve"> </w:t>
      </w:r>
      <w:r w:rsidR="003312B7">
        <w:rPr>
          <w:lang w:val="es-ES"/>
        </w:rPr>
        <w:t>necesarios</w:t>
      </w:r>
      <w:r w:rsidR="00EE7AEE">
        <w:rPr>
          <w:lang w:val="es-ES"/>
        </w:rPr>
        <w:t xml:space="preserve"> </w:t>
      </w:r>
      <w:r w:rsidR="00645E91">
        <w:rPr>
          <w:lang w:val="es-ES"/>
        </w:rPr>
        <w:t xml:space="preserve">los movimientos </w:t>
      </w:r>
      <w:r w:rsidR="004C6E9F">
        <w:rPr>
          <w:lang w:val="es-ES"/>
        </w:rPr>
        <w:t xml:space="preserve">de gastos e ingresos entre </w:t>
      </w:r>
      <w:r w:rsidR="00645E91">
        <w:rPr>
          <w:lang w:val="es-ES"/>
        </w:rPr>
        <w:t>las dos entidades</w:t>
      </w:r>
      <w:r w:rsidR="004C6E9F">
        <w:rPr>
          <w:lang w:val="es-ES"/>
        </w:rPr>
        <w:t xml:space="preserve"> para el </w:t>
      </w:r>
      <w:r w:rsidR="00645E91">
        <w:rPr>
          <w:lang w:val="es-ES"/>
        </w:rPr>
        <w:t xml:space="preserve">adecuado </w:t>
      </w:r>
      <w:r w:rsidR="001716FE">
        <w:rPr>
          <w:lang w:val="es-ES"/>
        </w:rPr>
        <w:t xml:space="preserve">reflejo contable </w:t>
      </w:r>
      <w:r w:rsidR="004C6E9F">
        <w:rPr>
          <w:lang w:val="es-ES"/>
        </w:rPr>
        <w:t>de los mismos,</w:t>
      </w:r>
      <w:r w:rsidR="00645E91">
        <w:rPr>
          <w:lang w:val="es-ES"/>
        </w:rPr>
        <w:t xml:space="preserve"> simplificando, de esta manera, la gestión y la ca</w:t>
      </w:r>
      <w:r w:rsidR="002E2894">
        <w:rPr>
          <w:lang w:val="es-ES"/>
        </w:rPr>
        <w:t>rga de trabajo que ello supone.</w:t>
      </w:r>
    </w:p>
    <w:p w:rsidR="001716FE" w:rsidRPr="00A811D4" w:rsidRDefault="001716FE" w:rsidP="00F5594F">
      <w:pPr>
        <w:pStyle w:val="NormalWeb"/>
        <w:spacing w:before="0" w:beforeAutospacing="0" w:after="140" w:afterAutospacing="0"/>
        <w:ind w:firstLine="284"/>
      </w:pPr>
      <w:r>
        <w:rPr>
          <w:rFonts w:ascii="Times New Roman" w:hAnsi="Times New Roman"/>
          <w:spacing w:val="6"/>
          <w:sz w:val="26"/>
          <w:szCs w:val="24"/>
          <w:lang w:eastAsia="en-US"/>
        </w:rPr>
        <w:t xml:space="preserve">Para la aprobación de las liquidaciones parciales y final </w:t>
      </w:r>
      <w:r w:rsidR="00BB1450">
        <w:rPr>
          <w:rFonts w:ascii="Times New Roman" w:hAnsi="Times New Roman"/>
          <w:spacing w:val="6"/>
          <w:sz w:val="26"/>
          <w:szCs w:val="24"/>
          <w:lang w:eastAsia="en-US"/>
        </w:rPr>
        <w:t xml:space="preserve">de la encomienda a la Fundación </w:t>
      </w:r>
      <w:r>
        <w:rPr>
          <w:rFonts w:ascii="Times New Roman" w:hAnsi="Times New Roman"/>
          <w:spacing w:val="6"/>
          <w:sz w:val="26"/>
          <w:szCs w:val="24"/>
          <w:lang w:eastAsia="en-US"/>
        </w:rPr>
        <w:t xml:space="preserve">no se realizan resoluciones </w:t>
      </w:r>
      <w:r w:rsidR="00BB1450">
        <w:rPr>
          <w:rFonts w:ascii="Times New Roman" w:hAnsi="Times New Roman"/>
          <w:spacing w:val="6"/>
          <w:sz w:val="26"/>
          <w:szCs w:val="24"/>
          <w:lang w:eastAsia="en-US"/>
        </w:rPr>
        <w:t xml:space="preserve">por </w:t>
      </w:r>
      <w:r>
        <w:rPr>
          <w:rFonts w:ascii="Times New Roman" w:hAnsi="Times New Roman"/>
          <w:spacing w:val="6"/>
          <w:sz w:val="26"/>
          <w:szCs w:val="24"/>
          <w:lang w:eastAsia="en-US"/>
        </w:rPr>
        <w:t>consider</w:t>
      </w:r>
      <w:r w:rsidR="00BB1450">
        <w:rPr>
          <w:rFonts w:ascii="Times New Roman" w:hAnsi="Times New Roman"/>
          <w:spacing w:val="6"/>
          <w:sz w:val="26"/>
          <w:szCs w:val="24"/>
          <w:lang w:eastAsia="en-US"/>
        </w:rPr>
        <w:t>ar</w:t>
      </w:r>
      <w:r>
        <w:rPr>
          <w:rFonts w:ascii="Times New Roman" w:hAnsi="Times New Roman"/>
          <w:spacing w:val="6"/>
          <w:sz w:val="26"/>
          <w:szCs w:val="24"/>
          <w:lang w:eastAsia="en-US"/>
        </w:rPr>
        <w:t xml:space="preserve"> que ya están </w:t>
      </w:r>
      <w:r w:rsidR="00BB1450">
        <w:rPr>
          <w:rFonts w:ascii="Times New Roman" w:hAnsi="Times New Roman"/>
          <w:spacing w:val="6"/>
          <w:sz w:val="26"/>
          <w:szCs w:val="24"/>
          <w:lang w:eastAsia="en-US"/>
        </w:rPr>
        <w:t>aprobada</w:t>
      </w:r>
      <w:r>
        <w:rPr>
          <w:rFonts w:ascii="Times New Roman" w:hAnsi="Times New Roman"/>
          <w:spacing w:val="6"/>
          <w:sz w:val="26"/>
          <w:szCs w:val="24"/>
          <w:lang w:eastAsia="en-US"/>
        </w:rPr>
        <w:t xml:space="preserve">s </w:t>
      </w:r>
      <w:r w:rsidRPr="004777A5">
        <w:rPr>
          <w:rFonts w:ascii="Times New Roman" w:hAnsi="Times New Roman"/>
          <w:spacing w:val="6"/>
          <w:sz w:val="26"/>
          <w:szCs w:val="24"/>
          <w:lang w:eastAsia="en-US"/>
        </w:rPr>
        <w:t>en la resolución de aprobación de la encomienda</w:t>
      </w:r>
      <w:r>
        <w:rPr>
          <w:rFonts w:ascii="Times New Roman" w:hAnsi="Times New Roman"/>
          <w:spacing w:val="6"/>
          <w:sz w:val="26"/>
          <w:szCs w:val="24"/>
          <w:lang w:eastAsia="en-US"/>
        </w:rPr>
        <w:t>.</w:t>
      </w:r>
      <w:r w:rsidRPr="004777A5">
        <w:rPr>
          <w:rFonts w:ascii="Times New Roman" w:hAnsi="Times New Roman"/>
          <w:spacing w:val="6"/>
          <w:sz w:val="26"/>
          <w:szCs w:val="24"/>
          <w:lang w:eastAsia="en-US"/>
        </w:rPr>
        <w:t xml:space="preserve"> </w:t>
      </w:r>
    </w:p>
    <w:p w:rsidR="004B0D73" w:rsidRDefault="00B83947" w:rsidP="00F5594F">
      <w:pPr>
        <w:pStyle w:val="texto"/>
        <w:spacing w:after="240"/>
        <w:rPr>
          <w:lang w:val="es-ES"/>
        </w:rPr>
      </w:pPr>
      <w:r>
        <w:rPr>
          <w:lang w:val="es-ES"/>
        </w:rPr>
        <w:t xml:space="preserve">El resultado previsto de la Fundación en los presupuestos para 2017 recogía un déficit de 393.757 euros. El resultado final ha sido de 435.536 euros lo que supone un 10,61 por ciento más de déficit previsto. </w:t>
      </w:r>
      <w:r w:rsidR="006B0879">
        <w:rPr>
          <w:lang w:val="es-ES"/>
        </w:rPr>
        <w:t>Tal y como establecía la encomienda, a la vista de las disponibilidades presupuestarias existentes, la Universidad p</w:t>
      </w:r>
      <w:r w:rsidR="002E2894">
        <w:rPr>
          <w:lang w:val="es-ES"/>
        </w:rPr>
        <w:t>uede</w:t>
      </w:r>
      <w:r w:rsidR="006B0879">
        <w:rPr>
          <w:lang w:val="es-ES"/>
        </w:rPr>
        <w:t xml:space="preserve"> cubrir hasta la totalidad del déficit previsto en la liquidación final. Su detalle es el siguiente</w:t>
      </w:r>
      <w:r w:rsidR="004B0D73" w:rsidRPr="00730AE6">
        <w:rPr>
          <w:lang w:val="es-ES"/>
        </w:rPr>
        <w:t>:</w:t>
      </w:r>
    </w:p>
    <w:tbl>
      <w:tblPr>
        <w:tblW w:w="8961" w:type="dxa"/>
        <w:jc w:val="center"/>
        <w:tblLayout w:type="fixed"/>
        <w:tblCellMar>
          <w:left w:w="70" w:type="dxa"/>
          <w:right w:w="70" w:type="dxa"/>
        </w:tblCellMar>
        <w:tblLook w:val="04A0" w:firstRow="1" w:lastRow="0" w:firstColumn="1" w:lastColumn="0" w:noHBand="0" w:noVBand="1"/>
      </w:tblPr>
      <w:tblGrid>
        <w:gridCol w:w="3289"/>
        <w:gridCol w:w="1984"/>
        <w:gridCol w:w="2219"/>
        <w:gridCol w:w="1469"/>
      </w:tblGrid>
      <w:tr w:rsidR="00F06801" w:rsidRPr="0055365B" w:rsidTr="00146D16">
        <w:trPr>
          <w:trHeight w:val="255"/>
          <w:jc w:val="center"/>
        </w:trPr>
        <w:tc>
          <w:tcPr>
            <w:tcW w:w="3289" w:type="dxa"/>
            <w:tcBorders>
              <w:top w:val="single" w:sz="4" w:space="0" w:color="auto"/>
              <w:bottom w:val="single" w:sz="2" w:space="0" w:color="auto"/>
            </w:tcBorders>
            <w:shd w:val="clear" w:color="auto" w:fill="A0C3E3" w:themeFill="accent1" w:themeFillTint="99"/>
            <w:noWrap/>
            <w:vAlign w:val="center"/>
          </w:tcPr>
          <w:p w:rsidR="00F06801" w:rsidRPr="0055365B" w:rsidRDefault="00F06801" w:rsidP="006431B3">
            <w:pPr>
              <w:pStyle w:val="texto"/>
              <w:spacing w:after="0"/>
              <w:ind w:firstLine="0"/>
              <w:rPr>
                <w:rFonts w:ascii="Arial" w:hAnsi="Arial" w:cs="Arial"/>
                <w:sz w:val="18"/>
                <w:szCs w:val="18"/>
              </w:rPr>
            </w:pPr>
            <w:r w:rsidRPr="0055365B">
              <w:rPr>
                <w:rFonts w:ascii="Arial" w:hAnsi="Arial" w:cs="Arial"/>
                <w:sz w:val="18"/>
                <w:szCs w:val="18"/>
              </w:rPr>
              <w:t>Área</w:t>
            </w:r>
          </w:p>
        </w:tc>
        <w:tc>
          <w:tcPr>
            <w:tcW w:w="1984" w:type="dxa"/>
            <w:tcBorders>
              <w:top w:val="single" w:sz="4" w:space="0" w:color="auto"/>
              <w:bottom w:val="single" w:sz="2" w:space="0" w:color="auto"/>
            </w:tcBorders>
            <w:shd w:val="clear" w:color="auto" w:fill="A0C3E3" w:themeFill="accent1" w:themeFillTint="99"/>
            <w:vAlign w:val="center"/>
          </w:tcPr>
          <w:p w:rsidR="00F06801" w:rsidRPr="0055365B" w:rsidRDefault="00F06801" w:rsidP="00EE6E9F">
            <w:pPr>
              <w:pStyle w:val="texto"/>
              <w:spacing w:after="0"/>
              <w:ind w:firstLine="0"/>
              <w:jc w:val="right"/>
              <w:rPr>
                <w:rFonts w:ascii="Arial" w:hAnsi="Arial" w:cs="Arial"/>
                <w:sz w:val="18"/>
                <w:szCs w:val="18"/>
              </w:rPr>
            </w:pPr>
            <w:r w:rsidRPr="0055365B">
              <w:rPr>
                <w:rFonts w:ascii="Arial" w:hAnsi="Arial" w:cs="Arial"/>
                <w:sz w:val="18"/>
                <w:szCs w:val="18"/>
              </w:rPr>
              <w:t>Presupuesto</w:t>
            </w:r>
            <w:r w:rsidR="00EE6E9F" w:rsidRPr="0055365B">
              <w:rPr>
                <w:rFonts w:ascii="Arial" w:hAnsi="Arial" w:cs="Arial"/>
                <w:sz w:val="18"/>
                <w:szCs w:val="18"/>
              </w:rPr>
              <w:t xml:space="preserve"> </w:t>
            </w:r>
            <w:r w:rsidRPr="0055365B">
              <w:rPr>
                <w:rFonts w:ascii="Arial" w:hAnsi="Arial" w:cs="Arial"/>
                <w:sz w:val="18"/>
                <w:szCs w:val="18"/>
              </w:rPr>
              <w:t>Inicial</w:t>
            </w:r>
          </w:p>
        </w:tc>
        <w:tc>
          <w:tcPr>
            <w:tcW w:w="2219" w:type="dxa"/>
            <w:tcBorders>
              <w:top w:val="single" w:sz="4" w:space="0" w:color="auto"/>
              <w:bottom w:val="single" w:sz="2" w:space="0" w:color="auto"/>
            </w:tcBorders>
            <w:shd w:val="clear" w:color="auto" w:fill="A0C3E3" w:themeFill="accent1" w:themeFillTint="99"/>
            <w:vAlign w:val="center"/>
          </w:tcPr>
          <w:p w:rsidR="00F06801" w:rsidRPr="0055365B" w:rsidRDefault="00F06801" w:rsidP="00EE6E9F">
            <w:pPr>
              <w:pStyle w:val="texto"/>
              <w:spacing w:after="0"/>
              <w:ind w:firstLine="0"/>
              <w:jc w:val="right"/>
              <w:rPr>
                <w:rFonts w:ascii="Arial" w:hAnsi="Arial" w:cs="Arial"/>
                <w:sz w:val="18"/>
                <w:szCs w:val="18"/>
              </w:rPr>
            </w:pPr>
            <w:r w:rsidRPr="0055365B">
              <w:rPr>
                <w:rFonts w:ascii="Arial" w:hAnsi="Arial" w:cs="Arial"/>
                <w:sz w:val="18"/>
                <w:szCs w:val="18"/>
              </w:rPr>
              <w:t>Gasto</w:t>
            </w:r>
            <w:r w:rsidR="00EE6E9F" w:rsidRPr="0055365B">
              <w:rPr>
                <w:rFonts w:ascii="Arial" w:hAnsi="Arial" w:cs="Arial"/>
                <w:sz w:val="18"/>
                <w:szCs w:val="18"/>
              </w:rPr>
              <w:t xml:space="preserve"> </w:t>
            </w:r>
            <w:r w:rsidRPr="0055365B">
              <w:rPr>
                <w:rFonts w:ascii="Arial" w:hAnsi="Arial" w:cs="Arial"/>
                <w:sz w:val="18"/>
                <w:szCs w:val="18"/>
              </w:rPr>
              <w:t>liquidado</w:t>
            </w:r>
          </w:p>
        </w:tc>
        <w:tc>
          <w:tcPr>
            <w:tcW w:w="1469" w:type="dxa"/>
            <w:tcBorders>
              <w:top w:val="single" w:sz="4" w:space="0" w:color="auto"/>
              <w:bottom w:val="single" w:sz="2" w:space="0" w:color="auto"/>
            </w:tcBorders>
            <w:shd w:val="clear" w:color="auto" w:fill="A0C3E3" w:themeFill="accent1" w:themeFillTint="99"/>
            <w:noWrap/>
            <w:vAlign w:val="center"/>
          </w:tcPr>
          <w:p w:rsidR="003312B7" w:rsidRPr="0055365B" w:rsidRDefault="00F06801" w:rsidP="0006445D">
            <w:pPr>
              <w:pStyle w:val="texto"/>
              <w:spacing w:after="0"/>
              <w:ind w:firstLine="0"/>
              <w:jc w:val="right"/>
              <w:rPr>
                <w:rFonts w:ascii="Arial" w:hAnsi="Arial" w:cs="Arial"/>
                <w:sz w:val="18"/>
                <w:szCs w:val="18"/>
              </w:rPr>
            </w:pPr>
            <w:r w:rsidRPr="0055365B">
              <w:rPr>
                <w:rFonts w:ascii="Arial" w:hAnsi="Arial" w:cs="Arial"/>
                <w:sz w:val="18"/>
                <w:szCs w:val="18"/>
              </w:rPr>
              <w:t>%</w:t>
            </w:r>
            <w:r w:rsidR="0006445D">
              <w:rPr>
                <w:rFonts w:ascii="Arial" w:hAnsi="Arial" w:cs="Arial"/>
                <w:sz w:val="18"/>
                <w:szCs w:val="18"/>
              </w:rPr>
              <w:t xml:space="preserve"> </w:t>
            </w:r>
            <w:r w:rsidR="003312B7">
              <w:rPr>
                <w:rFonts w:ascii="Arial" w:hAnsi="Arial" w:cs="Arial"/>
                <w:sz w:val="18"/>
                <w:szCs w:val="18"/>
              </w:rPr>
              <w:t>variación</w:t>
            </w:r>
          </w:p>
        </w:tc>
      </w:tr>
      <w:tr w:rsidR="00F06801" w:rsidRPr="00CB7521" w:rsidTr="00146D16">
        <w:trPr>
          <w:trHeight w:val="255"/>
          <w:jc w:val="center"/>
        </w:trPr>
        <w:tc>
          <w:tcPr>
            <w:tcW w:w="3289" w:type="dxa"/>
            <w:tcBorders>
              <w:top w:val="single" w:sz="4" w:space="0" w:color="auto"/>
              <w:bottom w:val="single" w:sz="2" w:space="0" w:color="auto"/>
            </w:tcBorders>
            <w:shd w:val="clear" w:color="auto" w:fill="auto"/>
            <w:noWrap/>
            <w:vAlign w:val="center"/>
            <w:hideMark/>
          </w:tcPr>
          <w:p w:rsidR="00F06801" w:rsidRPr="00CB7521" w:rsidRDefault="00F06801" w:rsidP="006431B3">
            <w:pPr>
              <w:pStyle w:val="texto"/>
              <w:spacing w:after="0"/>
              <w:ind w:firstLine="0"/>
              <w:rPr>
                <w:rFonts w:ascii="Arial Narrow" w:hAnsi="Arial Narrow"/>
                <w:sz w:val="20"/>
                <w:szCs w:val="20"/>
              </w:rPr>
            </w:pPr>
            <w:r w:rsidRPr="00CB7521">
              <w:rPr>
                <w:rFonts w:ascii="Arial Narrow" w:hAnsi="Arial Narrow"/>
                <w:sz w:val="20"/>
                <w:szCs w:val="20"/>
              </w:rPr>
              <w:t>Idiomas</w:t>
            </w:r>
          </w:p>
        </w:tc>
        <w:tc>
          <w:tcPr>
            <w:tcW w:w="1984" w:type="dxa"/>
            <w:tcBorders>
              <w:top w:val="single" w:sz="4" w:space="0" w:color="auto"/>
              <w:bottom w:val="single" w:sz="2" w:space="0" w:color="auto"/>
            </w:tcBorders>
            <w:shd w:val="clear" w:color="auto" w:fill="auto"/>
            <w:vAlign w:val="center"/>
            <w:hideMark/>
          </w:tcPr>
          <w:p w:rsidR="00F06801" w:rsidRPr="00CB7521" w:rsidRDefault="00F06801" w:rsidP="00000AAA">
            <w:pPr>
              <w:pStyle w:val="texto"/>
              <w:spacing w:after="0"/>
              <w:ind w:firstLine="0"/>
              <w:jc w:val="right"/>
              <w:rPr>
                <w:rFonts w:ascii="Arial Narrow" w:hAnsi="Arial Narrow"/>
                <w:sz w:val="20"/>
                <w:szCs w:val="20"/>
              </w:rPr>
            </w:pPr>
            <w:r w:rsidRPr="00CB7521">
              <w:rPr>
                <w:rFonts w:ascii="Arial Narrow" w:hAnsi="Arial Narrow"/>
                <w:sz w:val="20"/>
                <w:szCs w:val="20"/>
              </w:rPr>
              <w:t>165.97</w:t>
            </w:r>
            <w:r w:rsidR="008E498D" w:rsidRPr="00CB7521">
              <w:rPr>
                <w:rFonts w:ascii="Arial Narrow" w:hAnsi="Arial Narrow"/>
                <w:sz w:val="20"/>
                <w:szCs w:val="20"/>
              </w:rPr>
              <w:t>8</w:t>
            </w:r>
          </w:p>
        </w:tc>
        <w:tc>
          <w:tcPr>
            <w:tcW w:w="2219" w:type="dxa"/>
            <w:tcBorders>
              <w:top w:val="single" w:sz="4" w:space="0" w:color="auto"/>
              <w:bottom w:val="single" w:sz="2" w:space="0" w:color="auto"/>
            </w:tcBorders>
            <w:shd w:val="clear" w:color="auto" w:fill="auto"/>
            <w:vAlign w:val="center"/>
          </w:tcPr>
          <w:p w:rsidR="00F06801" w:rsidRPr="00CB7521" w:rsidRDefault="008E498D" w:rsidP="00000AAA">
            <w:pPr>
              <w:pStyle w:val="texto"/>
              <w:spacing w:after="0"/>
              <w:ind w:firstLine="0"/>
              <w:jc w:val="right"/>
              <w:rPr>
                <w:rFonts w:ascii="Arial Narrow" w:hAnsi="Arial Narrow"/>
                <w:sz w:val="20"/>
                <w:szCs w:val="20"/>
              </w:rPr>
            </w:pPr>
            <w:r w:rsidRPr="00CB7521">
              <w:rPr>
                <w:rFonts w:ascii="Arial Narrow" w:hAnsi="Arial Narrow"/>
                <w:sz w:val="20"/>
                <w:szCs w:val="20"/>
              </w:rPr>
              <w:t>282.273</w:t>
            </w:r>
          </w:p>
        </w:tc>
        <w:tc>
          <w:tcPr>
            <w:tcW w:w="1469" w:type="dxa"/>
            <w:tcBorders>
              <w:top w:val="single" w:sz="4" w:space="0" w:color="auto"/>
              <w:bottom w:val="single" w:sz="2" w:space="0" w:color="auto"/>
            </w:tcBorders>
            <w:shd w:val="clear" w:color="auto" w:fill="auto"/>
            <w:noWrap/>
            <w:vAlign w:val="center"/>
          </w:tcPr>
          <w:p w:rsidR="00F06801" w:rsidRPr="00CB7521" w:rsidRDefault="00EE7AEE" w:rsidP="00000AAA">
            <w:pPr>
              <w:pStyle w:val="texto"/>
              <w:spacing w:after="0"/>
              <w:ind w:firstLine="0"/>
              <w:jc w:val="right"/>
              <w:rPr>
                <w:rFonts w:ascii="Arial Narrow" w:hAnsi="Arial Narrow"/>
                <w:sz w:val="20"/>
                <w:szCs w:val="20"/>
              </w:rPr>
            </w:pPr>
            <w:r>
              <w:rPr>
                <w:rFonts w:ascii="Arial Narrow" w:hAnsi="Arial Narrow"/>
                <w:sz w:val="20"/>
                <w:szCs w:val="20"/>
              </w:rPr>
              <w:t>70</w:t>
            </w:r>
          </w:p>
        </w:tc>
      </w:tr>
      <w:tr w:rsidR="00F06801" w:rsidRPr="00CB7521" w:rsidTr="00146D16">
        <w:trPr>
          <w:trHeight w:val="255"/>
          <w:jc w:val="center"/>
        </w:trPr>
        <w:tc>
          <w:tcPr>
            <w:tcW w:w="3289" w:type="dxa"/>
            <w:tcBorders>
              <w:top w:val="single" w:sz="2" w:space="0" w:color="auto"/>
              <w:bottom w:val="single" w:sz="2" w:space="0" w:color="auto"/>
            </w:tcBorders>
            <w:shd w:val="clear" w:color="auto" w:fill="auto"/>
            <w:noWrap/>
            <w:vAlign w:val="center"/>
            <w:hideMark/>
          </w:tcPr>
          <w:p w:rsidR="00F06801" w:rsidRPr="00CB7521" w:rsidRDefault="00F06801" w:rsidP="006431B3">
            <w:pPr>
              <w:pStyle w:val="texto"/>
              <w:spacing w:after="0"/>
              <w:ind w:firstLine="0"/>
              <w:rPr>
                <w:rFonts w:ascii="Arial Narrow" w:hAnsi="Arial Narrow"/>
                <w:sz w:val="20"/>
                <w:szCs w:val="20"/>
              </w:rPr>
            </w:pPr>
            <w:r w:rsidRPr="00CB7521">
              <w:rPr>
                <w:rFonts w:ascii="Arial Narrow" w:hAnsi="Arial Narrow"/>
                <w:sz w:val="20"/>
                <w:szCs w:val="20"/>
              </w:rPr>
              <w:t>Programa Alumni</w:t>
            </w:r>
          </w:p>
        </w:tc>
        <w:tc>
          <w:tcPr>
            <w:tcW w:w="1984" w:type="dxa"/>
            <w:tcBorders>
              <w:top w:val="single" w:sz="2" w:space="0" w:color="auto"/>
              <w:bottom w:val="single" w:sz="2" w:space="0" w:color="auto"/>
            </w:tcBorders>
            <w:shd w:val="clear" w:color="auto" w:fill="auto"/>
            <w:vAlign w:val="center"/>
          </w:tcPr>
          <w:p w:rsidR="00F06801" w:rsidRPr="00CB7521" w:rsidRDefault="00F06801" w:rsidP="00000AAA">
            <w:pPr>
              <w:pStyle w:val="texto"/>
              <w:spacing w:after="0"/>
              <w:ind w:firstLine="0"/>
              <w:jc w:val="right"/>
              <w:rPr>
                <w:rFonts w:ascii="Arial Narrow" w:hAnsi="Arial Narrow"/>
                <w:sz w:val="20"/>
                <w:szCs w:val="20"/>
              </w:rPr>
            </w:pPr>
            <w:r w:rsidRPr="00CB7521">
              <w:rPr>
                <w:rFonts w:ascii="Arial Narrow" w:hAnsi="Arial Narrow"/>
                <w:sz w:val="20"/>
                <w:szCs w:val="20"/>
              </w:rPr>
              <w:t>36.622</w:t>
            </w:r>
          </w:p>
        </w:tc>
        <w:tc>
          <w:tcPr>
            <w:tcW w:w="2219" w:type="dxa"/>
            <w:tcBorders>
              <w:top w:val="single" w:sz="2" w:space="0" w:color="auto"/>
              <w:bottom w:val="single" w:sz="2" w:space="0" w:color="auto"/>
            </w:tcBorders>
            <w:shd w:val="clear" w:color="auto" w:fill="auto"/>
            <w:vAlign w:val="center"/>
          </w:tcPr>
          <w:p w:rsidR="00F06801" w:rsidRPr="00CB7521" w:rsidRDefault="008E498D" w:rsidP="000A4432">
            <w:pPr>
              <w:pStyle w:val="texto"/>
              <w:spacing w:after="0"/>
              <w:ind w:firstLine="0"/>
              <w:jc w:val="right"/>
              <w:rPr>
                <w:rFonts w:ascii="Arial Narrow" w:hAnsi="Arial Narrow"/>
                <w:sz w:val="20"/>
                <w:szCs w:val="20"/>
              </w:rPr>
            </w:pPr>
            <w:r w:rsidRPr="00CB7521">
              <w:rPr>
                <w:rFonts w:ascii="Arial Narrow" w:hAnsi="Arial Narrow"/>
                <w:sz w:val="20"/>
                <w:szCs w:val="20"/>
              </w:rPr>
              <w:t>60.1</w:t>
            </w:r>
            <w:r w:rsidR="000A4432" w:rsidRPr="00CB7521">
              <w:rPr>
                <w:rFonts w:ascii="Arial Narrow" w:hAnsi="Arial Narrow"/>
                <w:sz w:val="20"/>
                <w:szCs w:val="20"/>
              </w:rPr>
              <w:t>40</w:t>
            </w:r>
          </w:p>
        </w:tc>
        <w:tc>
          <w:tcPr>
            <w:tcW w:w="1469" w:type="dxa"/>
            <w:tcBorders>
              <w:top w:val="single" w:sz="2" w:space="0" w:color="auto"/>
              <w:bottom w:val="single" w:sz="2" w:space="0" w:color="auto"/>
            </w:tcBorders>
            <w:shd w:val="clear" w:color="auto" w:fill="auto"/>
            <w:noWrap/>
            <w:vAlign w:val="center"/>
          </w:tcPr>
          <w:p w:rsidR="00F06801" w:rsidRPr="00CB7521" w:rsidRDefault="00EE7AEE" w:rsidP="00000AAA">
            <w:pPr>
              <w:pStyle w:val="texto"/>
              <w:spacing w:after="0"/>
              <w:ind w:firstLine="0"/>
              <w:jc w:val="right"/>
              <w:rPr>
                <w:rFonts w:ascii="Arial Narrow" w:hAnsi="Arial Narrow"/>
                <w:sz w:val="20"/>
                <w:szCs w:val="20"/>
              </w:rPr>
            </w:pPr>
            <w:r>
              <w:rPr>
                <w:rFonts w:ascii="Arial Narrow" w:hAnsi="Arial Narrow"/>
                <w:sz w:val="20"/>
                <w:szCs w:val="20"/>
              </w:rPr>
              <w:t>64</w:t>
            </w:r>
          </w:p>
        </w:tc>
      </w:tr>
      <w:tr w:rsidR="00F06801" w:rsidRPr="00CB7521" w:rsidTr="00146D16">
        <w:trPr>
          <w:trHeight w:val="255"/>
          <w:jc w:val="center"/>
        </w:trPr>
        <w:tc>
          <w:tcPr>
            <w:tcW w:w="3289" w:type="dxa"/>
            <w:tcBorders>
              <w:top w:val="single" w:sz="2" w:space="0" w:color="auto"/>
              <w:bottom w:val="single" w:sz="4" w:space="0" w:color="auto"/>
            </w:tcBorders>
            <w:shd w:val="clear" w:color="auto" w:fill="auto"/>
            <w:noWrap/>
            <w:vAlign w:val="center"/>
          </w:tcPr>
          <w:p w:rsidR="00F06801" w:rsidRPr="00CB7521" w:rsidRDefault="00F06801" w:rsidP="006431B3">
            <w:pPr>
              <w:pStyle w:val="texto"/>
              <w:spacing w:after="0"/>
              <w:ind w:firstLine="0"/>
              <w:rPr>
                <w:rFonts w:ascii="Arial Narrow" w:hAnsi="Arial Narrow"/>
                <w:sz w:val="20"/>
                <w:szCs w:val="20"/>
              </w:rPr>
            </w:pPr>
            <w:r w:rsidRPr="00CB7521">
              <w:rPr>
                <w:rFonts w:ascii="Arial Narrow" w:hAnsi="Arial Narrow"/>
                <w:sz w:val="20"/>
                <w:szCs w:val="20"/>
              </w:rPr>
              <w:t>Centro I+D</w:t>
            </w:r>
          </w:p>
        </w:tc>
        <w:tc>
          <w:tcPr>
            <w:tcW w:w="1984" w:type="dxa"/>
            <w:tcBorders>
              <w:top w:val="single" w:sz="2" w:space="0" w:color="auto"/>
              <w:bottom w:val="single" w:sz="4" w:space="0" w:color="auto"/>
            </w:tcBorders>
            <w:shd w:val="clear" w:color="auto" w:fill="auto"/>
            <w:vAlign w:val="center"/>
          </w:tcPr>
          <w:p w:rsidR="00F06801" w:rsidRPr="00CB7521" w:rsidRDefault="00F06801" w:rsidP="00000AAA">
            <w:pPr>
              <w:pStyle w:val="texto"/>
              <w:spacing w:after="0"/>
              <w:ind w:firstLine="0"/>
              <w:jc w:val="right"/>
              <w:rPr>
                <w:rFonts w:ascii="Arial Narrow" w:hAnsi="Arial Narrow"/>
                <w:sz w:val="20"/>
                <w:szCs w:val="20"/>
              </w:rPr>
            </w:pPr>
            <w:r w:rsidRPr="00CB7521">
              <w:rPr>
                <w:rFonts w:ascii="Arial Narrow" w:hAnsi="Arial Narrow"/>
                <w:sz w:val="20"/>
                <w:szCs w:val="20"/>
              </w:rPr>
              <w:t>41.611</w:t>
            </w:r>
          </w:p>
        </w:tc>
        <w:tc>
          <w:tcPr>
            <w:tcW w:w="2219" w:type="dxa"/>
            <w:tcBorders>
              <w:top w:val="single" w:sz="2" w:space="0" w:color="auto"/>
              <w:bottom w:val="single" w:sz="4" w:space="0" w:color="auto"/>
            </w:tcBorders>
            <w:shd w:val="clear" w:color="auto" w:fill="auto"/>
            <w:vAlign w:val="center"/>
          </w:tcPr>
          <w:p w:rsidR="00F06801" w:rsidRPr="00CB7521" w:rsidRDefault="008E498D" w:rsidP="00000AAA">
            <w:pPr>
              <w:pStyle w:val="texto"/>
              <w:spacing w:after="0"/>
              <w:ind w:firstLine="0"/>
              <w:jc w:val="right"/>
              <w:rPr>
                <w:rFonts w:ascii="Arial Narrow" w:hAnsi="Arial Narrow"/>
                <w:sz w:val="20"/>
                <w:szCs w:val="20"/>
              </w:rPr>
            </w:pPr>
            <w:r w:rsidRPr="00CB7521">
              <w:rPr>
                <w:rFonts w:ascii="Arial Narrow" w:hAnsi="Arial Narrow"/>
                <w:sz w:val="20"/>
                <w:szCs w:val="20"/>
              </w:rPr>
              <w:t>89.237</w:t>
            </w:r>
          </w:p>
        </w:tc>
        <w:tc>
          <w:tcPr>
            <w:tcW w:w="1469" w:type="dxa"/>
            <w:tcBorders>
              <w:top w:val="single" w:sz="2" w:space="0" w:color="auto"/>
              <w:bottom w:val="single" w:sz="4" w:space="0" w:color="auto"/>
            </w:tcBorders>
            <w:shd w:val="clear" w:color="auto" w:fill="auto"/>
            <w:noWrap/>
            <w:vAlign w:val="center"/>
          </w:tcPr>
          <w:p w:rsidR="00F06801" w:rsidRPr="00CB7521" w:rsidRDefault="00EE7AEE" w:rsidP="00000AAA">
            <w:pPr>
              <w:pStyle w:val="texto"/>
              <w:spacing w:after="0"/>
              <w:ind w:firstLine="0"/>
              <w:jc w:val="right"/>
              <w:rPr>
                <w:rFonts w:ascii="Arial Narrow" w:hAnsi="Arial Narrow"/>
                <w:sz w:val="20"/>
                <w:szCs w:val="20"/>
              </w:rPr>
            </w:pPr>
            <w:r>
              <w:rPr>
                <w:rFonts w:ascii="Arial Narrow" w:hAnsi="Arial Narrow"/>
                <w:sz w:val="20"/>
                <w:szCs w:val="20"/>
              </w:rPr>
              <w:t>114</w:t>
            </w:r>
          </w:p>
        </w:tc>
      </w:tr>
      <w:tr w:rsidR="00F06801" w:rsidRPr="0055365B" w:rsidTr="00146D16">
        <w:trPr>
          <w:trHeight w:val="255"/>
          <w:jc w:val="center"/>
        </w:trPr>
        <w:tc>
          <w:tcPr>
            <w:tcW w:w="3289" w:type="dxa"/>
            <w:tcBorders>
              <w:top w:val="single" w:sz="4" w:space="0" w:color="auto"/>
              <w:bottom w:val="single" w:sz="4" w:space="0" w:color="auto"/>
            </w:tcBorders>
            <w:shd w:val="clear" w:color="auto" w:fill="A0C3E3" w:themeFill="accent1" w:themeFillTint="99"/>
            <w:noWrap/>
            <w:vAlign w:val="center"/>
            <w:hideMark/>
          </w:tcPr>
          <w:p w:rsidR="00F06801" w:rsidRPr="0055365B" w:rsidRDefault="00F06801" w:rsidP="006431B3">
            <w:pPr>
              <w:pStyle w:val="cuadroCabe"/>
              <w:rPr>
                <w:rFonts w:cs="Arial"/>
                <w:szCs w:val="18"/>
                <w:lang w:val="es-ES" w:eastAsia="es-ES"/>
              </w:rPr>
            </w:pPr>
            <w:r w:rsidRPr="0055365B">
              <w:rPr>
                <w:rFonts w:cs="Arial"/>
                <w:szCs w:val="18"/>
                <w:lang w:val="es-ES" w:eastAsia="es-ES"/>
              </w:rPr>
              <w:t> Total</w:t>
            </w:r>
          </w:p>
        </w:tc>
        <w:tc>
          <w:tcPr>
            <w:tcW w:w="1984" w:type="dxa"/>
            <w:tcBorders>
              <w:top w:val="single" w:sz="4" w:space="0" w:color="auto"/>
              <w:bottom w:val="single" w:sz="4" w:space="0" w:color="auto"/>
            </w:tcBorders>
            <w:shd w:val="clear" w:color="auto" w:fill="A0C3E3" w:themeFill="accent1" w:themeFillTint="99"/>
            <w:vAlign w:val="center"/>
            <w:hideMark/>
          </w:tcPr>
          <w:p w:rsidR="00F06801" w:rsidRPr="0055365B" w:rsidRDefault="008E498D" w:rsidP="00000AAA">
            <w:pPr>
              <w:pStyle w:val="cuadroCabe"/>
              <w:jc w:val="right"/>
              <w:rPr>
                <w:rFonts w:cs="Arial"/>
                <w:szCs w:val="18"/>
                <w:lang w:val="es-ES" w:eastAsia="es-ES"/>
              </w:rPr>
            </w:pPr>
            <w:r w:rsidRPr="0055365B">
              <w:rPr>
                <w:rFonts w:cs="Arial"/>
                <w:szCs w:val="18"/>
                <w:lang w:val="es-ES" w:eastAsia="es-ES"/>
              </w:rPr>
              <w:t>244.211</w:t>
            </w:r>
          </w:p>
        </w:tc>
        <w:tc>
          <w:tcPr>
            <w:tcW w:w="2219" w:type="dxa"/>
            <w:tcBorders>
              <w:top w:val="single" w:sz="4" w:space="0" w:color="auto"/>
              <w:bottom w:val="single" w:sz="4" w:space="0" w:color="auto"/>
            </w:tcBorders>
            <w:shd w:val="clear" w:color="auto" w:fill="A0C3E3" w:themeFill="accent1" w:themeFillTint="99"/>
            <w:vAlign w:val="center"/>
            <w:hideMark/>
          </w:tcPr>
          <w:p w:rsidR="00F06801" w:rsidRPr="0055365B" w:rsidRDefault="008E498D" w:rsidP="00000AAA">
            <w:pPr>
              <w:pStyle w:val="cuadroCabe"/>
              <w:jc w:val="right"/>
              <w:rPr>
                <w:rFonts w:cs="Arial"/>
                <w:szCs w:val="18"/>
                <w:lang w:val="es-ES" w:eastAsia="es-ES"/>
              </w:rPr>
            </w:pPr>
            <w:r w:rsidRPr="0055365B">
              <w:rPr>
                <w:rFonts w:cs="Arial"/>
                <w:szCs w:val="18"/>
                <w:lang w:val="es-ES" w:eastAsia="es-ES"/>
              </w:rPr>
              <w:t>431.6</w:t>
            </w:r>
            <w:r w:rsidR="000A4432" w:rsidRPr="0055365B">
              <w:rPr>
                <w:rFonts w:cs="Arial"/>
                <w:szCs w:val="18"/>
                <w:lang w:val="es-ES" w:eastAsia="es-ES"/>
              </w:rPr>
              <w:t>50</w:t>
            </w:r>
          </w:p>
        </w:tc>
        <w:tc>
          <w:tcPr>
            <w:tcW w:w="1469" w:type="dxa"/>
            <w:tcBorders>
              <w:top w:val="single" w:sz="4" w:space="0" w:color="auto"/>
              <w:bottom w:val="single" w:sz="4" w:space="0" w:color="auto"/>
            </w:tcBorders>
            <w:shd w:val="clear" w:color="auto" w:fill="A0C3E3" w:themeFill="accent1" w:themeFillTint="99"/>
            <w:noWrap/>
            <w:vAlign w:val="center"/>
            <w:hideMark/>
          </w:tcPr>
          <w:p w:rsidR="00F06801" w:rsidRPr="0055365B" w:rsidRDefault="00EE7AEE" w:rsidP="00000AAA">
            <w:pPr>
              <w:pStyle w:val="cuadroCabe"/>
              <w:jc w:val="right"/>
              <w:rPr>
                <w:rFonts w:cs="Arial"/>
                <w:szCs w:val="18"/>
                <w:lang w:val="es-ES" w:eastAsia="es-ES"/>
              </w:rPr>
            </w:pPr>
            <w:r w:rsidRPr="0055365B">
              <w:rPr>
                <w:rFonts w:cs="Arial"/>
                <w:szCs w:val="18"/>
                <w:lang w:val="es-ES" w:eastAsia="es-ES"/>
              </w:rPr>
              <w:t>77</w:t>
            </w:r>
          </w:p>
        </w:tc>
      </w:tr>
    </w:tbl>
    <w:p w:rsidR="004B0D73" w:rsidRDefault="004B0D73" w:rsidP="00F5594F">
      <w:pPr>
        <w:pStyle w:val="texto"/>
        <w:spacing w:before="240" w:after="240"/>
        <w:rPr>
          <w:spacing w:val="2"/>
        </w:rPr>
      </w:pPr>
      <w:r w:rsidRPr="00730AE6">
        <w:rPr>
          <w:spacing w:val="2"/>
        </w:rPr>
        <w:t xml:space="preserve">Los ingresos reconocidos por la </w:t>
      </w:r>
      <w:r w:rsidR="009D7DD5">
        <w:rPr>
          <w:spacing w:val="2"/>
        </w:rPr>
        <w:t>Universidad</w:t>
      </w:r>
      <w:r w:rsidRPr="00730AE6">
        <w:rPr>
          <w:spacing w:val="2"/>
        </w:rPr>
        <w:t xml:space="preserve"> por las actividades encomendadas a la Fundación han ascendido a </w:t>
      </w:r>
      <w:r w:rsidR="00394BB4" w:rsidRPr="00730AE6">
        <w:rPr>
          <w:spacing w:val="2"/>
        </w:rPr>
        <w:t xml:space="preserve">0,81 </w:t>
      </w:r>
      <w:r w:rsidRPr="00730AE6">
        <w:rPr>
          <w:spacing w:val="2"/>
        </w:rPr>
        <w:t>millones, de acuerdo con el siguiente detalle:</w:t>
      </w:r>
    </w:p>
    <w:tbl>
      <w:tblPr>
        <w:tblW w:w="8979" w:type="dxa"/>
        <w:jc w:val="center"/>
        <w:tblCellMar>
          <w:left w:w="70" w:type="dxa"/>
          <w:right w:w="70" w:type="dxa"/>
        </w:tblCellMar>
        <w:tblLook w:val="04A0" w:firstRow="1" w:lastRow="0" w:firstColumn="1" w:lastColumn="0" w:noHBand="0" w:noVBand="1"/>
      </w:tblPr>
      <w:tblGrid>
        <w:gridCol w:w="6719"/>
        <w:gridCol w:w="2260"/>
      </w:tblGrid>
      <w:tr w:rsidR="004B0D73" w:rsidRPr="0055365B" w:rsidTr="00146D16">
        <w:trPr>
          <w:trHeight w:val="255"/>
          <w:jc w:val="center"/>
        </w:trPr>
        <w:tc>
          <w:tcPr>
            <w:tcW w:w="6717" w:type="dxa"/>
            <w:tcBorders>
              <w:top w:val="single" w:sz="4" w:space="0" w:color="auto"/>
              <w:bottom w:val="single" w:sz="4" w:space="0" w:color="auto"/>
            </w:tcBorders>
            <w:shd w:val="clear" w:color="auto" w:fill="A0C3E3" w:themeFill="accent1" w:themeFillTint="99"/>
            <w:noWrap/>
            <w:vAlign w:val="center"/>
            <w:hideMark/>
          </w:tcPr>
          <w:p w:rsidR="004B0D73" w:rsidRPr="0055365B" w:rsidRDefault="004B0D73" w:rsidP="006431B3">
            <w:pPr>
              <w:pStyle w:val="cuadroCabe"/>
              <w:rPr>
                <w:rFonts w:cs="Arial"/>
                <w:szCs w:val="18"/>
                <w:lang w:val="es-ES" w:eastAsia="es-ES"/>
              </w:rPr>
            </w:pPr>
            <w:r w:rsidRPr="0055365B">
              <w:rPr>
                <w:rFonts w:cs="Arial"/>
                <w:szCs w:val="18"/>
                <w:lang w:val="es-ES" w:eastAsia="es-ES"/>
              </w:rPr>
              <w:t>Ingresos</w:t>
            </w:r>
          </w:p>
        </w:tc>
        <w:tc>
          <w:tcPr>
            <w:tcW w:w="2260" w:type="dxa"/>
            <w:tcBorders>
              <w:top w:val="single" w:sz="4" w:space="0" w:color="auto"/>
              <w:bottom w:val="single" w:sz="4" w:space="0" w:color="auto"/>
            </w:tcBorders>
            <w:shd w:val="clear" w:color="auto" w:fill="A0C3E3" w:themeFill="accent1" w:themeFillTint="99"/>
            <w:noWrap/>
            <w:vAlign w:val="center"/>
            <w:hideMark/>
          </w:tcPr>
          <w:p w:rsidR="004B0D73" w:rsidRPr="0055365B" w:rsidRDefault="004B0D73" w:rsidP="00335087">
            <w:pPr>
              <w:pStyle w:val="cuadroCabe"/>
              <w:jc w:val="right"/>
              <w:rPr>
                <w:rFonts w:cs="Arial"/>
                <w:szCs w:val="18"/>
                <w:lang w:val="es-ES" w:eastAsia="es-ES"/>
              </w:rPr>
            </w:pPr>
            <w:r w:rsidRPr="0055365B">
              <w:rPr>
                <w:rFonts w:cs="Arial"/>
                <w:szCs w:val="18"/>
                <w:lang w:val="es-ES" w:eastAsia="es-ES"/>
              </w:rPr>
              <w:t>Importe</w:t>
            </w:r>
          </w:p>
        </w:tc>
      </w:tr>
      <w:tr w:rsidR="004B0D73" w:rsidRPr="00CB7521" w:rsidTr="00146D16">
        <w:trPr>
          <w:trHeight w:val="255"/>
          <w:jc w:val="center"/>
        </w:trPr>
        <w:tc>
          <w:tcPr>
            <w:tcW w:w="6719" w:type="dxa"/>
            <w:tcBorders>
              <w:top w:val="single" w:sz="4" w:space="0" w:color="auto"/>
              <w:bottom w:val="single" w:sz="2" w:space="0" w:color="auto"/>
            </w:tcBorders>
            <w:shd w:val="clear" w:color="auto" w:fill="auto"/>
            <w:noWrap/>
            <w:vAlign w:val="center"/>
          </w:tcPr>
          <w:p w:rsidR="004B0D73" w:rsidRPr="00CB7521" w:rsidRDefault="004B0D73" w:rsidP="000A4432">
            <w:pPr>
              <w:pStyle w:val="texto"/>
              <w:spacing w:after="0"/>
              <w:ind w:firstLine="0"/>
              <w:rPr>
                <w:rFonts w:ascii="Arial Narrow" w:hAnsi="Arial Narrow"/>
                <w:sz w:val="20"/>
                <w:szCs w:val="20"/>
              </w:rPr>
            </w:pPr>
            <w:r w:rsidRPr="00CB7521">
              <w:rPr>
                <w:rFonts w:ascii="Arial Narrow" w:hAnsi="Arial Narrow"/>
                <w:sz w:val="20"/>
                <w:szCs w:val="20"/>
              </w:rPr>
              <w:t>Matrículas</w:t>
            </w:r>
            <w:r w:rsidR="000A4432" w:rsidRPr="00CB7521">
              <w:rPr>
                <w:rFonts w:ascii="Arial Narrow" w:hAnsi="Arial Narrow"/>
                <w:sz w:val="20"/>
                <w:szCs w:val="20"/>
              </w:rPr>
              <w:t xml:space="preserve"> </w:t>
            </w:r>
            <w:r w:rsidRPr="00CB7521">
              <w:rPr>
                <w:rFonts w:ascii="Arial Narrow" w:hAnsi="Arial Narrow"/>
                <w:sz w:val="20"/>
                <w:szCs w:val="20"/>
              </w:rPr>
              <w:t>Títulos Propios</w:t>
            </w:r>
          </w:p>
        </w:tc>
        <w:tc>
          <w:tcPr>
            <w:tcW w:w="2260" w:type="dxa"/>
            <w:tcBorders>
              <w:top w:val="single" w:sz="4" w:space="0" w:color="auto"/>
              <w:bottom w:val="single" w:sz="2" w:space="0" w:color="auto"/>
            </w:tcBorders>
            <w:shd w:val="clear" w:color="auto" w:fill="auto"/>
            <w:vAlign w:val="center"/>
          </w:tcPr>
          <w:p w:rsidR="004B0D73" w:rsidRPr="00CB7521" w:rsidRDefault="000A4432" w:rsidP="00335087">
            <w:pPr>
              <w:pStyle w:val="texto"/>
              <w:spacing w:after="0"/>
              <w:ind w:firstLine="0"/>
              <w:jc w:val="right"/>
              <w:rPr>
                <w:rFonts w:ascii="Arial Narrow" w:hAnsi="Arial Narrow"/>
                <w:sz w:val="20"/>
                <w:szCs w:val="20"/>
              </w:rPr>
            </w:pPr>
            <w:r w:rsidRPr="00CB7521">
              <w:rPr>
                <w:rFonts w:ascii="Arial Narrow" w:hAnsi="Arial Narrow"/>
                <w:sz w:val="20"/>
                <w:szCs w:val="20"/>
              </w:rPr>
              <w:t>440.063</w:t>
            </w:r>
          </w:p>
        </w:tc>
      </w:tr>
      <w:tr w:rsidR="004B0D73" w:rsidRPr="00CB7521" w:rsidTr="00146D16">
        <w:trPr>
          <w:trHeight w:val="255"/>
          <w:jc w:val="center"/>
        </w:trPr>
        <w:tc>
          <w:tcPr>
            <w:tcW w:w="6719" w:type="dxa"/>
            <w:tcBorders>
              <w:top w:val="single" w:sz="2" w:space="0" w:color="auto"/>
              <w:bottom w:val="single" w:sz="2" w:space="0" w:color="auto"/>
            </w:tcBorders>
            <w:shd w:val="clear" w:color="auto" w:fill="auto"/>
            <w:noWrap/>
            <w:vAlign w:val="center"/>
          </w:tcPr>
          <w:p w:rsidR="004B0D73" w:rsidRPr="00CB7521" w:rsidRDefault="004B0D73" w:rsidP="006431B3">
            <w:pPr>
              <w:pStyle w:val="texto"/>
              <w:spacing w:after="0"/>
              <w:ind w:firstLine="0"/>
              <w:rPr>
                <w:rFonts w:ascii="Arial Narrow" w:hAnsi="Arial Narrow"/>
                <w:sz w:val="20"/>
                <w:szCs w:val="20"/>
              </w:rPr>
            </w:pPr>
            <w:r w:rsidRPr="00CB7521">
              <w:rPr>
                <w:rFonts w:ascii="Arial Narrow" w:hAnsi="Arial Narrow"/>
                <w:sz w:val="20"/>
                <w:szCs w:val="20"/>
              </w:rPr>
              <w:t>Matrículas C.S. Idiomas</w:t>
            </w:r>
          </w:p>
        </w:tc>
        <w:tc>
          <w:tcPr>
            <w:tcW w:w="2260" w:type="dxa"/>
            <w:tcBorders>
              <w:top w:val="single" w:sz="2" w:space="0" w:color="auto"/>
              <w:bottom w:val="single" w:sz="2" w:space="0" w:color="auto"/>
            </w:tcBorders>
            <w:shd w:val="clear" w:color="auto" w:fill="auto"/>
            <w:vAlign w:val="center"/>
          </w:tcPr>
          <w:p w:rsidR="004B0D73" w:rsidRPr="00CB7521" w:rsidRDefault="000A4432" w:rsidP="00335087">
            <w:pPr>
              <w:pStyle w:val="texto"/>
              <w:spacing w:after="0"/>
              <w:ind w:firstLine="0"/>
              <w:jc w:val="right"/>
              <w:rPr>
                <w:rFonts w:ascii="Arial Narrow" w:hAnsi="Arial Narrow"/>
                <w:sz w:val="20"/>
                <w:szCs w:val="20"/>
              </w:rPr>
            </w:pPr>
            <w:r w:rsidRPr="00CB7521">
              <w:rPr>
                <w:rFonts w:ascii="Arial Narrow" w:hAnsi="Arial Narrow"/>
                <w:sz w:val="20"/>
                <w:szCs w:val="20"/>
              </w:rPr>
              <w:t>307.265</w:t>
            </w:r>
          </w:p>
        </w:tc>
      </w:tr>
      <w:tr w:rsidR="004B0D73" w:rsidRPr="00CB7521" w:rsidTr="00146D16">
        <w:trPr>
          <w:trHeight w:val="255"/>
          <w:jc w:val="center"/>
        </w:trPr>
        <w:tc>
          <w:tcPr>
            <w:tcW w:w="6719" w:type="dxa"/>
            <w:tcBorders>
              <w:top w:val="single" w:sz="2" w:space="0" w:color="auto"/>
              <w:bottom w:val="single" w:sz="2" w:space="0" w:color="auto"/>
            </w:tcBorders>
            <w:shd w:val="clear" w:color="auto" w:fill="auto"/>
            <w:noWrap/>
            <w:vAlign w:val="center"/>
          </w:tcPr>
          <w:p w:rsidR="004B0D73" w:rsidRPr="00CB7521" w:rsidRDefault="004B0D73" w:rsidP="006431B3">
            <w:pPr>
              <w:pStyle w:val="texto"/>
              <w:spacing w:after="0"/>
              <w:ind w:firstLine="0"/>
              <w:rPr>
                <w:rFonts w:ascii="Arial Narrow" w:hAnsi="Arial Narrow"/>
                <w:sz w:val="20"/>
                <w:szCs w:val="20"/>
              </w:rPr>
            </w:pPr>
            <w:r w:rsidRPr="00CB7521">
              <w:rPr>
                <w:rFonts w:ascii="Arial Narrow" w:hAnsi="Arial Narrow"/>
                <w:sz w:val="20"/>
                <w:szCs w:val="20"/>
              </w:rPr>
              <w:t>Programa Alumni</w:t>
            </w:r>
          </w:p>
        </w:tc>
        <w:tc>
          <w:tcPr>
            <w:tcW w:w="2260" w:type="dxa"/>
            <w:tcBorders>
              <w:top w:val="single" w:sz="2" w:space="0" w:color="auto"/>
              <w:bottom w:val="single" w:sz="2" w:space="0" w:color="auto"/>
            </w:tcBorders>
            <w:shd w:val="clear" w:color="auto" w:fill="auto"/>
            <w:vAlign w:val="center"/>
          </w:tcPr>
          <w:p w:rsidR="004B0D73" w:rsidRPr="00CB7521" w:rsidRDefault="000A4432" w:rsidP="00335087">
            <w:pPr>
              <w:pStyle w:val="texto"/>
              <w:spacing w:after="0"/>
              <w:ind w:firstLine="0"/>
              <w:jc w:val="right"/>
              <w:rPr>
                <w:rFonts w:ascii="Arial Narrow" w:hAnsi="Arial Narrow"/>
                <w:sz w:val="20"/>
                <w:szCs w:val="20"/>
              </w:rPr>
            </w:pPr>
            <w:r w:rsidRPr="00CB7521">
              <w:rPr>
                <w:rFonts w:ascii="Arial Narrow" w:hAnsi="Arial Narrow"/>
                <w:sz w:val="20"/>
                <w:szCs w:val="20"/>
              </w:rPr>
              <w:t>34.062</w:t>
            </w:r>
          </w:p>
        </w:tc>
      </w:tr>
      <w:tr w:rsidR="004B0D73" w:rsidRPr="00CB7521" w:rsidTr="00146D16">
        <w:trPr>
          <w:trHeight w:val="255"/>
          <w:jc w:val="center"/>
        </w:trPr>
        <w:tc>
          <w:tcPr>
            <w:tcW w:w="6719" w:type="dxa"/>
            <w:tcBorders>
              <w:top w:val="single" w:sz="2" w:space="0" w:color="auto"/>
              <w:bottom w:val="single" w:sz="4" w:space="0" w:color="auto"/>
            </w:tcBorders>
            <w:shd w:val="clear" w:color="auto" w:fill="auto"/>
            <w:noWrap/>
            <w:vAlign w:val="center"/>
          </w:tcPr>
          <w:p w:rsidR="004B0D73" w:rsidRPr="00CB7521" w:rsidRDefault="004B0D73" w:rsidP="006431B3">
            <w:pPr>
              <w:pStyle w:val="texto"/>
              <w:spacing w:after="0"/>
              <w:ind w:firstLine="0"/>
              <w:rPr>
                <w:rFonts w:ascii="Arial Narrow" w:hAnsi="Arial Narrow"/>
                <w:sz w:val="20"/>
                <w:szCs w:val="20"/>
              </w:rPr>
            </w:pPr>
            <w:r w:rsidRPr="00CB7521">
              <w:rPr>
                <w:rFonts w:ascii="Arial Narrow" w:hAnsi="Arial Narrow"/>
                <w:sz w:val="20"/>
                <w:szCs w:val="20"/>
              </w:rPr>
              <w:t>Otros ingresos</w:t>
            </w:r>
          </w:p>
        </w:tc>
        <w:tc>
          <w:tcPr>
            <w:tcW w:w="2260" w:type="dxa"/>
            <w:tcBorders>
              <w:top w:val="single" w:sz="2" w:space="0" w:color="auto"/>
              <w:bottom w:val="single" w:sz="4" w:space="0" w:color="auto"/>
            </w:tcBorders>
            <w:shd w:val="clear" w:color="auto" w:fill="auto"/>
            <w:vAlign w:val="center"/>
          </w:tcPr>
          <w:p w:rsidR="004B0D73" w:rsidRPr="00CB7521" w:rsidRDefault="000A4432" w:rsidP="00335087">
            <w:pPr>
              <w:pStyle w:val="texto"/>
              <w:spacing w:after="0"/>
              <w:ind w:firstLine="0"/>
              <w:jc w:val="right"/>
              <w:rPr>
                <w:rFonts w:ascii="Arial Narrow" w:hAnsi="Arial Narrow"/>
                <w:sz w:val="20"/>
                <w:szCs w:val="20"/>
              </w:rPr>
            </w:pPr>
            <w:r w:rsidRPr="00CB7521">
              <w:rPr>
                <w:rFonts w:ascii="Arial Narrow" w:hAnsi="Arial Narrow"/>
                <w:sz w:val="20"/>
                <w:szCs w:val="20"/>
              </w:rPr>
              <w:t>30.471</w:t>
            </w:r>
          </w:p>
        </w:tc>
      </w:tr>
      <w:tr w:rsidR="004B0D73" w:rsidRPr="0055365B" w:rsidTr="00146D16">
        <w:trPr>
          <w:trHeight w:val="255"/>
          <w:jc w:val="center"/>
        </w:trPr>
        <w:tc>
          <w:tcPr>
            <w:tcW w:w="6719" w:type="dxa"/>
            <w:tcBorders>
              <w:top w:val="single" w:sz="4" w:space="0" w:color="auto"/>
              <w:bottom w:val="single" w:sz="4" w:space="0" w:color="auto"/>
            </w:tcBorders>
            <w:shd w:val="clear" w:color="auto" w:fill="A0C3E3" w:themeFill="accent1" w:themeFillTint="99"/>
            <w:noWrap/>
            <w:vAlign w:val="center"/>
            <w:hideMark/>
          </w:tcPr>
          <w:p w:rsidR="004B0D73" w:rsidRPr="0055365B" w:rsidRDefault="004B0D73" w:rsidP="006431B3">
            <w:pPr>
              <w:pStyle w:val="cuadroCabe"/>
              <w:rPr>
                <w:rFonts w:cs="Arial"/>
                <w:szCs w:val="18"/>
                <w:lang w:val="es-ES" w:eastAsia="es-ES"/>
              </w:rPr>
            </w:pPr>
            <w:r w:rsidRPr="0055365B">
              <w:rPr>
                <w:rFonts w:cs="Arial"/>
                <w:szCs w:val="18"/>
                <w:lang w:val="es-ES" w:eastAsia="es-ES"/>
              </w:rPr>
              <w:t>Total</w:t>
            </w:r>
          </w:p>
        </w:tc>
        <w:tc>
          <w:tcPr>
            <w:tcW w:w="2260" w:type="dxa"/>
            <w:tcBorders>
              <w:top w:val="single" w:sz="4" w:space="0" w:color="auto"/>
              <w:bottom w:val="single" w:sz="4" w:space="0" w:color="auto"/>
            </w:tcBorders>
            <w:shd w:val="clear" w:color="auto" w:fill="A0C3E3" w:themeFill="accent1" w:themeFillTint="99"/>
            <w:vAlign w:val="center"/>
            <w:hideMark/>
          </w:tcPr>
          <w:p w:rsidR="004B0D73" w:rsidRPr="0055365B" w:rsidRDefault="000A4432" w:rsidP="00335087">
            <w:pPr>
              <w:pStyle w:val="cuadroCabe"/>
              <w:jc w:val="right"/>
              <w:rPr>
                <w:rFonts w:cs="Arial"/>
                <w:szCs w:val="18"/>
                <w:lang w:val="es-ES" w:eastAsia="es-ES"/>
              </w:rPr>
            </w:pPr>
            <w:r w:rsidRPr="0055365B">
              <w:rPr>
                <w:rFonts w:cs="Arial"/>
                <w:szCs w:val="18"/>
                <w:lang w:val="es-ES" w:eastAsia="es-ES"/>
              </w:rPr>
              <w:t>811.861</w:t>
            </w:r>
          </w:p>
        </w:tc>
      </w:tr>
    </w:tbl>
    <w:p w:rsidR="00656243" w:rsidRPr="00093204" w:rsidRDefault="007579DD" w:rsidP="003312B7">
      <w:pPr>
        <w:pStyle w:val="texto"/>
        <w:spacing w:before="120" w:after="120"/>
        <w:rPr>
          <w:lang w:val="es-ES"/>
        </w:rPr>
      </w:pPr>
      <w:r>
        <w:rPr>
          <w:lang w:val="es-ES"/>
        </w:rPr>
        <w:t xml:space="preserve">Durante 2017 trabajaron en la Fundación </w:t>
      </w:r>
      <w:r w:rsidR="00EF5ADC" w:rsidRPr="00093204">
        <w:rPr>
          <w:lang w:val="es-ES"/>
        </w:rPr>
        <w:t>49 personas, 40 contratados indefinidos y nueve contratados temporales. El personal efectivo a 31 de diciembre era de 43 personas.</w:t>
      </w:r>
    </w:p>
    <w:p w:rsidR="003312B7" w:rsidRDefault="00093204" w:rsidP="003312B7">
      <w:pPr>
        <w:pStyle w:val="texto"/>
        <w:spacing w:before="120" w:after="120"/>
        <w:rPr>
          <w:lang w:val="es-ES"/>
        </w:rPr>
      </w:pPr>
      <w:r w:rsidRPr="00093204">
        <w:rPr>
          <w:lang w:val="es-ES"/>
        </w:rPr>
        <w:t xml:space="preserve">Durante 2017 se han realizado cuatro procesos de selección de personal, </w:t>
      </w:r>
      <w:r>
        <w:rPr>
          <w:lang w:val="es-ES"/>
        </w:rPr>
        <w:t xml:space="preserve">para cubrir 10 puestos de trabajo, dos de carácter indefinido y ocho </w:t>
      </w:r>
      <w:r w:rsidR="006A5EDE">
        <w:rPr>
          <w:lang w:val="es-ES"/>
        </w:rPr>
        <w:t>temporales</w:t>
      </w:r>
      <w:r>
        <w:rPr>
          <w:lang w:val="es-ES"/>
        </w:rPr>
        <w:t xml:space="preserve">. Hemos revisado el proceso de selección completo para las dos plazas de auxiliar administrativo indefinidas. </w:t>
      </w:r>
    </w:p>
    <w:p w:rsidR="00656243" w:rsidRDefault="00093204" w:rsidP="003312B7">
      <w:pPr>
        <w:pStyle w:val="texto"/>
        <w:spacing w:before="120" w:after="120"/>
        <w:rPr>
          <w:lang w:val="es-ES"/>
        </w:rPr>
      </w:pPr>
      <w:r>
        <w:rPr>
          <w:lang w:val="es-ES"/>
        </w:rPr>
        <w:t xml:space="preserve">En general, se cumplen los principios de igualdad, publicidad, mérito y capacidad. Sin embargo, debemos señalar que los resultados </w:t>
      </w:r>
      <w:r w:rsidR="00237B17">
        <w:rPr>
          <w:lang w:val="es-ES"/>
        </w:rPr>
        <w:t xml:space="preserve">parciales </w:t>
      </w:r>
      <w:r>
        <w:rPr>
          <w:lang w:val="es-ES"/>
        </w:rPr>
        <w:t xml:space="preserve">de las pruebas y entrevistas realizadas </w:t>
      </w:r>
      <w:r w:rsidR="00237B17">
        <w:rPr>
          <w:lang w:val="es-ES"/>
        </w:rPr>
        <w:t xml:space="preserve">así como el resultado definitivo de la selección, </w:t>
      </w:r>
      <w:r w:rsidR="0020122E">
        <w:rPr>
          <w:lang w:val="es-ES"/>
        </w:rPr>
        <w:t>no se publican; sí se comunican a las personas candidatas indicando únicamente si han sido o no seleccionadas para el puesto.</w:t>
      </w:r>
    </w:p>
    <w:p w:rsidR="007912E5" w:rsidRDefault="002B7507" w:rsidP="00D34774">
      <w:pPr>
        <w:pStyle w:val="texto"/>
        <w:tabs>
          <w:tab w:val="clear" w:pos="2835"/>
          <w:tab w:val="clear" w:pos="3969"/>
          <w:tab w:val="clear" w:pos="5103"/>
          <w:tab w:val="clear" w:pos="6237"/>
          <w:tab w:val="clear" w:pos="7371"/>
        </w:tabs>
        <w:spacing w:before="240" w:after="240"/>
        <w:jc w:val="left"/>
        <w:rPr>
          <w:szCs w:val="26"/>
        </w:rPr>
      </w:pPr>
      <w:r>
        <w:rPr>
          <w:szCs w:val="26"/>
        </w:rPr>
        <w:t>Recomendamos</w:t>
      </w:r>
      <w:r w:rsidR="0006445D">
        <w:rPr>
          <w:szCs w:val="26"/>
        </w:rPr>
        <w:t>:</w:t>
      </w:r>
    </w:p>
    <w:p w:rsidR="002B7507" w:rsidRDefault="002B7507" w:rsidP="00557DB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i/>
          <w:szCs w:val="26"/>
        </w:rPr>
      </w:pPr>
      <w:r w:rsidRPr="002B7507">
        <w:rPr>
          <w:i/>
          <w:szCs w:val="26"/>
        </w:rPr>
        <w:t xml:space="preserve">Incluir en la Memoria de la </w:t>
      </w:r>
      <w:r w:rsidR="008B1A98">
        <w:rPr>
          <w:i/>
          <w:szCs w:val="26"/>
        </w:rPr>
        <w:t>U</w:t>
      </w:r>
      <w:r w:rsidRPr="002B7507">
        <w:rPr>
          <w:i/>
          <w:szCs w:val="26"/>
        </w:rPr>
        <w:t xml:space="preserve">niversidad, junto con los estados financieros de la </w:t>
      </w:r>
      <w:r w:rsidR="00723883">
        <w:rPr>
          <w:i/>
          <w:szCs w:val="26"/>
        </w:rPr>
        <w:t>Fundación</w:t>
      </w:r>
      <w:r w:rsidRPr="002B7507">
        <w:rPr>
          <w:i/>
          <w:szCs w:val="26"/>
        </w:rPr>
        <w:t xml:space="preserve">, </w:t>
      </w:r>
      <w:r>
        <w:rPr>
          <w:i/>
          <w:szCs w:val="26"/>
        </w:rPr>
        <w:t>el informe de auditoría financiera.</w:t>
      </w:r>
    </w:p>
    <w:p w:rsidR="006B0879" w:rsidRDefault="00557DBC" w:rsidP="00557DB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i/>
          <w:szCs w:val="26"/>
        </w:rPr>
      </w:pPr>
      <w:r w:rsidRPr="00005620">
        <w:rPr>
          <w:i/>
          <w:szCs w:val="26"/>
        </w:rPr>
        <w:t xml:space="preserve">Aprobar </w:t>
      </w:r>
      <w:r w:rsidR="006B0879" w:rsidRPr="00005620">
        <w:rPr>
          <w:i/>
          <w:szCs w:val="26"/>
        </w:rPr>
        <w:t>resoluci</w:t>
      </w:r>
      <w:r w:rsidR="00F26AC6" w:rsidRPr="00005620">
        <w:rPr>
          <w:i/>
          <w:szCs w:val="26"/>
        </w:rPr>
        <w:t>ones</w:t>
      </w:r>
      <w:r w:rsidR="006B0879" w:rsidRPr="00005620">
        <w:rPr>
          <w:i/>
          <w:szCs w:val="26"/>
        </w:rPr>
        <w:t xml:space="preserve"> de reconocimiento de obligación y pago de las liquidaciones parciales de la encomienda con la Fundación.</w:t>
      </w:r>
    </w:p>
    <w:p w:rsidR="002B7507" w:rsidRPr="007E716B" w:rsidRDefault="006B0879" w:rsidP="00557DB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i/>
          <w:szCs w:val="26"/>
        </w:rPr>
      </w:pPr>
      <w:r w:rsidRPr="007E716B">
        <w:rPr>
          <w:i/>
          <w:szCs w:val="26"/>
        </w:rPr>
        <w:t xml:space="preserve">Estudiar la conveniencia de </w:t>
      </w:r>
      <w:r w:rsidR="00557DBC" w:rsidRPr="007E716B">
        <w:rPr>
          <w:i/>
          <w:szCs w:val="26"/>
        </w:rPr>
        <w:t xml:space="preserve">cambiar el procedimiento actual de </w:t>
      </w:r>
      <w:r w:rsidR="00A65134" w:rsidRPr="007E716B">
        <w:rPr>
          <w:i/>
          <w:szCs w:val="26"/>
        </w:rPr>
        <w:t xml:space="preserve">contabilización de los </w:t>
      </w:r>
      <w:r w:rsidR="00557DBC" w:rsidRPr="007E716B">
        <w:rPr>
          <w:i/>
          <w:szCs w:val="26"/>
        </w:rPr>
        <w:t>cobro</w:t>
      </w:r>
      <w:r w:rsidR="00A65134" w:rsidRPr="007E716B">
        <w:rPr>
          <w:i/>
          <w:szCs w:val="26"/>
        </w:rPr>
        <w:t>s</w:t>
      </w:r>
      <w:r w:rsidR="00557DBC" w:rsidRPr="007E716B">
        <w:rPr>
          <w:i/>
          <w:szCs w:val="26"/>
        </w:rPr>
        <w:t xml:space="preserve"> por matrículas </w:t>
      </w:r>
      <w:r w:rsidR="003738A6" w:rsidRPr="007E716B">
        <w:rPr>
          <w:i/>
          <w:szCs w:val="26"/>
        </w:rPr>
        <w:t xml:space="preserve">de </w:t>
      </w:r>
      <w:r w:rsidR="00557DBC" w:rsidRPr="007E716B">
        <w:rPr>
          <w:i/>
          <w:szCs w:val="26"/>
        </w:rPr>
        <w:t>la</w:t>
      </w:r>
      <w:r w:rsidR="00A65134" w:rsidRPr="007E716B">
        <w:rPr>
          <w:i/>
          <w:szCs w:val="26"/>
        </w:rPr>
        <w:t>s</w:t>
      </w:r>
      <w:r w:rsidR="003738A6" w:rsidRPr="007E716B">
        <w:rPr>
          <w:i/>
          <w:szCs w:val="26"/>
        </w:rPr>
        <w:t xml:space="preserve"> actividades encomendadas a la </w:t>
      </w:r>
      <w:r w:rsidR="00557DBC" w:rsidRPr="007E716B">
        <w:rPr>
          <w:i/>
          <w:szCs w:val="26"/>
        </w:rPr>
        <w:t xml:space="preserve">Fundación </w:t>
      </w:r>
      <w:r w:rsidR="00A65134" w:rsidRPr="007E716B">
        <w:rPr>
          <w:i/>
          <w:szCs w:val="26"/>
        </w:rPr>
        <w:t>para simplificar su gestión</w:t>
      </w:r>
      <w:r w:rsidR="009924E1">
        <w:rPr>
          <w:i/>
          <w:szCs w:val="26"/>
        </w:rPr>
        <w:t>.</w:t>
      </w:r>
      <w:r w:rsidR="00A65134" w:rsidRPr="007E716B">
        <w:rPr>
          <w:i/>
          <w:szCs w:val="26"/>
        </w:rPr>
        <w:t xml:space="preserve"> </w:t>
      </w:r>
    </w:p>
    <w:p w:rsidR="004930F7" w:rsidRPr="002B7507" w:rsidRDefault="004930F7" w:rsidP="00557DB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after="120"/>
        <w:ind w:left="0" w:firstLine="289"/>
        <w:rPr>
          <w:i/>
          <w:szCs w:val="26"/>
        </w:rPr>
      </w:pPr>
      <w:r>
        <w:rPr>
          <w:i/>
          <w:szCs w:val="26"/>
        </w:rPr>
        <w:t xml:space="preserve">Publicar los resultados </w:t>
      </w:r>
      <w:r w:rsidR="008B1A98">
        <w:rPr>
          <w:i/>
          <w:szCs w:val="26"/>
        </w:rPr>
        <w:t xml:space="preserve">parciales y final </w:t>
      </w:r>
      <w:r>
        <w:rPr>
          <w:i/>
          <w:szCs w:val="26"/>
        </w:rPr>
        <w:t xml:space="preserve">de los procesos de selección de personal </w:t>
      </w:r>
      <w:r w:rsidR="008B1A98">
        <w:rPr>
          <w:i/>
          <w:szCs w:val="26"/>
        </w:rPr>
        <w:t>de la Fundación para</w:t>
      </w:r>
      <w:r>
        <w:rPr>
          <w:i/>
          <w:szCs w:val="26"/>
        </w:rPr>
        <w:t xml:space="preserve"> una mayor transparencia de los mismos.</w:t>
      </w:r>
    </w:p>
    <w:p w:rsidR="00146D16" w:rsidRPr="00146D16" w:rsidRDefault="00146D16" w:rsidP="00146D16">
      <w:pPr>
        <w:pStyle w:val="texto"/>
        <w:spacing w:before="120" w:after="120"/>
        <w:rPr>
          <w:lang w:val="es-ES"/>
        </w:rPr>
      </w:pPr>
      <w:r w:rsidRPr="00146D16">
        <w:rPr>
          <w:lang w:val="es-ES"/>
        </w:rPr>
        <w:t>Informe que se emite a propuesta de la auditora Mª Carmen Azcona Díez de Ulzurrun, responsable de la realización de este trabajo, una vez cumplimentados los trámites previstos por la normativa vigente.</w:t>
      </w:r>
    </w:p>
    <w:p w:rsidR="00146D16" w:rsidRPr="00146D16" w:rsidRDefault="00146D16" w:rsidP="00146D16">
      <w:pPr>
        <w:pStyle w:val="texto"/>
        <w:spacing w:after="0"/>
        <w:jc w:val="center"/>
        <w:rPr>
          <w:szCs w:val="26"/>
        </w:rPr>
      </w:pPr>
      <w:r w:rsidRPr="00146D16">
        <w:rPr>
          <w:szCs w:val="26"/>
        </w:rPr>
        <w:t xml:space="preserve">Pamplona, </w:t>
      </w:r>
      <w:r w:rsidR="007579DD">
        <w:rPr>
          <w:szCs w:val="26"/>
        </w:rPr>
        <w:t>2</w:t>
      </w:r>
      <w:r w:rsidR="00670292">
        <w:rPr>
          <w:szCs w:val="26"/>
        </w:rPr>
        <w:t>7</w:t>
      </w:r>
      <w:r w:rsidRPr="00146D16">
        <w:rPr>
          <w:szCs w:val="26"/>
        </w:rPr>
        <w:t xml:space="preserve"> de marzo de 2019</w:t>
      </w:r>
    </w:p>
    <w:p w:rsidR="00146D16" w:rsidRPr="00146D16" w:rsidRDefault="00146D16" w:rsidP="00146D16">
      <w:pPr>
        <w:pStyle w:val="texto"/>
        <w:spacing w:before="80" w:after="80"/>
        <w:jc w:val="center"/>
        <w:rPr>
          <w:szCs w:val="26"/>
        </w:rPr>
      </w:pPr>
      <w:r w:rsidRPr="00146D16">
        <w:rPr>
          <w:szCs w:val="26"/>
        </w:rPr>
        <w:t xml:space="preserve">La presidenta, </w:t>
      </w:r>
    </w:p>
    <w:p w:rsidR="001E3A33" w:rsidRPr="001821FD" w:rsidRDefault="00146D16" w:rsidP="00146D16">
      <w:pPr>
        <w:pStyle w:val="texto"/>
        <w:tabs>
          <w:tab w:val="clear" w:pos="2835"/>
          <w:tab w:val="clear" w:pos="3969"/>
          <w:tab w:val="clear" w:pos="5103"/>
          <w:tab w:val="clear" w:pos="6237"/>
          <w:tab w:val="clear" w:pos="7371"/>
        </w:tabs>
        <w:spacing w:after="0"/>
        <w:jc w:val="center"/>
        <w:rPr>
          <w:szCs w:val="26"/>
        </w:rPr>
      </w:pPr>
      <w:r w:rsidRPr="00146D16">
        <w:rPr>
          <w:szCs w:val="26"/>
        </w:rPr>
        <w:t>Asunción Olaechea Estanga</w:t>
      </w:r>
    </w:p>
    <w:p w:rsidR="00925413" w:rsidRPr="00730AE6" w:rsidRDefault="00925413" w:rsidP="007912E5">
      <w:pPr>
        <w:pStyle w:val="texto"/>
        <w:tabs>
          <w:tab w:val="clear" w:pos="2835"/>
          <w:tab w:val="clear" w:pos="3969"/>
          <w:tab w:val="clear" w:pos="5103"/>
          <w:tab w:val="clear" w:pos="6237"/>
          <w:tab w:val="clear" w:pos="7371"/>
        </w:tabs>
        <w:spacing w:after="0"/>
        <w:jc w:val="center"/>
        <w:rPr>
          <w:szCs w:val="26"/>
        </w:rPr>
      </w:pPr>
      <w:r w:rsidRPr="00730AE6">
        <w:rPr>
          <w:szCs w:val="26"/>
        </w:rPr>
        <w:br w:type="page"/>
      </w:r>
    </w:p>
    <w:p w:rsidR="00E6520B" w:rsidRPr="009057E7" w:rsidRDefault="0030452F" w:rsidP="00E6520B">
      <w:pPr>
        <w:pStyle w:val="atitulo1"/>
      </w:pPr>
      <w:bookmarkStart w:id="35" w:name="_Toc3967027"/>
      <w:r>
        <w:t xml:space="preserve">Anexo </w:t>
      </w:r>
      <w:r w:rsidR="004004C4">
        <w:t>I</w:t>
      </w:r>
      <w:r w:rsidR="00E6520B">
        <w:t xml:space="preserve">. </w:t>
      </w:r>
      <w:r w:rsidR="00E6520B" w:rsidRPr="009057E7">
        <w:t>Evolución de indicadores no financieros</w:t>
      </w:r>
      <w:bookmarkEnd w:id="35"/>
    </w:p>
    <w:p w:rsidR="00E6520B" w:rsidRDefault="00E6520B" w:rsidP="00E6520B">
      <w:pPr>
        <w:pStyle w:val="texto"/>
        <w:tabs>
          <w:tab w:val="clear" w:pos="2835"/>
          <w:tab w:val="clear" w:pos="3969"/>
          <w:tab w:val="clear" w:pos="5103"/>
          <w:tab w:val="clear" w:pos="6237"/>
          <w:tab w:val="clear" w:pos="7371"/>
        </w:tabs>
        <w:spacing w:after="0"/>
        <w:rPr>
          <w:szCs w:val="26"/>
        </w:rPr>
      </w:pPr>
      <w:r w:rsidRPr="00730AE6">
        <w:rPr>
          <w:szCs w:val="26"/>
        </w:rPr>
        <w:t>En el cuadro siguiente mostramos la evolución en los ejercicios de 2015, 2016 y 2017 (cursos 2015/16, 2016/17 y 2017/18) de un conjunto de indicadores de naturaleza no financiera:</w:t>
      </w:r>
    </w:p>
    <w:tbl>
      <w:tblPr>
        <w:tblpPr w:leftFromText="141" w:rightFromText="141" w:vertAnchor="text" w:horzAnchor="margin" w:tblpXSpec="center" w:tblpY="362"/>
        <w:tblW w:w="9002" w:type="dxa"/>
        <w:tblCellMar>
          <w:left w:w="70" w:type="dxa"/>
          <w:right w:w="70" w:type="dxa"/>
        </w:tblCellMar>
        <w:tblLook w:val="0000" w:firstRow="0" w:lastRow="0" w:firstColumn="0" w:lastColumn="0" w:noHBand="0" w:noVBand="0"/>
      </w:tblPr>
      <w:tblGrid>
        <w:gridCol w:w="4748"/>
        <w:gridCol w:w="1418"/>
        <w:gridCol w:w="1418"/>
        <w:gridCol w:w="1418"/>
      </w:tblGrid>
      <w:tr w:rsidR="00E6520B" w:rsidRPr="00730AE6" w:rsidTr="00670292">
        <w:trPr>
          <w:trHeight w:val="227"/>
        </w:trPr>
        <w:tc>
          <w:tcPr>
            <w:tcW w:w="4748" w:type="dxa"/>
            <w:tcBorders>
              <w:top w:val="single" w:sz="4" w:space="0" w:color="auto"/>
              <w:bottom w:val="single" w:sz="4" w:space="0" w:color="auto"/>
            </w:tcBorders>
            <w:shd w:val="clear" w:color="auto" w:fill="A8CBEE" w:themeFill="accent2" w:themeFillTint="66"/>
            <w:noWrap/>
            <w:vAlign w:val="center"/>
          </w:tcPr>
          <w:p w:rsidR="00E6520B" w:rsidRPr="00730AE6" w:rsidRDefault="00E6520B" w:rsidP="00BA7A94">
            <w:pPr>
              <w:pStyle w:val="cuadroCabe"/>
              <w:rPr>
                <w:lang w:val="es-ES" w:eastAsia="es-ES"/>
              </w:rPr>
            </w:pPr>
            <w:r w:rsidRPr="00730AE6">
              <w:rPr>
                <w:lang w:val="es-ES" w:eastAsia="es-ES"/>
              </w:rPr>
              <w:t xml:space="preserve">Información no financiera </w:t>
            </w:r>
          </w:p>
        </w:tc>
        <w:tc>
          <w:tcPr>
            <w:tcW w:w="1418" w:type="dxa"/>
            <w:tcBorders>
              <w:top w:val="single" w:sz="4" w:space="0" w:color="auto"/>
              <w:bottom w:val="single" w:sz="4" w:space="0" w:color="auto"/>
            </w:tcBorders>
            <w:shd w:val="clear" w:color="auto" w:fill="A8CBEE" w:themeFill="accent2" w:themeFillTint="66"/>
            <w:noWrap/>
            <w:vAlign w:val="center"/>
          </w:tcPr>
          <w:p w:rsidR="00E6520B" w:rsidRPr="00730AE6" w:rsidRDefault="00E6520B" w:rsidP="00BA7A94">
            <w:pPr>
              <w:pStyle w:val="cuadroCabe"/>
              <w:jc w:val="right"/>
              <w:rPr>
                <w:lang w:val="es-ES" w:eastAsia="es-ES"/>
              </w:rPr>
            </w:pPr>
            <w:r w:rsidRPr="00730AE6">
              <w:rPr>
                <w:lang w:val="es-ES" w:eastAsia="es-ES"/>
              </w:rPr>
              <w:t>2015</w:t>
            </w:r>
          </w:p>
          <w:p w:rsidR="00E6520B" w:rsidRPr="00730AE6" w:rsidRDefault="00E6520B" w:rsidP="00BA7A94">
            <w:pPr>
              <w:pStyle w:val="cuadroCabe"/>
              <w:jc w:val="right"/>
              <w:rPr>
                <w:lang w:val="es-ES" w:eastAsia="es-ES"/>
              </w:rPr>
            </w:pPr>
            <w:r w:rsidRPr="00730AE6">
              <w:rPr>
                <w:lang w:val="es-ES" w:eastAsia="es-ES"/>
              </w:rPr>
              <w:t>Curso 2015/16</w:t>
            </w:r>
          </w:p>
        </w:tc>
        <w:tc>
          <w:tcPr>
            <w:tcW w:w="1418" w:type="dxa"/>
            <w:tcBorders>
              <w:top w:val="single" w:sz="4" w:space="0" w:color="auto"/>
              <w:bottom w:val="single" w:sz="4" w:space="0" w:color="auto"/>
            </w:tcBorders>
            <w:shd w:val="clear" w:color="auto" w:fill="A8CBEE" w:themeFill="accent2" w:themeFillTint="66"/>
            <w:vAlign w:val="center"/>
          </w:tcPr>
          <w:p w:rsidR="00E6520B" w:rsidRPr="00730AE6" w:rsidRDefault="00E6520B" w:rsidP="00BA7A94">
            <w:pPr>
              <w:pStyle w:val="cuadroCabe"/>
              <w:jc w:val="right"/>
              <w:rPr>
                <w:lang w:val="es-ES" w:eastAsia="es-ES"/>
              </w:rPr>
            </w:pPr>
            <w:r w:rsidRPr="00730AE6">
              <w:rPr>
                <w:lang w:val="es-ES" w:eastAsia="es-ES"/>
              </w:rPr>
              <w:t>2016</w:t>
            </w:r>
          </w:p>
          <w:p w:rsidR="00E6520B" w:rsidRPr="00730AE6" w:rsidRDefault="00E6520B" w:rsidP="00BA7A94">
            <w:pPr>
              <w:pStyle w:val="cuadroCabe"/>
              <w:jc w:val="right"/>
              <w:rPr>
                <w:lang w:val="es-ES" w:eastAsia="es-ES"/>
              </w:rPr>
            </w:pPr>
            <w:r w:rsidRPr="00730AE6">
              <w:rPr>
                <w:lang w:val="es-ES" w:eastAsia="es-ES"/>
              </w:rPr>
              <w:t>Curso 2016/17</w:t>
            </w:r>
          </w:p>
        </w:tc>
        <w:tc>
          <w:tcPr>
            <w:tcW w:w="1418" w:type="dxa"/>
            <w:tcBorders>
              <w:top w:val="single" w:sz="4" w:space="0" w:color="auto"/>
              <w:bottom w:val="single" w:sz="4" w:space="0" w:color="auto"/>
            </w:tcBorders>
            <w:shd w:val="clear" w:color="auto" w:fill="A8CBEE" w:themeFill="accent2" w:themeFillTint="66"/>
            <w:vAlign w:val="center"/>
          </w:tcPr>
          <w:p w:rsidR="00E6520B" w:rsidRPr="00730AE6" w:rsidRDefault="00E6520B" w:rsidP="00BA7A94">
            <w:pPr>
              <w:pStyle w:val="cuadroCabe"/>
              <w:jc w:val="right"/>
              <w:rPr>
                <w:lang w:val="es-ES" w:eastAsia="es-ES"/>
              </w:rPr>
            </w:pPr>
            <w:r w:rsidRPr="00730AE6">
              <w:rPr>
                <w:lang w:val="es-ES" w:eastAsia="es-ES"/>
              </w:rPr>
              <w:t>2017</w:t>
            </w:r>
          </w:p>
          <w:p w:rsidR="00E6520B" w:rsidRPr="00730AE6" w:rsidRDefault="00E6520B" w:rsidP="00BA7A94">
            <w:pPr>
              <w:pStyle w:val="cuadroCabe"/>
              <w:jc w:val="right"/>
              <w:rPr>
                <w:lang w:val="es-ES" w:eastAsia="es-ES"/>
              </w:rPr>
            </w:pPr>
            <w:r w:rsidRPr="00730AE6">
              <w:rPr>
                <w:lang w:val="es-ES" w:eastAsia="es-ES"/>
              </w:rPr>
              <w:t>Curso 2017/18</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b/>
                <w:sz w:val="20"/>
                <w:szCs w:val="20"/>
              </w:rPr>
            </w:pPr>
            <w:r w:rsidRPr="00730AE6">
              <w:rPr>
                <w:rFonts w:ascii="Arial Narrow" w:hAnsi="Arial Narrow"/>
                <w:b/>
                <w:sz w:val="20"/>
                <w:szCs w:val="20"/>
              </w:rPr>
              <w:t>Campus</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b/>
                <w:sz w:val="20"/>
                <w:szCs w:val="20"/>
              </w:rPr>
            </w:pPr>
            <w:r w:rsidRPr="00730AE6">
              <w:rPr>
                <w:rFonts w:ascii="Arial Narrow" w:hAnsi="Arial Narrow"/>
                <w:b/>
                <w:sz w:val="20"/>
                <w:szCs w:val="20"/>
              </w:rPr>
              <w:t>2</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b/>
                <w:sz w:val="20"/>
                <w:szCs w:val="20"/>
              </w:rPr>
            </w:pPr>
            <w:r w:rsidRPr="00730AE6">
              <w:rPr>
                <w:rFonts w:ascii="Arial Narrow" w:hAnsi="Arial Narrow"/>
                <w:b/>
                <w:sz w:val="20"/>
                <w:szCs w:val="20"/>
              </w:rPr>
              <w:t>2</w:t>
            </w:r>
          </w:p>
        </w:tc>
        <w:tc>
          <w:tcPr>
            <w:tcW w:w="1418" w:type="dxa"/>
            <w:tcBorders>
              <w:top w:val="single" w:sz="2" w:space="0" w:color="auto"/>
              <w:bottom w:val="single" w:sz="2" w:space="0" w:color="auto"/>
            </w:tcBorders>
          </w:tcPr>
          <w:p w:rsidR="00E6520B" w:rsidRPr="00730AE6" w:rsidRDefault="00E6520B" w:rsidP="00BA7A94">
            <w:pPr>
              <w:pStyle w:val="texto"/>
              <w:spacing w:after="0"/>
              <w:ind w:firstLine="0"/>
              <w:jc w:val="right"/>
              <w:rPr>
                <w:rFonts w:ascii="Arial Narrow" w:hAnsi="Arial Narrow"/>
                <w:b/>
                <w:sz w:val="20"/>
                <w:szCs w:val="20"/>
              </w:rPr>
            </w:pPr>
            <w:r w:rsidRPr="00730AE6">
              <w:rPr>
                <w:rFonts w:ascii="Arial Narrow" w:hAnsi="Arial Narrow"/>
                <w:b/>
                <w:sz w:val="20"/>
                <w:szCs w:val="20"/>
              </w:rPr>
              <w:t>2</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tabs>
                <w:tab w:val="clear" w:pos="7371"/>
                <w:tab w:val="center" w:pos="7088"/>
              </w:tabs>
              <w:spacing w:after="0"/>
              <w:ind w:firstLine="0"/>
              <w:rPr>
                <w:rFonts w:ascii="Arial Narrow" w:hAnsi="Arial Narrow"/>
                <w:b/>
                <w:sz w:val="20"/>
                <w:szCs w:val="20"/>
              </w:rPr>
            </w:pPr>
            <w:r w:rsidRPr="00730AE6">
              <w:rPr>
                <w:rFonts w:ascii="Arial Narrow" w:hAnsi="Arial Narrow"/>
                <w:b/>
                <w:sz w:val="20"/>
                <w:szCs w:val="20"/>
              </w:rPr>
              <w:t>Empleados</w:t>
            </w:r>
          </w:p>
        </w:tc>
        <w:tc>
          <w:tcPr>
            <w:tcW w:w="141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jc w:val="right"/>
              <w:rPr>
                <w:rFonts w:ascii="Arial Narrow" w:hAnsi="Arial Narrow"/>
                <w:sz w:val="20"/>
                <w:szCs w:val="20"/>
              </w:rPr>
            </w:pP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p>
        </w:tc>
        <w:tc>
          <w:tcPr>
            <w:tcW w:w="1418" w:type="dxa"/>
            <w:tcBorders>
              <w:top w:val="single" w:sz="2" w:space="0" w:color="auto"/>
              <w:bottom w:val="single" w:sz="2" w:space="0" w:color="auto"/>
            </w:tcBorders>
          </w:tcPr>
          <w:p w:rsidR="00E6520B" w:rsidRPr="00730AE6" w:rsidRDefault="00E6520B" w:rsidP="00BA7A94">
            <w:pPr>
              <w:pStyle w:val="texto"/>
              <w:spacing w:after="0"/>
              <w:ind w:firstLine="0"/>
              <w:jc w:val="right"/>
              <w:rPr>
                <w:rFonts w:ascii="Arial Narrow" w:hAnsi="Arial Narrow"/>
                <w:sz w:val="20"/>
                <w:szCs w:val="20"/>
              </w:rPr>
            </w:pP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sidRPr="00730AE6">
              <w:rPr>
                <w:rFonts w:ascii="Arial Narrow" w:hAnsi="Arial Narrow"/>
                <w:sz w:val="20"/>
                <w:szCs w:val="20"/>
              </w:rPr>
              <w:t xml:space="preserve">Número total de empleados </w:t>
            </w:r>
          </w:p>
        </w:tc>
        <w:tc>
          <w:tcPr>
            <w:tcW w:w="141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1.521</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1.538</w:t>
            </w:r>
          </w:p>
        </w:tc>
        <w:tc>
          <w:tcPr>
            <w:tcW w:w="1418" w:type="dxa"/>
            <w:tcBorders>
              <w:top w:val="single" w:sz="2" w:space="0" w:color="auto"/>
              <w:bottom w:val="single" w:sz="2" w:space="0" w:color="auto"/>
            </w:tcBorders>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1.611</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sidRPr="00730AE6">
              <w:rPr>
                <w:rFonts w:ascii="Arial Narrow" w:hAnsi="Arial Narrow"/>
                <w:sz w:val="20"/>
                <w:szCs w:val="20"/>
              </w:rPr>
              <w:t>Nº total PAS</w:t>
            </w:r>
          </w:p>
        </w:tc>
        <w:tc>
          <w:tcPr>
            <w:tcW w:w="141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458</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456</w:t>
            </w:r>
          </w:p>
        </w:tc>
        <w:tc>
          <w:tcPr>
            <w:tcW w:w="1418" w:type="dxa"/>
            <w:tcBorders>
              <w:top w:val="single" w:sz="2" w:space="0" w:color="auto"/>
              <w:bottom w:val="single" w:sz="2" w:space="0" w:color="auto"/>
            </w:tcBorders>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469</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sidRPr="00730AE6">
              <w:rPr>
                <w:rFonts w:ascii="Arial Narrow" w:hAnsi="Arial Narrow"/>
                <w:sz w:val="20"/>
                <w:szCs w:val="20"/>
              </w:rPr>
              <w:t>Ratio PAS funcionario sobre total PAS</w:t>
            </w:r>
          </w:p>
        </w:tc>
        <w:tc>
          <w:tcPr>
            <w:tcW w:w="141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72</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71</w:t>
            </w:r>
          </w:p>
        </w:tc>
        <w:tc>
          <w:tcPr>
            <w:tcW w:w="1418" w:type="dxa"/>
            <w:tcBorders>
              <w:top w:val="single" w:sz="2" w:space="0" w:color="auto"/>
              <w:bottom w:val="single" w:sz="2" w:space="0" w:color="auto"/>
            </w:tcBorders>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70</w:t>
            </w:r>
          </w:p>
        </w:tc>
      </w:tr>
      <w:tr w:rsidR="00E6520B" w:rsidRPr="00ED6B83"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sidRPr="00730AE6">
              <w:rPr>
                <w:rFonts w:ascii="Arial Narrow" w:hAnsi="Arial Narrow"/>
                <w:sz w:val="20"/>
                <w:szCs w:val="20"/>
              </w:rPr>
              <w:t>Nº total PDI</w:t>
            </w:r>
          </w:p>
        </w:tc>
        <w:tc>
          <w:tcPr>
            <w:tcW w:w="141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863</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885</w:t>
            </w:r>
          </w:p>
        </w:tc>
        <w:tc>
          <w:tcPr>
            <w:tcW w:w="1418" w:type="dxa"/>
            <w:tcBorders>
              <w:top w:val="single" w:sz="2" w:space="0" w:color="auto"/>
              <w:bottom w:val="single" w:sz="2" w:space="0" w:color="auto"/>
            </w:tcBorders>
          </w:tcPr>
          <w:p w:rsidR="00E6520B" w:rsidRPr="00ED6B83" w:rsidRDefault="00E6520B" w:rsidP="00BA7A94">
            <w:pPr>
              <w:pStyle w:val="texto"/>
              <w:spacing w:after="0"/>
              <w:ind w:firstLine="0"/>
              <w:jc w:val="right"/>
              <w:rPr>
                <w:rFonts w:ascii="Arial Narrow" w:hAnsi="Arial Narrow"/>
                <w:color w:val="FF0000"/>
                <w:sz w:val="20"/>
                <w:szCs w:val="20"/>
              </w:rPr>
            </w:pPr>
            <w:r w:rsidRPr="00535356">
              <w:rPr>
                <w:rFonts w:ascii="Arial Narrow" w:hAnsi="Arial Narrow"/>
                <w:sz w:val="20"/>
                <w:szCs w:val="20"/>
              </w:rPr>
              <w:t>901</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sidRPr="00730AE6">
              <w:rPr>
                <w:rFonts w:ascii="Arial Narrow" w:hAnsi="Arial Narrow"/>
                <w:sz w:val="20"/>
                <w:szCs w:val="20"/>
              </w:rPr>
              <w:t>Ratio PDI funcionario sobre total PDI</w:t>
            </w:r>
          </w:p>
        </w:tc>
        <w:tc>
          <w:tcPr>
            <w:tcW w:w="141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39</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37</w:t>
            </w:r>
          </w:p>
        </w:tc>
        <w:tc>
          <w:tcPr>
            <w:tcW w:w="1418" w:type="dxa"/>
            <w:tcBorders>
              <w:top w:val="single" w:sz="2" w:space="0" w:color="auto"/>
              <w:bottom w:val="single" w:sz="2" w:space="0" w:color="auto"/>
            </w:tcBorders>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37</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sidRPr="00730AE6">
              <w:rPr>
                <w:rFonts w:ascii="Arial Narrow" w:hAnsi="Arial Narrow"/>
                <w:sz w:val="20"/>
                <w:szCs w:val="20"/>
              </w:rPr>
              <w:t xml:space="preserve">Nº total PDI-ETC </w:t>
            </w:r>
          </w:p>
        </w:tc>
        <w:tc>
          <w:tcPr>
            <w:tcW w:w="141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597</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601</w:t>
            </w:r>
          </w:p>
        </w:tc>
        <w:tc>
          <w:tcPr>
            <w:tcW w:w="1418" w:type="dxa"/>
            <w:tcBorders>
              <w:top w:val="single" w:sz="2" w:space="0" w:color="auto"/>
              <w:bottom w:val="single" w:sz="2" w:space="0" w:color="auto"/>
            </w:tcBorders>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618</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sidRPr="00730AE6">
              <w:rPr>
                <w:rFonts w:ascii="Arial Narrow" w:hAnsi="Arial Narrow"/>
                <w:sz w:val="20"/>
                <w:szCs w:val="20"/>
              </w:rPr>
              <w:t>Ratio PDI-ETC / PAS</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1,30</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1,32</w:t>
            </w:r>
          </w:p>
        </w:tc>
        <w:tc>
          <w:tcPr>
            <w:tcW w:w="1418" w:type="dxa"/>
            <w:tcBorders>
              <w:top w:val="single" w:sz="2" w:space="0" w:color="auto"/>
              <w:bottom w:val="single" w:sz="2" w:space="0" w:color="auto"/>
            </w:tcBorders>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1,32</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sidRPr="00730AE6">
              <w:rPr>
                <w:rFonts w:ascii="Arial Narrow" w:hAnsi="Arial Narrow"/>
                <w:sz w:val="20"/>
                <w:szCs w:val="20"/>
              </w:rPr>
              <w:t>Nº PDI Doctor</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569</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589</w:t>
            </w:r>
          </w:p>
        </w:tc>
        <w:tc>
          <w:tcPr>
            <w:tcW w:w="1418" w:type="dxa"/>
            <w:tcBorders>
              <w:top w:val="single" w:sz="2" w:space="0" w:color="auto"/>
              <w:bottom w:val="single" w:sz="2" w:space="0" w:color="auto"/>
            </w:tcBorders>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634</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sidRPr="00730AE6">
              <w:rPr>
                <w:rFonts w:ascii="Arial Narrow" w:hAnsi="Arial Narrow"/>
                <w:sz w:val="20"/>
                <w:szCs w:val="20"/>
              </w:rPr>
              <w:t>Ratio PDI Doctor sobre total PDI</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66</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67</w:t>
            </w:r>
          </w:p>
        </w:tc>
        <w:tc>
          <w:tcPr>
            <w:tcW w:w="1418" w:type="dxa"/>
            <w:tcBorders>
              <w:top w:val="single" w:sz="2" w:space="0" w:color="auto"/>
              <w:bottom w:val="single" w:sz="2" w:space="0" w:color="auto"/>
            </w:tcBorders>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70</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Personal Asociado</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353</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375</w:t>
            </w:r>
          </w:p>
        </w:tc>
        <w:tc>
          <w:tcPr>
            <w:tcW w:w="1418" w:type="dxa"/>
            <w:tcBorders>
              <w:top w:val="single" w:sz="2" w:space="0" w:color="auto"/>
              <w:bottom w:val="single" w:sz="2" w:space="0" w:color="auto"/>
            </w:tcBorders>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371</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Default="00E6520B" w:rsidP="00BA7A94">
            <w:pPr>
              <w:pStyle w:val="texto"/>
              <w:spacing w:after="0"/>
              <w:ind w:firstLine="0"/>
              <w:rPr>
                <w:rFonts w:ascii="Arial Narrow" w:hAnsi="Arial Narrow"/>
                <w:sz w:val="20"/>
                <w:szCs w:val="20"/>
              </w:rPr>
            </w:pPr>
            <w:r>
              <w:rPr>
                <w:rFonts w:ascii="Arial Narrow" w:hAnsi="Arial Narrow"/>
                <w:sz w:val="20"/>
                <w:szCs w:val="20"/>
              </w:rPr>
              <w:t>Ratio PDI Asociado sobre total PDI</w:t>
            </w:r>
          </w:p>
        </w:tc>
        <w:tc>
          <w:tcPr>
            <w:tcW w:w="1418" w:type="dxa"/>
            <w:tcBorders>
              <w:top w:val="single" w:sz="2" w:space="0" w:color="auto"/>
              <w:bottom w:val="single" w:sz="2" w:space="0" w:color="auto"/>
            </w:tcBorders>
            <w:shd w:val="clear" w:color="auto" w:fill="auto"/>
            <w:vAlign w:val="center"/>
          </w:tcPr>
          <w:p w:rsidR="00E6520B" w:rsidRDefault="00E6520B" w:rsidP="00BA7A94">
            <w:pPr>
              <w:pStyle w:val="texto"/>
              <w:spacing w:after="0"/>
              <w:ind w:firstLine="0"/>
              <w:jc w:val="right"/>
              <w:rPr>
                <w:rFonts w:ascii="Arial Narrow" w:hAnsi="Arial Narrow"/>
                <w:sz w:val="20"/>
                <w:szCs w:val="20"/>
              </w:rPr>
            </w:pPr>
            <w:r>
              <w:rPr>
                <w:rFonts w:ascii="Arial Narrow" w:hAnsi="Arial Narrow"/>
                <w:sz w:val="20"/>
                <w:szCs w:val="20"/>
              </w:rPr>
              <w:t>41</w:t>
            </w:r>
          </w:p>
        </w:tc>
        <w:tc>
          <w:tcPr>
            <w:tcW w:w="1418" w:type="dxa"/>
            <w:tcBorders>
              <w:top w:val="single" w:sz="2" w:space="0" w:color="auto"/>
              <w:bottom w:val="single" w:sz="2" w:space="0" w:color="auto"/>
            </w:tcBorders>
            <w:vAlign w:val="center"/>
          </w:tcPr>
          <w:p w:rsidR="00E6520B" w:rsidRDefault="00E6520B" w:rsidP="00BA7A94">
            <w:pPr>
              <w:pStyle w:val="texto"/>
              <w:spacing w:after="0"/>
              <w:ind w:firstLine="0"/>
              <w:jc w:val="right"/>
              <w:rPr>
                <w:rFonts w:ascii="Arial Narrow" w:hAnsi="Arial Narrow"/>
                <w:sz w:val="20"/>
                <w:szCs w:val="20"/>
              </w:rPr>
            </w:pPr>
            <w:r>
              <w:rPr>
                <w:rFonts w:ascii="Arial Narrow" w:hAnsi="Arial Narrow"/>
                <w:sz w:val="20"/>
                <w:szCs w:val="20"/>
              </w:rPr>
              <w:t>42</w:t>
            </w:r>
          </w:p>
        </w:tc>
        <w:tc>
          <w:tcPr>
            <w:tcW w:w="1418" w:type="dxa"/>
            <w:tcBorders>
              <w:top w:val="single" w:sz="2" w:space="0" w:color="auto"/>
              <w:bottom w:val="single" w:sz="2" w:space="0" w:color="auto"/>
            </w:tcBorders>
          </w:tcPr>
          <w:p w:rsidR="00E6520B" w:rsidRDefault="00E6520B" w:rsidP="00BA7A94">
            <w:pPr>
              <w:pStyle w:val="texto"/>
              <w:spacing w:after="0"/>
              <w:ind w:firstLine="0"/>
              <w:jc w:val="right"/>
              <w:rPr>
                <w:rFonts w:ascii="Arial Narrow" w:hAnsi="Arial Narrow"/>
                <w:sz w:val="20"/>
                <w:szCs w:val="20"/>
              </w:rPr>
            </w:pPr>
            <w:r>
              <w:rPr>
                <w:rFonts w:ascii="Arial Narrow" w:hAnsi="Arial Narrow"/>
                <w:sz w:val="20"/>
                <w:szCs w:val="20"/>
              </w:rPr>
              <w:t>41</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sidRPr="00730AE6">
              <w:rPr>
                <w:rFonts w:ascii="Arial Narrow" w:hAnsi="Arial Narrow"/>
                <w:sz w:val="20"/>
                <w:szCs w:val="20"/>
              </w:rPr>
              <w:t>Personal empleado investigador</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200</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197</w:t>
            </w:r>
          </w:p>
        </w:tc>
        <w:tc>
          <w:tcPr>
            <w:tcW w:w="1418" w:type="dxa"/>
            <w:tcBorders>
              <w:top w:val="single" w:sz="2" w:space="0" w:color="auto"/>
              <w:bottom w:val="single" w:sz="2" w:space="0" w:color="auto"/>
            </w:tcBorders>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241</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E46B1" w:rsidRDefault="00E6520B" w:rsidP="00BA7A94">
            <w:pPr>
              <w:pStyle w:val="texto"/>
              <w:spacing w:after="0"/>
              <w:ind w:firstLine="0"/>
              <w:rPr>
                <w:rFonts w:ascii="Arial Narrow" w:hAnsi="Arial Narrow"/>
                <w:b/>
                <w:sz w:val="20"/>
                <w:szCs w:val="20"/>
              </w:rPr>
            </w:pPr>
            <w:r w:rsidRPr="007E46B1">
              <w:rPr>
                <w:rFonts w:ascii="Arial Narrow" w:hAnsi="Arial Narrow"/>
                <w:b/>
                <w:sz w:val="20"/>
                <w:szCs w:val="20"/>
              </w:rPr>
              <w:t>Titulaciones y plazas</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p>
        </w:tc>
        <w:tc>
          <w:tcPr>
            <w:tcW w:w="1418" w:type="dxa"/>
            <w:tcBorders>
              <w:top w:val="single" w:sz="2" w:space="0" w:color="auto"/>
              <w:bottom w:val="single" w:sz="2" w:space="0" w:color="auto"/>
            </w:tcBorders>
          </w:tcPr>
          <w:p w:rsidR="00E6520B" w:rsidRPr="00730AE6" w:rsidRDefault="00E6520B" w:rsidP="00BA7A94">
            <w:pPr>
              <w:pStyle w:val="texto"/>
              <w:spacing w:after="0"/>
              <w:ind w:firstLine="0"/>
              <w:jc w:val="right"/>
              <w:rPr>
                <w:rFonts w:ascii="Arial Narrow" w:hAnsi="Arial Narrow"/>
                <w:sz w:val="20"/>
                <w:szCs w:val="20"/>
              </w:rPr>
            </w:pP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Nº de titulaciones oficiales ofertadas de Gado</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20</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20</w:t>
            </w:r>
          </w:p>
        </w:tc>
        <w:tc>
          <w:tcPr>
            <w:tcW w:w="1418" w:type="dxa"/>
            <w:tcBorders>
              <w:top w:val="single" w:sz="2" w:space="0" w:color="auto"/>
              <w:bottom w:val="single" w:sz="2" w:space="0" w:color="auto"/>
            </w:tcBorders>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21</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sidRPr="00730AE6">
              <w:rPr>
                <w:rFonts w:ascii="Arial Narrow" w:hAnsi="Arial Narrow"/>
                <w:sz w:val="20"/>
                <w:szCs w:val="20"/>
              </w:rPr>
              <w:t>Nº Plazas ofertadas de Grado</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1.755</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1.755</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1.720</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sidRPr="00730AE6">
              <w:rPr>
                <w:rFonts w:ascii="Arial Narrow" w:hAnsi="Arial Narrow"/>
                <w:sz w:val="20"/>
                <w:szCs w:val="20"/>
              </w:rPr>
              <w:t>Nº Plazas nuevo ingreso matriculadas de Grado</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1.715</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1.713</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1.648</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sidRPr="00730AE6">
              <w:rPr>
                <w:rFonts w:ascii="Arial Narrow" w:hAnsi="Arial Narrow"/>
                <w:sz w:val="20"/>
                <w:szCs w:val="20"/>
              </w:rPr>
              <w:t>Nº Másteres Universitarios</w:t>
            </w:r>
          </w:p>
        </w:tc>
        <w:tc>
          <w:tcPr>
            <w:tcW w:w="1418" w:type="dxa"/>
            <w:tcBorders>
              <w:top w:val="single" w:sz="2" w:space="0" w:color="auto"/>
              <w:bottom w:val="single" w:sz="2" w:space="0" w:color="auto"/>
            </w:tcBorders>
            <w:shd w:val="clear" w:color="auto" w:fill="auto"/>
            <w:vAlign w:val="center"/>
          </w:tcPr>
          <w:p w:rsidR="00E6520B" w:rsidRPr="00E26241" w:rsidRDefault="00E6520B" w:rsidP="00BA7A94">
            <w:pPr>
              <w:pStyle w:val="texto"/>
              <w:spacing w:after="0"/>
              <w:ind w:firstLine="0"/>
              <w:jc w:val="right"/>
              <w:rPr>
                <w:rFonts w:ascii="Arial Narrow" w:hAnsi="Arial Narrow"/>
                <w:sz w:val="20"/>
                <w:szCs w:val="20"/>
              </w:rPr>
            </w:pPr>
            <w:r w:rsidRPr="00E26241">
              <w:rPr>
                <w:rFonts w:ascii="Arial Narrow" w:hAnsi="Arial Narrow"/>
                <w:sz w:val="20"/>
                <w:szCs w:val="20"/>
              </w:rPr>
              <w:t>31</w:t>
            </w:r>
          </w:p>
        </w:tc>
        <w:tc>
          <w:tcPr>
            <w:tcW w:w="1418" w:type="dxa"/>
            <w:tcBorders>
              <w:top w:val="single" w:sz="2" w:space="0" w:color="auto"/>
              <w:bottom w:val="single" w:sz="2" w:space="0" w:color="auto"/>
            </w:tcBorders>
            <w:vAlign w:val="center"/>
          </w:tcPr>
          <w:p w:rsidR="00E6520B" w:rsidRPr="00E26241" w:rsidRDefault="00E6520B" w:rsidP="00BA7A94">
            <w:pPr>
              <w:pStyle w:val="texto"/>
              <w:spacing w:after="0"/>
              <w:ind w:firstLine="0"/>
              <w:jc w:val="right"/>
              <w:rPr>
                <w:rFonts w:ascii="Arial Narrow" w:hAnsi="Arial Narrow"/>
                <w:sz w:val="20"/>
                <w:szCs w:val="20"/>
              </w:rPr>
            </w:pPr>
            <w:r w:rsidRPr="00E26241">
              <w:rPr>
                <w:rFonts w:ascii="Arial Narrow" w:hAnsi="Arial Narrow"/>
                <w:sz w:val="20"/>
                <w:szCs w:val="20"/>
              </w:rPr>
              <w:t>28</w:t>
            </w:r>
          </w:p>
        </w:tc>
        <w:tc>
          <w:tcPr>
            <w:tcW w:w="1418" w:type="dxa"/>
            <w:tcBorders>
              <w:top w:val="single" w:sz="2" w:space="0" w:color="auto"/>
              <w:bottom w:val="single" w:sz="2" w:space="0" w:color="auto"/>
            </w:tcBorders>
            <w:vAlign w:val="center"/>
          </w:tcPr>
          <w:p w:rsidR="00E6520B" w:rsidRPr="00E26241" w:rsidRDefault="00E6520B" w:rsidP="00BA7A94">
            <w:pPr>
              <w:pStyle w:val="texto"/>
              <w:spacing w:after="0"/>
              <w:ind w:firstLine="0"/>
              <w:jc w:val="right"/>
              <w:rPr>
                <w:rFonts w:ascii="Arial Narrow" w:hAnsi="Arial Narrow"/>
                <w:sz w:val="20"/>
                <w:szCs w:val="20"/>
              </w:rPr>
            </w:pPr>
            <w:r w:rsidRPr="00E26241">
              <w:rPr>
                <w:rFonts w:ascii="Arial Narrow" w:hAnsi="Arial Narrow"/>
                <w:sz w:val="20"/>
                <w:szCs w:val="20"/>
              </w:rPr>
              <w:t>28</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sidRPr="00730AE6">
              <w:rPr>
                <w:rFonts w:ascii="Arial Narrow" w:hAnsi="Arial Narrow"/>
                <w:sz w:val="20"/>
                <w:szCs w:val="20"/>
              </w:rPr>
              <w:t xml:space="preserve">Nº Títulos propios </w:t>
            </w:r>
          </w:p>
        </w:tc>
        <w:tc>
          <w:tcPr>
            <w:tcW w:w="1418" w:type="dxa"/>
            <w:tcBorders>
              <w:top w:val="single" w:sz="2" w:space="0" w:color="auto"/>
              <w:bottom w:val="single" w:sz="2" w:space="0" w:color="auto"/>
            </w:tcBorders>
            <w:shd w:val="clear" w:color="auto" w:fill="auto"/>
            <w:vAlign w:val="center"/>
          </w:tcPr>
          <w:p w:rsidR="00E6520B" w:rsidRPr="00E26241" w:rsidRDefault="00E6520B" w:rsidP="00BA7A94">
            <w:pPr>
              <w:pStyle w:val="texto"/>
              <w:spacing w:after="0"/>
              <w:ind w:firstLine="0"/>
              <w:jc w:val="right"/>
              <w:rPr>
                <w:rFonts w:ascii="Arial Narrow" w:hAnsi="Arial Narrow"/>
                <w:sz w:val="20"/>
                <w:szCs w:val="20"/>
              </w:rPr>
            </w:pPr>
            <w:r w:rsidRPr="00E26241">
              <w:rPr>
                <w:rFonts w:ascii="Arial Narrow" w:hAnsi="Arial Narrow"/>
                <w:sz w:val="20"/>
                <w:szCs w:val="20"/>
              </w:rPr>
              <w:t>18</w:t>
            </w:r>
          </w:p>
        </w:tc>
        <w:tc>
          <w:tcPr>
            <w:tcW w:w="1418" w:type="dxa"/>
            <w:tcBorders>
              <w:top w:val="single" w:sz="2" w:space="0" w:color="auto"/>
              <w:bottom w:val="single" w:sz="2" w:space="0" w:color="auto"/>
            </w:tcBorders>
            <w:vAlign w:val="center"/>
          </w:tcPr>
          <w:p w:rsidR="00E6520B" w:rsidRPr="00E26241" w:rsidRDefault="00E6520B" w:rsidP="00BA7A94">
            <w:pPr>
              <w:pStyle w:val="texto"/>
              <w:spacing w:after="0"/>
              <w:ind w:firstLine="0"/>
              <w:jc w:val="right"/>
              <w:rPr>
                <w:rFonts w:ascii="Arial Narrow" w:hAnsi="Arial Narrow"/>
                <w:sz w:val="20"/>
                <w:szCs w:val="20"/>
              </w:rPr>
            </w:pPr>
            <w:r w:rsidRPr="00E26241">
              <w:rPr>
                <w:rFonts w:ascii="Arial Narrow" w:hAnsi="Arial Narrow"/>
                <w:sz w:val="20"/>
                <w:szCs w:val="20"/>
              </w:rPr>
              <w:t>26</w:t>
            </w:r>
          </w:p>
        </w:tc>
        <w:tc>
          <w:tcPr>
            <w:tcW w:w="1418" w:type="dxa"/>
            <w:tcBorders>
              <w:top w:val="single" w:sz="2" w:space="0" w:color="auto"/>
              <w:bottom w:val="single" w:sz="2" w:space="0" w:color="auto"/>
            </w:tcBorders>
            <w:vAlign w:val="center"/>
          </w:tcPr>
          <w:p w:rsidR="00E6520B" w:rsidRPr="00E26241" w:rsidRDefault="00E6520B" w:rsidP="00BA7A94">
            <w:pPr>
              <w:pStyle w:val="texto"/>
              <w:spacing w:after="0"/>
              <w:ind w:firstLine="0"/>
              <w:jc w:val="right"/>
              <w:rPr>
                <w:rFonts w:ascii="Arial Narrow" w:hAnsi="Arial Narrow"/>
                <w:sz w:val="20"/>
                <w:szCs w:val="20"/>
              </w:rPr>
            </w:pPr>
            <w:r w:rsidRPr="00E26241">
              <w:rPr>
                <w:rFonts w:ascii="Arial Narrow" w:hAnsi="Arial Narrow"/>
                <w:sz w:val="20"/>
                <w:szCs w:val="20"/>
              </w:rPr>
              <w:t>30</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18"/>
                <w:szCs w:val="18"/>
              </w:rPr>
            </w:pPr>
            <w:r w:rsidRPr="00730AE6">
              <w:rPr>
                <w:rFonts w:ascii="Arial Narrow" w:hAnsi="Arial Narrow"/>
                <w:sz w:val="18"/>
                <w:szCs w:val="18"/>
              </w:rPr>
              <w:t>Nº asignaturas grado ofertadas en inglés (ciclo + grado)</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b/>
                <w:sz w:val="20"/>
                <w:szCs w:val="20"/>
              </w:rPr>
            </w:pPr>
            <w:r w:rsidRPr="00730AE6">
              <w:rPr>
                <w:rFonts w:ascii="Arial Narrow" w:hAnsi="Arial Narrow"/>
                <w:b/>
                <w:sz w:val="20"/>
                <w:szCs w:val="20"/>
              </w:rPr>
              <w:t>Estudiantes</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sidRPr="00730AE6">
              <w:rPr>
                <w:rFonts w:ascii="Arial Narrow" w:hAnsi="Arial Narrow"/>
                <w:sz w:val="20"/>
                <w:szCs w:val="20"/>
              </w:rPr>
              <w:t>Número total de estudiantes</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8.308</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8.134</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8.059</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sidRPr="00730AE6">
              <w:rPr>
                <w:rFonts w:ascii="Arial Narrow" w:hAnsi="Arial Narrow"/>
                <w:sz w:val="20"/>
                <w:szCs w:val="20"/>
              </w:rPr>
              <w:t>Nº Estudiantes (Ciclos)</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216</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17</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5</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sidRPr="00730AE6">
              <w:rPr>
                <w:rFonts w:ascii="Arial Narrow" w:hAnsi="Arial Narrow"/>
                <w:sz w:val="20"/>
                <w:szCs w:val="20"/>
              </w:rPr>
              <w:t>Nº  Estudiantes (Grado)</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6.834</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6.912</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6.958</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sidRPr="00730AE6">
              <w:rPr>
                <w:rFonts w:ascii="Arial Narrow" w:hAnsi="Arial Narrow"/>
                <w:sz w:val="20"/>
                <w:szCs w:val="20"/>
              </w:rPr>
              <w:t>Nº  Estudiantes (Máster)</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794</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753</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744</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sidRPr="00730AE6">
              <w:rPr>
                <w:rFonts w:ascii="Arial Narrow" w:hAnsi="Arial Narrow"/>
                <w:sz w:val="20"/>
                <w:szCs w:val="20"/>
              </w:rPr>
              <w:t>Nº  Estudiantes (Doctorado)</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464</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452</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352</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sidRPr="00730AE6">
              <w:rPr>
                <w:rFonts w:ascii="Arial Narrow" w:hAnsi="Arial Narrow"/>
                <w:sz w:val="20"/>
                <w:szCs w:val="20"/>
              </w:rPr>
              <w:t>Ratio Estudiantes (Ciclos + Grados) / PDI-ETC</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11,81</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11,53</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11,27</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sidRPr="00730AE6">
              <w:rPr>
                <w:rFonts w:ascii="Arial Narrow" w:hAnsi="Arial Narrow"/>
                <w:sz w:val="20"/>
                <w:szCs w:val="20"/>
              </w:rPr>
              <w:t>Ratio Estudiantes (Ciclos + Grados) / PAS</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15,39</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15,20</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14,85</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sidRPr="00730AE6">
              <w:rPr>
                <w:rFonts w:ascii="Arial Narrow" w:hAnsi="Arial Narrow"/>
                <w:sz w:val="20"/>
                <w:szCs w:val="20"/>
              </w:rPr>
              <w:t>Nº Estudiantes recibidos Movilidad Internacional</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226</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238</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287</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sidRPr="00730AE6">
              <w:rPr>
                <w:rFonts w:ascii="Arial Narrow" w:hAnsi="Arial Narrow"/>
                <w:sz w:val="20"/>
                <w:szCs w:val="20"/>
              </w:rPr>
              <w:t>Nº Estudiantes enviados Movilidad Internacional</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354</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359</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361</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sidRPr="00730AE6">
              <w:rPr>
                <w:rFonts w:ascii="Arial Narrow" w:hAnsi="Arial Narrow"/>
                <w:sz w:val="20"/>
                <w:szCs w:val="20"/>
              </w:rPr>
              <w:t>Nº Estudiantes Egresados (Ciclo + Grado)</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1.3</w:t>
            </w:r>
            <w:r w:rsidRPr="00730AE6">
              <w:rPr>
                <w:rFonts w:ascii="Arial Narrow" w:hAnsi="Arial Narrow"/>
                <w:sz w:val="20"/>
                <w:szCs w:val="20"/>
              </w:rPr>
              <w:t>41</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1.184</w:t>
            </w:r>
          </w:p>
        </w:tc>
        <w:tc>
          <w:tcPr>
            <w:tcW w:w="1418" w:type="dxa"/>
            <w:tcBorders>
              <w:top w:val="single" w:sz="2" w:space="0" w:color="auto"/>
              <w:bottom w:val="single" w:sz="2" w:space="0" w:color="auto"/>
            </w:tcBorders>
            <w:vAlign w:val="center"/>
          </w:tcPr>
          <w:p w:rsidR="00E6520B" w:rsidRPr="002E38AE" w:rsidRDefault="00E6520B" w:rsidP="00BA7A94">
            <w:pPr>
              <w:pStyle w:val="texto"/>
              <w:spacing w:after="0"/>
              <w:ind w:firstLine="0"/>
              <w:jc w:val="right"/>
              <w:rPr>
                <w:rFonts w:ascii="Arial Narrow" w:hAnsi="Arial Narrow"/>
                <w:sz w:val="20"/>
                <w:szCs w:val="20"/>
              </w:rPr>
            </w:pPr>
            <w:r w:rsidRPr="002E38AE">
              <w:rPr>
                <w:rFonts w:ascii="Arial Narrow" w:hAnsi="Arial Narrow"/>
                <w:sz w:val="20"/>
                <w:szCs w:val="20"/>
              </w:rPr>
              <w:t>1.275</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sidRPr="00730AE6">
              <w:rPr>
                <w:rFonts w:ascii="Arial Narrow" w:hAnsi="Arial Narrow"/>
                <w:sz w:val="20"/>
                <w:szCs w:val="20"/>
              </w:rPr>
              <w:t>Nº Estudiantes Egresados (Máster)</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388</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414</w:t>
            </w:r>
          </w:p>
        </w:tc>
        <w:tc>
          <w:tcPr>
            <w:tcW w:w="1418" w:type="dxa"/>
            <w:tcBorders>
              <w:top w:val="single" w:sz="2" w:space="0" w:color="auto"/>
              <w:bottom w:val="single" w:sz="2" w:space="0" w:color="auto"/>
            </w:tcBorders>
            <w:vAlign w:val="center"/>
          </w:tcPr>
          <w:p w:rsidR="00E6520B" w:rsidRPr="002E38AE" w:rsidRDefault="00E6520B" w:rsidP="00BA7A94">
            <w:pPr>
              <w:pStyle w:val="texto"/>
              <w:spacing w:after="0"/>
              <w:ind w:firstLine="0"/>
              <w:jc w:val="right"/>
              <w:rPr>
                <w:rFonts w:ascii="Arial Narrow" w:hAnsi="Arial Narrow"/>
                <w:sz w:val="20"/>
                <w:szCs w:val="20"/>
              </w:rPr>
            </w:pPr>
            <w:r>
              <w:rPr>
                <w:rFonts w:ascii="Arial Narrow" w:hAnsi="Arial Narrow"/>
                <w:sz w:val="20"/>
                <w:szCs w:val="20"/>
              </w:rPr>
              <w:t>378</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sidRPr="00730AE6">
              <w:rPr>
                <w:rFonts w:ascii="Arial Narrow" w:hAnsi="Arial Narrow"/>
                <w:b/>
                <w:sz w:val="20"/>
                <w:szCs w:val="20"/>
              </w:rPr>
              <w:t>Investigación</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p>
        </w:tc>
        <w:tc>
          <w:tcPr>
            <w:tcW w:w="1418" w:type="dxa"/>
            <w:tcBorders>
              <w:top w:val="single" w:sz="2" w:space="0" w:color="auto"/>
              <w:bottom w:val="single" w:sz="2" w:space="0" w:color="auto"/>
            </w:tcBorders>
            <w:vAlign w:val="center"/>
          </w:tcPr>
          <w:p w:rsidR="00E6520B" w:rsidRPr="002E38AE" w:rsidRDefault="00E6520B" w:rsidP="00BA7A94">
            <w:pPr>
              <w:pStyle w:val="texto"/>
              <w:spacing w:after="0"/>
              <w:ind w:firstLine="0"/>
              <w:jc w:val="right"/>
              <w:rPr>
                <w:rFonts w:ascii="Arial Narrow" w:hAnsi="Arial Narrow"/>
                <w:sz w:val="20"/>
                <w:szCs w:val="20"/>
              </w:rPr>
            </w:pP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sidRPr="00730AE6">
              <w:rPr>
                <w:rFonts w:ascii="Arial Narrow" w:hAnsi="Arial Narrow"/>
                <w:sz w:val="20"/>
                <w:szCs w:val="20"/>
              </w:rPr>
              <w:t>Centros e Institutos de Investigación</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4</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5</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5</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sidRPr="00730AE6">
              <w:rPr>
                <w:rFonts w:ascii="Arial Narrow" w:hAnsi="Arial Narrow"/>
                <w:sz w:val="20"/>
                <w:szCs w:val="20"/>
              </w:rPr>
              <w:t>Cátedras de investigación</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9</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8</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10</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sidRPr="00730AE6">
              <w:rPr>
                <w:rFonts w:ascii="Arial Narrow" w:hAnsi="Arial Narrow"/>
                <w:sz w:val="20"/>
                <w:szCs w:val="20"/>
              </w:rPr>
              <w:t>Grupos de investigación</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105</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106</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105</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b/>
                <w:sz w:val="20"/>
                <w:szCs w:val="20"/>
              </w:rPr>
            </w:pPr>
            <w:r w:rsidRPr="00730AE6">
              <w:rPr>
                <w:rFonts w:ascii="Arial Narrow" w:hAnsi="Arial Narrow"/>
                <w:sz w:val="20"/>
                <w:szCs w:val="20"/>
              </w:rPr>
              <w:t>Personal investigador de los grupos de investigación</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890</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1.124</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1.103</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sidRPr="00730AE6">
              <w:rPr>
                <w:rFonts w:ascii="Arial Narrow" w:hAnsi="Arial Narrow"/>
                <w:sz w:val="20"/>
                <w:szCs w:val="20"/>
              </w:rPr>
              <w:t>Tesis leídas</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67</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60</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119</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sidRPr="00730AE6">
              <w:rPr>
                <w:rFonts w:ascii="Arial Narrow" w:hAnsi="Arial Narrow"/>
                <w:sz w:val="20"/>
                <w:szCs w:val="20"/>
              </w:rPr>
              <w:t>Sexenios reconocidos CDU</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751</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779</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810</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sidRPr="00730AE6">
              <w:rPr>
                <w:rFonts w:ascii="Arial Narrow" w:hAnsi="Arial Narrow"/>
                <w:sz w:val="20"/>
                <w:szCs w:val="20"/>
              </w:rPr>
              <w:t>Publicaciones principales bases de datos</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1.104</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1.098</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1.257</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817E66">
            <w:pPr>
              <w:pStyle w:val="texto"/>
              <w:spacing w:after="0"/>
              <w:ind w:firstLine="0"/>
              <w:rPr>
                <w:rFonts w:ascii="Arial Narrow" w:hAnsi="Arial Narrow"/>
                <w:sz w:val="20"/>
                <w:szCs w:val="20"/>
              </w:rPr>
            </w:pPr>
            <w:r w:rsidRPr="00730AE6">
              <w:rPr>
                <w:rFonts w:ascii="Arial Narrow" w:hAnsi="Arial Narrow"/>
                <w:sz w:val="20"/>
                <w:szCs w:val="20"/>
              </w:rPr>
              <w:t xml:space="preserve">Nº Contratos </w:t>
            </w:r>
            <w:proofErr w:type="spellStart"/>
            <w:r w:rsidRPr="00730AE6">
              <w:rPr>
                <w:rFonts w:ascii="Arial Narrow" w:hAnsi="Arial Narrow"/>
                <w:sz w:val="20"/>
                <w:szCs w:val="20"/>
              </w:rPr>
              <w:t>investig</w:t>
            </w:r>
            <w:proofErr w:type="spellEnd"/>
            <w:r w:rsidR="00817E66">
              <w:rPr>
                <w:rFonts w:ascii="Arial Narrow" w:hAnsi="Arial Narrow"/>
                <w:sz w:val="20"/>
                <w:szCs w:val="20"/>
              </w:rPr>
              <w:t>.</w:t>
            </w:r>
            <w:r w:rsidRPr="00730AE6">
              <w:rPr>
                <w:rFonts w:ascii="Arial Narrow" w:hAnsi="Arial Narrow"/>
                <w:sz w:val="20"/>
                <w:szCs w:val="20"/>
              </w:rPr>
              <w:t xml:space="preserve"> formalizados (art. 83 LOU)</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146</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142</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160</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817E66" w:rsidP="00817E66">
            <w:pPr>
              <w:pStyle w:val="texto"/>
              <w:spacing w:after="0"/>
              <w:ind w:firstLine="0"/>
              <w:rPr>
                <w:rFonts w:ascii="Arial Narrow" w:hAnsi="Arial Narrow"/>
                <w:sz w:val="20"/>
                <w:szCs w:val="20"/>
              </w:rPr>
            </w:pPr>
            <w:r>
              <w:rPr>
                <w:rFonts w:ascii="Arial Narrow" w:hAnsi="Arial Narrow"/>
                <w:sz w:val="20"/>
                <w:szCs w:val="20"/>
              </w:rPr>
              <w:t>Nº Proyectos inv.</w:t>
            </w:r>
            <w:r w:rsidR="00E6520B" w:rsidRPr="00730AE6">
              <w:rPr>
                <w:rFonts w:ascii="Arial Narrow" w:hAnsi="Arial Narrow"/>
                <w:sz w:val="20"/>
                <w:szCs w:val="20"/>
              </w:rPr>
              <w:t xml:space="preserve"> </w:t>
            </w:r>
            <w:proofErr w:type="gramStart"/>
            <w:r w:rsidR="00E6520B" w:rsidRPr="00730AE6">
              <w:rPr>
                <w:rFonts w:ascii="Arial Narrow" w:hAnsi="Arial Narrow"/>
                <w:sz w:val="20"/>
                <w:szCs w:val="20"/>
              </w:rPr>
              <w:t>concedidos</w:t>
            </w:r>
            <w:proofErr w:type="gramEnd"/>
            <w:r w:rsidR="00E6520B" w:rsidRPr="00730AE6">
              <w:rPr>
                <w:rFonts w:ascii="Arial Narrow" w:hAnsi="Arial Narrow"/>
                <w:sz w:val="20"/>
                <w:szCs w:val="20"/>
              </w:rPr>
              <w:t xml:space="preserve"> </w:t>
            </w:r>
            <w:proofErr w:type="spellStart"/>
            <w:r w:rsidR="00E6520B" w:rsidRPr="00730AE6">
              <w:rPr>
                <w:rFonts w:ascii="Arial Narrow" w:hAnsi="Arial Narrow"/>
                <w:sz w:val="20"/>
                <w:szCs w:val="20"/>
              </w:rPr>
              <w:t>conv</w:t>
            </w:r>
            <w:proofErr w:type="spellEnd"/>
            <w:r>
              <w:rPr>
                <w:rFonts w:ascii="Arial Narrow" w:hAnsi="Arial Narrow"/>
                <w:sz w:val="20"/>
                <w:szCs w:val="20"/>
              </w:rPr>
              <w:t>.</w:t>
            </w:r>
            <w:r w:rsidR="00E6520B" w:rsidRPr="00730AE6">
              <w:rPr>
                <w:rFonts w:ascii="Arial Narrow" w:hAnsi="Arial Narrow"/>
                <w:sz w:val="20"/>
                <w:szCs w:val="20"/>
              </w:rPr>
              <w:t xml:space="preserve"> públicas competitivas</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40</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76</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70</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sidRPr="00730AE6">
              <w:rPr>
                <w:rFonts w:ascii="Arial Narrow" w:hAnsi="Arial Narrow"/>
                <w:sz w:val="20"/>
                <w:szCs w:val="20"/>
              </w:rPr>
              <w:t>Nº Patentes concedidas</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8</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10</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sidRPr="00730AE6">
              <w:rPr>
                <w:rFonts w:ascii="Arial Narrow" w:hAnsi="Arial Narrow"/>
                <w:sz w:val="20"/>
                <w:szCs w:val="20"/>
              </w:rPr>
              <w:t>2</w:t>
            </w:r>
          </w:p>
        </w:tc>
      </w:tr>
      <w:tr w:rsidR="00E6520B" w:rsidRPr="00730AE6" w:rsidTr="00817E66">
        <w:trPr>
          <w:trHeight w:val="227"/>
        </w:trPr>
        <w:tc>
          <w:tcPr>
            <w:tcW w:w="4748" w:type="dxa"/>
            <w:tcBorders>
              <w:top w:val="single" w:sz="2" w:space="0" w:color="auto"/>
              <w:bottom w:val="single" w:sz="2" w:space="0" w:color="auto"/>
            </w:tcBorders>
            <w:shd w:val="clear" w:color="auto" w:fill="auto"/>
            <w:noWrap/>
            <w:vAlign w:val="center"/>
          </w:tcPr>
          <w:p w:rsidR="00E6520B" w:rsidRPr="00730AE6" w:rsidRDefault="00E6520B" w:rsidP="00BA7A94">
            <w:pPr>
              <w:pStyle w:val="texto"/>
              <w:spacing w:after="0"/>
              <w:ind w:firstLine="0"/>
              <w:rPr>
                <w:rFonts w:ascii="Arial Narrow" w:hAnsi="Arial Narrow"/>
                <w:sz w:val="20"/>
                <w:szCs w:val="20"/>
              </w:rPr>
            </w:pPr>
            <w:r>
              <w:rPr>
                <w:rFonts w:ascii="Arial Narrow" w:hAnsi="Arial Narrow"/>
                <w:sz w:val="20"/>
                <w:szCs w:val="20"/>
              </w:rPr>
              <w:t>Nº de Spin off creadas</w:t>
            </w:r>
          </w:p>
        </w:tc>
        <w:tc>
          <w:tcPr>
            <w:tcW w:w="1418" w:type="dxa"/>
            <w:tcBorders>
              <w:top w:val="single" w:sz="2" w:space="0" w:color="auto"/>
              <w:bottom w:val="single" w:sz="2" w:space="0" w:color="auto"/>
            </w:tcBorders>
            <w:shd w:val="clear" w:color="auto" w:fill="auto"/>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2</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1</w:t>
            </w:r>
          </w:p>
        </w:tc>
        <w:tc>
          <w:tcPr>
            <w:tcW w:w="1418" w:type="dxa"/>
            <w:tcBorders>
              <w:top w:val="single" w:sz="2" w:space="0" w:color="auto"/>
              <w:bottom w:val="single" w:sz="2" w:space="0" w:color="auto"/>
            </w:tcBorders>
            <w:vAlign w:val="center"/>
          </w:tcPr>
          <w:p w:rsidR="00E6520B" w:rsidRPr="00730AE6" w:rsidRDefault="00E6520B" w:rsidP="00BA7A94">
            <w:pPr>
              <w:pStyle w:val="texto"/>
              <w:spacing w:after="0"/>
              <w:ind w:firstLine="0"/>
              <w:jc w:val="right"/>
              <w:rPr>
                <w:rFonts w:ascii="Arial Narrow" w:hAnsi="Arial Narrow"/>
                <w:sz w:val="20"/>
                <w:szCs w:val="20"/>
              </w:rPr>
            </w:pPr>
            <w:r>
              <w:rPr>
                <w:rFonts w:ascii="Arial Narrow" w:hAnsi="Arial Narrow"/>
                <w:sz w:val="20"/>
                <w:szCs w:val="20"/>
              </w:rPr>
              <w:t>3</w:t>
            </w:r>
          </w:p>
        </w:tc>
      </w:tr>
    </w:tbl>
    <w:p w:rsidR="00C42A2A" w:rsidRDefault="00C42A2A">
      <w:pPr>
        <w:spacing w:after="0"/>
        <w:ind w:firstLine="0"/>
        <w:jc w:val="left"/>
        <w:rPr>
          <w:rFonts w:ascii="Arial Narrow" w:hAnsi="Arial Narrow"/>
          <w:spacing w:val="6"/>
          <w:sz w:val="17"/>
          <w:szCs w:val="17"/>
        </w:rPr>
      </w:pPr>
    </w:p>
    <w:p w:rsidR="00C42A2A" w:rsidRDefault="00C42A2A" w:rsidP="00C42A2A">
      <w:pPr>
        <w:pStyle w:val="atitulo1"/>
        <w:spacing w:before="240"/>
      </w:pPr>
      <w:bookmarkStart w:id="36" w:name="_Toc3967028"/>
      <w:r>
        <w:t>Anexo II. Evolución personal efectivo Universidad a 31 de diciembre</w:t>
      </w:r>
      <w:bookmarkEnd w:id="36"/>
    </w:p>
    <w:tbl>
      <w:tblPr>
        <w:tblW w:w="9030" w:type="dxa"/>
        <w:jc w:val="center"/>
        <w:tblInd w:w="1092" w:type="dxa"/>
        <w:tblLayout w:type="fixed"/>
        <w:tblLook w:val="01E0" w:firstRow="1" w:lastRow="1" w:firstColumn="1" w:lastColumn="1" w:noHBand="0" w:noVBand="0"/>
      </w:tblPr>
      <w:tblGrid>
        <w:gridCol w:w="4667"/>
        <w:gridCol w:w="1454"/>
        <w:gridCol w:w="1454"/>
        <w:gridCol w:w="1455"/>
      </w:tblGrid>
      <w:tr w:rsidR="00C42A2A" w:rsidRPr="00817E66" w:rsidTr="00670292">
        <w:trPr>
          <w:trHeight w:val="255"/>
          <w:jc w:val="center"/>
        </w:trPr>
        <w:tc>
          <w:tcPr>
            <w:tcW w:w="4667" w:type="dxa"/>
            <w:tcBorders>
              <w:top w:val="single" w:sz="4" w:space="0" w:color="auto"/>
              <w:bottom w:val="single" w:sz="2" w:space="0" w:color="auto"/>
            </w:tcBorders>
            <w:shd w:val="clear" w:color="auto" w:fill="A8CBEE" w:themeFill="accent2" w:themeFillTint="66"/>
            <w:vAlign w:val="center"/>
          </w:tcPr>
          <w:p w:rsidR="00C42A2A" w:rsidRPr="00817E66" w:rsidRDefault="00C42A2A" w:rsidP="00015CF7">
            <w:pPr>
              <w:spacing w:after="0"/>
              <w:ind w:firstLine="0"/>
              <w:jc w:val="left"/>
              <w:rPr>
                <w:rFonts w:ascii="Arial" w:hAnsi="Arial" w:cs="Arial"/>
                <w:sz w:val="18"/>
                <w:szCs w:val="18"/>
                <w:lang w:val="es-ES" w:eastAsia="es-ES"/>
              </w:rPr>
            </w:pPr>
            <w:r w:rsidRPr="00817E66">
              <w:rPr>
                <w:rFonts w:ascii="Arial" w:hAnsi="Arial" w:cs="Arial"/>
                <w:sz w:val="18"/>
                <w:szCs w:val="18"/>
                <w:lang w:val="es-ES" w:eastAsia="es-ES"/>
              </w:rPr>
              <w:t>Personal docente e investigador (PDI)</w:t>
            </w:r>
          </w:p>
        </w:tc>
        <w:tc>
          <w:tcPr>
            <w:tcW w:w="1454" w:type="dxa"/>
            <w:tcBorders>
              <w:top w:val="single" w:sz="4" w:space="0" w:color="auto"/>
              <w:bottom w:val="single" w:sz="2" w:space="0" w:color="auto"/>
            </w:tcBorders>
            <w:shd w:val="clear" w:color="auto" w:fill="A8CBEE" w:themeFill="accent2" w:themeFillTint="66"/>
            <w:vAlign w:val="center"/>
          </w:tcPr>
          <w:p w:rsidR="00C42A2A" w:rsidRPr="00817E66" w:rsidRDefault="00C42A2A" w:rsidP="00817E66">
            <w:pPr>
              <w:spacing w:after="0"/>
              <w:ind w:right="9" w:firstLine="0"/>
              <w:jc w:val="right"/>
              <w:rPr>
                <w:rFonts w:ascii="Arial" w:hAnsi="Arial" w:cs="Arial"/>
                <w:sz w:val="18"/>
                <w:szCs w:val="18"/>
                <w:lang w:val="es-ES" w:eastAsia="es-ES"/>
              </w:rPr>
            </w:pPr>
            <w:r w:rsidRPr="00817E66">
              <w:rPr>
                <w:rFonts w:ascii="Arial" w:hAnsi="Arial" w:cs="Arial"/>
                <w:sz w:val="18"/>
                <w:szCs w:val="18"/>
                <w:lang w:val="es-ES" w:eastAsia="es-ES"/>
              </w:rPr>
              <w:t>2015</w:t>
            </w:r>
          </w:p>
        </w:tc>
        <w:tc>
          <w:tcPr>
            <w:tcW w:w="1454" w:type="dxa"/>
            <w:tcBorders>
              <w:top w:val="single" w:sz="4" w:space="0" w:color="auto"/>
              <w:bottom w:val="single" w:sz="2" w:space="0" w:color="auto"/>
            </w:tcBorders>
            <w:shd w:val="clear" w:color="auto" w:fill="A8CBEE" w:themeFill="accent2" w:themeFillTint="66"/>
            <w:vAlign w:val="center"/>
          </w:tcPr>
          <w:p w:rsidR="00C42A2A" w:rsidRPr="00817E66" w:rsidRDefault="00C42A2A" w:rsidP="00015CF7">
            <w:pPr>
              <w:tabs>
                <w:tab w:val="left" w:pos="1192"/>
              </w:tabs>
              <w:spacing w:after="0"/>
              <w:ind w:right="46" w:firstLine="0"/>
              <w:jc w:val="right"/>
              <w:rPr>
                <w:rFonts w:ascii="Arial" w:hAnsi="Arial" w:cs="Arial"/>
                <w:sz w:val="18"/>
                <w:szCs w:val="18"/>
                <w:lang w:val="es-ES" w:eastAsia="es-ES"/>
              </w:rPr>
            </w:pPr>
            <w:r w:rsidRPr="00817E66">
              <w:rPr>
                <w:rFonts w:ascii="Arial" w:hAnsi="Arial" w:cs="Arial"/>
                <w:sz w:val="18"/>
                <w:szCs w:val="18"/>
                <w:lang w:val="es-ES" w:eastAsia="es-ES"/>
              </w:rPr>
              <w:t>2016</w:t>
            </w:r>
          </w:p>
        </w:tc>
        <w:tc>
          <w:tcPr>
            <w:tcW w:w="1455" w:type="dxa"/>
            <w:tcBorders>
              <w:top w:val="single" w:sz="4" w:space="0" w:color="auto"/>
              <w:bottom w:val="single" w:sz="2" w:space="0" w:color="auto"/>
            </w:tcBorders>
            <w:shd w:val="clear" w:color="auto" w:fill="A8CBEE" w:themeFill="accent2" w:themeFillTint="66"/>
            <w:vAlign w:val="center"/>
          </w:tcPr>
          <w:p w:rsidR="00C42A2A" w:rsidRPr="00817E66" w:rsidRDefault="00C42A2A" w:rsidP="00015CF7">
            <w:pPr>
              <w:spacing w:after="0"/>
              <w:ind w:left="-505" w:firstLine="0"/>
              <w:jc w:val="right"/>
              <w:rPr>
                <w:rFonts w:ascii="Arial" w:hAnsi="Arial" w:cs="Arial"/>
                <w:sz w:val="18"/>
                <w:szCs w:val="18"/>
                <w:lang w:val="es-ES" w:eastAsia="es-ES"/>
              </w:rPr>
            </w:pPr>
            <w:r w:rsidRPr="00817E66">
              <w:rPr>
                <w:rFonts w:ascii="Arial" w:hAnsi="Arial" w:cs="Arial"/>
                <w:sz w:val="18"/>
                <w:szCs w:val="18"/>
                <w:lang w:val="es-ES" w:eastAsia="es-ES"/>
              </w:rPr>
              <w:t>2017</w:t>
            </w:r>
          </w:p>
        </w:tc>
      </w:tr>
      <w:tr w:rsidR="00C42A2A" w:rsidRPr="00422C0A" w:rsidTr="00015CF7">
        <w:trPr>
          <w:trHeight w:val="255"/>
          <w:jc w:val="center"/>
        </w:trPr>
        <w:tc>
          <w:tcPr>
            <w:tcW w:w="4667" w:type="dxa"/>
            <w:tcBorders>
              <w:top w:val="single" w:sz="4" w:space="0" w:color="auto"/>
              <w:bottom w:val="single" w:sz="2" w:space="0" w:color="auto"/>
            </w:tcBorders>
            <w:vAlign w:val="center"/>
          </w:tcPr>
          <w:p w:rsidR="00C42A2A" w:rsidRPr="00422C0A" w:rsidRDefault="00C42A2A" w:rsidP="00015CF7">
            <w:pPr>
              <w:spacing w:after="0"/>
              <w:ind w:firstLine="0"/>
              <w:jc w:val="left"/>
              <w:rPr>
                <w:rFonts w:ascii="Arial Narrow" w:hAnsi="Arial Narrow"/>
                <w:b/>
                <w:i/>
                <w:lang w:val="es-ES" w:eastAsia="es-ES"/>
              </w:rPr>
            </w:pPr>
            <w:r w:rsidRPr="00422C0A">
              <w:rPr>
                <w:rFonts w:ascii="Arial Narrow" w:hAnsi="Arial Narrow"/>
                <w:b/>
                <w:i/>
                <w:lang w:val="es-ES" w:eastAsia="es-ES"/>
              </w:rPr>
              <w:t>Funcionario</w:t>
            </w:r>
          </w:p>
        </w:tc>
        <w:tc>
          <w:tcPr>
            <w:tcW w:w="1454" w:type="dxa"/>
            <w:tcBorders>
              <w:top w:val="single" w:sz="4" w:space="0" w:color="auto"/>
              <w:bottom w:val="single" w:sz="2" w:space="0" w:color="auto"/>
            </w:tcBorders>
            <w:vAlign w:val="center"/>
          </w:tcPr>
          <w:p w:rsidR="00C42A2A" w:rsidRPr="00422C0A" w:rsidRDefault="00C42A2A" w:rsidP="00817E66">
            <w:pPr>
              <w:spacing w:after="0"/>
              <w:ind w:right="9" w:firstLine="0"/>
              <w:jc w:val="right"/>
              <w:rPr>
                <w:rFonts w:ascii="Arial Narrow" w:hAnsi="Arial Narrow"/>
                <w:b/>
                <w:i/>
                <w:lang w:val="es-ES" w:eastAsia="es-ES"/>
              </w:rPr>
            </w:pPr>
            <w:r>
              <w:rPr>
                <w:rFonts w:ascii="Arial Narrow" w:hAnsi="Arial Narrow"/>
                <w:b/>
                <w:i/>
                <w:lang w:val="es-ES" w:eastAsia="es-ES"/>
              </w:rPr>
              <w:t>337</w:t>
            </w:r>
          </w:p>
        </w:tc>
        <w:tc>
          <w:tcPr>
            <w:tcW w:w="1454" w:type="dxa"/>
            <w:tcBorders>
              <w:top w:val="single" w:sz="4" w:space="0" w:color="auto"/>
              <w:bottom w:val="single" w:sz="2" w:space="0" w:color="auto"/>
            </w:tcBorders>
            <w:vAlign w:val="center"/>
          </w:tcPr>
          <w:p w:rsidR="00C42A2A" w:rsidRPr="00422C0A" w:rsidRDefault="00C42A2A" w:rsidP="00015CF7">
            <w:pPr>
              <w:tabs>
                <w:tab w:val="left" w:pos="1192"/>
              </w:tabs>
              <w:spacing w:after="0"/>
              <w:ind w:right="46" w:firstLine="0"/>
              <w:jc w:val="right"/>
              <w:rPr>
                <w:rFonts w:ascii="Arial Narrow" w:hAnsi="Arial Narrow"/>
                <w:b/>
                <w:i/>
                <w:lang w:val="es-ES" w:eastAsia="es-ES"/>
              </w:rPr>
            </w:pPr>
            <w:r w:rsidRPr="00422C0A">
              <w:rPr>
                <w:rFonts w:ascii="Arial Narrow" w:hAnsi="Arial Narrow"/>
                <w:b/>
                <w:i/>
                <w:lang w:val="es-ES" w:eastAsia="es-ES"/>
              </w:rPr>
              <w:t>329</w:t>
            </w:r>
          </w:p>
        </w:tc>
        <w:tc>
          <w:tcPr>
            <w:tcW w:w="1455" w:type="dxa"/>
            <w:tcBorders>
              <w:top w:val="single" w:sz="4" w:space="0" w:color="auto"/>
              <w:bottom w:val="single" w:sz="2" w:space="0" w:color="auto"/>
            </w:tcBorders>
            <w:vAlign w:val="center"/>
          </w:tcPr>
          <w:p w:rsidR="00C42A2A" w:rsidRPr="00422C0A" w:rsidRDefault="00C42A2A" w:rsidP="00015CF7">
            <w:pPr>
              <w:spacing w:after="0"/>
              <w:ind w:left="-505" w:firstLine="0"/>
              <w:jc w:val="right"/>
              <w:rPr>
                <w:rFonts w:ascii="Arial Narrow" w:hAnsi="Arial Narrow"/>
                <w:b/>
                <w:i/>
                <w:lang w:val="es-ES" w:eastAsia="es-ES"/>
              </w:rPr>
            </w:pPr>
            <w:r w:rsidRPr="00422C0A">
              <w:rPr>
                <w:rFonts w:ascii="Arial Narrow" w:hAnsi="Arial Narrow"/>
                <w:b/>
                <w:i/>
                <w:lang w:val="es-ES" w:eastAsia="es-ES"/>
              </w:rPr>
              <w:t>331</w:t>
            </w:r>
          </w:p>
        </w:tc>
      </w:tr>
      <w:tr w:rsidR="00C42A2A" w:rsidRPr="00D612A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lang w:val="es-ES" w:eastAsia="es-ES"/>
              </w:rPr>
            </w:pPr>
            <w:r w:rsidRPr="00432E72">
              <w:rPr>
                <w:rFonts w:ascii="Arial Narrow" w:hAnsi="Arial Narrow"/>
                <w:lang w:val="es-ES" w:eastAsia="es-ES"/>
              </w:rPr>
              <w:t xml:space="preserve">   Catedrático/a de </w:t>
            </w:r>
            <w:r>
              <w:rPr>
                <w:rFonts w:ascii="Arial Narrow" w:hAnsi="Arial Narrow"/>
                <w:lang w:val="es-ES" w:eastAsia="es-ES"/>
              </w:rPr>
              <w:t>Universidad</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lang w:val="es-ES" w:eastAsia="es-ES"/>
              </w:rPr>
            </w:pPr>
            <w:r>
              <w:rPr>
                <w:rFonts w:ascii="Arial Narrow" w:hAnsi="Arial Narrow"/>
                <w:lang w:val="es-ES" w:eastAsia="es-ES"/>
              </w:rPr>
              <w:t>84</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lang w:val="es-ES" w:eastAsia="es-ES"/>
              </w:rPr>
            </w:pPr>
            <w:r w:rsidRPr="00432E72">
              <w:rPr>
                <w:rFonts w:ascii="Arial Narrow" w:hAnsi="Arial Narrow"/>
                <w:lang w:val="es-ES" w:eastAsia="es-ES"/>
              </w:rPr>
              <w:t>83</w:t>
            </w:r>
          </w:p>
        </w:tc>
        <w:tc>
          <w:tcPr>
            <w:tcW w:w="1455" w:type="dxa"/>
            <w:tcBorders>
              <w:top w:val="single" w:sz="4" w:space="0" w:color="auto"/>
              <w:bottom w:val="single" w:sz="2" w:space="0" w:color="auto"/>
            </w:tcBorders>
            <w:vAlign w:val="center"/>
          </w:tcPr>
          <w:p w:rsidR="00C42A2A" w:rsidRPr="00432E72" w:rsidRDefault="00C42A2A" w:rsidP="00015CF7">
            <w:pPr>
              <w:spacing w:after="0"/>
              <w:ind w:left="-505" w:firstLine="0"/>
              <w:jc w:val="right"/>
              <w:rPr>
                <w:rFonts w:ascii="Arial Narrow" w:hAnsi="Arial Narrow"/>
                <w:lang w:val="es-ES" w:eastAsia="es-ES"/>
              </w:rPr>
            </w:pPr>
            <w:r w:rsidRPr="00432E72">
              <w:rPr>
                <w:rFonts w:ascii="Arial Narrow" w:hAnsi="Arial Narrow"/>
                <w:lang w:val="es-ES" w:eastAsia="es-ES"/>
              </w:rPr>
              <w:t>80</w:t>
            </w:r>
          </w:p>
        </w:tc>
      </w:tr>
      <w:tr w:rsidR="00C42A2A" w:rsidRPr="00D612A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lang w:val="es-ES" w:eastAsia="es-ES"/>
              </w:rPr>
            </w:pPr>
            <w:r w:rsidRPr="00432E72">
              <w:rPr>
                <w:rFonts w:ascii="Arial Narrow" w:hAnsi="Arial Narrow"/>
                <w:lang w:val="es-ES" w:eastAsia="es-ES"/>
              </w:rPr>
              <w:t xml:space="preserve">   Titular de </w:t>
            </w:r>
            <w:r>
              <w:rPr>
                <w:rFonts w:ascii="Arial Narrow" w:hAnsi="Arial Narrow"/>
                <w:lang w:val="es-ES" w:eastAsia="es-ES"/>
              </w:rPr>
              <w:t>Universidad</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lang w:val="es-ES" w:eastAsia="es-ES"/>
              </w:rPr>
            </w:pPr>
            <w:r>
              <w:rPr>
                <w:rFonts w:ascii="Arial Narrow" w:hAnsi="Arial Narrow"/>
                <w:lang w:val="es-ES" w:eastAsia="es-ES"/>
              </w:rPr>
              <w:t>231</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lang w:val="es-ES" w:eastAsia="es-ES"/>
              </w:rPr>
            </w:pPr>
            <w:r w:rsidRPr="00432E72">
              <w:rPr>
                <w:rFonts w:ascii="Arial Narrow" w:hAnsi="Arial Narrow"/>
                <w:lang w:val="es-ES" w:eastAsia="es-ES"/>
              </w:rPr>
              <w:t>227</w:t>
            </w:r>
          </w:p>
        </w:tc>
        <w:tc>
          <w:tcPr>
            <w:tcW w:w="1455" w:type="dxa"/>
            <w:tcBorders>
              <w:top w:val="single" w:sz="4" w:space="0" w:color="auto"/>
              <w:bottom w:val="single" w:sz="2" w:space="0" w:color="auto"/>
            </w:tcBorders>
            <w:vAlign w:val="center"/>
          </w:tcPr>
          <w:p w:rsidR="00C42A2A" w:rsidRPr="00432E72" w:rsidRDefault="00C42A2A" w:rsidP="00015CF7">
            <w:pPr>
              <w:spacing w:after="0"/>
              <w:ind w:left="-505" w:firstLine="0"/>
              <w:jc w:val="right"/>
              <w:rPr>
                <w:rFonts w:ascii="Arial Narrow" w:hAnsi="Arial Narrow"/>
                <w:lang w:val="es-ES" w:eastAsia="es-ES"/>
              </w:rPr>
            </w:pPr>
            <w:r w:rsidRPr="00432E72">
              <w:rPr>
                <w:rFonts w:ascii="Arial Narrow" w:hAnsi="Arial Narrow"/>
                <w:lang w:val="es-ES" w:eastAsia="es-ES"/>
              </w:rPr>
              <w:t>235</w:t>
            </w:r>
          </w:p>
        </w:tc>
      </w:tr>
      <w:tr w:rsidR="00C42A2A" w:rsidRPr="00D612A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lang w:val="es-ES" w:eastAsia="es-ES"/>
              </w:rPr>
            </w:pPr>
            <w:r w:rsidRPr="00432E72">
              <w:rPr>
                <w:rFonts w:ascii="Arial Narrow" w:hAnsi="Arial Narrow"/>
                <w:lang w:val="es-ES" w:eastAsia="es-ES"/>
              </w:rPr>
              <w:t xml:space="preserve">   Catedrático/a de escuela universitaria</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lang w:val="es-ES" w:eastAsia="es-ES"/>
              </w:rPr>
            </w:pPr>
            <w:r>
              <w:rPr>
                <w:rFonts w:ascii="Arial Narrow" w:hAnsi="Arial Narrow"/>
                <w:lang w:val="es-ES" w:eastAsia="es-ES"/>
              </w:rPr>
              <w:t>4</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lang w:val="es-ES" w:eastAsia="es-ES"/>
              </w:rPr>
            </w:pPr>
            <w:r w:rsidRPr="00432E72">
              <w:rPr>
                <w:rFonts w:ascii="Arial Narrow" w:hAnsi="Arial Narrow"/>
                <w:lang w:val="es-ES" w:eastAsia="es-ES"/>
              </w:rPr>
              <w:t>3</w:t>
            </w:r>
          </w:p>
        </w:tc>
        <w:tc>
          <w:tcPr>
            <w:tcW w:w="1455" w:type="dxa"/>
            <w:tcBorders>
              <w:top w:val="single" w:sz="4" w:space="0" w:color="auto"/>
              <w:bottom w:val="single" w:sz="2" w:space="0" w:color="auto"/>
            </w:tcBorders>
            <w:vAlign w:val="center"/>
          </w:tcPr>
          <w:p w:rsidR="00C42A2A" w:rsidRPr="00432E72" w:rsidRDefault="00C42A2A" w:rsidP="00015CF7">
            <w:pPr>
              <w:spacing w:after="0"/>
              <w:ind w:left="-505" w:firstLine="0"/>
              <w:jc w:val="right"/>
              <w:rPr>
                <w:rFonts w:ascii="Arial Narrow" w:hAnsi="Arial Narrow"/>
                <w:lang w:val="es-ES" w:eastAsia="es-ES"/>
              </w:rPr>
            </w:pPr>
            <w:r w:rsidRPr="00432E72">
              <w:rPr>
                <w:rFonts w:ascii="Arial Narrow" w:hAnsi="Arial Narrow"/>
                <w:lang w:val="es-ES" w:eastAsia="es-ES"/>
              </w:rPr>
              <w:t>3</w:t>
            </w:r>
          </w:p>
        </w:tc>
      </w:tr>
      <w:tr w:rsidR="00C42A2A" w:rsidRPr="00D612A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lang w:val="es-ES" w:eastAsia="es-ES"/>
              </w:rPr>
            </w:pPr>
            <w:r w:rsidRPr="00432E72">
              <w:rPr>
                <w:rFonts w:ascii="Arial Narrow" w:hAnsi="Arial Narrow"/>
                <w:lang w:val="es-ES" w:eastAsia="es-ES"/>
              </w:rPr>
              <w:t xml:space="preserve">   Titular de escuela universitaria</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lang w:val="es-ES" w:eastAsia="es-ES"/>
              </w:rPr>
            </w:pPr>
            <w:r>
              <w:rPr>
                <w:rFonts w:ascii="Arial Narrow" w:hAnsi="Arial Narrow"/>
                <w:lang w:val="es-ES" w:eastAsia="es-ES"/>
              </w:rPr>
              <w:t>17</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lang w:val="es-ES" w:eastAsia="es-ES"/>
              </w:rPr>
            </w:pPr>
            <w:r w:rsidRPr="00432E72">
              <w:rPr>
                <w:rFonts w:ascii="Arial Narrow" w:hAnsi="Arial Narrow"/>
                <w:lang w:val="es-ES" w:eastAsia="es-ES"/>
              </w:rPr>
              <w:t>15</w:t>
            </w:r>
          </w:p>
        </w:tc>
        <w:tc>
          <w:tcPr>
            <w:tcW w:w="1455" w:type="dxa"/>
            <w:tcBorders>
              <w:top w:val="single" w:sz="4" w:space="0" w:color="auto"/>
              <w:bottom w:val="single" w:sz="2" w:space="0" w:color="auto"/>
            </w:tcBorders>
            <w:vAlign w:val="center"/>
          </w:tcPr>
          <w:p w:rsidR="00C42A2A" w:rsidRPr="00432E72" w:rsidRDefault="00C42A2A" w:rsidP="00015CF7">
            <w:pPr>
              <w:spacing w:after="0"/>
              <w:ind w:left="-505" w:firstLine="0"/>
              <w:jc w:val="right"/>
              <w:rPr>
                <w:rFonts w:ascii="Arial Narrow" w:hAnsi="Arial Narrow"/>
                <w:lang w:val="es-ES" w:eastAsia="es-ES"/>
              </w:rPr>
            </w:pPr>
            <w:r w:rsidRPr="00432E72">
              <w:rPr>
                <w:rFonts w:ascii="Arial Narrow" w:hAnsi="Arial Narrow"/>
                <w:lang w:val="es-ES" w:eastAsia="es-ES"/>
              </w:rPr>
              <w:t>12</w:t>
            </w:r>
          </w:p>
        </w:tc>
      </w:tr>
      <w:tr w:rsidR="00C42A2A" w:rsidRPr="00D612A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lang w:val="es-ES" w:eastAsia="es-ES"/>
              </w:rPr>
            </w:pPr>
            <w:r w:rsidRPr="00432E72">
              <w:rPr>
                <w:rFonts w:ascii="Arial Narrow" w:hAnsi="Arial Narrow"/>
                <w:lang w:val="es-ES" w:eastAsia="es-ES"/>
              </w:rPr>
              <w:t xml:space="preserve">   Otros</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lang w:val="es-ES" w:eastAsia="es-ES"/>
              </w:rPr>
            </w:pPr>
            <w:r>
              <w:rPr>
                <w:rFonts w:ascii="Arial Narrow" w:hAnsi="Arial Narrow"/>
                <w:lang w:val="es-ES" w:eastAsia="es-ES"/>
              </w:rPr>
              <w:t>1</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lang w:val="es-ES" w:eastAsia="es-ES"/>
              </w:rPr>
            </w:pPr>
            <w:r w:rsidRPr="00432E72">
              <w:rPr>
                <w:rFonts w:ascii="Arial Narrow" w:hAnsi="Arial Narrow"/>
                <w:lang w:val="es-ES" w:eastAsia="es-ES"/>
              </w:rPr>
              <w:t>1</w:t>
            </w:r>
          </w:p>
        </w:tc>
        <w:tc>
          <w:tcPr>
            <w:tcW w:w="1455" w:type="dxa"/>
            <w:tcBorders>
              <w:top w:val="single" w:sz="4" w:space="0" w:color="auto"/>
              <w:bottom w:val="single" w:sz="2" w:space="0" w:color="auto"/>
            </w:tcBorders>
            <w:vAlign w:val="center"/>
          </w:tcPr>
          <w:p w:rsidR="00C42A2A" w:rsidRPr="00432E72" w:rsidRDefault="00C42A2A" w:rsidP="00015CF7">
            <w:pPr>
              <w:spacing w:after="0"/>
              <w:ind w:left="-505" w:firstLine="0"/>
              <w:jc w:val="right"/>
              <w:rPr>
                <w:rFonts w:ascii="Arial Narrow" w:hAnsi="Arial Narrow"/>
                <w:lang w:val="es-ES" w:eastAsia="es-ES"/>
              </w:rPr>
            </w:pPr>
            <w:r w:rsidRPr="00432E72">
              <w:rPr>
                <w:rFonts w:ascii="Arial Narrow" w:hAnsi="Arial Narrow"/>
                <w:lang w:val="es-ES" w:eastAsia="es-ES"/>
              </w:rPr>
              <w:t>1</w:t>
            </w:r>
          </w:p>
        </w:tc>
      </w:tr>
      <w:tr w:rsidR="00C42A2A" w:rsidRPr="00422C0A" w:rsidTr="00015CF7">
        <w:trPr>
          <w:trHeight w:val="255"/>
          <w:jc w:val="center"/>
        </w:trPr>
        <w:tc>
          <w:tcPr>
            <w:tcW w:w="4667" w:type="dxa"/>
            <w:tcBorders>
              <w:top w:val="single" w:sz="4" w:space="0" w:color="auto"/>
              <w:bottom w:val="single" w:sz="2" w:space="0" w:color="auto"/>
            </w:tcBorders>
            <w:vAlign w:val="center"/>
          </w:tcPr>
          <w:p w:rsidR="00C42A2A" w:rsidRPr="00422C0A" w:rsidRDefault="00C42A2A" w:rsidP="00015CF7">
            <w:pPr>
              <w:spacing w:after="0"/>
              <w:ind w:firstLine="0"/>
              <w:jc w:val="left"/>
              <w:rPr>
                <w:rFonts w:ascii="Arial Narrow" w:hAnsi="Arial Narrow"/>
                <w:b/>
                <w:i/>
                <w:lang w:val="es-ES" w:eastAsia="es-ES"/>
              </w:rPr>
            </w:pPr>
            <w:r w:rsidRPr="00422C0A">
              <w:rPr>
                <w:rFonts w:ascii="Arial Narrow" w:hAnsi="Arial Narrow"/>
                <w:b/>
                <w:i/>
                <w:lang w:val="es-ES" w:eastAsia="es-ES"/>
              </w:rPr>
              <w:t>Contratado</w:t>
            </w:r>
          </w:p>
        </w:tc>
        <w:tc>
          <w:tcPr>
            <w:tcW w:w="1454" w:type="dxa"/>
            <w:tcBorders>
              <w:top w:val="single" w:sz="4" w:space="0" w:color="auto"/>
              <w:bottom w:val="single" w:sz="2" w:space="0" w:color="auto"/>
            </w:tcBorders>
            <w:vAlign w:val="center"/>
          </w:tcPr>
          <w:p w:rsidR="00C42A2A" w:rsidRPr="00422C0A" w:rsidRDefault="00C42A2A" w:rsidP="00817E66">
            <w:pPr>
              <w:spacing w:after="0"/>
              <w:ind w:right="9" w:firstLine="0"/>
              <w:jc w:val="right"/>
              <w:rPr>
                <w:rFonts w:ascii="Arial Narrow" w:hAnsi="Arial Narrow"/>
                <w:b/>
                <w:i/>
                <w:lang w:val="es-ES" w:eastAsia="es-ES"/>
              </w:rPr>
            </w:pPr>
            <w:r>
              <w:rPr>
                <w:rFonts w:ascii="Arial Narrow" w:hAnsi="Arial Narrow"/>
                <w:b/>
                <w:i/>
                <w:lang w:val="es-ES" w:eastAsia="es-ES"/>
              </w:rPr>
              <w:t>526</w:t>
            </w:r>
          </w:p>
        </w:tc>
        <w:tc>
          <w:tcPr>
            <w:tcW w:w="1454" w:type="dxa"/>
            <w:tcBorders>
              <w:top w:val="single" w:sz="4" w:space="0" w:color="auto"/>
              <w:bottom w:val="single" w:sz="2" w:space="0" w:color="auto"/>
            </w:tcBorders>
            <w:vAlign w:val="center"/>
          </w:tcPr>
          <w:p w:rsidR="00C42A2A" w:rsidRPr="00422C0A" w:rsidRDefault="00C42A2A" w:rsidP="00015CF7">
            <w:pPr>
              <w:tabs>
                <w:tab w:val="left" w:pos="1192"/>
              </w:tabs>
              <w:spacing w:after="0"/>
              <w:ind w:right="46" w:firstLine="0"/>
              <w:jc w:val="right"/>
              <w:rPr>
                <w:rFonts w:ascii="Arial Narrow" w:hAnsi="Arial Narrow"/>
                <w:b/>
                <w:i/>
                <w:lang w:val="es-ES" w:eastAsia="es-ES"/>
              </w:rPr>
            </w:pPr>
            <w:r w:rsidRPr="00422C0A">
              <w:rPr>
                <w:rFonts w:ascii="Arial Narrow" w:hAnsi="Arial Narrow"/>
                <w:b/>
                <w:i/>
                <w:lang w:val="es-ES" w:eastAsia="es-ES"/>
              </w:rPr>
              <w:t>556</w:t>
            </w:r>
          </w:p>
        </w:tc>
        <w:tc>
          <w:tcPr>
            <w:tcW w:w="1455" w:type="dxa"/>
            <w:tcBorders>
              <w:top w:val="single" w:sz="4" w:space="0" w:color="auto"/>
              <w:bottom w:val="single" w:sz="2" w:space="0" w:color="auto"/>
            </w:tcBorders>
            <w:vAlign w:val="center"/>
          </w:tcPr>
          <w:p w:rsidR="00C42A2A" w:rsidRPr="00422C0A" w:rsidRDefault="00C42A2A" w:rsidP="00015CF7">
            <w:pPr>
              <w:spacing w:after="0"/>
              <w:ind w:left="-505" w:firstLine="0"/>
              <w:jc w:val="right"/>
              <w:rPr>
                <w:rFonts w:ascii="Arial Narrow" w:hAnsi="Arial Narrow"/>
                <w:b/>
                <w:i/>
                <w:lang w:val="es-ES" w:eastAsia="es-ES"/>
              </w:rPr>
            </w:pPr>
            <w:r w:rsidRPr="00422C0A">
              <w:rPr>
                <w:rFonts w:ascii="Arial Narrow" w:hAnsi="Arial Narrow"/>
                <w:b/>
                <w:i/>
                <w:lang w:val="es-ES" w:eastAsia="es-ES"/>
              </w:rPr>
              <w:t>5</w:t>
            </w:r>
            <w:r>
              <w:rPr>
                <w:rFonts w:ascii="Arial Narrow" w:hAnsi="Arial Narrow"/>
                <w:b/>
                <w:i/>
                <w:lang w:val="es-ES" w:eastAsia="es-ES"/>
              </w:rPr>
              <w:t>70</w:t>
            </w:r>
          </w:p>
        </w:tc>
      </w:tr>
      <w:tr w:rsidR="00C42A2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lang w:val="es-ES" w:eastAsia="es-ES"/>
              </w:rPr>
            </w:pPr>
            <w:r w:rsidRPr="00432E72">
              <w:rPr>
                <w:rFonts w:ascii="Arial Narrow" w:hAnsi="Arial Narrow"/>
                <w:lang w:val="es-ES" w:eastAsia="es-ES"/>
              </w:rPr>
              <w:t xml:space="preserve">   Ayudante</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lang w:val="es-ES" w:eastAsia="es-ES"/>
              </w:rPr>
            </w:pPr>
            <w:r>
              <w:rPr>
                <w:rFonts w:ascii="Arial Narrow" w:hAnsi="Arial Narrow"/>
                <w:lang w:val="es-ES" w:eastAsia="es-ES"/>
              </w:rPr>
              <w:t>5</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lang w:val="es-ES" w:eastAsia="es-ES"/>
              </w:rPr>
            </w:pPr>
            <w:r w:rsidRPr="00432E72">
              <w:rPr>
                <w:rFonts w:ascii="Arial Narrow" w:hAnsi="Arial Narrow"/>
                <w:lang w:val="es-ES" w:eastAsia="es-ES"/>
              </w:rPr>
              <w:t>1</w:t>
            </w:r>
          </w:p>
        </w:tc>
        <w:tc>
          <w:tcPr>
            <w:tcW w:w="1455" w:type="dxa"/>
            <w:tcBorders>
              <w:top w:val="single" w:sz="4" w:space="0" w:color="auto"/>
              <w:bottom w:val="single" w:sz="2" w:space="0" w:color="auto"/>
            </w:tcBorders>
            <w:vAlign w:val="center"/>
          </w:tcPr>
          <w:p w:rsidR="00C42A2A" w:rsidRPr="00432E72" w:rsidRDefault="00C42A2A" w:rsidP="00015CF7">
            <w:pPr>
              <w:spacing w:after="0"/>
              <w:ind w:left="-505" w:firstLine="0"/>
              <w:jc w:val="right"/>
              <w:rPr>
                <w:rFonts w:ascii="Arial Narrow" w:hAnsi="Arial Narrow"/>
                <w:lang w:val="es-ES" w:eastAsia="es-ES"/>
              </w:rPr>
            </w:pPr>
            <w:r w:rsidRPr="00432E72">
              <w:rPr>
                <w:rFonts w:ascii="Arial Narrow" w:hAnsi="Arial Narrow"/>
                <w:lang w:val="es-ES" w:eastAsia="es-ES"/>
              </w:rPr>
              <w:t>-</w:t>
            </w:r>
          </w:p>
        </w:tc>
      </w:tr>
      <w:tr w:rsidR="00C42A2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lang w:val="es-ES" w:eastAsia="es-ES"/>
              </w:rPr>
            </w:pPr>
            <w:r w:rsidRPr="00432E72">
              <w:rPr>
                <w:rFonts w:ascii="Arial Narrow" w:hAnsi="Arial Narrow"/>
                <w:lang w:val="es-ES" w:eastAsia="es-ES"/>
              </w:rPr>
              <w:t xml:space="preserve">   Ayudante Doctor</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lang w:val="es-ES" w:eastAsia="es-ES"/>
              </w:rPr>
            </w:pPr>
            <w:r>
              <w:rPr>
                <w:rFonts w:ascii="Arial Narrow" w:hAnsi="Arial Narrow"/>
                <w:lang w:val="es-ES" w:eastAsia="es-ES"/>
              </w:rPr>
              <w:t>54</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lang w:val="es-ES" w:eastAsia="es-ES"/>
              </w:rPr>
            </w:pPr>
            <w:r w:rsidRPr="00432E72">
              <w:rPr>
                <w:rFonts w:ascii="Arial Narrow" w:hAnsi="Arial Narrow"/>
                <w:lang w:val="es-ES" w:eastAsia="es-ES"/>
              </w:rPr>
              <w:t>57</w:t>
            </w:r>
          </w:p>
        </w:tc>
        <w:tc>
          <w:tcPr>
            <w:tcW w:w="1455" w:type="dxa"/>
            <w:tcBorders>
              <w:top w:val="single" w:sz="4" w:space="0" w:color="auto"/>
              <w:bottom w:val="single" w:sz="2" w:space="0" w:color="auto"/>
            </w:tcBorders>
            <w:vAlign w:val="center"/>
          </w:tcPr>
          <w:p w:rsidR="00C42A2A" w:rsidRPr="00432E72" w:rsidRDefault="00C42A2A" w:rsidP="00015CF7">
            <w:pPr>
              <w:spacing w:after="0"/>
              <w:ind w:left="-505" w:firstLine="0"/>
              <w:jc w:val="right"/>
              <w:rPr>
                <w:rFonts w:ascii="Arial Narrow" w:hAnsi="Arial Narrow"/>
                <w:lang w:val="es-ES" w:eastAsia="es-ES"/>
              </w:rPr>
            </w:pPr>
            <w:r w:rsidRPr="00432E72">
              <w:rPr>
                <w:rFonts w:ascii="Arial Narrow" w:hAnsi="Arial Narrow"/>
                <w:lang w:val="es-ES" w:eastAsia="es-ES"/>
              </w:rPr>
              <w:t>61</w:t>
            </w:r>
          </w:p>
        </w:tc>
      </w:tr>
      <w:tr w:rsidR="00C42A2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lang w:val="es-ES" w:eastAsia="es-ES"/>
              </w:rPr>
            </w:pPr>
            <w:r w:rsidRPr="00432E72">
              <w:rPr>
                <w:rFonts w:ascii="Arial Narrow" w:hAnsi="Arial Narrow"/>
                <w:lang w:val="es-ES" w:eastAsia="es-ES"/>
              </w:rPr>
              <w:t xml:space="preserve">   Contratado/a Doctor/a</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lang w:val="es-ES" w:eastAsia="es-ES"/>
              </w:rPr>
            </w:pPr>
            <w:r>
              <w:rPr>
                <w:rFonts w:ascii="Arial Narrow" w:hAnsi="Arial Narrow"/>
                <w:lang w:val="es-ES" w:eastAsia="es-ES"/>
              </w:rPr>
              <w:t>72</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lang w:val="es-ES" w:eastAsia="es-ES"/>
              </w:rPr>
            </w:pPr>
            <w:r w:rsidRPr="00432E72">
              <w:rPr>
                <w:rFonts w:ascii="Arial Narrow" w:hAnsi="Arial Narrow"/>
                <w:lang w:val="es-ES" w:eastAsia="es-ES"/>
              </w:rPr>
              <w:t>72</w:t>
            </w:r>
          </w:p>
        </w:tc>
        <w:tc>
          <w:tcPr>
            <w:tcW w:w="1455" w:type="dxa"/>
            <w:tcBorders>
              <w:top w:val="single" w:sz="4" w:space="0" w:color="auto"/>
              <w:bottom w:val="single" w:sz="2" w:space="0" w:color="auto"/>
            </w:tcBorders>
            <w:vAlign w:val="center"/>
          </w:tcPr>
          <w:p w:rsidR="00C42A2A" w:rsidRPr="00432E72" w:rsidRDefault="00C42A2A" w:rsidP="00015CF7">
            <w:pPr>
              <w:spacing w:after="0"/>
              <w:ind w:left="-505" w:firstLine="0"/>
              <w:jc w:val="right"/>
              <w:rPr>
                <w:rFonts w:ascii="Arial Narrow" w:hAnsi="Arial Narrow"/>
                <w:lang w:val="es-ES" w:eastAsia="es-ES"/>
              </w:rPr>
            </w:pPr>
            <w:r w:rsidRPr="00432E72">
              <w:rPr>
                <w:rFonts w:ascii="Arial Narrow" w:hAnsi="Arial Narrow"/>
                <w:lang w:val="es-ES" w:eastAsia="es-ES"/>
              </w:rPr>
              <w:t>69</w:t>
            </w:r>
          </w:p>
        </w:tc>
      </w:tr>
      <w:tr w:rsidR="00C42A2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lang w:val="es-ES" w:eastAsia="es-ES"/>
              </w:rPr>
            </w:pPr>
            <w:r w:rsidRPr="00432E72">
              <w:rPr>
                <w:rFonts w:ascii="Arial Narrow" w:hAnsi="Arial Narrow"/>
                <w:lang w:val="es-ES" w:eastAsia="es-ES"/>
              </w:rPr>
              <w:t xml:space="preserve">   Contratado/a doctor/a interino/a</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lang w:val="es-ES" w:eastAsia="es-ES"/>
              </w:rPr>
            </w:pPr>
            <w:r>
              <w:rPr>
                <w:rFonts w:ascii="Arial Narrow" w:hAnsi="Arial Narrow"/>
                <w:lang w:val="es-ES" w:eastAsia="es-ES"/>
              </w:rPr>
              <w:t>30</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lang w:val="es-ES" w:eastAsia="es-ES"/>
              </w:rPr>
            </w:pPr>
            <w:r w:rsidRPr="00432E72">
              <w:rPr>
                <w:rFonts w:ascii="Arial Narrow" w:hAnsi="Arial Narrow"/>
                <w:lang w:val="es-ES" w:eastAsia="es-ES"/>
              </w:rPr>
              <w:t>39</w:t>
            </w:r>
          </w:p>
        </w:tc>
        <w:tc>
          <w:tcPr>
            <w:tcW w:w="1455" w:type="dxa"/>
            <w:tcBorders>
              <w:top w:val="single" w:sz="4" w:space="0" w:color="auto"/>
              <w:bottom w:val="single" w:sz="2" w:space="0" w:color="auto"/>
            </w:tcBorders>
            <w:vAlign w:val="center"/>
          </w:tcPr>
          <w:p w:rsidR="00C42A2A" w:rsidRPr="00432E72" w:rsidRDefault="00C42A2A" w:rsidP="00015CF7">
            <w:pPr>
              <w:spacing w:after="0"/>
              <w:ind w:left="-505" w:firstLine="0"/>
              <w:jc w:val="right"/>
              <w:rPr>
                <w:rFonts w:ascii="Arial Narrow" w:hAnsi="Arial Narrow"/>
                <w:lang w:val="es-ES" w:eastAsia="es-ES"/>
              </w:rPr>
            </w:pPr>
            <w:r w:rsidRPr="00432E72">
              <w:rPr>
                <w:rFonts w:ascii="Arial Narrow" w:hAnsi="Arial Narrow"/>
                <w:lang w:val="es-ES" w:eastAsia="es-ES"/>
              </w:rPr>
              <w:t>53</w:t>
            </w:r>
          </w:p>
        </w:tc>
      </w:tr>
      <w:tr w:rsidR="00C42A2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lang w:val="es-ES" w:eastAsia="es-ES"/>
              </w:rPr>
            </w:pPr>
            <w:r w:rsidRPr="00432E72">
              <w:rPr>
                <w:rFonts w:ascii="Arial Narrow" w:hAnsi="Arial Narrow"/>
                <w:lang w:val="es-ES" w:eastAsia="es-ES"/>
              </w:rPr>
              <w:t xml:space="preserve">   Asociado/a</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lang w:val="es-ES" w:eastAsia="es-ES"/>
              </w:rPr>
            </w:pPr>
            <w:r>
              <w:rPr>
                <w:rFonts w:ascii="Arial Narrow" w:hAnsi="Arial Narrow"/>
                <w:lang w:val="es-ES" w:eastAsia="es-ES"/>
              </w:rPr>
              <w:t>353</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lang w:val="es-ES" w:eastAsia="es-ES"/>
              </w:rPr>
            </w:pPr>
            <w:r w:rsidRPr="00432E72">
              <w:rPr>
                <w:rFonts w:ascii="Arial Narrow" w:hAnsi="Arial Narrow"/>
                <w:lang w:val="es-ES" w:eastAsia="es-ES"/>
              </w:rPr>
              <w:t>375</w:t>
            </w:r>
          </w:p>
        </w:tc>
        <w:tc>
          <w:tcPr>
            <w:tcW w:w="1455" w:type="dxa"/>
            <w:tcBorders>
              <w:top w:val="single" w:sz="4" w:space="0" w:color="auto"/>
              <w:bottom w:val="single" w:sz="2" w:space="0" w:color="auto"/>
            </w:tcBorders>
            <w:vAlign w:val="center"/>
          </w:tcPr>
          <w:p w:rsidR="00C42A2A" w:rsidRPr="00432E72" w:rsidRDefault="00C42A2A" w:rsidP="00015CF7">
            <w:pPr>
              <w:spacing w:after="0"/>
              <w:ind w:left="-505" w:firstLine="0"/>
              <w:jc w:val="right"/>
              <w:rPr>
                <w:rFonts w:ascii="Arial Narrow" w:hAnsi="Arial Narrow"/>
                <w:lang w:val="es-ES" w:eastAsia="es-ES"/>
              </w:rPr>
            </w:pPr>
            <w:r w:rsidRPr="00432E72">
              <w:rPr>
                <w:rFonts w:ascii="Arial Narrow" w:hAnsi="Arial Narrow"/>
                <w:lang w:val="es-ES" w:eastAsia="es-ES"/>
              </w:rPr>
              <w:t>37</w:t>
            </w:r>
            <w:r>
              <w:rPr>
                <w:rFonts w:ascii="Arial Narrow" w:hAnsi="Arial Narrow"/>
                <w:lang w:val="es-ES" w:eastAsia="es-ES"/>
              </w:rPr>
              <w:t>1</w:t>
            </w:r>
          </w:p>
        </w:tc>
      </w:tr>
      <w:tr w:rsidR="00C42A2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lang w:val="es-ES" w:eastAsia="es-ES"/>
              </w:rPr>
            </w:pPr>
            <w:r w:rsidRPr="00432E72">
              <w:rPr>
                <w:rFonts w:ascii="Arial Narrow" w:hAnsi="Arial Narrow"/>
                <w:lang w:val="es-ES" w:eastAsia="es-ES"/>
              </w:rPr>
              <w:t xml:space="preserve">   Sustituto</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lang w:val="es-ES" w:eastAsia="es-ES"/>
              </w:rPr>
            </w:pPr>
            <w:r>
              <w:rPr>
                <w:rFonts w:ascii="Arial Narrow" w:hAnsi="Arial Narrow"/>
                <w:lang w:val="es-ES" w:eastAsia="es-ES"/>
              </w:rPr>
              <w:t>12</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lang w:val="es-ES" w:eastAsia="es-ES"/>
              </w:rPr>
            </w:pPr>
            <w:r w:rsidRPr="00432E72">
              <w:rPr>
                <w:rFonts w:ascii="Arial Narrow" w:hAnsi="Arial Narrow"/>
                <w:lang w:val="es-ES" w:eastAsia="es-ES"/>
              </w:rPr>
              <w:t>12</w:t>
            </w:r>
          </w:p>
        </w:tc>
        <w:tc>
          <w:tcPr>
            <w:tcW w:w="1455" w:type="dxa"/>
            <w:tcBorders>
              <w:top w:val="single" w:sz="4" w:space="0" w:color="auto"/>
              <w:bottom w:val="single" w:sz="2" w:space="0" w:color="auto"/>
            </w:tcBorders>
            <w:vAlign w:val="center"/>
          </w:tcPr>
          <w:p w:rsidR="00C42A2A" w:rsidRPr="00432E72" w:rsidRDefault="00C42A2A" w:rsidP="00015CF7">
            <w:pPr>
              <w:spacing w:after="0"/>
              <w:ind w:left="-505" w:firstLine="0"/>
              <w:jc w:val="right"/>
              <w:rPr>
                <w:rFonts w:ascii="Arial Narrow" w:hAnsi="Arial Narrow"/>
                <w:lang w:val="es-ES" w:eastAsia="es-ES"/>
              </w:rPr>
            </w:pPr>
            <w:r w:rsidRPr="00432E72">
              <w:rPr>
                <w:rFonts w:ascii="Arial Narrow" w:hAnsi="Arial Narrow"/>
                <w:lang w:val="es-ES" w:eastAsia="es-ES"/>
              </w:rPr>
              <w:t>16</w:t>
            </w:r>
          </w:p>
        </w:tc>
      </w:tr>
      <w:tr w:rsidR="00C42A2A" w:rsidRPr="000E7062" w:rsidTr="00015CF7">
        <w:trPr>
          <w:trHeight w:val="255"/>
          <w:jc w:val="center"/>
        </w:trPr>
        <w:tc>
          <w:tcPr>
            <w:tcW w:w="4667" w:type="dxa"/>
            <w:tcBorders>
              <w:top w:val="single" w:sz="4" w:space="0" w:color="auto"/>
              <w:bottom w:val="single" w:sz="2" w:space="0" w:color="auto"/>
            </w:tcBorders>
            <w:vAlign w:val="center"/>
          </w:tcPr>
          <w:p w:rsidR="00C42A2A" w:rsidRPr="000E7062" w:rsidRDefault="00C42A2A" w:rsidP="00015CF7">
            <w:pPr>
              <w:spacing w:after="0"/>
              <w:ind w:firstLine="0"/>
              <w:jc w:val="left"/>
              <w:rPr>
                <w:rFonts w:ascii="Arial Narrow" w:hAnsi="Arial Narrow"/>
                <w:b/>
                <w:i/>
                <w:lang w:val="es-ES" w:eastAsia="es-ES"/>
              </w:rPr>
            </w:pPr>
            <w:r w:rsidRPr="000E7062">
              <w:rPr>
                <w:rFonts w:ascii="Arial Narrow" w:hAnsi="Arial Narrow"/>
                <w:b/>
                <w:i/>
                <w:lang w:val="es-ES" w:eastAsia="es-ES"/>
              </w:rPr>
              <w:t>Investigadores</w:t>
            </w:r>
          </w:p>
        </w:tc>
        <w:tc>
          <w:tcPr>
            <w:tcW w:w="1454" w:type="dxa"/>
            <w:tcBorders>
              <w:top w:val="single" w:sz="4" w:space="0" w:color="auto"/>
              <w:bottom w:val="single" w:sz="2" w:space="0" w:color="auto"/>
            </w:tcBorders>
            <w:vAlign w:val="center"/>
          </w:tcPr>
          <w:p w:rsidR="00C42A2A" w:rsidRPr="000E7062" w:rsidRDefault="00C42A2A" w:rsidP="00817E66">
            <w:pPr>
              <w:spacing w:after="0"/>
              <w:ind w:right="9" w:firstLine="0"/>
              <w:jc w:val="right"/>
              <w:rPr>
                <w:rFonts w:ascii="Arial Narrow" w:hAnsi="Arial Narrow"/>
                <w:b/>
                <w:i/>
                <w:lang w:val="es-ES" w:eastAsia="es-ES"/>
              </w:rPr>
            </w:pPr>
            <w:r w:rsidRPr="000E7062">
              <w:rPr>
                <w:rFonts w:ascii="Arial Narrow" w:hAnsi="Arial Narrow"/>
                <w:b/>
                <w:i/>
                <w:lang w:val="es-ES" w:eastAsia="es-ES"/>
              </w:rPr>
              <w:t>3</w:t>
            </w:r>
          </w:p>
        </w:tc>
        <w:tc>
          <w:tcPr>
            <w:tcW w:w="1454" w:type="dxa"/>
            <w:tcBorders>
              <w:top w:val="single" w:sz="4" w:space="0" w:color="auto"/>
              <w:bottom w:val="single" w:sz="2" w:space="0" w:color="auto"/>
            </w:tcBorders>
            <w:vAlign w:val="center"/>
          </w:tcPr>
          <w:p w:rsidR="00C42A2A" w:rsidRPr="000E7062" w:rsidRDefault="00C42A2A" w:rsidP="00015CF7">
            <w:pPr>
              <w:tabs>
                <w:tab w:val="left" w:pos="1192"/>
              </w:tabs>
              <w:spacing w:after="0"/>
              <w:ind w:right="46" w:firstLine="0"/>
              <w:jc w:val="right"/>
              <w:rPr>
                <w:rFonts w:ascii="Arial Narrow" w:hAnsi="Arial Narrow"/>
                <w:b/>
                <w:i/>
                <w:lang w:val="es-ES" w:eastAsia="es-ES"/>
              </w:rPr>
            </w:pPr>
            <w:r w:rsidRPr="000E7062">
              <w:rPr>
                <w:rFonts w:ascii="Arial Narrow" w:hAnsi="Arial Narrow"/>
                <w:b/>
                <w:i/>
                <w:lang w:val="es-ES" w:eastAsia="es-ES"/>
              </w:rPr>
              <w:t>4</w:t>
            </w:r>
          </w:p>
        </w:tc>
        <w:tc>
          <w:tcPr>
            <w:tcW w:w="1455" w:type="dxa"/>
            <w:tcBorders>
              <w:top w:val="single" w:sz="4" w:space="0" w:color="auto"/>
              <w:bottom w:val="single" w:sz="2" w:space="0" w:color="auto"/>
            </w:tcBorders>
            <w:vAlign w:val="center"/>
          </w:tcPr>
          <w:p w:rsidR="00C42A2A" w:rsidRPr="000E7062" w:rsidRDefault="00C42A2A" w:rsidP="00015CF7">
            <w:pPr>
              <w:spacing w:after="0"/>
              <w:ind w:left="-505" w:firstLine="0"/>
              <w:jc w:val="right"/>
              <w:rPr>
                <w:rFonts w:ascii="Arial Narrow" w:hAnsi="Arial Narrow"/>
                <w:b/>
                <w:i/>
                <w:lang w:val="es-ES" w:eastAsia="es-ES"/>
              </w:rPr>
            </w:pPr>
            <w:r w:rsidRPr="000E7062">
              <w:rPr>
                <w:rFonts w:ascii="Arial Narrow" w:hAnsi="Arial Narrow"/>
                <w:b/>
                <w:i/>
                <w:lang w:val="es-ES" w:eastAsia="es-ES"/>
              </w:rPr>
              <w:t>4</w:t>
            </w:r>
          </w:p>
        </w:tc>
      </w:tr>
      <w:tr w:rsidR="00C42A2A" w:rsidRPr="00817E66" w:rsidTr="00670292">
        <w:trPr>
          <w:trHeight w:val="255"/>
          <w:jc w:val="center"/>
        </w:trPr>
        <w:tc>
          <w:tcPr>
            <w:tcW w:w="4667" w:type="dxa"/>
            <w:tcBorders>
              <w:top w:val="single" w:sz="4" w:space="0" w:color="auto"/>
              <w:bottom w:val="single" w:sz="2" w:space="0" w:color="auto"/>
            </w:tcBorders>
            <w:shd w:val="clear" w:color="auto" w:fill="A8CBEE" w:themeFill="accent2" w:themeFillTint="66"/>
            <w:vAlign w:val="center"/>
          </w:tcPr>
          <w:p w:rsidR="00C42A2A" w:rsidRPr="00817E66" w:rsidRDefault="00C42A2A" w:rsidP="00015CF7">
            <w:pPr>
              <w:spacing w:after="0"/>
              <w:ind w:firstLine="0"/>
              <w:jc w:val="left"/>
              <w:rPr>
                <w:rFonts w:ascii="Arial" w:hAnsi="Arial" w:cs="Arial"/>
                <w:sz w:val="18"/>
                <w:szCs w:val="18"/>
                <w:lang w:val="es-ES" w:eastAsia="es-ES"/>
              </w:rPr>
            </w:pPr>
            <w:r w:rsidRPr="00817E66">
              <w:rPr>
                <w:rFonts w:ascii="Arial" w:hAnsi="Arial" w:cs="Arial"/>
                <w:sz w:val="18"/>
                <w:szCs w:val="18"/>
                <w:lang w:val="es-ES" w:eastAsia="es-ES"/>
              </w:rPr>
              <w:t>Total PDI</w:t>
            </w:r>
          </w:p>
        </w:tc>
        <w:tc>
          <w:tcPr>
            <w:tcW w:w="1454" w:type="dxa"/>
            <w:tcBorders>
              <w:top w:val="single" w:sz="4" w:space="0" w:color="auto"/>
              <w:bottom w:val="single" w:sz="2" w:space="0" w:color="auto"/>
            </w:tcBorders>
            <w:shd w:val="clear" w:color="auto" w:fill="A8CBEE" w:themeFill="accent2" w:themeFillTint="66"/>
            <w:vAlign w:val="center"/>
          </w:tcPr>
          <w:p w:rsidR="00C42A2A" w:rsidRPr="00817E66" w:rsidRDefault="00C42A2A" w:rsidP="00817E66">
            <w:pPr>
              <w:spacing w:after="0"/>
              <w:ind w:right="9" w:firstLine="0"/>
              <w:jc w:val="right"/>
              <w:rPr>
                <w:rFonts w:ascii="Arial" w:hAnsi="Arial" w:cs="Arial"/>
                <w:sz w:val="18"/>
                <w:szCs w:val="18"/>
                <w:lang w:val="es-ES" w:eastAsia="es-ES"/>
              </w:rPr>
            </w:pPr>
            <w:r w:rsidRPr="00817E66">
              <w:rPr>
                <w:rFonts w:ascii="Arial" w:hAnsi="Arial" w:cs="Arial"/>
                <w:sz w:val="18"/>
                <w:szCs w:val="18"/>
                <w:lang w:val="es-ES" w:eastAsia="es-ES"/>
              </w:rPr>
              <w:t>866</w:t>
            </w:r>
          </w:p>
        </w:tc>
        <w:tc>
          <w:tcPr>
            <w:tcW w:w="1454" w:type="dxa"/>
            <w:tcBorders>
              <w:top w:val="single" w:sz="4" w:space="0" w:color="auto"/>
              <w:bottom w:val="single" w:sz="2" w:space="0" w:color="auto"/>
            </w:tcBorders>
            <w:shd w:val="clear" w:color="auto" w:fill="A8CBEE" w:themeFill="accent2" w:themeFillTint="66"/>
            <w:vAlign w:val="center"/>
          </w:tcPr>
          <w:p w:rsidR="00C42A2A" w:rsidRPr="00817E66" w:rsidRDefault="00C42A2A" w:rsidP="00015CF7">
            <w:pPr>
              <w:tabs>
                <w:tab w:val="left" w:pos="1192"/>
              </w:tabs>
              <w:spacing w:after="0"/>
              <w:ind w:right="46" w:firstLine="0"/>
              <w:jc w:val="right"/>
              <w:rPr>
                <w:rFonts w:ascii="Arial" w:hAnsi="Arial" w:cs="Arial"/>
                <w:sz w:val="18"/>
                <w:szCs w:val="18"/>
                <w:lang w:val="es-ES" w:eastAsia="es-ES"/>
              </w:rPr>
            </w:pPr>
            <w:r w:rsidRPr="00817E66">
              <w:rPr>
                <w:rFonts w:ascii="Arial" w:hAnsi="Arial" w:cs="Arial"/>
                <w:sz w:val="18"/>
                <w:szCs w:val="18"/>
                <w:lang w:val="es-ES" w:eastAsia="es-ES"/>
              </w:rPr>
              <w:t>889</w:t>
            </w:r>
          </w:p>
        </w:tc>
        <w:tc>
          <w:tcPr>
            <w:tcW w:w="1455" w:type="dxa"/>
            <w:tcBorders>
              <w:top w:val="single" w:sz="4" w:space="0" w:color="auto"/>
              <w:bottom w:val="single" w:sz="2" w:space="0" w:color="auto"/>
            </w:tcBorders>
            <w:shd w:val="clear" w:color="auto" w:fill="A8CBEE" w:themeFill="accent2" w:themeFillTint="66"/>
            <w:vAlign w:val="center"/>
          </w:tcPr>
          <w:p w:rsidR="00C42A2A" w:rsidRPr="00817E66" w:rsidRDefault="00C42A2A" w:rsidP="00015CF7">
            <w:pPr>
              <w:spacing w:after="0"/>
              <w:ind w:left="-505" w:firstLine="0"/>
              <w:jc w:val="right"/>
              <w:rPr>
                <w:rFonts w:ascii="Arial" w:hAnsi="Arial" w:cs="Arial"/>
                <w:sz w:val="18"/>
                <w:szCs w:val="18"/>
                <w:lang w:val="es-ES" w:eastAsia="es-ES"/>
              </w:rPr>
            </w:pPr>
            <w:r w:rsidRPr="00817E66">
              <w:rPr>
                <w:rFonts w:ascii="Arial" w:hAnsi="Arial" w:cs="Arial"/>
                <w:sz w:val="18"/>
                <w:szCs w:val="18"/>
                <w:lang w:val="es-ES" w:eastAsia="es-ES"/>
              </w:rPr>
              <w:t>905</w:t>
            </w:r>
          </w:p>
        </w:tc>
      </w:tr>
      <w:tr w:rsidR="00C42A2A" w:rsidRPr="00817E66" w:rsidTr="00670292">
        <w:trPr>
          <w:trHeight w:val="255"/>
          <w:jc w:val="center"/>
        </w:trPr>
        <w:tc>
          <w:tcPr>
            <w:tcW w:w="4667" w:type="dxa"/>
            <w:tcBorders>
              <w:top w:val="single" w:sz="4" w:space="0" w:color="auto"/>
              <w:bottom w:val="single" w:sz="2" w:space="0" w:color="auto"/>
            </w:tcBorders>
            <w:shd w:val="clear" w:color="auto" w:fill="A8CBEE" w:themeFill="accent2" w:themeFillTint="66"/>
            <w:vAlign w:val="center"/>
          </w:tcPr>
          <w:p w:rsidR="00C42A2A" w:rsidRPr="00817E66" w:rsidRDefault="00C42A2A" w:rsidP="00015CF7">
            <w:pPr>
              <w:spacing w:after="0"/>
              <w:ind w:firstLine="0"/>
              <w:jc w:val="left"/>
              <w:rPr>
                <w:rFonts w:ascii="Arial" w:hAnsi="Arial" w:cs="Arial"/>
                <w:sz w:val="18"/>
                <w:szCs w:val="18"/>
                <w:lang w:val="es-ES" w:eastAsia="es-ES"/>
              </w:rPr>
            </w:pPr>
            <w:r w:rsidRPr="00817E66">
              <w:rPr>
                <w:rFonts w:ascii="Arial" w:hAnsi="Arial" w:cs="Arial"/>
                <w:sz w:val="18"/>
                <w:szCs w:val="18"/>
                <w:lang w:val="es-ES" w:eastAsia="es-ES"/>
              </w:rPr>
              <w:t>Personal administración y servicios (PAS)</w:t>
            </w:r>
          </w:p>
        </w:tc>
        <w:tc>
          <w:tcPr>
            <w:tcW w:w="1454" w:type="dxa"/>
            <w:tcBorders>
              <w:top w:val="single" w:sz="4" w:space="0" w:color="auto"/>
              <w:bottom w:val="single" w:sz="2" w:space="0" w:color="auto"/>
            </w:tcBorders>
            <w:shd w:val="clear" w:color="auto" w:fill="A8CBEE" w:themeFill="accent2" w:themeFillTint="66"/>
            <w:vAlign w:val="center"/>
          </w:tcPr>
          <w:p w:rsidR="00C42A2A" w:rsidRPr="00817E66" w:rsidRDefault="00C42A2A" w:rsidP="00817E66">
            <w:pPr>
              <w:spacing w:after="0"/>
              <w:ind w:right="9" w:firstLine="0"/>
              <w:jc w:val="right"/>
              <w:rPr>
                <w:rFonts w:ascii="Arial" w:hAnsi="Arial" w:cs="Arial"/>
                <w:sz w:val="18"/>
                <w:szCs w:val="18"/>
                <w:lang w:val="es-ES" w:eastAsia="es-ES"/>
              </w:rPr>
            </w:pPr>
          </w:p>
        </w:tc>
        <w:tc>
          <w:tcPr>
            <w:tcW w:w="1454" w:type="dxa"/>
            <w:tcBorders>
              <w:top w:val="single" w:sz="4" w:space="0" w:color="auto"/>
              <w:bottom w:val="single" w:sz="2" w:space="0" w:color="auto"/>
            </w:tcBorders>
            <w:shd w:val="clear" w:color="auto" w:fill="A8CBEE" w:themeFill="accent2" w:themeFillTint="66"/>
            <w:vAlign w:val="center"/>
          </w:tcPr>
          <w:p w:rsidR="00C42A2A" w:rsidRPr="00817E66" w:rsidRDefault="00C42A2A" w:rsidP="00015CF7">
            <w:pPr>
              <w:tabs>
                <w:tab w:val="left" w:pos="1192"/>
              </w:tabs>
              <w:spacing w:after="0"/>
              <w:ind w:right="46" w:firstLine="0"/>
              <w:jc w:val="right"/>
              <w:rPr>
                <w:rFonts w:ascii="Arial" w:hAnsi="Arial" w:cs="Arial"/>
                <w:sz w:val="18"/>
                <w:szCs w:val="18"/>
                <w:lang w:val="es-ES" w:eastAsia="es-ES"/>
              </w:rPr>
            </w:pPr>
          </w:p>
        </w:tc>
        <w:tc>
          <w:tcPr>
            <w:tcW w:w="1455" w:type="dxa"/>
            <w:tcBorders>
              <w:top w:val="single" w:sz="4" w:space="0" w:color="auto"/>
              <w:bottom w:val="single" w:sz="2" w:space="0" w:color="auto"/>
            </w:tcBorders>
            <w:shd w:val="clear" w:color="auto" w:fill="A8CBEE" w:themeFill="accent2" w:themeFillTint="66"/>
            <w:vAlign w:val="center"/>
          </w:tcPr>
          <w:p w:rsidR="00C42A2A" w:rsidRPr="00817E66" w:rsidRDefault="00C42A2A" w:rsidP="00015CF7">
            <w:pPr>
              <w:spacing w:after="0"/>
              <w:ind w:left="-505" w:firstLine="0"/>
              <w:jc w:val="right"/>
              <w:rPr>
                <w:rFonts w:ascii="Arial" w:hAnsi="Arial" w:cs="Arial"/>
                <w:sz w:val="18"/>
                <w:szCs w:val="18"/>
                <w:lang w:val="es-ES" w:eastAsia="es-ES"/>
              </w:rPr>
            </w:pPr>
          </w:p>
        </w:tc>
      </w:tr>
      <w:tr w:rsidR="00C42A2A" w:rsidRPr="00422C0A" w:rsidTr="00015CF7">
        <w:trPr>
          <w:trHeight w:val="255"/>
          <w:jc w:val="center"/>
        </w:trPr>
        <w:tc>
          <w:tcPr>
            <w:tcW w:w="4667" w:type="dxa"/>
            <w:tcBorders>
              <w:top w:val="single" w:sz="4" w:space="0" w:color="auto"/>
              <w:bottom w:val="single" w:sz="2" w:space="0" w:color="auto"/>
            </w:tcBorders>
            <w:vAlign w:val="center"/>
          </w:tcPr>
          <w:p w:rsidR="00C42A2A" w:rsidRPr="00422C0A" w:rsidRDefault="00C42A2A" w:rsidP="00015CF7">
            <w:pPr>
              <w:spacing w:after="0"/>
              <w:ind w:firstLine="0"/>
              <w:jc w:val="left"/>
              <w:rPr>
                <w:rFonts w:ascii="Arial Narrow" w:hAnsi="Arial Narrow"/>
                <w:b/>
                <w:i/>
                <w:lang w:val="es-ES" w:eastAsia="es-ES"/>
              </w:rPr>
            </w:pPr>
            <w:r w:rsidRPr="00422C0A">
              <w:rPr>
                <w:rFonts w:ascii="Arial Narrow" w:hAnsi="Arial Narrow"/>
                <w:b/>
                <w:i/>
                <w:lang w:val="es-ES" w:eastAsia="es-ES"/>
              </w:rPr>
              <w:t>Funcionario</w:t>
            </w:r>
          </w:p>
        </w:tc>
        <w:tc>
          <w:tcPr>
            <w:tcW w:w="1454" w:type="dxa"/>
            <w:tcBorders>
              <w:top w:val="single" w:sz="4" w:space="0" w:color="auto"/>
              <w:bottom w:val="single" w:sz="2" w:space="0" w:color="auto"/>
            </w:tcBorders>
            <w:vAlign w:val="center"/>
          </w:tcPr>
          <w:p w:rsidR="00C42A2A" w:rsidRPr="00422C0A" w:rsidRDefault="00C42A2A" w:rsidP="00817E66">
            <w:pPr>
              <w:spacing w:after="0"/>
              <w:ind w:right="9" w:firstLine="0"/>
              <w:jc w:val="right"/>
              <w:rPr>
                <w:rFonts w:ascii="Arial Narrow" w:hAnsi="Arial Narrow"/>
                <w:b/>
                <w:i/>
                <w:lang w:val="es-ES" w:eastAsia="es-ES"/>
              </w:rPr>
            </w:pPr>
            <w:r>
              <w:rPr>
                <w:rFonts w:ascii="Arial Narrow" w:hAnsi="Arial Narrow"/>
                <w:b/>
                <w:i/>
                <w:lang w:val="es-ES" w:eastAsia="es-ES"/>
              </w:rPr>
              <w:t>330</w:t>
            </w:r>
          </w:p>
        </w:tc>
        <w:tc>
          <w:tcPr>
            <w:tcW w:w="1454" w:type="dxa"/>
            <w:tcBorders>
              <w:top w:val="single" w:sz="4" w:space="0" w:color="auto"/>
              <w:bottom w:val="single" w:sz="2" w:space="0" w:color="auto"/>
            </w:tcBorders>
            <w:vAlign w:val="center"/>
          </w:tcPr>
          <w:p w:rsidR="00C42A2A" w:rsidRPr="00422C0A" w:rsidRDefault="00C42A2A" w:rsidP="00015CF7">
            <w:pPr>
              <w:tabs>
                <w:tab w:val="left" w:pos="1192"/>
              </w:tabs>
              <w:spacing w:after="0"/>
              <w:ind w:right="46" w:firstLine="0"/>
              <w:jc w:val="right"/>
              <w:rPr>
                <w:rFonts w:ascii="Arial Narrow" w:hAnsi="Arial Narrow"/>
                <w:b/>
                <w:i/>
                <w:lang w:val="es-ES" w:eastAsia="es-ES"/>
              </w:rPr>
            </w:pPr>
            <w:r w:rsidRPr="00422C0A">
              <w:rPr>
                <w:rFonts w:ascii="Arial Narrow" w:hAnsi="Arial Narrow"/>
                <w:b/>
                <w:i/>
                <w:lang w:val="es-ES" w:eastAsia="es-ES"/>
              </w:rPr>
              <w:t>325</w:t>
            </w:r>
          </w:p>
        </w:tc>
        <w:tc>
          <w:tcPr>
            <w:tcW w:w="1455" w:type="dxa"/>
            <w:tcBorders>
              <w:top w:val="single" w:sz="4" w:space="0" w:color="auto"/>
              <w:bottom w:val="single" w:sz="2" w:space="0" w:color="auto"/>
            </w:tcBorders>
            <w:vAlign w:val="center"/>
          </w:tcPr>
          <w:p w:rsidR="00C42A2A" w:rsidRPr="00BC2D08" w:rsidRDefault="00C42A2A" w:rsidP="00015CF7">
            <w:pPr>
              <w:spacing w:after="0"/>
              <w:ind w:left="-505" w:firstLine="0"/>
              <w:jc w:val="right"/>
              <w:rPr>
                <w:rFonts w:ascii="Arial Narrow" w:hAnsi="Arial Narrow"/>
                <w:b/>
                <w:i/>
                <w:lang w:val="es-ES" w:eastAsia="es-ES"/>
              </w:rPr>
            </w:pPr>
            <w:r w:rsidRPr="00BC2D08">
              <w:rPr>
                <w:rFonts w:ascii="Arial Narrow" w:hAnsi="Arial Narrow"/>
                <w:b/>
                <w:i/>
                <w:lang w:val="es-ES" w:eastAsia="es-ES"/>
              </w:rPr>
              <w:t>326</w:t>
            </w:r>
          </w:p>
        </w:tc>
      </w:tr>
      <w:tr w:rsidR="00C42A2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lang w:val="es-ES" w:eastAsia="es-ES"/>
              </w:rPr>
            </w:pPr>
            <w:r w:rsidRPr="00432E72">
              <w:rPr>
                <w:rFonts w:ascii="Arial Narrow" w:hAnsi="Arial Narrow"/>
                <w:lang w:val="es-ES" w:eastAsia="es-ES"/>
              </w:rPr>
              <w:t xml:space="preserve">   Nivel A</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lang w:val="es-ES" w:eastAsia="es-ES"/>
              </w:rPr>
            </w:pPr>
            <w:r>
              <w:rPr>
                <w:rFonts w:ascii="Arial Narrow" w:hAnsi="Arial Narrow"/>
                <w:lang w:val="es-ES" w:eastAsia="es-ES"/>
              </w:rPr>
              <w:t>48</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lang w:val="es-ES" w:eastAsia="es-ES"/>
              </w:rPr>
            </w:pPr>
            <w:r w:rsidRPr="00432E72">
              <w:rPr>
                <w:rFonts w:ascii="Arial Narrow" w:hAnsi="Arial Narrow"/>
                <w:lang w:val="es-ES" w:eastAsia="es-ES"/>
              </w:rPr>
              <w:t>49</w:t>
            </w:r>
          </w:p>
        </w:tc>
        <w:tc>
          <w:tcPr>
            <w:tcW w:w="1455" w:type="dxa"/>
            <w:tcBorders>
              <w:top w:val="single" w:sz="4" w:space="0" w:color="auto"/>
              <w:bottom w:val="single" w:sz="2" w:space="0" w:color="auto"/>
            </w:tcBorders>
            <w:vAlign w:val="center"/>
          </w:tcPr>
          <w:p w:rsidR="00C42A2A" w:rsidRPr="00BC2D08" w:rsidRDefault="00C42A2A" w:rsidP="00015CF7">
            <w:pPr>
              <w:spacing w:after="0"/>
              <w:ind w:left="-505" w:firstLine="0"/>
              <w:jc w:val="right"/>
              <w:rPr>
                <w:rFonts w:ascii="Arial Narrow" w:hAnsi="Arial Narrow"/>
                <w:lang w:val="es-ES" w:eastAsia="es-ES"/>
              </w:rPr>
            </w:pPr>
            <w:r w:rsidRPr="00BC2D08">
              <w:rPr>
                <w:rFonts w:ascii="Arial Narrow" w:hAnsi="Arial Narrow"/>
                <w:lang w:val="es-ES" w:eastAsia="es-ES"/>
              </w:rPr>
              <w:t>52</w:t>
            </w:r>
          </w:p>
        </w:tc>
      </w:tr>
      <w:tr w:rsidR="00C42A2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lang w:val="es-ES" w:eastAsia="es-ES"/>
              </w:rPr>
            </w:pPr>
            <w:r w:rsidRPr="00432E72">
              <w:rPr>
                <w:rFonts w:ascii="Arial Narrow" w:hAnsi="Arial Narrow"/>
                <w:lang w:val="es-ES" w:eastAsia="es-ES"/>
              </w:rPr>
              <w:t xml:space="preserve">   Nivel B</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lang w:val="es-ES" w:eastAsia="es-ES"/>
              </w:rPr>
            </w:pPr>
            <w:r>
              <w:rPr>
                <w:rFonts w:ascii="Arial Narrow" w:hAnsi="Arial Narrow"/>
                <w:lang w:val="es-ES" w:eastAsia="es-ES"/>
              </w:rPr>
              <w:t>56</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lang w:val="es-ES" w:eastAsia="es-ES"/>
              </w:rPr>
            </w:pPr>
            <w:r w:rsidRPr="00432E72">
              <w:rPr>
                <w:rFonts w:ascii="Arial Narrow" w:hAnsi="Arial Narrow"/>
                <w:lang w:val="es-ES" w:eastAsia="es-ES"/>
              </w:rPr>
              <w:t>56</w:t>
            </w:r>
          </w:p>
        </w:tc>
        <w:tc>
          <w:tcPr>
            <w:tcW w:w="1455" w:type="dxa"/>
            <w:tcBorders>
              <w:top w:val="single" w:sz="4" w:space="0" w:color="auto"/>
              <w:bottom w:val="single" w:sz="2" w:space="0" w:color="auto"/>
            </w:tcBorders>
            <w:vAlign w:val="center"/>
          </w:tcPr>
          <w:p w:rsidR="00C42A2A" w:rsidRPr="00BC2D08" w:rsidRDefault="00C42A2A" w:rsidP="00015CF7">
            <w:pPr>
              <w:spacing w:after="0"/>
              <w:ind w:left="-505" w:firstLine="0"/>
              <w:jc w:val="right"/>
              <w:rPr>
                <w:rFonts w:ascii="Arial Narrow" w:hAnsi="Arial Narrow"/>
                <w:lang w:val="es-ES" w:eastAsia="es-ES"/>
              </w:rPr>
            </w:pPr>
            <w:r w:rsidRPr="00BC2D08">
              <w:rPr>
                <w:rFonts w:ascii="Arial Narrow" w:hAnsi="Arial Narrow"/>
                <w:lang w:val="es-ES" w:eastAsia="es-ES"/>
              </w:rPr>
              <w:t>58</w:t>
            </w:r>
          </w:p>
        </w:tc>
      </w:tr>
      <w:tr w:rsidR="00C42A2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lang w:val="es-ES" w:eastAsia="es-ES"/>
              </w:rPr>
            </w:pPr>
            <w:r w:rsidRPr="00432E72">
              <w:rPr>
                <w:rFonts w:ascii="Arial Narrow" w:hAnsi="Arial Narrow"/>
                <w:lang w:val="es-ES" w:eastAsia="es-ES"/>
              </w:rPr>
              <w:t xml:space="preserve">   Nivel C</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lang w:val="es-ES" w:eastAsia="es-ES"/>
              </w:rPr>
            </w:pPr>
            <w:r>
              <w:rPr>
                <w:rFonts w:ascii="Arial Narrow" w:hAnsi="Arial Narrow"/>
                <w:lang w:val="es-ES" w:eastAsia="es-ES"/>
              </w:rPr>
              <w:t>101</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lang w:val="es-ES" w:eastAsia="es-ES"/>
              </w:rPr>
            </w:pPr>
            <w:r w:rsidRPr="00432E72">
              <w:rPr>
                <w:rFonts w:ascii="Arial Narrow" w:hAnsi="Arial Narrow"/>
                <w:lang w:val="es-ES" w:eastAsia="es-ES"/>
              </w:rPr>
              <w:t>100</w:t>
            </w:r>
          </w:p>
        </w:tc>
        <w:tc>
          <w:tcPr>
            <w:tcW w:w="1455" w:type="dxa"/>
            <w:tcBorders>
              <w:top w:val="single" w:sz="4" w:space="0" w:color="auto"/>
              <w:bottom w:val="single" w:sz="2" w:space="0" w:color="auto"/>
            </w:tcBorders>
            <w:vAlign w:val="center"/>
          </w:tcPr>
          <w:p w:rsidR="00C42A2A" w:rsidRPr="00BC2D08" w:rsidRDefault="00C42A2A" w:rsidP="00015CF7">
            <w:pPr>
              <w:spacing w:after="0"/>
              <w:ind w:left="-505" w:firstLine="0"/>
              <w:jc w:val="right"/>
              <w:rPr>
                <w:rFonts w:ascii="Arial Narrow" w:hAnsi="Arial Narrow"/>
                <w:lang w:val="es-ES" w:eastAsia="es-ES"/>
              </w:rPr>
            </w:pPr>
            <w:r w:rsidRPr="00BC2D08">
              <w:rPr>
                <w:rFonts w:ascii="Arial Narrow" w:hAnsi="Arial Narrow"/>
                <w:lang w:val="es-ES" w:eastAsia="es-ES"/>
              </w:rPr>
              <w:t>98</w:t>
            </w:r>
          </w:p>
        </w:tc>
      </w:tr>
      <w:tr w:rsidR="00C42A2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lang w:val="es-ES" w:eastAsia="es-ES"/>
              </w:rPr>
            </w:pPr>
            <w:r w:rsidRPr="00432E72">
              <w:rPr>
                <w:rFonts w:ascii="Arial Narrow" w:hAnsi="Arial Narrow"/>
                <w:lang w:val="es-ES" w:eastAsia="es-ES"/>
              </w:rPr>
              <w:t xml:space="preserve">   Nivel D</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lang w:val="es-ES" w:eastAsia="es-ES"/>
              </w:rPr>
            </w:pPr>
            <w:r>
              <w:rPr>
                <w:rFonts w:ascii="Arial Narrow" w:hAnsi="Arial Narrow"/>
                <w:lang w:val="es-ES" w:eastAsia="es-ES"/>
              </w:rPr>
              <w:t>110</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lang w:val="es-ES" w:eastAsia="es-ES"/>
              </w:rPr>
            </w:pPr>
            <w:r w:rsidRPr="00432E72">
              <w:rPr>
                <w:rFonts w:ascii="Arial Narrow" w:hAnsi="Arial Narrow"/>
                <w:lang w:val="es-ES" w:eastAsia="es-ES"/>
              </w:rPr>
              <w:t>105</w:t>
            </w:r>
          </w:p>
        </w:tc>
        <w:tc>
          <w:tcPr>
            <w:tcW w:w="1455" w:type="dxa"/>
            <w:tcBorders>
              <w:top w:val="single" w:sz="4" w:space="0" w:color="auto"/>
              <w:bottom w:val="single" w:sz="2" w:space="0" w:color="auto"/>
            </w:tcBorders>
            <w:vAlign w:val="center"/>
          </w:tcPr>
          <w:p w:rsidR="00C42A2A" w:rsidRPr="00BC2D08" w:rsidRDefault="00C42A2A" w:rsidP="00015CF7">
            <w:pPr>
              <w:spacing w:after="0"/>
              <w:ind w:left="-505" w:firstLine="0"/>
              <w:jc w:val="right"/>
              <w:rPr>
                <w:rFonts w:ascii="Arial Narrow" w:hAnsi="Arial Narrow"/>
                <w:lang w:val="es-ES" w:eastAsia="es-ES"/>
              </w:rPr>
            </w:pPr>
            <w:r w:rsidRPr="00BC2D08">
              <w:rPr>
                <w:rFonts w:ascii="Arial Narrow" w:hAnsi="Arial Narrow"/>
                <w:lang w:val="es-ES" w:eastAsia="es-ES"/>
              </w:rPr>
              <w:t>103</w:t>
            </w:r>
          </w:p>
        </w:tc>
      </w:tr>
      <w:tr w:rsidR="00C42A2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lang w:val="es-ES" w:eastAsia="es-ES"/>
              </w:rPr>
            </w:pPr>
            <w:r w:rsidRPr="00432E72">
              <w:rPr>
                <w:rFonts w:ascii="Arial Narrow" w:hAnsi="Arial Narrow"/>
                <w:lang w:val="es-ES" w:eastAsia="es-ES"/>
              </w:rPr>
              <w:t xml:space="preserve">   Nivel E</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lang w:val="es-ES" w:eastAsia="es-ES"/>
              </w:rPr>
            </w:pPr>
            <w:r>
              <w:rPr>
                <w:rFonts w:ascii="Arial Narrow" w:hAnsi="Arial Narrow"/>
                <w:lang w:val="es-ES" w:eastAsia="es-ES"/>
              </w:rPr>
              <w:t>15</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lang w:val="es-ES" w:eastAsia="es-ES"/>
              </w:rPr>
            </w:pPr>
            <w:r w:rsidRPr="00432E72">
              <w:rPr>
                <w:rFonts w:ascii="Arial Narrow" w:hAnsi="Arial Narrow"/>
                <w:lang w:val="es-ES" w:eastAsia="es-ES"/>
              </w:rPr>
              <w:t>15</w:t>
            </w:r>
          </w:p>
        </w:tc>
        <w:tc>
          <w:tcPr>
            <w:tcW w:w="1455" w:type="dxa"/>
            <w:tcBorders>
              <w:top w:val="single" w:sz="4" w:space="0" w:color="auto"/>
              <w:bottom w:val="single" w:sz="2" w:space="0" w:color="auto"/>
            </w:tcBorders>
            <w:vAlign w:val="center"/>
          </w:tcPr>
          <w:p w:rsidR="00C42A2A" w:rsidRPr="00BC2D08" w:rsidRDefault="00C42A2A" w:rsidP="00015CF7">
            <w:pPr>
              <w:spacing w:after="0"/>
              <w:ind w:left="-505" w:firstLine="0"/>
              <w:jc w:val="right"/>
              <w:rPr>
                <w:rFonts w:ascii="Arial Narrow" w:hAnsi="Arial Narrow"/>
                <w:lang w:val="es-ES" w:eastAsia="es-ES"/>
              </w:rPr>
            </w:pPr>
            <w:r w:rsidRPr="00BC2D08">
              <w:rPr>
                <w:rFonts w:ascii="Arial Narrow" w:hAnsi="Arial Narrow"/>
                <w:lang w:val="es-ES" w:eastAsia="es-ES"/>
              </w:rPr>
              <w:t>15</w:t>
            </w:r>
          </w:p>
        </w:tc>
      </w:tr>
      <w:tr w:rsidR="00C42A2A" w:rsidRPr="00422C0A" w:rsidTr="00015CF7">
        <w:trPr>
          <w:trHeight w:val="255"/>
          <w:jc w:val="center"/>
        </w:trPr>
        <w:tc>
          <w:tcPr>
            <w:tcW w:w="4667" w:type="dxa"/>
            <w:tcBorders>
              <w:top w:val="single" w:sz="4" w:space="0" w:color="auto"/>
              <w:bottom w:val="single" w:sz="2" w:space="0" w:color="auto"/>
            </w:tcBorders>
            <w:vAlign w:val="center"/>
          </w:tcPr>
          <w:p w:rsidR="00C42A2A" w:rsidRPr="00422C0A" w:rsidRDefault="00C42A2A" w:rsidP="00015CF7">
            <w:pPr>
              <w:spacing w:after="0"/>
              <w:ind w:firstLine="0"/>
              <w:jc w:val="left"/>
              <w:rPr>
                <w:rFonts w:ascii="Arial Narrow" w:hAnsi="Arial Narrow"/>
                <w:b/>
                <w:i/>
                <w:lang w:val="es-ES" w:eastAsia="es-ES"/>
              </w:rPr>
            </w:pPr>
            <w:r w:rsidRPr="00422C0A">
              <w:rPr>
                <w:rFonts w:ascii="Arial Narrow" w:hAnsi="Arial Narrow"/>
                <w:b/>
                <w:i/>
                <w:lang w:val="es-ES" w:eastAsia="es-ES"/>
              </w:rPr>
              <w:t>Contratado</w:t>
            </w:r>
          </w:p>
        </w:tc>
        <w:tc>
          <w:tcPr>
            <w:tcW w:w="1454" w:type="dxa"/>
            <w:tcBorders>
              <w:top w:val="single" w:sz="4" w:space="0" w:color="auto"/>
              <w:bottom w:val="single" w:sz="2" w:space="0" w:color="auto"/>
            </w:tcBorders>
            <w:vAlign w:val="center"/>
          </w:tcPr>
          <w:p w:rsidR="00C42A2A" w:rsidRPr="00422C0A" w:rsidRDefault="00C42A2A" w:rsidP="00817E66">
            <w:pPr>
              <w:spacing w:after="0"/>
              <w:ind w:right="9" w:firstLine="0"/>
              <w:jc w:val="right"/>
              <w:rPr>
                <w:rFonts w:ascii="Arial Narrow" w:hAnsi="Arial Narrow"/>
                <w:b/>
                <w:i/>
                <w:lang w:val="es-ES" w:eastAsia="es-ES"/>
              </w:rPr>
            </w:pPr>
            <w:r>
              <w:rPr>
                <w:rFonts w:ascii="Arial Narrow" w:hAnsi="Arial Narrow"/>
                <w:b/>
                <w:i/>
                <w:lang w:val="es-ES" w:eastAsia="es-ES"/>
              </w:rPr>
              <w:t>114</w:t>
            </w:r>
          </w:p>
        </w:tc>
        <w:tc>
          <w:tcPr>
            <w:tcW w:w="1454" w:type="dxa"/>
            <w:tcBorders>
              <w:top w:val="single" w:sz="4" w:space="0" w:color="auto"/>
              <w:bottom w:val="single" w:sz="2" w:space="0" w:color="auto"/>
            </w:tcBorders>
            <w:vAlign w:val="center"/>
          </w:tcPr>
          <w:p w:rsidR="00C42A2A" w:rsidRPr="00422C0A" w:rsidRDefault="00C42A2A" w:rsidP="00015CF7">
            <w:pPr>
              <w:tabs>
                <w:tab w:val="left" w:pos="1192"/>
              </w:tabs>
              <w:spacing w:after="0"/>
              <w:ind w:right="46" w:firstLine="0"/>
              <w:jc w:val="right"/>
              <w:rPr>
                <w:rFonts w:ascii="Arial Narrow" w:hAnsi="Arial Narrow"/>
                <w:b/>
                <w:i/>
                <w:lang w:val="es-ES" w:eastAsia="es-ES"/>
              </w:rPr>
            </w:pPr>
            <w:r w:rsidRPr="00422C0A">
              <w:rPr>
                <w:rFonts w:ascii="Arial Narrow" w:hAnsi="Arial Narrow"/>
                <w:b/>
                <w:i/>
                <w:lang w:val="es-ES" w:eastAsia="es-ES"/>
              </w:rPr>
              <w:t>131</w:t>
            </w:r>
          </w:p>
        </w:tc>
        <w:tc>
          <w:tcPr>
            <w:tcW w:w="1455" w:type="dxa"/>
            <w:tcBorders>
              <w:top w:val="single" w:sz="4" w:space="0" w:color="auto"/>
              <w:bottom w:val="single" w:sz="2" w:space="0" w:color="auto"/>
            </w:tcBorders>
            <w:vAlign w:val="center"/>
          </w:tcPr>
          <w:p w:rsidR="00C42A2A" w:rsidRPr="00BC2D08" w:rsidRDefault="00C42A2A" w:rsidP="00015CF7">
            <w:pPr>
              <w:spacing w:after="0"/>
              <w:ind w:left="-505" w:firstLine="0"/>
              <w:jc w:val="right"/>
              <w:rPr>
                <w:rFonts w:ascii="Arial Narrow" w:hAnsi="Arial Narrow"/>
                <w:b/>
                <w:i/>
                <w:lang w:val="es-ES" w:eastAsia="es-ES"/>
              </w:rPr>
            </w:pPr>
            <w:r w:rsidRPr="00BC2D08">
              <w:rPr>
                <w:rFonts w:ascii="Arial Narrow" w:hAnsi="Arial Narrow"/>
                <w:b/>
                <w:i/>
                <w:lang w:val="es-ES" w:eastAsia="es-ES"/>
              </w:rPr>
              <w:t>143</w:t>
            </w:r>
          </w:p>
        </w:tc>
      </w:tr>
      <w:tr w:rsidR="00C42A2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lang w:val="es-ES" w:eastAsia="es-ES"/>
              </w:rPr>
            </w:pPr>
            <w:r w:rsidRPr="00432E72">
              <w:rPr>
                <w:rFonts w:ascii="Arial Narrow" w:hAnsi="Arial Narrow"/>
                <w:lang w:val="es-ES" w:eastAsia="es-ES"/>
              </w:rPr>
              <w:t xml:space="preserve">   Nivel A</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lang w:val="es-ES" w:eastAsia="es-ES"/>
              </w:rPr>
            </w:pPr>
            <w:r>
              <w:rPr>
                <w:rFonts w:ascii="Arial Narrow" w:hAnsi="Arial Narrow"/>
                <w:lang w:val="es-ES" w:eastAsia="es-ES"/>
              </w:rPr>
              <w:t>20</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lang w:val="es-ES" w:eastAsia="es-ES"/>
              </w:rPr>
            </w:pPr>
            <w:r w:rsidRPr="00432E72">
              <w:rPr>
                <w:rFonts w:ascii="Arial Narrow" w:hAnsi="Arial Narrow"/>
                <w:lang w:val="es-ES" w:eastAsia="es-ES"/>
              </w:rPr>
              <w:t>21</w:t>
            </w:r>
          </w:p>
        </w:tc>
        <w:tc>
          <w:tcPr>
            <w:tcW w:w="1455" w:type="dxa"/>
            <w:tcBorders>
              <w:top w:val="single" w:sz="4" w:space="0" w:color="auto"/>
              <w:bottom w:val="single" w:sz="2" w:space="0" w:color="auto"/>
            </w:tcBorders>
            <w:vAlign w:val="center"/>
          </w:tcPr>
          <w:p w:rsidR="00C42A2A" w:rsidRPr="00BC2D08" w:rsidRDefault="00C42A2A" w:rsidP="00015CF7">
            <w:pPr>
              <w:spacing w:after="0"/>
              <w:ind w:left="-505" w:firstLine="0"/>
              <w:jc w:val="right"/>
              <w:rPr>
                <w:rFonts w:ascii="Arial Narrow" w:hAnsi="Arial Narrow"/>
                <w:lang w:val="es-ES" w:eastAsia="es-ES"/>
              </w:rPr>
            </w:pPr>
            <w:r w:rsidRPr="00BC2D08">
              <w:rPr>
                <w:rFonts w:ascii="Arial Narrow" w:hAnsi="Arial Narrow"/>
                <w:lang w:val="es-ES" w:eastAsia="es-ES"/>
              </w:rPr>
              <w:t>25</w:t>
            </w:r>
          </w:p>
        </w:tc>
      </w:tr>
      <w:tr w:rsidR="00C42A2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lang w:val="es-ES" w:eastAsia="es-ES"/>
              </w:rPr>
            </w:pPr>
            <w:r w:rsidRPr="00432E72">
              <w:rPr>
                <w:rFonts w:ascii="Arial Narrow" w:hAnsi="Arial Narrow"/>
                <w:lang w:val="es-ES" w:eastAsia="es-ES"/>
              </w:rPr>
              <w:t xml:space="preserve">   Nivel B</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lang w:val="es-ES" w:eastAsia="es-ES"/>
              </w:rPr>
            </w:pPr>
            <w:r>
              <w:rPr>
                <w:rFonts w:ascii="Arial Narrow" w:hAnsi="Arial Narrow"/>
                <w:lang w:val="es-ES" w:eastAsia="es-ES"/>
              </w:rPr>
              <w:t>29</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lang w:val="es-ES" w:eastAsia="es-ES"/>
              </w:rPr>
            </w:pPr>
            <w:r w:rsidRPr="00432E72">
              <w:rPr>
                <w:rFonts w:ascii="Arial Narrow" w:hAnsi="Arial Narrow"/>
                <w:lang w:val="es-ES" w:eastAsia="es-ES"/>
              </w:rPr>
              <w:t>26</w:t>
            </w:r>
          </w:p>
        </w:tc>
        <w:tc>
          <w:tcPr>
            <w:tcW w:w="1455" w:type="dxa"/>
            <w:tcBorders>
              <w:top w:val="single" w:sz="4" w:space="0" w:color="auto"/>
              <w:bottom w:val="single" w:sz="2" w:space="0" w:color="auto"/>
            </w:tcBorders>
            <w:vAlign w:val="center"/>
          </w:tcPr>
          <w:p w:rsidR="00C42A2A" w:rsidRPr="00BC2D08" w:rsidRDefault="00C42A2A" w:rsidP="00015CF7">
            <w:pPr>
              <w:spacing w:after="0"/>
              <w:ind w:left="-505" w:firstLine="0"/>
              <w:jc w:val="right"/>
              <w:rPr>
                <w:rFonts w:ascii="Arial Narrow" w:hAnsi="Arial Narrow"/>
                <w:lang w:val="es-ES" w:eastAsia="es-ES"/>
              </w:rPr>
            </w:pPr>
            <w:r w:rsidRPr="00BC2D08">
              <w:rPr>
                <w:rFonts w:ascii="Arial Narrow" w:hAnsi="Arial Narrow"/>
                <w:lang w:val="es-ES" w:eastAsia="es-ES"/>
              </w:rPr>
              <w:t>30</w:t>
            </w:r>
          </w:p>
        </w:tc>
      </w:tr>
      <w:tr w:rsidR="00C42A2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lang w:val="es-ES" w:eastAsia="es-ES"/>
              </w:rPr>
            </w:pPr>
            <w:r w:rsidRPr="00432E72">
              <w:rPr>
                <w:rFonts w:ascii="Arial Narrow" w:hAnsi="Arial Narrow"/>
                <w:lang w:val="es-ES" w:eastAsia="es-ES"/>
              </w:rPr>
              <w:t xml:space="preserve">   Nivel C</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lang w:val="es-ES" w:eastAsia="es-ES"/>
              </w:rPr>
            </w:pPr>
            <w:r>
              <w:rPr>
                <w:rFonts w:ascii="Arial Narrow" w:hAnsi="Arial Narrow"/>
                <w:lang w:val="es-ES" w:eastAsia="es-ES"/>
              </w:rPr>
              <w:t>22</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lang w:val="es-ES" w:eastAsia="es-ES"/>
              </w:rPr>
            </w:pPr>
            <w:r w:rsidRPr="00432E72">
              <w:rPr>
                <w:rFonts w:ascii="Arial Narrow" w:hAnsi="Arial Narrow"/>
                <w:lang w:val="es-ES" w:eastAsia="es-ES"/>
              </w:rPr>
              <w:t>23</w:t>
            </w:r>
          </w:p>
        </w:tc>
        <w:tc>
          <w:tcPr>
            <w:tcW w:w="1455" w:type="dxa"/>
            <w:tcBorders>
              <w:top w:val="single" w:sz="4" w:space="0" w:color="auto"/>
              <w:bottom w:val="single" w:sz="2" w:space="0" w:color="auto"/>
            </w:tcBorders>
            <w:vAlign w:val="center"/>
          </w:tcPr>
          <w:p w:rsidR="00C42A2A" w:rsidRPr="00BC2D08" w:rsidRDefault="00C42A2A" w:rsidP="00015CF7">
            <w:pPr>
              <w:spacing w:after="0"/>
              <w:ind w:left="-505" w:firstLine="0"/>
              <w:jc w:val="right"/>
              <w:rPr>
                <w:rFonts w:ascii="Arial Narrow" w:hAnsi="Arial Narrow"/>
                <w:lang w:val="es-ES" w:eastAsia="es-ES"/>
              </w:rPr>
            </w:pPr>
            <w:r w:rsidRPr="00BC2D08">
              <w:rPr>
                <w:rFonts w:ascii="Arial Narrow" w:hAnsi="Arial Narrow"/>
                <w:lang w:val="es-ES" w:eastAsia="es-ES"/>
              </w:rPr>
              <w:t>27</w:t>
            </w:r>
          </w:p>
        </w:tc>
      </w:tr>
      <w:tr w:rsidR="00C42A2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lang w:val="es-ES" w:eastAsia="es-ES"/>
              </w:rPr>
            </w:pPr>
            <w:r w:rsidRPr="00432E72">
              <w:rPr>
                <w:rFonts w:ascii="Arial Narrow" w:hAnsi="Arial Narrow"/>
                <w:lang w:val="es-ES" w:eastAsia="es-ES"/>
              </w:rPr>
              <w:t xml:space="preserve">   Nivel D</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lang w:val="es-ES" w:eastAsia="es-ES"/>
              </w:rPr>
            </w:pPr>
            <w:r>
              <w:rPr>
                <w:rFonts w:ascii="Arial Narrow" w:hAnsi="Arial Narrow"/>
                <w:lang w:val="es-ES" w:eastAsia="es-ES"/>
              </w:rPr>
              <w:t>27</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lang w:val="es-ES" w:eastAsia="es-ES"/>
              </w:rPr>
            </w:pPr>
            <w:r w:rsidRPr="00432E72">
              <w:rPr>
                <w:rFonts w:ascii="Arial Narrow" w:hAnsi="Arial Narrow"/>
                <w:lang w:val="es-ES" w:eastAsia="es-ES"/>
              </w:rPr>
              <w:t>40</w:t>
            </w:r>
          </w:p>
        </w:tc>
        <w:tc>
          <w:tcPr>
            <w:tcW w:w="1455" w:type="dxa"/>
            <w:tcBorders>
              <w:top w:val="single" w:sz="4" w:space="0" w:color="auto"/>
              <w:bottom w:val="single" w:sz="2" w:space="0" w:color="auto"/>
            </w:tcBorders>
            <w:vAlign w:val="center"/>
          </w:tcPr>
          <w:p w:rsidR="00C42A2A" w:rsidRPr="00BC2D08" w:rsidRDefault="00C42A2A" w:rsidP="00015CF7">
            <w:pPr>
              <w:spacing w:after="0"/>
              <w:ind w:left="-505" w:firstLine="0"/>
              <w:jc w:val="right"/>
              <w:rPr>
                <w:rFonts w:ascii="Arial Narrow" w:hAnsi="Arial Narrow"/>
                <w:lang w:val="es-ES" w:eastAsia="es-ES"/>
              </w:rPr>
            </w:pPr>
            <w:r w:rsidRPr="00BC2D08">
              <w:rPr>
                <w:rFonts w:ascii="Arial Narrow" w:hAnsi="Arial Narrow"/>
                <w:lang w:val="es-ES" w:eastAsia="es-ES"/>
              </w:rPr>
              <w:t>40</w:t>
            </w:r>
          </w:p>
        </w:tc>
      </w:tr>
      <w:tr w:rsidR="00C42A2A" w:rsidTr="00015CF7">
        <w:trPr>
          <w:trHeight w:val="255"/>
          <w:jc w:val="center"/>
        </w:trPr>
        <w:tc>
          <w:tcPr>
            <w:tcW w:w="4667" w:type="dxa"/>
            <w:tcBorders>
              <w:top w:val="single" w:sz="4" w:space="0" w:color="auto"/>
              <w:bottom w:val="single" w:sz="2" w:space="0" w:color="auto"/>
            </w:tcBorders>
            <w:vAlign w:val="center"/>
          </w:tcPr>
          <w:p w:rsidR="00C42A2A" w:rsidRPr="00432E72" w:rsidRDefault="00C42A2A" w:rsidP="00015CF7">
            <w:pPr>
              <w:spacing w:after="0"/>
              <w:ind w:firstLine="0"/>
              <w:jc w:val="left"/>
              <w:rPr>
                <w:rFonts w:ascii="Arial Narrow" w:hAnsi="Arial Narrow"/>
                <w:lang w:val="es-ES" w:eastAsia="es-ES"/>
              </w:rPr>
            </w:pPr>
            <w:r w:rsidRPr="00432E72">
              <w:rPr>
                <w:rFonts w:ascii="Arial Narrow" w:hAnsi="Arial Narrow"/>
                <w:lang w:val="es-ES" w:eastAsia="es-ES"/>
              </w:rPr>
              <w:t xml:space="preserve">   Nivel E</w:t>
            </w:r>
          </w:p>
        </w:tc>
        <w:tc>
          <w:tcPr>
            <w:tcW w:w="1454" w:type="dxa"/>
            <w:tcBorders>
              <w:top w:val="single" w:sz="4" w:space="0" w:color="auto"/>
              <w:bottom w:val="single" w:sz="2" w:space="0" w:color="auto"/>
            </w:tcBorders>
            <w:vAlign w:val="center"/>
          </w:tcPr>
          <w:p w:rsidR="00C42A2A" w:rsidRPr="00432E72" w:rsidRDefault="00C42A2A" w:rsidP="00817E66">
            <w:pPr>
              <w:spacing w:after="0"/>
              <w:ind w:right="9" w:firstLine="0"/>
              <w:jc w:val="right"/>
              <w:rPr>
                <w:rFonts w:ascii="Arial Narrow" w:hAnsi="Arial Narrow"/>
                <w:lang w:val="es-ES" w:eastAsia="es-ES"/>
              </w:rPr>
            </w:pPr>
            <w:r>
              <w:rPr>
                <w:rFonts w:ascii="Arial Narrow" w:hAnsi="Arial Narrow"/>
                <w:lang w:val="es-ES" w:eastAsia="es-ES"/>
              </w:rPr>
              <w:t>6</w:t>
            </w:r>
          </w:p>
        </w:tc>
        <w:tc>
          <w:tcPr>
            <w:tcW w:w="1454" w:type="dxa"/>
            <w:tcBorders>
              <w:top w:val="single" w:sz="4" w:space="0" w:color="auto"/>
              <w:bottom w:val="single" w:sz="2" w:space="0" w:color="auto"/>
            </w:tcBorders>
            <w:vAlign w:val="center"/>
          </w:tcPr>
          <w:p w:rsidR="00C42A2A" w:rsidRPr="00432E72" w:rsidRDefault="00C42A2A" w:rsidP="00015CF7">
            <w:pPr>
              <w:tabs>
                <w:tab w:val="left" w:pos="1192"/>
              </w:tabs>
              <w:spacing w:after="0"/>
              <w:ind w:right="46" w:firstLine="0"/>
              <w:jc w:val="right"/>
              <w:rPr>
                <w:rFonts w:ascii="Arial Narrow" w:hAnsi="Arial Narrow"/>
                <w:lang w:val="es-ES" w:eastAsia="es-ES"/>
              </w:rPr>
            </w:pPr>
            <w:r w:rsidRPr="00432E72">
              <w:rPr>
                <w:rFonts w:ascii="Arial Narrow" w:hAnsi="Arial Narrow"/>
                <w:lang w:val="es-ES" w:eastAsia="es-ES"/>
              </w:rPr>
              <w:t>7</w:t>
            </w:r>
          </w:p>
        </w:tc>
        <w:tc>
          <w:tcPr>
            <w:tcW w:w="1455" w:type="dxa"/>
            <w:tcBorders>
              <w:top w:val="single" w:sz="4" w:space="0" w:color="auto"/>
              <w:bottom w:val="single" w:sz="2" w:space="0" w:color="auto"/>
            </w:tcBorders>
            <w:vAlign w:val="center"/>
          </w:tcPr>
          <w:p w:rsidR="00C42A2A" w:rsidRPr="00BC2D08" w:rsidRDefault="00C42A2A" w:rsidP="00015CF7">
            <w:pPr>
              <w:spacing w:after="0"/>
              <w:ind w:left="-505" w:firstLine="0"/>
              <w:jc w:val="right"/>
              <w:rPr>
                <w:rFonts w:ascii="Arial Narrow" w:hAnsi="Arial Narrow"/>
                <w:lang w:val="es-ES" w:eastAsia="es-ES"/>
              </w:rPr>
            </w:pPr>
            <w:r w:rsidRPr="00BC2D08">
              <w:rPr>
                <w:rFonts w:ascii="Arial Narrow" w:hAnsi="Arial Narrow"/>
                <w:lang w:val="es-ES" w:eastAsia="es-ES"/>
              </w:rPr>
              <w:t>7</w:t>
            </w:r>
          </w:p>
        </w:tc>
      </w:tr>
      <w:tr w:rsidR="00C42A2A" w:rsidRPr="00422C0A" w:rsidTr="00015CF7">
        <w:trPr>
          <w:trHeight w:val="255"/>
          <w:jc w:val="center"/>
        </w:trPr>
        <w:tc>
          <w:tcPr>
            <w:tcW w:w="4667" w:type="dxa"/>
            <w:tcBorders>
              <w:top w:val="single" w:sz="4" w:space="0" w:color="auto"/>
              <w:bottom w:val="single" w:sz="2" w:space="0" w:color="auto"/>
            </w:tcBorders>
            <w:vAlign w:val="center"/>
          </w:tcPr>
          <w:p w:rsidR="00C42A2A" w:rsidRPr="00422C0A" w:rsidRDefault="00C42A2A" w:rsidP="00015CF7">
            <w:pPr>
              <w:spacing w:after="0"/>
              <w:ind w:firstLine="0"/>
              <w:jc w:val="left"/>
              <w:rPr>
                <w:rFonts w:ascii="Arial Narrow" w:hAnsi="Arial Narrow"/>
                <w:b/>
                <w:i/>
                <w:lang w:val="es-ES" w:eastAsia="es-ES"/>
              </w:rPr>
            </w:pPr>
            <w:r w:rsidRPr="00422C0A">
              <w:rPr>
                <w:rFonts w:ascii="Arial Narrow" w:hAnsi="Arial Narrow"/>
                <w:b/>
                <w:i/>
                <w:lang w:val="es-ES" w:eastAsia="es-ES"/>
              </w:rPr>
              <w:t>Otros (personal eventual)</w:t>
            </w:r>
          </w:p>
        </w:tc>
        <w:tc>
          <w:tcPr>
            <w:tcW w:w="1454" w:type="dxa"/>
            <w:tcBorders>
              <w:top w:val="single" w:sz="4" w:space="0" w:color="auto"/>
              <w:bottom w:val="single" w:sz="2" w:space="0" w:color="auto"/>
            </w:tcBorders>
            <w:vAlign w:val="center"/>
          </w:tcPr>
          <w:p w:rsidR="00C42A2A" w:rsidRPr="00422C0A" w:rsidRDefault="00C42A2A" w:rsidP="00817E66">
            <w:pPr>
              <w:spacing w:after="0"/>
              <w:ind w:right="9" w:firstLine="0"/>
              <w:jc w:val="right"/>
              <w:rPr>
                <w:rFonts w:ascii="Arial Narrow" w:hAnsi="Arial Narrow"/>
                <w:b/>
                <w:i/>
                <w:lang w:val="es-ES" w:eastAsia="es-ES"/>
              </w:rPr>
            </w:pPr>
            <w:r>
              <w:rPr>
                <w:rFonts w:ascii="Arial Narrow" w:hAnsi="Arial Narrow"/>
                <w:b/>
                <w:i/>
                <w:lang w:val="es-ES" w:eastAsia="es-ES"/>
              </w:rPr>
              <w:t>14</w:t>
            </w:r>
          </w:p>
        </w:tc>
        <w:tc>
          <w:tcPr>
            <w:tcW w:w="1454" w:type="dxa"/>
            <w:tcBorders>
              <w:top w:val="single" w:sz="4" w:space="0" w:color="auto"/>
              <w:bottom w:val="single" w:sz="2" w:space="0" w:color="auto"/>
            </w:tcBorders>
            <w:vAlign w:val="center"/>
          </w:tcPr>
          <w:p w:rsidR="00C42A2A" w:rsidRPr="00422C0A" w:rsidRDefault="00C42A2A" w:rsidP="00015CF7">
            <w:pPr>
              <w:tabs>
                <w:tab w:val="left" w:pos="1192"/>
              </w:tabs>
              <w:spacing w:after="0"/>
              <w:ind w:right="46" w:firstLine="0"/>
              <w:jc w:val="right"/>
              <w:rPr>
                <w:rFonts w:ascii="Arial Narrow" w:hAnsi="Arial Narrow"/>
                <w:b/>
                <w:i/>
                <w:lang w:val="es-ES" w:eastAsia="es-ES"/>
              </w:rPr>
            </w:pPr>
            <w:r w:rsidRPr="00422C0A">
              <w:rPr>
                <w:rFonts w:ascii="Arial Narrow" w:hAnsi="Arial Narrow"/>
                <w:b/>
                <w:i/>
                <w:lang w:val="es-ES" w:eastAsia="es-ES"/>
              </w:rPr>
              <w:t>14</w:t>
            </w:r>
          </w:p>
        </w:tc>
        <w:tc>
          <w:tcPr>
            <w:tcW w:w="1455" w:type="dxa"/>
            <w:tcBorders>
              <w:top w:val="single" w:sz="4" w:space="0" w:color="auto"/>
              <w:bottom w:val="single" w:sz="2" w:space="0" w:color="auto"/>
            </w:tcBorders>
            <w:vAlign w:val="center"/>
          </w:tcPr>
          <w:p w:rsidR="00C42A2A" w:rsidRPr="00BC2D08" w:rsidRDefault="00C42A2A" w:rsidP="00015CF7">
            <w:pPr>
              <w:spacing w:after="0"/>
              <w:ind w:left="-505" w:firstLine="0"/>
              <w:jc w:val="right"/>
              <w:rPr>
                <w:rFonts w:ascii="Arial Narrow" w:hAnsi="Arial Narrow"/>
                <w:b/>
                <w:i/>
                <w:lang w:val="es-ES" w:eastAsia="es-ES"/>
              </w:rPr>
            </w:pPr>
            <w:r w:rsidRPr="00BC2D08">
              <w:rPr>
                <w:rFonts w:ascii="Arial Narrow" w:hAnsi="Arial Narrow"/>
                <w:b/>
                <w:i/>
                <w:lang w:val="es-ES" w:eastAsia="es-ES"/>
              </w:rPr>
              <w:t>14</w:t>
            </w:r>
          </w:p>
        </w:tc>
      </w:tr>
      <w:tr w:rsidR="00C42A2A" w:rsidRPr="00817E66" w:rsidTr="00670292">
        <w:trPr>
          <w:trHeight w:val="255"/>
          <w:jc w:val="center"/>
        </w:trPr>
        <w:tc>
          <w:tcPr>
            <w:tcW w:w="4667" w:type="dxa"/>
            <w:tcBorders>
              <w:top w:val="single" w:sz="4" w:space="0" w:color="auto"/>
              <w:bottom w:val="single" w:sz="2" w:space="0" w:color="auto"/>
            </w:tcBorders>
            <w:shd w:val="clear" w:color="auto" w:fill="A8CBEE" w:themeFill="accent2" w:themeFillTint="66"/>
            <w:vAlign w:val="center"/>
          </w:tcPr>
          <w:p w:rsidR="00C42A2A" w:rsidRPr="00817E66" w:rsidRDefault="00C42A2A" w:rsidP="00015CF7">
            <w:pPr>
              <w:spacing w:after="0"/>
              <w:ind w:firstLine="0"/>
              <w:jc w:val="left"/>
              <w:rPr>
                <w:rFonts w:ascii="Arial" w:hAnsi="Arial" w:cs="Arial"/>
                <w:sz w:val="18"/>
                <w:szCs w:val="18"/>
                <w:lang w:val="es-ES" w:eastAsia="es-ES"/>
              </w:rPr>
            </w:pPr>
            <w:r w:rsidRPr="00817E66">
              <w:rPr>
                <w:rFonts w:ascii="Arial" w:hAnsi="Arial" w:cs="Arial"/>
                <w:sz w:val="18"/>
                <w:szCs w:val="18"/>
                <w:lang w:val="es-ES" w:eastAsia="es-ES"/>
              </w:rPr>
              <w:t>Total PAS</w:t>
            </w:r>
          </w:p>
        </w:tc>
        <w:tc>
          <w:tcPr>
            <w:tcW w:w="1454" w:type="dxa"/>
            <w:tcBorders>
              <w:top w:val="single" w:sz="4" w:space="0" w:color="auto"/>
              <w:bottom w:val="single" w:sz="2" w:space="0" w:color="auto"/>
            </w:tcBorders>
            <w:shd w:val="clear" w:color="auto" w:fill="A8CBEE" w:themeFill="accent2" w:themeFillTint="66"/>
            <w:vAlign w:val="center"/>
          </w:tcPr>
          <w:p w:rsidR="00C42A2A" w:rsidRPr="00817E66" w:rsidRDefault="00C42A2A" w:rsidP="00817E66">
            <w:pPr>
              <w:spacing w:after="0"/>
              <w:ind w:right="9" w:firstLine="0"/>
              <w:jc w:val="right"/>
              <w:rPr>
                <w:rFonts w:ascii="Arial" w:hAnsi="Arial" w:cs="Arial"/>
                <w:sz w:val="18"/>
                <w:szCs w:val="18"/>
                <w:lang w:val="es-ES" w:eastAsia="es-ES"/>
              </w:rPr>
            </w:pPr>
            <w:r w:rsidRPr="00817E66">
              <w:rPr>
                <w:rFonts w:ascii="Arial" w:hAnsi="Arial" w:cs="Arial"/>
                <w:sz w:val="18"/>
                <w:szCs w:val="18"/>
                <w:lang w:val="es-ES" w:eastAsia="es-ES"/>
              </w:rPr>
              <w:t>458</w:t>
            </w:r>
          </w:p>
        </w:tc>
        <w:tc>
          <w:tcPr>
            <w:tcW w:w="1454" w:type="dxa"/>
            <w:tcBorders>
              <w:top w:val="single" w:sz="4" w:space="0" w:color="auto"/>
              <w:bottom w:val="single" w:sz="2" w:space="0" w:color="auto"/>
            </w:tcBorders>
            <w:shd w:val="clear" w:color="auto" w:fill="A8CBEE" w:themeFill="accent2" w:themeFillTint="66"/>
            <w:vAlign w:val="center"/>
          </w:tcPr>
          <w:p w:rsidR="00C42A2A" w:rsidRPr="00817E66" w:rsidRDefault="00C42A2A" w:rsidP="00015CF7">
            <w:pPr>
              <w:tabs>
                <w:tab w:val="left" w:pos="1192"/>
              </w:tabs>
              <w:spacing w:after="0"/>
              <w:ind w:right="46" w:firstLine="0"/>
              <w:jc w:val="right"/>
              <w:rPr>
                <w:rFonts w:ascii="Arial" w:hAnsi="Arial" w:cs="Arial"/>
                <w:sz w:val="18"/>
                <w:szCs w:val="18"/>
                <w:lang w:val="es-ES" w:eastAsia="es-ES"/>
              </w:rPr>
            </w:pPr>
            <w:r w:rsidRPr="00817E66">
              <w:rPr>
                <w:rFonts w:ascii="Arial" w:hAnsi="Arial" w:cs="Arial"/>
                <w:sz w:val="18"/>
                <w:szCs w:val="18"/>
                <w:lang w:val="es-ES" w:eastAsia="es-ES"/>
              </w:rPr>
              <w:t>456</w:t>
            </w:r>
          </w:p>
        </w:tc>
        <w:tc>
          <w:tcPr>
            <w:tcW w:w="1455" w:type="dxa"/>
            <w:tcBorders>
              <w:top w:val="single" w:sz="4" w:space="0" w:color="auto"/>
              <w:bottom w:val="single" w:sz="2" w:space="0" w:color="auto"/>
            </w:tcBorders>
            <w:shd w:val="clear" w:color="auto" w:fill="A8CBEE" w:themeFill="accent2" w:themeFillTint="66"/>
            <w:vAlign w:val="center"/>
          </w:tcPr>
          <w:p w:rsidR="00C42A2A" w:rsidRPr="00817E66" w:rsidRDefault="00C42A2A" w:rsidP="00015CF7">
            <w:pPr>
              <w:spacing w:after="0"/>
              <w:ind w:left="-505" w:firstLine="0"/>
              <w:jc w:val="right"/>
              <w:rPr>
                <w:rFonts w:ascii="Arial" w:hAnsi="Arial" w:cs="Arial"/>
                <w:sz w:val="18"/>
                <w:szCs w:val="18"/>
                <w:lang w:val="es-ES" w:eastAsia="es-ES"/>
              </w:rPr>
            </w:pPr>
            <w:r w:rsidRPr="00817E66">
              <w:rPr>
                <w:rFonts w:ascii="Arial" w:hAnsi="Arial" w:cs="Arial"/>
                <w:sz w:val="18"/>
                <w:szCs w:val="18"/>
                <w:lang w:val="es-ES" w:eastAsia="es-ES"/>
              </w:rPr>
              <w:t>469</w:t>
            </w:r>
          </w:p>
        </w:tc>
      </w:tr>
      <w:tr w:rsidR="00C42A2A" w:rsidRPr="00817E66" w:rsidTr="00670292">
        <w:trPr>
          <w:trHeight w:val="255"/>
          <w:jc w:val="center"/>
        </w:trPr>
        <w:tc>
          <w:tcPr>
            <w:tcW w:w="4667" w:type="dxa"/>
            <w:tcBorders>
              <w:top w:val="single" w:sz="4" w:space="0" w:color="auto"/>
              <w:bottom w:val="single" w:sz="4" w:space="0" w:color="auto"/>
            </w:tcBorders>
            <w:shd w:val="clear" w:color="auto" w:fill="A8CBEE" w:themeFill="accent2" w:themeFillTint="66"/>
            <w:vAlign w:val="center"/>
          </w:tcPr>
          <w:p w:rsidR="00C42A2A" w:rsidRPr="00817E66" w:rsidRDefault="00C42A2A" w:rsidP="00015CF7">
            <w:pPr>
              <w:spacing w:after="0"/>
              <w:ind w:firstLine="0"/>
              <w:jc w:val="left"/>
              <w:rPr>
                <w:rFonts w:ascii="Arial" w:hAnsi="Arial" w:cs="Arial"/>
                <w:sz w:val="18"/>
                <w:szCs w:val="18"/>
                <w:lang w:val="es-ES" w:eastAsia="es-ES"/>
              </w:rPr>
            </w:pPr>
            <w:r w:rsidRPr="00817E66">
              <w:rPr>
                <w:rFonts w:ascii="Arial" w:hAnsi="Arial" w:cs="Arial"/>
                <w:sz w:val="18"/>
                <w:szCs w:val="18"/>
                <w:lang w:val="es-ES" w:eastAsia="es-ES"/>
              </w:rPr>
              <w:t>Personal empleado investigación (PEI)</w:t>
            </w:r>
          </w:p>
        </w:tc>
        <w:tc>
          <w:tcPr>
            <w:tcW w:w="1454" w:type="dxa"/>
            <w:tcBorders>
              <w:top w:val="single" w:sz="4" w:space="0" w:color="auto"/>
              <w:bottom w:val="single" w:sz="4" w:space="0" w:color="auto"/>
            </w:tcBorders>
            <w:shd w:val="clear" w:color="auto" w:fill="A8CBEE" w:themeFill="accent2" w:themeFillTint="66"/>
            <w:vAlign w:val="center"/>
          </w:tcPr>
          <w:p w:rsidR="00C42A2A" w:rsidRPr="00817E66" w:rsidRDefault="00C42A2A" w:rsidP="00817E66">
            <w:pPr>
              <w:spacing w:after="0"/>
              <w:ind w:right="9" w:firstLine="0"/>
              <w:jc w:val="right"/>
              <w:rPr>
                <w:rFonts w:ascii="Arial" w:hAnsi="Arial" w:cs="Arial"/>
                <w:sz w:val="18"/>
                <w:szCs w:val="18"/>
                <w:lang w:val="es-ES" w:eastAsia="es-ES"/>
              </w:rPr>
            </w:pPr>
          </w:p>
        </w:tc>
        <w:tc>
          <w:tcPr>
            <w:tcW w:w="1454" w:type="dxa"/>
            <w:tcBorders>
              <w:top w:val="single" w:sz="4" w:space="0" w:color="auto"/>
              <w:bottom w:val="single" w:sz="4" w:space="0" w:color="auto"/>
            </w:tcBorders>
            <w:shd w:val="clear" w:color="auto" w:fill="A8CBEE" w:themeFill="accent2" w:themeFillTint="66"/>
            <w:vAlign w:val="center"/>
          </w:tcPr>
          <w:p w:rsidR="00C42A2A" w:rsidRPr="00817E66" w:rsidRDefault="00C42A2A" w:rsidP="00015CF7">
            <w:pPr>
              <w:tabs>
                <w:tab w:val="left" w:pos="1192"/>
              </w:tabs>
              <w:spacing w:after="0"/>
              <w:ind w:right="46" w:firstLine="0"/>
              <w:jc w:val="right"/>
              <w:rPr>
                <w:rFonts w:ascii="Arial" w:hAnsi="Arial" w:cs="Arial"/>
                <w:sz w:val="18"/>
                <w:szCs w:val="18"/>
                <w:lang w:val="es-ES" w:eastAsia="es-ES"/>
              </w:rPr>
            </w:pPr>
          </w:p>
        </w:tc>
        <w:tc>
          <w:tcPr>
            <w:tcW w:w="1455" w:type="dxa"/>
            <w:tcBorders>
              <w:top w:val="single" w:sz="4" w:space="0" w:color="auto"/>
              <w:bottom w:val="single" w:sz="4" w:space="0" w:color="auto"/>
            </w:tcBorders>
            <w:shd w:val="clear" w:color="auto" w:fill="A8CBEE" w:themeFill="accent2" w:themeFillTint="66"/>
            <w:vAlign w:val="center"/>
          </w:tcPr>
          <w:p w:rsidR="00C42A2A" w:rsidRPr="00817E66" w:rsidRDefault="00C42A2A" w:rsidP="00015CF7">
            <w:pPr>
              <w:spacing w:after="0"/>
              <w:ind w:left="-505" w:firstLine="0"/>
              <w:jc w:val="right"/>
              <w:rPr>
                <w:rFonts w:ascii="Arial" w:hAnsi="Arial" w:cs="Arial"/>
                <w:sz w:val="18"/>
                <w:szCs w:val="18"/>
                <w:lang w:val="es-ES" w:eastAsia="es-ES"/>
              </w:rPr>
            </w:pPr>
          </w:p>
        </w:tc>
      </w:tr>
      <w:tr w:rsidR="00C42A2A" w:rsidRPr="00BC2D08" w:rsidTr="00015CF7">
        <w:trPr>
          <w:trHeight w:val="255"/>
          <w:jc w:val="center"/>
        </w:trPr>
        <w:tc>
          <w:tcPr>
            <w:tcW w:w="4667" w:type="dxa"/>
            <w:tcBorders>
              <w:top w:val="single" w:sz="4" w:space="0" w:color="auto"/>
              <w:bottom w:val="single" w:sz="4" w:space="0" w:color="auto"/>
            </w:tcBorders>
            <w:shd w:val="clear" w:color="auto" w:fill="auto"/>
            <w:vAlign w:val="center"/>
          </w:tcPr>
          <w:p w:rsidR="00C42A2A" w:rsidRPr="00BC2D08" w:rsidRDefault="00C42A2A" w:rsidP="00015CF7">
            <w:pPr>
              <w:spacing w:after="0"/>
              <w:ind w:firstLine="0"/>
              <w:jc w:val="left"/>
              <w:rPr>
                <w:rFonts w:ascii="Arial Narrow" w:hAnsi="Arial Narrow" w:cs="Arial"/>
                <w:b/>
                <w:i/>
                <w:lang w:val="es-ES" w:eastAsia="es-ES"/>
              </w:rPr>
            </w:pPr>
            <w:r w:rsidRPr="00BC2D08">
              <w:rPr>
                <w:rFonts w:ascii="Arial Narrow" w:hAnsi="Arial Narrow" w:cs="Arial"/>
                <w:b/>
                <w:i/>
                <w:lang w:val="es-ES" w:eastAsia="es-ES"/>
              </w:rPr>
              <w:t>Investigador de convocatorias públicas competitivas</w:t>
            </w:r>
          </w:p>
        </w:tc>
        <w:tc>
          <w:tcPr>
            <w:tcW w:w="1454" w:type="dxa"/>
            <w:tcBorders>
              <w:top w:val="single" w:sz="4" w:space="0" w:color="auto"/>
              <w:bottom w:val="single" w:sz="4" w:space="0" w:color="auto"/>
            </w:tcBorders>
            <w:shd w:val="clear" w:color="auto" w:fill="auto"/>
            <w:vAlign w:val="center"/>
          </w:tcPr>
          <w:p w:rsidR="00C42A2A" w:rsidRPr="00BC2D08" w:rsidRDefault="00C42A2A" w:rsidP="00817E66">
            <w:pPr>
              <w:spacing w:after="0"/>
              <w:ind w:right="9" w:firstLine="0"/>
              <w:jc w:val="right"/>
              <w:rPr>
                <w:rFonts w:ascii="Arial Narrow" w:hAnsi="Arial Narrow" w:cs="Arial"/>
                <w:b/>
                <w:i/>
                <w:lang w:val="es-ES" w:eastAsia="es-ES"/>
              </w:rPr>
            </w:pPr>
            <w:r>
              <w:rPr>
                <w:rFonts w:ascii="Arial Narrow" w:hAnsi="Arial Narrow" w:cs="Arial"/>
                <w:b/>
                <w:i/>
                <w:lang w:val="es-ES" w:eastAsia="es-ES"/>
              </w:rPr>
              <w:t>110</w:t>
            </w:r>
          </w:p>
        </w:tc>
        <w:tc>
          <w:tcPr>
            <w:tcW w:w="1454" w:type="dxa"/>
            <w:tcBorders>
              <w:top w:val="single" w:sz="4" w:space="0" w:color="auto"/>
              <w:bottom w:val="single" w:sz="4" w:space="0" w:color="auto"/>
            </w:tcBorders>
            <w:shd w:val="clear" w:color="auto" w:fill="auto"/>
            <w:vAlign w:val="center"/>
          </w:tcPr>
          <w:p w:rsidR="00C42A2A" w:rsidRPr="00BC2D08" w:rsidRDefault="00C42A2A" w:rsidP="00015CF7">
            <w:pPr>
              <w:tabs>
                <w:tab w:val="left" w:pos="1192"/>
              </w:tabs>
              <w:spacing w:after="0"/>
              <w:ind w:right="46" w:firstLine="0"/>
              <w:jc w:val="right"/>
              <w:rPr>
                <w:rFonts w:ascii="Arial Narrow" w:hAnsi="Arial Narrow" w:cs="Arial"/>
                <w:b/>
                <w:i/>
                <w:lang w:val="es-ES" w:eastAsia="es-ES"/>
              </w:rPr>
            </w:pPr>
            <w:r w:rsidRPr="00BC2D08">
              <w:rPr>
                <w:rFonts w:ascii="Arial Narrow" w:hAnsi="Arial Narrow" w:cs="Arial"/>
                <w:b/>
                <w:i/>
                <w:lang w:val="es-ES" w:eastAsia="es-ES"/>
              </w:rPr>
              <w:t>106</w:t>
            </w:r>
          </w:p>
        </w:tc>
        <w:tc>
          <w:tcPr>
            <w:tcW w:w="1455" w:type="dxa"/>
            <w:tcBorders>
              <w:top w:val="single" w:sz="4" w:space="0" w:color="auto"/>
              <w:bottom w:val="single" w:sz="4" w:space="0" w:color="auto"/>
            </w:tcBorders>
            <w:shd w:val="clear" w:color="auto" w:fill="auto"/>
            <w:vAlign w:val="center"/>
          </w:tcPr>
          <w:p w:rsidR="00C42A2A" w:rsidRPr="00BC2D08" w:rsidRDefault="00C42A2A" w:rsidP="00015CF7">
            <w:pPr>
              <w:spacing w:after="0"/>
              <w:ind w:left="-505" w:firstLine="0"/>
              <w:jc w:val="right"/>
              <w:rPr>
                <w:rFonts w:ascii="Arial Narrow" w:hAnsi="Arial Narrow" w:cs="Arial"/>
                <w:b/>
                <w:i/>
                <w:lang w:val="es-ES" w:eastAsia="es-ES"/>
              </w:rPr>
            </w:pPr>
            <w:r w:rsidRPr="00BC2D08">
              <w:rPr>
                <w:rFonts w:ascii="Arial Narrow" w:hAnsi="Arial Narrow" w:cs="Arial"/>
                <w:b/>
                <w:i/>
                <w:lang w:val="es-ES" w:eastAsia="es-ES"/>
              </w:rPr>
              <w:t>104</w:t>
            </w:r>
          </w:p>
        </w:tc>
      </w:tr>
      <w:tr w:rsidR="00C42A2A" w:rsidRPr="00730AE6" w:rsidTr="00015CF7">
        <w:trPr>
          <w:trHeight w:val="255"/>
          <w:jc w:val="center"/>
        </w:trPr>
        <w:tc>
          <w:tcPr>
            <w:tcW w:w="4667" w:type="dxa"/>
            <w:tcBorders>
              <w:top w:val="single" w:sz="4" w:space="0" w:color="auto"/>
              <w:bottom w:val="single" w:sz="4" w:space="0" w:color="auto"/>
            </w:tcBorders>
            <w:shd w:val="clear" w:color="auto" w:fill="auto"/>
            <w:vAlign w:val="center"/>
          </w:tcPr>
          <w:p w:rsidR="00C42A2A" w:rsidRPr="00432E72" w:rsidRDefault="00C42A2A" w:rsidP="00015CF7">
            <w:pPr>
              <w:spacing w:after="0"/>
              <w:ind w:firstLine="0"/>
              <w:jc w:val="left"/>
              <w:rPr>
                <w:rFonts w:ascii="Arial Narrow" w:hAnsi="Arial Narrow" w:cs="Arial"/>
                <w:lang w:val="es-ES" w:eastAsia="es-ES"/>
              </w:rPr>
            </w:pPr>
            <w:r w:rsidRPr="00432E72">
              <w:rPr>
                <w:rFonts w:ascii="Arial Narrow" w:hAnsi="Arial Narrow" w:cs="Arial"/>
                <w:lang w:val="es-ES" w:eastAsia="es-ES"/>
              </w:rPr>
              <w:t xml:space="preserve">   Formación de profesorado universitario (FPU)</w:t>
            </w:r>
          </w:p>
        </w:tc>
        <w:tc>
          <w:tcPr>
            <w:tcW w:w="1454" w:type="dxa"/>
            <w:tcBorders>
              <w:top w:val="single" w:sz="4" w:space="0" w:color="auto"/>
              <w:bottom w:val="single" w:sz="4" w:space="0" w:color="auto"/>
            </w:tcBorders>
            <w:shd w:val="clear" w:color="auto" w:fill="auto"/>
            <w:vAlign w:val="center"/>
          </w:tcPr>
          <w:p w:rsidR="00C42A2A" w:rsidRPr="00432E72" w:rsidRDefault="00C42A2A" w:rsidP="00817E66">
            <w:pPr>
              <w:spacing w:after="0"/>
              <w:ind w:right="9" w:firstLine="0"/>
              <w:jc w:val="right"/>
              <w:rPr>
                <w:rFonts w:ascii="Arial Narrow" w:hAnsi="Arial Narrow" w:cs="Arial"/>
                <w:lang w:val="es-ES" w:eastAsia="es-ES"/>
              </w:rPr>
            </w:pPr>
            <w:r>
              <w:rPr>
                <w:rFonts w:ascii="Arial Narrow" w:hAnsi="Arial Narrow" w:cs="Arial"/>
                <w:lang w:val="es-ES" w:eastAsia="es-ES"/>
              </w:rPr>
              <w:t>6</w:t>
            </w:r>
          </w:p>
        </w:tc>
        <w:tc>
          <w:tcPr>
            <w:tcW w:w="1454" w:type="dxa"/>
            <w:tcBorders>
              <w:top w:val="single" w:sz="4" w:space="0" w:color="auto"/>
              <w:bottom w:val="single" w:sz="4" w:space="0" w:color="auto"/>
            </w:tcBorders>
            <w:shd w:val="clear" w:color="auto" w:fill="auto"/>
            <w:vAlign w:val="center"/>
          </w:tcPr>
          <w:p w:rsidR="00C42A2A" w:rsidRPr="00432E72" w:rsidRDefault="00C42A2A" w:rsidP="00015CF7">
            <w:pPr>
              <w:tabs>
                <w:tab w:val="left" w:pos="1192"/>
              </w:tabs>
              <w:spacing w:after="0"/>
              <w:ind w:right="46" w:firstLine="0"/>
              <w:jc w:val="right"/>
              <w:rPr>
                <w:rFonts w:ascii="Arial Narrow" w:hAnsi="Arial Narrow" w:cs="Arial"/>
                <w:lang w:val="es-ES" w:eastAsia="es-ES"/>
              </w:rPr>
            </w:pPr>
            <w:r w:rsidRPr="00432E72">
              <w:rPr>
                <w:rFonts w:ascii="Arial Narrow" w:hAnsi="Arial Narrow" w:cs="Arial"/>
                <w:lang w:val="es-ES" w:eastAsia="es-ES"/>
              </w:rPr>
              <w:t>6</w:t>
            </w:r>
          </w:p>
        </w:tc>
        <w:tc>
          <w:tcPr>
            <w:tcW w:w="1455" w:type="dxa"/>
            <w:tcBorders>
              <w:top w:val="single" w:sz="4" w:space="0" w:color="auto"/>
              <w:bottom w:val="single" w:sz="4" w:space="0" w:color="auto"/>
            </w:tcBorders>
            <w:shd w:val="clear" w:color="auto" w:fill="auto"/>
            <w:vAlign w:val="center"/>
          </w:tcPr>
          <w:p w:rsidR="00C42A2A" w:rsidRPr="00432E72" w:rsidRDefault="00C42A2A" w:rsidP="00015CF7">
            <w:pPr>
              <w:spacing w:after="0"/>
              <w:ind w:left="-505" w:firstLine="0"/>
              <w:jc w:val="right"/>
              <w:rPr>
                <w:rFonts w:ascii="Arial Narrow" w:hAnsi="Arial Narrow" w:cs="Arial"/>
                <w:lang w:val="es-ES" w:eastAsia="es-ES"/>
              </w:rPr>
            </w:pPr>
            <w:r w:rsidRPr="00432E72">
              <w:rPr>
                <w:rFonts w:ascii="Arial Narrow" w:hAnsi="Arial Narrow" w:cs="Arial"/>
                <w:lang w:val="es-ES" w:eastAsia="es-ES"/>
              </w:rPr>
              <w:t>6</w:t>
            </w:r>
          </w:p>
        </w:tc>
      </w:tr>
      <w:tr w:rsidR="00C42A2A" w:rsidRPr="00730AE6" w:rsidTr="00015CF7">
        <w:trPr>
          <w:trHeight w:val="255"/>
          <w:jc w:val="center"/>
        </w:trPr>
        <w:tc>
          <w:tcPr>
            <w:tcW w:w="4667" w:type="dxa"/>
            <w:tcBorders>
              <w:top w:val="single" w:sz="4" w:space="0" w:color="auto"/>
              <w:bottom w:val="single" w:sz="4" w:space="0" w:color="auto"/>
            </w:tcBorders>
            <w:shd w:val="clear" w:color="auto" w:fill="auto"/>
            <w:vAlign w:val="center"/>
          </w:tcPr>
          <w:p w:rsidR="00C42A2A" w:rsidRPr="00432E72" w:rsidRDefault="00C42A2A" w:rsidP="00015CF7">
            <w:pPr>
              <w:spacing w:after="0"/>
              <w:ind w:firstLine="0"/>
              <w:jc w:val="left"/>
              <w:rPr>
                <w:rFonts w:ascii="Arial Narrow" w:hAnsi="Arial Narrow" w:cs="Arial"/>
                <w:lang w:val="es-ES" w:eastAsia="es-ES"/>
              </w:rPr>
            </w:pPr>
            <w:r w:rsidRPr="00432E72">
              <w:rPr>
                <w:rFonts w:ascii="Arial Narrow" w:hAnsi="Arial Narrow" w:cs="Arial"/>
                <w:lang w:val="es-ES" w:eastAsia="es-ES"/>
              </w:rPr>
              <w:t xml:space="preserve">   Formación de personal investigador (FPI)</w:t>
            </w:r>
          </w:p>
        </w:tc>
        <w:tc>
          <w:tcPr>
            <w:tcW w:w="1454" w:type="dxa"/>
            <w:tcBorders>
              <w:top w:val="single" w:sz="4" w:space="0" w:color="auto"/>
              <w:bottom w:val="single" w:sz="4" w:space="0" w:color="auto"/>
            </w:tcBorders>
            <w:shd w:val="clear" w:color="auto" w:fill="auto"/>
            <w:vAlign w:val="center"/>
          </w:tcPr>
          <w:p w:rsidR="00C42A2A" w:rsidRPr="00432E72" w:rsidRDefault="00C42A2A" w:rsidP="00817E66">
            <w:pPr>
              <w:spacing w:after="0"/>
              <w:ind w:right="9" w:firstLine="0"/>
              <w:jc w:val="right"/>
              <w:rPr>
                <w:rFonts w:ascii="Arial Narrow" w:hAnsi="Arial Narrow" w:cs="Arial"/>
                <w:lang w:val="es-ES" w:eastAsia="es-ES"/>
              </w:rPr>
            </w:pPr>
            <w:r>
              <w:rPr>
                <w:rFonts w:ascii="Arial Narrow" w:hAnsi="Arial Narrow" w:cs="Arial"/>
                <w:lang w:val="es-ES" w:eastAsia="es-ES"/>
              </w:rPr>
              <w:t>21</w:t>
            </w:r>
          </w:p>
        </w:tc>
        <w:tc>
          <w:tcPr>
            <w:tcW w:w="1454" w:type="dxa"/>
            <w:tcBorders>
              <w:top w:val="single" w:sz="4" w:space="0" w:color="auto"/>
              <w:bottom w:val="single" w:sz="4" w:space="0" w:color="auto"/>
            </w:tcBorders>
            <w:shd w:val="clear" w:color="auto" w:fill="auto"/>
            <w:vAlign w:val="center"/>
          </w:tcPr>
          <w:p w:rsidR="00C42A2A" w:rsidRPr="00432E72" w:rsidRDefault="00C42A2A" w:rsidP="00015CF7">
            <w:pPr>
              <w:tabs>
                <w:tab w:val="left" w:pos="1192"/>
              </w:tabs>
              <w:spacing w:after="0"/>
              <w:ind w:right="46" w:firstLine="0"/>
              <w:jc w:val="right"/>
              <w:rPr>
                <w:rFonts w:ascii="Arial Narrow" w:hAnsi="Arial Narrow" w:cs="Arial"/>
                <w:lang w:val="es-ES" w:eastAsia="es-ES"/>
              </w:rPr>
            </w:pPr>
            <w:r w:rsidRPr="00432E72">
              <w:rPr>
                <w:rFonts w:ascii="Arial Narrow" w:hAnsi="Arial Narrow" w:cs="Arial"/>
                <w:lang w:val="es-ES" w:eastAsia="es-ES"/>
              </w:rPr>
              <w:t>21</w:t>
            </w:r>
          </w:p>
        </w:tc>
        <w:tc>
          <w:tcPr>
            <w:tcW w:w="1455" w:type="dxa"/>
            <w:tcBorders>
              <w:top w:val="single" w:sz="4" w:space="0" w:color="auto"/>
              <w:bottom w:val="single" w:sz="4" w:space="0" w:color="auto"/>
            </w:tcBorders>
            <w:shd w:val="clear" w:color="auto" w:fill="auto"/>
            <w:vAlign w:val="center"/>
          </w:tcPr>
          <w:p w:rsidR="00C42A2A" w:rsidRPr="00432E72" w:rsidRDefault="00C42A2A" w:rsidP="00015CF7">
            <w:pPr>
              <w:spacing w:after="0"/>
              <w:ind w:left="-505" w:firstLine="0"/>
              <w:jc w:val="right"/>
              <w:rPr>
                <w:rFonts w:ascii="Arial Narrow" w:hAnsi="Arial Narrow" w:cs="Arial"/>
                <w:lang w:val="es-ES" w:eastAsia="es-ES"/>
              </w:rPr>
            </w:pPr>
            <w:r w:rsidRPr="00432E72">
              <w:rPr>
                <w:rFonts w:ascii="Arial Narrow" w:hAnsi="Arial Narrow" w:cs="Arial"/>
                <w:lang w:val="es-ES" w:eastAsia="es-ES"/>
              </w:rPr>
              <w:t>16</w:t>
            </w:r>
          </w:p>
        </w:tc>
      </w:tr>
      <w:tr w:rsidR="00C42A2A" w:rsidRPr="00730AE6" w:rsidTr="00015CF7">
        <w:trPr>
          <w:trHeight w:val="255"/>
          <w:jc w:val="center"/>
        </w:trPr>
        <w:tc>
          <w:tcPr>
            <w:tcW w:w="4667" w:type="dxa"/>
            <w:tcBorders>
              <w:top w:val="single" w:sz="4" w:space="0" w:color="auto"/>
              <w:bottom w:val="single" w:sz="4" w:space="0" w:color="auto"/>
            </w:tcBorders>
            <w:shd w:val="clear" w:color="auto" w:fill="auto"/>
            <w:vAlign w:val="center"/>
          </w:tcPr>
          <w:p w:rsidR="00C42A2A" w:rsidRPr="00432E72" w:rsidRDefault="00C42A2A" w:rsidP="00015CF7">
            <w:pPr>
              <w:spacing w:after="0"/>
              <w:ind w:firstLine="0"/>
              <w:jc w:val="left"/>
              <w:rPr>
                <w:rFonts w:ascii="Arial Narrow" w:hAnsi="Arial Narrow" w:cs="Arial"/>
                <w:lang w:val="es-ES" w:eastAsia="es-ES"/>
              </w:rPr>
            </w:pPr>
            <w:r w:rsidRPr="00432E72">
              <w:rPr>
                <w:rFonts w:ascii="Arial Narrow" w:hAnsi="Arial Narrow" w:cs="Arial"/>
                <w:lang w:val="es-ES" w:eastAsia="es-ES"/>
              </w:rPr>
              <w:t xml:space="preserve">   Otro investigador predoctoral</w:t>
            </w:r>
          </w:p>
        </w:tc>
        <w:tc>
          <w:tcPr>
            <w:tcW w:w="1454" w:type="dxa"/>
            <w:tcBorders>
              <w:top w:val="single" w:sz="4" w:space="0" w:color="auto"/>
              <w:bottom w:val="single" w:sz="4" w:space="0" w:color="auto"/>
            </w:tcBorders>
            <w:shd w:val="clear" w:color="auto" w:fill="auto"/>
            <w:vAlign w:val="center"/>
          </w:tcPr>
          <w:p w:rsidR="00C42A2A" w:rsidRPr="00432E72" w:rsidRDefault="00C42A2A" w:rsidP="00817E66">
            <w:pPr>
              <w:spacing w:after="0"/>
              <w:ind w:right="9" w:firstLine="0"/>
              <w:jc w:val="right"/>
              <w:rPr>
                <w:rFonts w:ascii="Arial Narrow" w:hAnsi="Arial Narrow" w:cs="Arial"/>
                <w:lang w:val="es-ES" w:eastAsia="es-ES"/>
              </w:rPr>
            </w:pPr>
            <w:r>
              <w:rPr>
                <w:rFonts w:ascii="Arial Narrow" w:hAnsi="Arial Narrow" w:cs="Arial"/>
                <w:lang w:val="es-ES" w:eastAsia="es-ES"/>
              </w:rPr>
              <w:t>72</w:t>
            </w:r>
          </w:p>
        </w:tc>
        <w:tc>
          <w:tcPr>
            <w:tcW w:w="1454" w:type="dxa"/>
            <w:tcBorders>
              <w:top w:val="single" w:sz="4" w:space="0" w:color="auto"/>
              <w:bottom w:val="single" w:sz="4" w:space="0" w:color="auto"/>
            </w:tcBorders>
            <w:shd w:val="clear" w:color="auto" w:fill="auto"/>
            <w:vAlign w:val="center"/>
          </w:tcPr>
          <w:p w:rsidR="00C42A2A" w:rsidRPr="00432E72" w:rsidRDefault="00C42A2A" w:rsidP="00015CF7">
            <w:pPr>
              <w:tabs>
                <w:tab w:val="left" w:pos="1192"/>
              </w:tabs>
              <w:spacing w:after="0"/>
              <w:ind w:right="46" w:firstLine="0"/>
              <w:jc w:val="right"/>
              <w:rPr>
                <w:rFonts w:ascii="Arial Narrow" w:hAnsi="Arial Narrow" w:cs="Arial"/>
                <w:lang w:val="es-ES" w:eastAsia="es-ES"/>
              </w:rPr>
            </w:pPr>
            <w:r w:rsidRPr="00432E72">
              <w:rPr>
                <w:rFonts w:ascii="Arial Narrow" w:hAnsi="Arial Narrow" w:cs="Arial"/>
                <w:lang w:val="es-ES" w:eastAsia="es-ES"/>
              </w:rPr>
              <w:t>69</w:t>
            </w:r>
          </w:p>
        </w:tc>
        <w:tc>
          <w:tcPr>
            <w:tcW w:w="1455" w:type="dxa"/>
            <w:tcBorders>
              <w:top w:val="single" w:sz="4" w:space="0" w:color="auto"/>
              <w:bottom w:val="single" w:sz="4" w:space="0" w:color="auto"/>
            </w:tcBorders>
            <w:shd w:val="clear" w:color="auto" w:fill="auto"/>
            <w:vAlign w:val="center"/>
          </w:tcPr>
          <w:p w:rsidR="00C42A2A" w:rsidRPr="00432E72" w:rsidRDefault="00C42A2A" w:rsidP="00015CF7">
            <w:pPr>
              <w:spacing w:after="0"/>
              <w:ind w:left="-505" w:firstLine="0"/>
              <w:jc w:val="right"/>
              <w:rPr>
                <w:rFonts w:ascii="Arial Narrow" w:hAnsi="Arial Narrow" w:cs="Arial"/>
                <w:lang w:val="es-ES" w:eastAsia="es-ES"/>
              </w:rPr>
            </w:pPr>
            <w:r w:rsidRPr="00432E72">
              <w:rPr>
                <w:rFonts w:ascii="Arial Narrow" w:hAnsi="Arial Narrow" w:cs="Arial"/>
                <w:lang w:val="es-ES" w:eastAsia="es-ES"/>
              </w:rPr>
              <w:t>70</w:t>
            </w:r>
          </w:p>
        </w:tc>
      </w:tr>
      <w:tr w:rsidR="00C42A2A" w:rsidRPr="00730AE6" w:rsidTr="00015CF7">
        <w:trPr>
          <w:trHeight w:val="255"/>
          <w:jc w:val="center"/>
        </w:trPr>
        <w:tc>
          <w:tcPr>
            <w:tcW w:w="4667" w:type="dxa"/>
            <w:tcBorders>
              <w:top w:val="single" w:sz="4" w:space="0" w:color="auto"/>
              <w:bottom w:val="single" w:sz="4" w:space="0" w:color="auto"/>
            </w:tcBorders>
            <w:shd w:val="clear" w:color="auto" w:fill="auto"/>
            <w:vAlign w:val="center"/>
          </w:tcPr>
          <w:p w:rsidR="00C42A2A" w:rsidRPr="00432E72" w:rsidRDefault="00C42A2A" w:rsidP="00015CF7">
            <w:pPr>
              <w:spacing w:after="0"/>
              <w:ind w:firstLine="0"/>
              <w:jc w:val="left"/>
              <w:rPr>
                <w:rFonts w:ascii="Arial Narrow" w:hAnsi="Arial Narrow" w:cs="Arial"/>
                <w:lang w:val="es-ES" w:eastAsia="es-ES"/>
              </w:rPr>
            </w:pPr>
            <w:r w:rsidRPr="00432E72">
              <w:rPr>
                <w:rFonts w:ascii="Arial Narrow" w:hAnsi="Arial Narrow" w:cs="Arial"/>
                <w:lang w:val="es-ES" w:eastAsia="es-ES"/>
              </w:rPr>
              <w:t xml:space="preserve">   Ramón y Cajal</w:t>
            </w:r>
          </w:p>
        </w:tc>
        <w:tc>
          <w:tcPr>
            <w:tcW w:w="1454" w:type="dxa"/>
            <w:tcBorders>
              <w:top w:val="single" w:sz="4" w:space="0" w:color="auto"/>
              <w:bottom w:val="single" w:sz="4" w:space="0" w:color="auto"/>
            </w:tcBorders>
            <w:shd w:val="clear" w:color="auto" w:fill="auto"/>
            <w:vAlign w:val="center"/>
          </w:tcPr>
          <w:p w:rsidR="00C42A2A" w:rsidRPr="00432E72" w:rsidRDefault="00C42A2A" w:rsidP="00817E66">
            <w:pPr>
              <w:spacing w:after="0"/>
              <w:ind w:right="9" w:firstLine="0"/>
              <w:jc w:val="right"/>
              <w:rPr>
                <w:rFonts w:ascii="Arial Narrow" w:hAnsi="Arial Narrow" w:cs="Arial"/>
                <w:lang w:val="es-ES" w:eastAsia="es-ES"/>
              </w:rPr>
            </w:pPr>
            <w:r>
              <w:rPr>
                <w:rFonts w:ascii="Arial Narrow" w:hAnsi="Arial Narrow" w:cs="Arial"/>
                <w:lang w:val="es-ES" w:eastAsia="es-ES"/>
              </w:rPr>
              <w:t>2</w:t>
            </w:r>
          </w:p>
        </w:tc>
        <w:tc>
          <w:tcPr>
            <w:tcW w:w="1454" w:type="dxa"/>
            <w:tcBorders>
              <w:top w:val="single" w:sz="4" w:space="0" w:color="auto"/>
              <w:bottom w:val="single" w:sz="4" w:space="0" w:color="auto"/>
            </w:tcBorders>
            <w:shd w:val="clear" w:color="auto" w:fill="auto"/>
            <w:vAlign w:val="center"/>
          </w:tcPr>
          <w:p w:rsidR="00C42A2A" w:rsidRPr="00432E72" w:rsidRDefault="00C42A2A" w:rsidP="00015CF7">
            <w:pPr>
              <w:tabs>
                <w:tab w:val="left" w:pos="1192"/>
              </w:tabs>
              <w:spacing w:after="0"/>
              <w:ind w:right="46" w:firstLine="0"/>
              <w:jc w:val="right"/>
              <w:rPr>
                <w:rFonts w:ascii="Arial Narrow" w:hAnsi="Arial Narrow" w:cs="Arial"/>
                <w:lang w:val="es-ES" w:eastAsia="es-ES"/>
              </w:rPr>
            </w:pPr>
            <w:r w:rsidRPr="00432E72">
              <w:rPr>
                <w:rFonts w:ascii="Arial Narrow" w:hAnsi="Arial Narrow" w:cs="Arial"/>
                <w:lang w:val="es-ES" w:eastAsia="es-ES"/>
              </w:rPr>
              <w:t>3</w:t>
            </w:r>
          </w:p>
        </w:tc>
        <w:tc>
          <w:tcPr>
            <w:tcW w:w="1455" w:type="dxa"/>
            <w:tcBorders>
              <w:top w:val="single" w:sz="4" w:space="0" w:color="auto"/>
              <w:bottom w:val="single" w:sz="4" w:space="0" w:color="auto"/>
            </w:tcBorders>
            <w:shd w:val="clear" w:color="auto" w:fill="auto"/>
            <w:vAlign w:val="center"/>
          </w:tcPr>
          <w:p w:rsidR="00C42A2A" w:rsidRPr="00432E72" w:rsidRDefault="00C42A2A" w:rsidP="00015CF7">
            <w:pPr>
              <w:spacing w:after="0"/>
              <w:ind w:left="-505" w:firstLine="0"/>
              <w:jc w:val="right"/>
              <w:rPr>
                <w:rFonts w:ascii="Arial Narrow" w:hAnsi="Arial Narrow" w:cs="Arial"/>
                <w:lang w:val="es-ES" w:eastAsia="es-ES"/>
              </w:rPr>
            </w:pPr>
            <w:r w:rsidRPr="00432E72">
              <w:rPr>
                <w:rFonts w:ascii="Arial Narrow" w:hAnsi="Arial Narrow" w:cs="Arial"/>
                <w:lang w:val="es-ES" w:eastAsia="es-ES"/>
              </w:rPr>
              <w:t>1</w:t>
            </w:r>
          </w:p>
        </w:tc>
      </w:tr>
      <w:tr w:rsidR="00C42A2A" w:rsidRPr="00730AE6" w:rsidTr="00015CF7">
        <w:trPr>
          <w:trHeight w:val="255"/>
          <w:jc w:val="center"/>
        </w:trPr>
        <w:tc>
          <w:tcPr>
            <w:tcW w:w="4667" w:type="dxa"/>
            <w:tcBorders>
              <w:top w:val="single" w:sz="4" w:space="0" w:color="auto"/>
              <w:bottom w:val="single" w:sz="4" w:space="0" w:color="auto"/>
            </w:tcBorders>
            <w:shd w:val="clear" w:color="auto" w:fill="auto"/>
            <w:vAlign w:val="center"/>
          </w:tcPr>
          <w:p w:rsidR="00C42A2A" w:rsidRPr="00432E72" w:rsidRDefault="00C42A2A" w:rsidP="00015CF7">
            <w:pPr>
              <w:spacing w:after="0"/>
              <w:ind w:firstLine="0"/>
              <w:jc w:val="left"/>
              <w:rPr>
                <w:rFonts w:ascii="Arial Narrow" w:hAnsi="Arial Narrow" w:cs="Arial"/>
                <w:lang w:val="es-ES" w:eastAsia="es-ES"/>
              </w:rPr>
            </w:pPr>
            <w:r w:rsidRPr="00432E72">
              <w:rPr>
                <w:rFonts w:ascii="Arial Narrow" w:hAnsi="Arial Narrow" w:cs="Arial"/>
                <w:lang w:val="es-ES" w:eastAsia="es-ES"/>
              </w:rPr>
              <w:t xml:space="preserve">   Juan de la Cierva</w:t>
            </w:r>
          </w:p>
        </w:tc>
        <w:tc>
          <w:tcPr>
            <w:tcW w:w="1454" w:type="dxa"/>
            <w:tcBorders>
              <w:top w:val="single" w:sz="4" w:space="0" w:color="auto"/>
              <w:bottom w:val="single" w:sz="4" w:space="0" w:color="auto"/>
            </w:tcBorders>
            <w:shd w:val="clear" w:color="auto" w:fill="auto"/>
            <w:vAlign w:val="center"/>
          </w:tcPr>
          <w:p w:rsidR="00C42A2A" w:rsidRPr="00432E72" w:rsidRDefault="00C42A2A" w:rsidP="00817E66">
            <w:pPr>
              <w:spacing w:after="0"/>
              <w:ind w:right="9" w:firstLine="0"/>
              <w:jc w:val="right"/>
              <w:rPr>
                <w:rFonts w:ascii="Arial Narrow" w:hAnsi="Arial Narrow" w:cs="Arial"/>
                <w:lang w:val="es-ES" w:eastAsia="es-ES"/>
              </w:rPr>
            </w:pPr>
            <w:r>
              <w:rPr>
                <w:rFonts w:ascii="Arial Narrow" w:hAnsi="Arial Narrow" w:cs="Arial"/>
                <w:lang w:val="es-ES" w:eastAsia="es-ES"/>
              </w:rPr>
              <w:t>2</w:t>
            </w:r>
          </w:p>
        </w:tc>
        <w:tc>
          <w:tcPr>
            <w:tcW w:w="1454" w:type="dxa"/>
            <w:tcBorders>
              <w:top w:val="single" w:sz="4" w:space="0" w:color="auto"/>
              <w:bottom w:val="single" w:sz="4" w:space="0" w:color="auto"/>
            </w:tcBorders>
            <w:shd w:val="clear" w:color="auto" w:fill="auto"/>
            <w:vAlign w:val="center"/>
          </w:tcPr>
          <w:p w:rsidR="00C42A2A" w:rsidRPr="00432E72" w:rsidRDefault="00C42A2A" w:rsidP="00015CF7">
            <w:pPr>
              <w:tabs>
                <w:tab w:val="left" w:pos="1192"/>
              </w:tabs>
              <w:spacing w:after="0"/>
              <w:ind w:right="46" w:firstLine="0"/>
              <w:jc w:val="right"/>
              <w:rPr>
                <w:rFonts w:ascii="Arial Narrow" w:hAnsi="Arial Narrow" w:cs="Arial"/>
                <w:lang w:val="es-ES" w:eastAsia="es-ES"/>
              </w:rPr>
            </w:pPr>
            <w:r w:rsidRPr="00432E72">
              <w:rPr>
                <w:rFonts w:ascii="Arial Narrow" w:hAnsi="Arial Narrow" w:cs="Arial"/>
                <w:lang w:val="es-ES" w:eastAsia="es-ES"/>
              </w:rPr>
              <w:t>1</w:t>
            </w:r>
          </w:p>
        </w:tc>
        <w:tc>
          <w:tcPr>
            <w:tcW w:w="1455" w:type="dxa"/>
            <w:tcBorders>
              <w:top w:val="single" w:sz="4" w:space="0" w:color="auto"/>
              <w:bottom w:val="single" w:sz="4" w:space="0" w:color="auto"/>
            </w:tcBorders>
            <w:shd w:val="clear" w:color="auto" w:fill="auto"/>
            <w:vAlign w:val="center"/>
          </w:tcPr>
          <w:p w:rsidR="00C42A2A" w:rsidRPr="00432E72" w:rsidRDefault="00C42A2A" w:rsidP="00015CF7">
            <w:pPr>
              <w:spacing w:after="0"/>
              <w:ind w:left="-505" w:firstLine="0"/>
              <w:jc w:val="right"/>
              <w:rPr>
                <w:rFonts w:ascii="Arial Narrow" w:hAnsi="Arial Narrow" w:cs="Arial"/>
                <w:lang w:val="es-ES" w:eastAsia="es-ES"/>
              </w:rPr>
            </w:pPr>
            <w:r w:rsidRPr="00432E72">
              <w:rPr>
                <w:rFonts w:ascii="Arial Narrow" w:hAnsi="Arial Narrow" w:cs="Arial"/>
                <w:lang w:val="es-ES" w:eastAsia="es-ES"/>
              </w:rPr>
              <w:t>3</w:t>
            </w:r>
          </w:p>
        </w:tc>
      </w:tr>
      <w:tr w:rsidR="00C42A2A" w:rsidRPr="00730AE6" w:rsidTr="00015CF7">
        <w:trPr>
          <w:trHeight w:val="255"/>
          <w:jc w:val="center"/>
        </w:trPr>
        <w:tc>
          <w:tcPr>
            <w:tcW w:w="4667" w:type="dxa"/>
            <w:tcBorders>
              <w:top w:val="single" w:sz="4" w:space="0" w:color="auto"/>
              <w:bottom w:val="single" w:sz="4" w:space="0" w:color="auto"/>
            </w:tcBorders>
            <w:shd w:val="clear" w:color="auto" w:fill="auto"/>
            <w:vAlign w:val="center"/>
          </w:tcPr>
          <w:p w:rsidR="00C42A2A" w:rsidRPr="00432E72" w:rsidRDefault="00C42A2A" w:rsidP="00015CF7">
            <w:pPr>
              <w:spacing w:after="0"/>
              <w:ind w:firstLine="0"/>
              <w:jc w:val="left"/>
              <w:rPr>
                <w:rFonts w:ascii="Arial Narrow" w:hAnsi="Arial Narrow" w:cs="Arial"/>
                <w:lang w:val="es-ES" w:eastAsia="es-ES"/>
              </w:rPr>
            </w:pPr>
            <w:r w:rsidRPr="00432E72">
              <w:rPr>
                <w:rFonts w:ascii="Arial Narrow" w:hAnsi="Arial Narrow" w:cs="Arial"/>
                <w:lang w:val="es-ES" w:eastAsia="es-ES"/>
              </w:rPr>
              <w:t xml:space="preserve">   Otro investigador postdoctoral</w:t>
            </w:r>
          </w:p>
        </w:tc>
        <w:tc>
          <w:tcPr>
            <w:tcW w:w="1454" w:type="dxa"/>
            <w:tcBorders>
              <w:top w:val="single" w:sz="4" w:space="0" w:color="auto"/>
              <w:bottom w:val="single" w:sz="4" w:space="0" w:color="auto"/>
            </w:tcBorders>
            <w:shd w:val="clear" w:color="auto" w:fill="auto"/>
            <w:vAlign w:val="center"/>
          </w:tcPr>
          <w:p w:rsidR="00C42A2A" w:rsidRPr="00432E72" w:rsidRDefault="00C42A2A" w:rsidP="00817E66">
            <w:pPr>
              <w:spacing w:after="0"/>
              <w:ind w:right="9" w:firstLine="0"/>
              <w:jc w:val="right"/>
              <w:rPr>
                <w:rFonts w:ascii="Arial Narrow" w:hAnsi="Arial Narrow" w:cs="Arial"/>
                <w:lang w:val="es-ES" w:eastAsia="es-ES"/>
              </w:rPr>
            </w:pPr>
            <w:r>
              <w:rPr>
                <w:rFonts w:ascii="Arial Narrow" w:hAnsi="Arial Narrow" w:cs="Arial"/>
                <w:lang w:val="es-ES" w:eastAsia="es-ES"/>
              </w:rPr>
              <w:t>8</w:t>
            </w:r>
          </w:p>
        </w:tc>
        <w:tc>
          <w:tcPr>
            <w:tcW w:w="1454" w:type="dxa"/>
            <w:tcBorders>
              <w:top w:val="single" w:sz="4" w:space="0" w:color="auto"/>
              <w:bottom w:val="single" w:sz="4" w:space="0" w:color="auto"/>
            </w:tcBorders>
            <w:shd w:val="clear" w:color="auto" w:fill="auto"/>
            <w:vAlign w:val="center"/>
          </w:tcPr>
          <w:p w:rsidR="00C42A2A" w:rsidRPr="00432E72" w:rsidRDefault="00C42A2A" w:rsidP="00015CF7">
            <w:pPr>
              <w:tabs>
                <w:tab w:val="left" w:pos="1192"/>
              </w:tabs>
              <w:spacing w:after="0"/>
              <w:ind w:right="46" w:firstLine="0"/>
              <w:jc w:val="right"/>
              <w:rPr>
                <w:rFonts w:ascii="Arial Narrow" w:hAnsi="Arial Narrow" w:cs="Arial"/>
                <w:lang w:val="es-ES" w:eastAsia="es-ES"/>
              </w:rPr>
            </w:pPr>
            <w:r w:rsidRPr="00432E72">
              <w:rPr>
                <w:rFonts w:ascii="Arial Narrow" w:hAnsi="Arial Narrow" w:cs="Arial"/>
                <w:lang w:val="es-ES" w:eastAsia="es-ES"/>
              </w:rPr>
              <w:t>6</w:t>
            </w:r>
          </w:p>
        </w:tc>
        <w:tc>
          <w:tcPr>
            <w:tcW w:w="1455" w:type="dxa"/>
            <w:tcBorders>
              <w:top w:val="single" w:sz="4" w:space="0" w:color="auto"/>
              <w:bottom w:val="single" w:sz="4" w:space="0" w:color="auto"/>
            </w:tcBorders>
            <w:shd w:val="clear" w:color="auto" w:fill="auto"/>
            <w:vAlign w:val="center"/>
          </w:tcPr>
          <w:p w:rsidR="00C42A2A" w:rsidRPr="00432E72" w:rsidRDefault="00C42A2A" w:rsidP="00015CF7">
            <w:pPr>
              <w:spacing w:after="0"/>
              <w:ind w:left="-505" w:firstLine="0"/>
              <w:jc w:val="right"/>
              <w:rPr>
                <w:rFonts w:ascii="Arial Narrow" w:hAnsi="Arial Narrow" w:cs="Arial"/>
                <w:lang w:val="es-ES" w:eastAsia="es-ES"/>
              </w:rPr>
            </w:pPr>
            <w:r w:rsidRPr="00432E72">
              <w:rPr>
                <w:rFonts w:ascii="Arial Narrow" w:hAnsi="Arial Narrow" w:cs="Arial"/>
                <w:lang w:val="es-ES" w:eastAsia="es-ES"/>
              </w:rPr>
              <w:t>8</w:t>
            </w:r>
          </w:p>
        </w:tc>
      </w:tr>
      <w:tr w:rsidR="00C42A2A" w:rsidRPr="00BA6DB8" w:rsidTr="00015CF7">
        <w:trPr>
          <w:trHeight w:val="255"/>
          <w:jc w:val="center"/>
        </w:trPr>
        <w:tc>
          <w:tcPr>
            <w:tcW w:w="4667" w:type="dxa"/>
            <w:tcBorders>
              <w:top w:val="single" w:sz="4" w:space="0" w:color="auto"/>
              <w:bottom w:val="single" w:sz="4" w:space="0" w:color="auto"/>
            </w:tcBorders>
            <w:shd w:val="clear" w:color="auto" w:fill="auto"/>
            <w:vAlign w:val="center"/>
          </w:tcPr>
          <w:p w:rsidR="00C42A2A" w:rsidRPr="00BA6DB8" w:rsidRDefault="00C42A2A" w:rsidP="00015CF7">
            <w:pPr>
              <w:spacing w:after="0"/>
              <w:ind w:firstLine="0"/>
              <w:jc w:val="left"/>
              <w:rPr>
                <w:rFonts w:ascii="Arial Narrow" w:hAnsi="Arial Narrow" w:cs="Arial"/>
                <w:b/>
                <w:lang w:val="es-ES" w:eastAsia="es-ES"/>
              </w:rPr>
            </w:pPr>
            <w:r w:rsidRPr="00BA6DB8">
              <w:rPr>
                <w:rFonts w:ascii="Arial Narrow" w:hAnsi="Arial Narrow" w:cs="Arial"/>
                <w:b/>
                <w:lang w:val="es-ES" w:eastAsia="es-ES"/>
              </w:rPr>
              <w:t>Investigación con cargo a proyectos, contratos y grupos de investigación</w:t>
            </w:r>
          </w:p>
        </w:tc>
        <w:tc>
          <w:tcPr>
            <w:tcW w:w="1454" w:type="dxa"/>
            <w:tcBorders>
              <w:top w:val="single" w:sz="4" w:space="0" w:color="auto"/>
              <w:bottom w:val="single" w:sz="4" w:space="0" w:color="auto"/>
            </w:tcBorders>
            <w:shd w:val="clear" w:color="auto" w:fill="auto"/>
            <w:vAlign w:val="center"/>
          </w:tcPr>
          <w:p w:rsidR="00C42A2A" w:rsidRPr="00BA6DB8" w:rsidRDefault="00C42A2A" w:rsidP="00817E66">
            <w:pPr>
              <w:spacing w:after="0"/>
              <w:ind w:right="9" w:firstLine="0"/>
              <w:jc w:val="right"/>
              <w:rPr>
                <w:rFonts w:ascii="Arial Narrow" w:hAnsi="Arial Narrow" w:cs="Arial"/>
                <w:b/>
                <w:lang w:val="es-ES" w:eastAsia="es-ES"/>
              </w:rPr>
            </w:pPr>
            <w:r>
              <w:rPr>
                <w:rFonts w:ascii="Arial Narrow" w:hAnsi="Arial Narrow" w:cs="Arial"/>
                <w:b/>
                <w:lang w:val="es-ES" w:eastAsia="es-ES"/>
              </w:rPr>
              <w:t>90</w:t>
            </w:r>
          </w:p>
        </w:tc>
        <w:tc>
          <w:tcPr>
            <w:tcW w:w="1454" w:type="dxa"/>
            <w:tcBorders>
              <w:top w:val="single" w:sz="4" w:space="0" w:color="auto"/>
              <w:bottom w:val="single" w:sz="4" w:space="0" w:color="auto"/>
            </w:tcBorders>
            <w:shd w:val="clear" w:color="auto" w:fill="auto"/>
            <w:vAlign w:val="center"/>
          </w:tcPr>
          <w:p w:rsidR="00C42A2A" w:rsidRPr="00BA6DB8" w:rsidRDefault="00C42A2A" w:rsidP="00015CF7">
            <w:pPr>
              <w:tabs>
                <w:tab w:val="left" w:pos="1192"/>
              </w:tabs>
              <w:spacing w:after="0"/>
              <w:ind w:right="46" w:firstLine="0"/>
              <w:jc w:val="right"/>
              <w:rPr>
                <w:rFonts w:ascii="Arial Narrow" w:hAnsi="Arial Narrow" w:cs="Arial"/>
                <w:b/>
                <w:i/>
                <w:lang w:val="es-ES" w:eastAsia="es-ES"/>
              </w:rPr>
            </w:pPr>
            <w:r w:rsidRPr="00BA6DB8">
              <w:rPr>
                <w:rFonts w:ascii="Arial Narrow" w:hAnsi="Arial Narrow" w:cs="Arial"/>
                <w:b/>
                <w:i/>
                <w:lang w:val="es-ES" w:eastAsia="es-ES"/>
              </w:rPr>
              <w:t>91</w:t>
            </w:r>
          </w:p>
        </w:tc>
        <w:tc>
          <w:tcPr>
            <w:tcW w:w="1455" w:type="dxa"/>
            <w:tcBorders>
              <w:top w:val="single" w:sz="4" w:space="0" w:color="auto"/>
              <w:bottom w:val="single" w:sz="4" w:space="0" w:color="auto"/>
            </w:tcBorders>
            <w:shd w:val="clear" w:color="auto" w:fill="auto"/>
            <w:vAlign w:val="center"/>
          </w:tcPr>
          <w:p w:rsidR="00C42A2A" w:rsidRPr="00BA6DB8" w:rsidRDefault="00C42A2A" w:rsidP="00015CF7">
            <w:pPr>
              <w:spacing w:after="0"/>
              <w:ind w:left="-505" w:firstLine="0"/>
              <w:jc w:val="right"/>
              <w:rPr>
                <w:rFonts w:ascii="Arial Narrow" w:hAnsi="Arial Narrow" w:cs="Arial"/>
                <w:b/>
                <w:i/>
                <w:lang w:val="es-ES" w:eastAsia="es-ES"/>
              </w:rPr>
            </w:pPr>
            <w:r w:rsidRPr="00BA6DB8">
              <w:rPr>
                <w:rFonts w:ascii="Arial Narrow" w:hAnsi="Arial Narrow" w:cs="Arial"/>
                <w:b/>
                <w:i/>
                <w:lang w:val="es-ES" w:eastAsia="es-ES"/>
              </w:rPr>
              <w:t>137</w:t>
            </w:r>
          </w:p>
        </w:tc>
      </w:tr>
      <w:tr w:rsidR="00C42A2A" w:rsidTr="00015CF7">
        <w:trPr>
          <w:trHeight w:val="255"/>
          <w:jc w:val="center"/>
        </w:trPr>
        <w:tc>
          <w:tcPr>
            <w:tcW w:w="4667" w:type="dxa"/>
            <w:tcBorders>
              <w:top w:val="single" w:sz="4" w:space="0" w:color="auto"/>
              <w:bottom w:val="single" w:sz="4" w:space="0" w:color="auto"/>
            </w:tcBorders>
            <w:shd w:val="clear" w:color="auto" w:fill="auto"/>
            <w:vAlign w:val="center"/>
          </w:tcPr>
          <w:p w:rsidR="00C42A2A" w:rsidRPr="00432E72" w:rsidRDefault="00C42A2A" w:rsidP="00015CF7">
            <w:pPr>
              <w:spacing w:after="0"/>
              <w:ind w:firstLine="0"/>
              <w:jc w:val="left"/>
              <w:rPr>
                <w:rFonts w:ascii="Arial Narrow" w:hAnsi="Arial Narrow" w:cs="Arial"/>
                <w:i/>
                <w:lang w:val="es-ES" w:eastAsia="es-ES"/>
              </w:rPr>
            </w:pPr>
            <w:r w:rsidRPr="00432E72">
              <w:rPr>
                <w:rFonts w:ascii="Arial Narrow" w:hAnsi="Arial Narrow" w:cs="Arial"/>
                <w:lang w:val="es-ES" w:eastAsia="es-ES"/>
              </w:rPr>
              <w:t xml:space="preserve">   Otro investigador predoctoral</w:t>
            </w:r>
          </w:p>
        </w:tc>
        <w:tc>
          <w:tcPr>
            <w:tcW w:w="1454" w:type="dxa"/>
            <w:tcBorders>
              <w:top w:val="single" w:sz="4" w:space="0" w:color="auto"/>
              <w:bottom w:val="single" w:sz="4" w:space="0" w:color="auto"/>
            </w:tcBorders>
            <w:shd w:val="clear" w:color="auto" w:fill="auto"/>
            <w:vAlign w:val="center"/>
          </w:tcPr>
          <w:p w:rsidR="00C42A2A" w:rsidRPr="00432E72" w:rsidRDefault="00C42A2A" w:rsidP="00817E66">
            <w:pPr>
              <w:spacing w:after="0"/>
              <w:ind w:right="9" w:firstLine="0"/>
              <w:jc w:val="right"/>
              <w:rPr>
                <w:rFonts w:ascii="Arial Narrow" w:hAnsi="Arial Narrow" w:cs="Arial"/>
                <w:i/>
                <w:lang w:val="es-ES" w:eastAsia="es-ES"/>
              </w:rPr>
            </w:pPr>
            <w:r>
              <w:rPr>
                <w:rFonts w:ascii="Arial Narrow" w:hAnsi="Arial Narrow" w:cs="Arial"/>
                <w:i/>
                <w:lang w:val="es-ES" w:eastAsia="es-ES"/>
              </w:rPr>
              <w:t>74</w:t>
            </w:r>
          </w:p>
        </w:tc>
        <w:tc>
          <w:tcPr>
            <w:tcW w:w="1454" w:type="dxa"/>
            <w:tcBorders>
              <w:top w:val="single" w:sz="4" w:space="0" w:color="auto"/>
              <w:bottom w:val="single" w:sz="4" w:space="0" w:color="auto"/>
            </w:tcBorders>
            <w:shd w:val="clear" w:color="auto" w:fill="auto"/>
            <w:vAlign w:val="center"/>
          </w:tcPr>
          <w:p w:rsidR="00C42A2A" w:rsidRPr="00432E72" w:rsidRDefault="00C42A2A" w:rsidP="00015CF7">
            <w:pPr>
              <w:tabs>
                <w:tab w:val="left" w:pos="1192"/>
              </w:tabs>
              <w:spacing w:after="0"/>
              <w:ind w:right="46" w:firstLine="0"/>
              <w:jc w:val="right"/>
              <w:rPr>
                <w:rFonts w:ascii="Arial Narrow" w:hAnsi="Arial Narrow" w:cs="Arial"/>
                <w:i/>
                <w:lang w:val="es-ES" w:eastAsia="es-ES"/>
              </w:rPr>
            </w:pPr>
            <w:r w:rsidRPr="00432E72">
              <w:rPr>
                <w:rFonts w:ascii="Arial Narrow" w:hAnsi="Arial Narrow" w:cs="Arial"/>
                <w:i/>
                <w:lang w:val="es-ES" w:eastAsia="es-ES"/>
              </w:rPr>
              <w:t>76</w:t>
            </w:r>
          </w:p>
        </w:tc>
        <w:tc>
          <w:tcPr>
            <w:tcW w:w="1455" w:type="dxa"/>
            <w:tcBorders>
              <w:top w:val="single" w:sz="4" w:space="0" w:color="auto"/>
              <w:bottom w:val="single" w:sz="4" w:space="0" w:color="auto"/>
            </w:tcBorders>
            <w:shd w:val="clear" w:color="auto" w:fill="auto"/>
            <w:vAlign w:val="center"/>
          </w:tcPr>
          <w:p w:rsidR="00C42A2A" w:rsidRPr="00432E72" w:rsidRDefault="00C42A2A" w:rsidP="00015CF7">
            <w:pPr>
              <w:spacing w:after="0"/>
              <w:ind w:left="-505" w:firstLine="0"/>
              <w:jc w:val="right"/>
              <w:rPr>
                <w:rFonts w:ascii="Arial Narrow" w:hAnsi="Arial Narrow" w:cs="Arial"/>
                <w:i/>
                <w:lang w:val="es-ES" w:eastAsia="es-ES"/>
              </w:rPr>
            </w:pPr>
            <w:r w:rsidRPr="00432E72">
              <w:rPr>
                <w:rFonts w:ascii="Arial Narrow" w:hAnsi="Arial Narrow" w:cs="Arial"/>
                <w:i/>
                <w:lang w:val="es-ES" w:eastAsia="es-ES"/>
              </w:rPr>
              <w:t>115</w:t>
            </w:r>
          </w:p>
        </w:tc>
      </w:tr>
      <w:tr w:rsidR="00C42A2A" w:rsidTr="00015CF7">
        <w:trPr>
          <w:trHeight w:val="255"/>
          <w:jc w:val="center"/>
        </w:trPr>
        <w:tc>
          <w:tcPr>
            <w:tcW w:w="4667" w:type="dxa"/>
            <w:tcBorders>
              <w:top w:val="single" w:sz="4" w:space="0" w:color="auto"/>
              <w:bottom w:val="single" w:sz="4" w:space="0" w:color="auto"/>
            </w:tcBorders>
            <w:shd w:val="clear" w:color="auto" w:fill="auto"/>
            <w:vAlign w:val="center"/>
          </w:tcPr>
          <w:p w:rsidR="00C42A2A" w:rsidRPr="00432E72" w:rsidRDefault="00C42A2A" w:rsidP="00015CF7">
            <w:pPr>
              <w:spacing w:after="0"/>
              <w:ind w:firstLine="0"/>
              <w:jc w:val="left"/>
              <w:rPr>
                <w:rFonts w:ascii="Arial Narrow" w:hAnsi="Arial Narrow" w:cs="Arial"/>
                <w:i/>
                <w:lang w:val="es-ES" w:eastAsia="es-ES"/>
              </w:rPr>
            </w:pPr>
            <w:r w:rsidRPr="00432E72">
              <w:rPr>
                <w:rFonts w:ascii="Arial Narrow" w:hAnsi="Arial Narrow" w:cs="Arial"/>
                <w:lang w:val="es-ES" w:eastAsia="es-ES"/>
              </w:rPr>
              <w:t xml:space="preserve">   Otro investigador postdoctoral</w:t>
            </w:r>
          </w:p>
        </w:tc>
        <w:tc>
          <w:tcPr>
            <w:tcW w:w="1454" w:type="dxa"/>
            <w:tcBorders>
              <w:top w:val="single" w:sz="4" w:space="0" w:color="auto"/>
              <w:bottom w:val="single" w:sz="4" w:space="0" w:color="auto"/>
            </w:tcBorders>
            <w:shd w:val="clear" w:color="auto" w:fill="auto"/>
            <w:vAlign w:val="center"/>
          </w:tcPr>
          <w:p w:rsidR="00C42A2A" w:rsidRPr="00432E72" w:rsidRDefault="00C42A2A" w:rsidP="00817E66">
            <w:pPr>
              <w:spacing w:after="0"/>
              <w:ind w:right="9" w:firstLine="0"/>
              <w:jc w:val="right"/>
              <w:rPr>
                <w:rFonts w:ascii="Arial Narrow" w:hAnsi="Arial Narrow" w:cs="Arial"/>
                <w:i/>
                <w:lang w:val="es-ES" w:eastAsia="es-ES"/>
              </w:rPr>
            </w:pPr>
            <w:r>
              <w:rPr>
                <w:rFonts w:ascii="Arial Narrow" w:hAnsi="Arial Narrow" w:cs="Arial"/>
                <w:i/>
                <w:lang w:val="es-ES" w:eastAsia="es-ES"/>
              </w:rPr>
              <w:t>16</w:t>
            </w:r>
          </w:p>
        </w:tc>
        <w:tc>
          <w:tcPr>
            <w:tcW w:w="1454" w:type="dxa"/>
            <w:tcBorders>
              <w:top w:val="single" w:sz="4" w:space="0" w:color="auto"/>
              <w:bottom w:val="single" w:sz="4" w:space="0" w:color="auto"/>
            </w:tcBorders>
            <w:shd w:val="clear" w:color="auto" w:fill="auto"/>
            <w:vAlign w:val="center"/>
          </w:tcPr>
          <w:p w:rsidR="00C42A2A" w:rsidRPr="00432E72" w:rsidRDefault="00C42A2A" w:rsidP="00015CF7">
            <w:pPr>
              <w:tabs>
                <w:tab w:val="left" w:pos="1192"/>
              </w:tabs>
              <w:spacing w:after="0"/>
              <w:ind w:right="46" w:firstLine="0"/>
              <w:jc w:val="right"/>
              <w:rPr>
                <w:rFonts w:ascii="Arial Narrow" w:hAnsi="Arial Narrow" w:cs="Arial"/>
                <w:i/>
                <w:lang w:val="es-ES" w:eastAsia="es-ES"/>
              </w:rPr>
            </w:pPr>
            <w:r w:rsidRPr="00432E72">
              <w:rPr>
                <w:rFonts w:ascii="Arial Narrow" w:hAnsi="Arial Narrow" w:cs="Arial"/>
                <w:i/>
                <w:lang w:val="es-ES" w:eastAsia="es-ES"/>
              </w:rPr>
              <w:t>15</w:t>
            </w:r>
          </w:p>
        </w:tc>
        <w:tc>
          <w:tcPr>
            <w:tcW w:w="1455" w:type="dxa"/>
            <w:tcBorders>
              <w:top w:val="single" w:sz="4" w:space="0" w:color="auto"/>
              <w:bottom w:val="single" w:sz="4" w:space="0" w:color="auto"/>
            </w:tcBorders>
            <w:shd w:val="clear" w:color="auto" w:fill="auto"/>
            <w:vAlign w:val="center"/>
          </w:tcPr>
          <w:p w:rsidR="00C42A2A" w:rsidRPr="00432E72" w:rsidRDefault="00C42A2A" w:rsidP="00015CF7">
            <w:pPr>
              <w:spacing w:after="0"/>
              <w:ind w:left="-505" w:firstLine="0"/>
              <w:jc w:val="right"/>
              <w:rPr>
                <w:rFonts w:ascii="Arial Narrow" w:hAnsi="Arial Narrow" w:cs="Arial"/>
                <w:i/>
                <w:lang w:val="es-ES" w:eastAsia="es-ES"/>
              </w:rPr>
            </w:pPr>
            <w:r w:rsidRPr="00432E72">
              <w:rPr>
                <w:rFonts w:ascii="Arial Narrow" w:hAnsi="Arial Narrow" w:cs="Arial"/>
                <w:i/>
                <w:lang w:val="es-ES" w:eastAsia="es-ES"/>
              </w:rPr>
              <w:t>22</w:t>
            </w:r>
          </w:p>
        </w:tc>
      </w:tr>
      <w:tr w:rsidR="00C42A2A" w:rsidRPr="00817E66" w:rsidTr="00670292">
        <w:trPr>
          <w:trHeight w:val="255"/>
          <w:jc w:val="center"/>
        </w:trPr>
        <w:tc>
          <w:tcPr>
            <w:tcW w:w="4667" w:type="dxa"/>
            <w:tcBorders>
              <w:top w:val="single" w:sz="4" w:space="0" w:color="auto"/>
              <w:bottom w:val="single" w:sz="4" w:space="0" w:color="auto"/>
            </w:tcBorders>
            <w:shd w:val="clear" w:color="auto" w:fill="A8CBEE" w:themeFill="accent2" w:themeFillTint="66"/>
            <w:vAlign w:val="center"/>
          </w:tcPr>
          <w:p w:rsidR="00C42A2A" w:rsidRPr="00817E66" w:rsidRDefault="00C42A2A" w:rsidP="00015CF7">
            <w:pPr>
              <w:spacing w:after="0"/>
              <w:ind w:firstLine="0"/>
              <w:jc w:val="left"/>
              <w:rPr>
                <w:rFonts w:ascii="Arial" w:hAnsi="Arial" w:cs="Arial"/>
                <w:sz w:val="18"/>
                <w:szCs w:val="18"/>
                <w:lang w:val="es-ES" w:eastAsia="es-ES"/>
              </w:rPr>
            </w:pPr>
            <w:r w:rsidRPr="00817E66">
              <w:rPr>
                <w:rFonts w:ascii="Arial" w:hAnsi="Arial" w:cs="Arial"/>
                <w:sz w:val="18"/>
                <w:szCs w:val="18"/>
                <w:lang w:val="es-ES" w:eastAsia="es-ES"/>
              </w:rPr>
              <w:t>Total PEI</w:t>
            </w:r>
          </w:p>
        </w:tc>
        <w:tc>
          <w:tcPr>
            <w:tcW w:w="1454" w:type="dxa"/>
            <w:tcBorders>
              <w:top w:val="single" w:sz="4" w:space="0" w:color="auto"/>
              <w:bottom w:val="single" w:sz="4" w:space="0" w:color="auto"/>
            </w:tcBorders>
            <w:shd w:val="clear" w:color="auto" w:fill="A8CBEE" w:themeFill="accent2" w:themeFillTint="66"/>
            <w:vAlign w:val="center"/>
          </w:tcPr>
          <w:p w:rsidR="00C42A2A" w:rsidRPr="00817E66" w:rsidRDefault="00C42A2A" w:rsidP="00817E66">
            <w:pPr>
              <w:spacing w:after="0"/>
              <w:ind w:right="9" w:firstLine="0"/>
              <w:jc w:val="right"/>
              <w:rPr>
                <w:rFonts w:ascii="Arial" w:hAnsi="Arial" w:cs="Arial"/>
                <w:sz w:val="18"/>
                <w:szCs w:val="18"/>
                <w:lang w:val="es-ES" w:eastAsia="es-ES"/>
              </w:rPr>
            </w:pPr>
            <w:r w:rsidRPr="00817E66">
              <w:rPr>
                <w:rFonts w:ascii="Arial" w:hAnsi="Arial" w:cs="Arial"/>
                <w:sz w:val="18"/>
                <w:szCs w:val="18"/>
                <w:lang w:val="es-ES" w:eastAsia="es-ES"/>
              </w:rPr>
              <w:t>200</w:t>
            </w:r>
          </w:p>
        </w:tc>
        <w:tc>
          <w:tcPr>
            <w:tcW w:w="1454" w:type="dxa"/>
            <w:tcBorders>
              <w:top w:val="single" w:sz="4" w:space="0" w:color="auto"/>
              <w:bottom w:val="single" w:sz="4" w:space="0" w:color="auto"/>
            </w:tcBorders>
            <w:shd w:val="clear" w:color="auto" w:fill="A8CBEE" w:themeFill="accent2" w:themeFillTint="66"/>
            <w:vAlign w:val="center"/>
          </w:tcPr>
          <w:p w:rsidR="00C42A2A" w:rsidRPr="00817E66" w:rsidRDefault="00C42A2A" w:rsidP="00015CF7">
            <w:pPr>
              <w:tabs>
                <w:tab w:val="left" w:pos="1192"/>
              </w:tabs>
              <w:spacing w:after="0"/>
              <w:ind w:right="46" w:firstLine="0"/>
              <w:jc w:val="right"/>
              <w:rPr>
                <w:rFonts w:ascii="Arial" w:hAnsi="Arial" w:cs="Arial"/>
                <w:sz w:val="18"/>
                <w:szCs w:val="18"/>
                <w:lang w:val="es-ES" w:eastAsia="es-ES"/>
              </w:rPr>
            </w:pPr>
            <w:r w:rsidRPr="00817E66">
              <w:rPr>
                <w:rFonts w:ascii="Arial" w:hAnsi="Arial" w:cs="Arial"/>
                <w:sz w:val="18"/>
                <w:szCs w:val="18"/>
                <w:lang w:val="es-ES" w:eastAsia="es-ES"/>
              </w:rPr>
              <w:t>197</w:t>
            </w:r>
          </w:p>
        </w:tc>
        <w:tc>
          <w:tcPr>
            <w:tcW w:w="1455" w:type="dxa"/>
            <w:tcBorders>
              <w:top w:val="single" w:sz="4" w:space="0" w:color="auto"/>
              <w:bottom w:val="single" w:sz="4" w:space="0" w:color="auto"/>
            </w:tcBorders>
            <w:shd w:val="clear" w:color="auto" w:fill="A8CBEE" w:themeFill="accent2" w:themeFillTint="66"/>
            <w:vAlign w:val="center"/>
          </w:tcPr>
          <w:p w:rsidR="00C42A2A" w:rsidRPr="00817E66" w:rsidRDefault="00C42A2A" w:rsidP="00015CF7">
            <w:pPr>
              <w:spacing w:after="0"/>
              <w:ind w:left="-505" w:firstLine="0"/>
              <w:jc w:val="right"/>
              <w:rPr>
                <w:rFonts w:ascii="Arial" w:hAnsi="Arial" w:cs="Arial"/>
                <w:sz w:val="18"/>
                <w:szCs w:val="18"/>
                <w:lang w:val="es-ES" w:eastAsia="es-ES"/>
              </w:rPr>
            </w:pPr>
            <w:r w:rsidRPr="00817E66">
              <w:rPr>
                <w:rFonts w:ascii="Arial" w:hAnsi="Arial" w:cs="Arial"/>
                <w:sz w:val="18"/>
                <w:szCs w:val="18"/>
                <w:lang w:val="es-ES" w:eastAsia="es-ES"/>
              </w:rPr>
              <w:t>241</w:t>
            </w:r>
          </w:p>
        </w:tc>
      </w:tr>
      <w:tr w:rsidR="00C42A2A" w:rsidRPr="00817E66" w:rsidTr="00670292">
        <w:trPr>
          <w:trHeight w:val="255"/>
          <w:jc w:val="center"/>
        </w:trPr>
        <w:tc>
          <w:tcPr>
            <w:tcW w:w="4667" w:type="dxa"/>
            <w:tcBorders>
              <w:top w:val="single" w:sz="4" w:space="0" w:color="auto"/>
              <w:bottom w:val="single" w:sz="2" w:space="0" w:color="auto"/>
            </w:tcBorders>
            <w:shd w:val="clear" w:color="auto" w:fill="A8CBEE" w:themeFill="accent2" w:themeFillTint="66"/>
            <w:vAlign w:val="center"/>
          </w:tcPr>
          <w:p w:rsidR="00C42A2A" w:rsidRPr="00817E66" w:rsidRDefault="00C42A2A" w:rsidP="00015CF7">
            <w:pPr>
              <w:spacing w:after="0"/>
              <w:ind w:firstLine="0"/>
              <w:jc w:val="left"/>
              <w:rPr>
                <w:rFonts w:ascii="Arial" w:hAnsi="Arial" w:cs="Arial"/>
                <w:sz w:val="18"/>
                <w:szCs w:val="18"/>
                <w:lang w:val="es-ES" w:eastAsia="es-ES"/>
              </w:rPr>
            </w:pPr>
            <w:r w:rsidRPr="00817E66">
              <w:rPr>
                <w:rFonts w:ascii="Arial" w:hAnsi="Arial" w:cs="Arial"/>
                <w:sz w:val="18"/>
                <w:szCs w:val="18"/>
                <w:lang w:val="es-ES" w:eastAsia="es-ES"/>
              </w:rPr>
              <w:t xml:space="preserve">Total personal </w:t>
            </w:r>
          </w:p>
        </w:tc>
        <w:tc>
          <w:tcPr>
            <w:tcW w:w="1454" w:type="dxa"/>
            <w:tcBorders>
              <w:top w:val="single" w:sz="4" w:space="0" w:color="auto"/>
              <w:bottom w:val="single" w:sz="2" w:space="0" w:color="auto"/>
            </w:tcBorders>
            <w:shd w:val="clear" w:color="auto" w:fill="A8CBEE" w:themeFill="accent2" w:themeFillTint="66"/>
            <w:vAlign w:val="center"/>
          </w:tcPr>
          <w:p w:rsidR="00C42A2A" w:rsidRPr="00817E66" w:rsidRDefault="00C42A2A" w:rsidP="00817E66">
            <w:pPr>
              <w:spacing w:after="0"/>
              <w:ind w:right="9" w:firstLine="0"/>
              <w:jc w:val="right"/>
              <w:rPr>
                <w:rFonts w:ascii="Arial" w:hAnsi="Arial" w:cs="Arial"/>
                <w:sz w:val="18"/>
                <w:szCs w:val="18"/>
                <w:lang w:val="es-ES" w:eastAsia="es-ES"/>
              </w:rPr>
            </w:pPr>
            <w:r w:rsidRPr="00817E66">
              <w:rPr>
                <w:rFonts w:ascii="Arial" w:hAnsi="Arial" w:cs="Arial"/>
                <w:sz w:val="18"/>
                <w:szCs w:val="18"/>
                <w:lang w:val="es-ES" w:eastAsia="es-ES"/>
              </w:rPr>
              <w:t>1.524</w:t>
            </w:r>
          </w:p>
        </w:tc>
        <w:tc>
          <w:tcPr>
            <w:tcW w:w="1454" w:type="dxa"/>
            <w:tcBorders>
              <w:top w:val="single" w:sz="4" w:space="0" w:color="auto"/>
              <w:bottom w:val="single" w:sz="2" w:space="0" w:color="auto"/>
            </w:tcBorders>
            <w:shd w:val="clear" w:color="auto" w:fill="A8CBEE" w:themeFill="accent2" w:themeFillTint="66"/>
            <w:vAlign w:val="center"/>
          </w:tcPr>
          <w:p w:rsidR="00C42A2A" w:rsidRPr="00817E66" w:rsidRDefault="00C42A2A" w:rsidP="00015CF7">
            <w:pPr>
              <w:tabs>
                <w:tab w:val="left" w:pos="1192"/>
              </w:tabs>
              <w:spacing w:after="0"/>
              <w:ind w:right="46" w:firstLine="0"/>
              <w:jc w:val="right"/>
              <w:rPr>
                <w:rFonts w:ascii="Arial" w:hAnsi="Arial" w:cs="Arial"/>
                <w:sz w:val="18"/>
                <w:szCs w:val="18"/>
                <w:lang w:val="es-ES" w:eastAsia="es-ES"/>
              </w:rPr>
            </w:pPr>
            <w:r w:rsidRPr="00817E66">
              <w:rPr>
                <w:rFonts w:ascii="Arial" w:hAnsi="Arial" w:cs="Arial"/>
                <w:sz w:val="18"/>
                <w:szCs w:val="18"/>
                <w:lang w:val="es-ES" w:eastAsia="es-ES"/>
              </w:rPr>
              <w:t>1.542</w:t>
            </w:r>
          </w:p>
        </w:tc>
        <w:tc>
          <w:tcPr>
            <w:tcW w:w="1455" w:type="dxa"/>
            <w:tcBorders>
              <w:top w:val="single" w:sz="4" w:space="0" w:color="auto"/>
              <w:bottom w:val="single" w:sz="2" w:space="0" w:color="auto"/>
            </w:tcBorders>
            <w:shd w:val="clear" w:color="auto" w:fill="A8CBEE" w:themeFill="accent2" w:themeFillTint="66"/>
            <w:vAlign w:val="center"/>
          </w:tcPr>
          <w:p w:rsidR="00C42A2A" w:rsidRPr="00817E66" w:rsidRDefault="00C42A2A" w:rsidP="00015CF7">
            <w:pPr>
              <w:spacing w:after="0"/>
              <w:ind w:left="-505" w:firstLine="0"/>
              <w:jc w:val="right"/>
              <w:rPr>
                <w:rFonts w:ascii="Arial" w:hAnsi="Arial" w:cs="Arial"/>
                <w:sz w:val="18"/>
                <w:szCs w:val="18"/>
                <w:lang w:val="es-ES" w:eastAsia="es-ES"/>
              </w:rPr>
            </w:pPr>
            <w:r w:rsidRPr="00817E66">
              <w:rPr>
                <w:rFonts w:ascii="Arial" w:hAnsi="Arial" w:cs="Arial"/>
                <w:sz w:val="18"/>
                <w:szCs w:val="18"/>
                <w:lang w:val="es-ES" w:eastAsia="es-ES"/>
              </w:rPr>
              <w:t>1.615</w:t>
            </w:r>
          </w:p>
        </w:tc>
      </w:tr>
    </w:tbl>
    <w:p w:rsidR="00E6520B" w:rsidRDefault="00E6520B" w:rsidP="00E6520B">
      <w:pPr>
        <w:spacing w:after="0"/>
        <w:ind w:firstLine="0"/>
        <w:jc w:val="left"/>
        <w:rPr>
          <w:spacing w:val="6"/>
          <w:sz w:val="26"/>
          <w:szCs w:val="26"/>
        </w:rPr>
      </w:pPr>
      <w:r>
        <w:rPr>
          <w:szCs w:val="26"/>
        </w:rPr>
        <w:br w:type="page"/>
      </w:r>
    </w:p>
    <w:p w:rsidR="00C73DB2" w:rsidRDefault="00C73DB2" w:rsidP="00C73DB2">
      <w:pPr>
        <w:pStyle w:val="atitulo1"/>
      </w:pPr>
      <w:bookmarkStart w:id="37" w:name="_Toc3967029"/>
      <w:r>
        <w:t xml:space="preserve">Anexo </w:t>
      </w:r>
      <w:r w:rsidR="0030452F">
        <w:t>I</w:t>
      </w:r>
      <w:r>
        <w:t>II. Indicadores de las actividades de la Fundación Universidad-Sociedad</w:t>
      </w:r>
      <w:bookmarkEnd w:id="37"/>
    </w:p>
    <w:tbl>
      <w:tblPr>
        <w:tblW w:w="9141" w:type="dxa"/>
        <w:jc w:val="center"/>
        <w:tblLayout w:type="fixed"/>
        <w:tblCellMar>
          <w:left w:w="70" w:type="dxa"/>
          <w:right w:w="70" w:type="dxa"/>
        </w:tblCellMar>
        <w:tblLook w:val="04A0" w:firstRow="1" w:lastRow="0" w:firstColumn="1" w:lastColumn="0" w:noHBand="0" w:noVBand="1"/>
      </w:tblPr>
      <w:tblGrid>
        <w:gridCol w:w="1330"/>
        <w:gridCol w:w="3116"/>
        <w:gridCol w:w="3437"/>
        <w:gridCol w:w="1258"/>
      </w:tblGrid>
      <w:tr w:rsidR="00C73DB2" w:rsidRPr="00817E66" w:rsidTr="00817E66">
        <w:trPr>
          <w:trHeight w:val="284"/>
          <w:jc w:val="center"/>
        </w:trPr>
        <w:tc>
          <w:tcPr>
            <w:tcW w:w="1330" w:type="dxa"/>
            <w:tcBorders>
              <w:top w:val="single" w:sz="4" w:space="0" w:color="auto"/>
              <w:bottom w:val="single" w:sz="2" w:space="0" w:color="auto"/>
            </w:tcBorders>
            <w:shd w:val="clear" w:color="auto" w:fill="A8CBEE" w:themeFill="accent2" w:themeFillTint="66"/>
            <w:noWrap/>
            <w:vAlign w:val="center"/>
          </w:tcPr>
          <w:p w:rsidR="00C73DB2" w:rsidRPr="00817E66" w:rsidRDefault="00AE2260" w:rsidP="00C73DB2">
            <w:pPr>
              <w:pStyle w:val="texto"/>
              <w:spacing w:after="0"/>
              <w:ind w:firstLine="0"/>
              <w:rPr>
                <w:rFonts w:ascii="Arial" w:hAnsi="Arial" w:cs="Arial"/>
                <w:sz w:val="18"/>
                <w:szCs w:val="18"/>
              </w:rPr>
            </w:pPr>
            <w:r w:rsidRPr="00817E66">
              <w:rPr>
                <w:rFonts w:ascii="Arial" w:hAnsi="Arial" w:cs="Arial"/>
                <w:sz w:val="18"/>
                <w:szCs w:val="18"/>
              </w:rPr>
              <w:t>ÁREA</w:t>
            </w:r>
          </w:p>
        </w:tc>
        <w:tc>
          <w:tcPr>
            <w:tcW w:w="3116" w:type="dxa"/>
            <w:tcBorders>
              <w:top w:val="single" w:sz="4" w:space="0" w:color="auto"/>
              <w:bottom w:val="single" w:sz="2" w:space="0" w:color="auto"/>
            </w:tcBorders>
            <w:shd w:val="clear" w:color="auto" w:fill="A8CBEE" w:themeFill="accent2" w:themeFillTint="66"/>
            <w:vAlign w:val="center"/>
          </w:tcPr>
          <w:p w:rsidR="00C73DB2" w:rsidRPr="00817E66" w:rsidRDefault="00AE2260" w:rsidP="00AE2260">
            <w:pPr>
              <w:pStyle w:val="texto"/>
              <w:spacing w:after="0"/>
              <w:ind w:firstLine="0"/>
              <w:jc w:val="left"/>
              <w:rPr>
                <w:rFonts w:ascii="Arial" w:hAnsi="Arial" w:cs="Arial"/>
                <w:sz w:val="18"/>
                <w:szCs w:val="18"/>
              </w:rPr>
            </w:pPr>
            <w:r w:rsidRPr="00817E66">
              <w:rPr>
                <w:rFonts w:ascii="Arial" w:hAnsi="Arial" w:cs="Arial"/>
                <w:sz w:val="18"/>
                <w:szCs w:val="18"/>
              </w:rPr>
              <w:t>Actividad</w:t>
            </w:r>
          </w:p>
        </w:tc>
        <w:tc>
          <w:tcPr>
            <w:tcW w:w="3437" w:type="dxa"/>
            <w:tcBorders>
              <w:top w:val="single" w:sz="4" w:space="0" w:color="auto"/>
              <w:bottom w:val="single" w:sz="2" w:space="0" w:color="auto"/>
            </w:tcBorders>
            <w:shd w:val="clear" w:color="auto" w:fill="A8CBEE" w:themeFill="accent2" w:themeFillTint="66"/>
            <w:vAlign w:val="center"/>
          </w:tcPr>
          <w:p w:rsidR="00C73DB2" w:rsidRPr="00817E66" w:rsidRDefault="00AE2260" w:rsidP="00AE2260">
            <w:pPr>
              <w:pStyle w:val="texto"/>
              <w:spacing w:after="0"/>
              <w:ind w:firstLine="0"/>
              <w:jc w:val="left"/>
              <w:rPr>
                <w:rFonts w:ascii="Arial" w:hAnsi="Arial" w:cs="Arial"/>
                <w:sz w:val="18"/>
                <w:szCs w:val="18"/>
              </w:rPr>
            </w:pPr>
            <w:r w:rsidRPr="00817E66">
              <w:rPr>
                <w:rFonts w:ascii="Arial" w:hAnsi="Arial" w:cs="Arial"/>
                <w:sz w:val="18"/>
                <w:szCs w:val="18"/>
              </w:rPr>
              <w:t>Indicador</w:t>
            </w:r>
          </w:p>
        </w:tc>
        <w:tc>
          <w:tcPr>
            <w:tcW w:w="1258" w:type="dxa"/>
            <w:tcBorders>
              <w:top w:val="single" w:sz="4" w:space="0" w:color="auto"/>
              <w:bottom w:val="single" w:sz="2" w:space="0" w:color="auto"/>
            </w:tcBorders>
            <w:shd w:val="clear" w:color="auto" w:fill="A8CBEE" w:themeFill="accent2" w:themeFillTint="66"/>
            <w:noWrap/>
            <w:vAlign w:val="center"/>
          </w:tcPr>
          <w:p w:rsidR="00C73DB2" w:rsidRPr="00817E66" w:rsidRDefault="00AE2260" w:rsidP="00C73DB2">
            <w:pPr>
              <w:pStyle w:val="texto"/>
              <w:spacing w:after="0"/>
              <w:ind w:firstLine="0"/>
              <w:jc w:val="right"/>
              <w:rPr>
                <w:rFonts w:ascii="Arial" w:hAnsi="Arial" w:cs="Arial"/>
                <w:sz w:val="18"/>
                <w:szCs w:val="18"/>
              </w:rPr>
            </w:pPr>
            <w:r w:rsidRPr="00817E66">
              <w:rPr>
                <w:rFonts w:ascii="Arial" w:hAnsi="Arial" w:cs="Arial"/>
                <w:sz w:val="18"/>
                <w:szCs w:val="18"/>
              </w:rPr>
              <w:t>Número</w:t>
            </w:r>
          </w:p>
        </w:tc>
      </w:tr>
      <w:tr w:rsidR="004562D9" w:rsidRPr="00B426B5" w:rsidTr="00817E66">
        <w:trPr>
          <w:trHeight w:val="284"/>
          <w:jc w:val="center"/>
        </w:trPr>
        <w:tc>
          <w:tcPr>
            <w:tcW w:w="1330" w:type="dxa"/>
            <w:vMerge w:val="restart"/>
            <w:tcBorders>
              <w:top w:val="single" w:sz="4" w:space="0" w:color="auto"/>
            </w:tcBorders>
            <w:shd w:val="clear" w:color="auto" w:fill="auto"/>
            <w:noWrap/>
            <w:vAlign w:val="center"/>
          </w:tcPr>
          <w:p w:rsidR="004562D9" w:rsidRPr="00B426B5" w:rsidRDefault="004562D9" w:rsidP="00C73DB2">
            <w:pPr>
              <w:pStyle w:val="texto"/>
              <w:spacing w:after="0"/>
              <w:ind w:firstLine="0"/>
              <w:rPr>
                <w:rFonts w:ascii="Arial Narrow" w:hAnsi="Arial Narrow"/>
                <w:sz w:val="22"/>
                <w:szCs w:val="22"/>
              </w:rPr>
            </w:pPr>
            <w:r w:rsidRPr="00B426B5">
              <w:rPr>
                <w:rFonts w:ascii="Arial Narrow" w:hAnsi="Arial Narrow"/>
                <w:sz w:val="22"/>
                <w:szCs w:val="22"/>
              </w:rPr>
              <w:t>Empleo</w:t>
            </w:r>
          </w:p>
        </w:tc>
        <w:tc>
          <w:tcPr>
            <w:tcW w:w="3116" w:type="dxa"/>
            <w:vMerge w:val="restart"/>
            <w:tcBorders>
              <w:top w:val="single" w:sz="4"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sidRPr="00B426B5">
              <w:rPr>
                <w:rFonts w:ascii="Arial Narrow" w:hAnsi="Arial Narrow"/>
                <w:sz w:val="22"/>
                <w:szCs w:val="22"/>
              </w:rPr>
              <w:t>Inserción laboral</w:t>
            </w:r>
          </w:p>
        </w:tc>
        <w:tc>
          <w:tcPr>
            <w:tcW w:w="3437" w:type="dxa"/>
            <w:tcBorders>
              <w:top w:val="single" w:sz="4" w:space="0" w:color="auto"/>
              <w:bottom w:val="single" w:sz="2"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sidRPr="00B426B5">
              <w:rPr>
                <w:rFonts w:ascii="Arial Narrow" w:hAnsi="Arial Narrow"/>
                <w:sz w:val="22"/>
                <w:szCs w:val="22"/>
              </w:rPr>
              <w:t>Nº personas entrevistadas por ofertas de trabajo</w:t>
            </w:r>
          </w:p>
        </w:tc>
        <w:tc>
          <w:tcPr>
            <w:tcW w:w="1258" w:type="dxa"/>
            <w:tcBorders>
              <w:top w:val="single" w:sz="4" w:space="0" w:color="auto"/>
              <w:bottom w:val="single" w:sz="2" w:space="0" w:color="auto"/>
            </w:tcBorders>
            <w:shd w:val="clear" w:color="auto" w:fill="auto"/>
            <w:noWrap/>
            <w:vAlign w:val="center"/>
          </w:tcPr>
          <w:p w:rsidR="004562D9" w:rsidRPr="00B426B5" w:rsidRDefault="004562D9" w:rsidP="00C73DB2">
            <w:pPr>
              <w:pStyle w:val="texto"/>
              <w:spacing w:after="0"/>
              <w:ind w:firstLine="0"/>
              <w:jc w:val="right"/>
              <w:rPr>
                <w:rFonts w:ascii="Arial Narrow" w:hAnsi="Arial Narrow"/>
                <w:sz w:val="22"/>
                <w:szCs w:val="22"/>
              </w:rPr>
            </w:pPr>
            <w:r w:rsidRPr="00B426B5">
              <w:rPr>
                <w:rFonts w:ascii="Arial Narrow" w:hAnsi="Arial Narrow"/>
                <w:sz w:val="22"/>
                <w:szCs w:val="22"/>
              </w:rPr>
              <w:t>117</w:t>
            </w:r>
          </w:p>
        </w:tc>
      </w:tr>
      <w:tr w:rsidR="004562D9" w:rsidRPr="00B426B5" w:rsidTr="00817E66">
        <w:trPr>
          <w:trHeight w:val="284"/>
          <w:jc w:val="center"/>
        </w:trPr>
        <w:tc>
          <w:tcPr>
            <w:tcW w:w="1330" w:type="dxa"/>
            <w:vMerge/>
            <w:tcBorders>
              <w:top w:val="single" w:sz="4" w:space="0" w:color="auto"/>
            </w:tcBorders>
            <w:shd w:val="clear" w:color="auto" w:fill="auto"/>
            <w:noWrap/>
            <w:vAlign w:val="center"/>
          </w:tcPr>
          <w:p w:rsidR="004562D9" w:rsidRPr="00B426B5" w:rsidRDefault="004562D9" w:rsidP="00C73DB2">
            <w:pPr>
              <w:pStyle w:val="texto"/>
              <w:spacing w:after="0"/>
              <w:ind w:firstLine="0"/>
              <w:rPr>
                <w:rFonts w:ascii="Arial Narrow" w:hAnsi="Arial Narrow"/>
                <w:sz w:val="22"/>
                <w:szCs w:val="22"/>
              </w:rPr>
            </w:pPr>
          </w:p>
        </w:tc>
        <w:tc>
          <w:tcPr>
            <w:tcW w:w="3116" w:type="dxa"/>
            <w:vMerge/>
            <w:tcBorders>
              <w:bottom w:val="single" w:sz="2"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p>
        </w:tc>
        <w:tc>
          <w:tcPr>
            <w:tcW w:w="3437" w:type="dxa"/>
            <w:tcBorders>
              <w:top w:val="single" w:sz="4" w:space="0" w:color="auto"/>
              <w:bottom w:val="single" w:sz="2" w:space="0" w:color="auto"/>
            </w:tcBorders>
            <w:shd w:val="clear" w:color="auto" w:fill="auto"/>
            <w:vAlign w:val="center"/>
          </w:tcPr>
          <w:p w:rsidR="004562D9" w:rsidRPr="00B426B5" w:rsidRDefault="004562D9" w:rsidP="00D449F3">
            <w:pPr>
              <w:pStyle w:val="texto"/>
              <w:spacing w:after="0"/>
              <w:ind w:firstLine="0"/>
              <w:jc w:val="left"/>
              <w:rPr>
                <w:rFonts w:ascii="Arial Narrow" w:hAnsi="Arial Narrow"/>
                <w:sz w:val="22"/>
                <w:szCs w:val="22"/>
              </w:rPr>
            </w:pPr>
            <w:r w:rsidRPr="00B426B5">
              <w:rPr>
                <w:rFonts w:ascii="Arial Narrow" w:hAnsi="Arial Narrow"/>
                <w:sz w:val="22"/>
                <w:szCs w:val="22"/>
              </w:rPr>
              <w:t>Nª de ofertas de trabajo</w:t>
            </w:r>
          </w:p>
        </w:tc>
        <w:tc>
          <w:tcPr>
            <w:tcW w:w="1258" w:type="dxa"/>
            <w:tcBorders>
              <w:top w:val="single" w:sz="4" w:space="0" w:color="auto"/>
              <w:bottom w:val="single" w:sz="2" w:space="0" w:color="auto"/>
            </w:tcBorders>
            <w:shd w:val="clear" w:color="auto" w:fill="auto"/>
            <w:noWrap/>
            <w:vAlign w:val="center"/>
          </w:tcPr>
          <w:p w:rsidR="004562D9" w:rsidRPr="00B426B5" w:rsidRDefault="004562D9" w:rsidP="00C73DB2">
            <w:pPr>
              <w:pStyle w:val="texto"/>
              <w:spacing w:after="0"/>
              <w:ind w:firstLine="0"/>
              <w:jc w:val="right"/>
              <w:rPr>
                <w:rFonts w:ascii="Arial Narrow" w:hAnsi="Arial Narrow"/>
                <w:sz w:val="22"/>
                <w:szCs w:val="22"/>
              </w:rPr>
            </w:pPr>
            <w:r w:rsidRPr="00B426B5">
              <w:rPr>
                <w:rFonts w:ascii="Arial Narrow" w:hAnsi="Arial Narrow"/>
                <w:sz w:val="22"/>
                <w:szCs w:val="22"/>
              </w:rPr>
              <w:t>68</w:t>
            </w:r>
          </w:p>
        </w:tc>
      </w:tr>
      <w:tr w:rsidR="004562D9" w:rsidRPr="00B426B5" w:rsidTr="00817E66">
        <w:trPr>
          <w:trHeight w:val="284"/>
          <w:jc w:val="center"/>
        </w:trPr>
        <w:tc>
          <w:tcPr>
            <w:tcW w:w="1330" w:type="dxa"/>
            <w:vMerge/>
            <w:shd w:val="clear" w:color="auto" w:fill="auto"/>
            <w:noWrap/>
            <w:vAlign w:val="center"/>
          </w:tcPr>
          <w:p w:rsidR="004562D9" w:rsidRPr="00B426B5" w:rsidRDefault="004562D9" w:rsidP="00C73DB2">
            <w:pPr>
              <w:pStyle w:val="texto"/>
              <w:spacing w:after="0"/>
              <w:ind w:firstLine="0"/>
              <w:rPr>
                <w:rFonts w:ascii="Arial Narrow" w:hAnsi="Arial Narrow"/>
                <w:sz w:val="22"/>
                <w:szCs w:val="22"/>
              </w:rPr>
            </w:pPr>
          </w:p>
        </w:tc>
        <w:tc>
          <w:tcPr>
            <w:tcW w:w="3116" w:type="dxa"/>
            <w:tcBorders>
              <w:top w:val="single" w:sz="4" w:space="0" w:color="auto"/>
              <w:bottom w:val="single" w:sz="2"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sidRPr="00B426B5">
              <w:rPr>
                <w:rFonts w:ascii="Arial Narrow" w:hAnsi="Arial Narrow"/>
                <w:sz w:val="22"/>
                <w:szCs w:val="22"/>
              </w:rPr>
              <w:t>Orientación laboral</w:t>
            </w:r>
          </w:p>
        </w:tc>
        <w:tc>
          <w:tcPr>
            <w:tcW w:w="3437" w:type="dxa"/>
            <w:tcBorders>
              <w:top w:val="single" w:sz="4" w:space="0" w:color="auto"/>
              <w:bottom w:val="single" w:sz="2"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sidRPr="00B426B5">
              <w:rPr>
                <w:rFonts w:ascii="Arial Narrow" w:hAnsi="Arial Narrow"/>
                <w:sz w:val="22"/>
                <w:szCs w:val="22"/>
              </w:rPr>
              <w:t>Nº de personas orientadas</w:t>
            </w:r>
          </w:p>
        </w:tc>
        <w:tc>
          <w:tcPr>
            <w:tcW w:w="1258" w:type="dxa"/>
            <w:tcBorders>
              <w:top w:val="single" w:sz="4" w:space="0" w:color="auto"/>
              <w:bottom w:val="single" w:sz="2" w:space="0" w:color="auto"/>
            </w:tcBorders>
            <w:shd w:val="clear" w:color="auto" w:fill="auto"/>
            <w:noWrap/>
            <w:vAlign w:val="center"/>
          </w:tcPr>
          <w:p w:rsidR="004562D9" w:rsidRPr="00B426B5" w:rsidRDefault="004562D9" w:rsidP="00C73DB2">
            <w:pPr>
              <w:pStyle w:val="texto"/>
              <w:spacing w:after="0"/>
              <w:ind w:firstLine="0"/>
              <w:jc w:val="right"/>
              <w:rPr>
                <w:rFonts w:ascii="Arial Narrow" w:hAnsi="Arial Narrow"/>
                <w:sz w:val="22"/>
                <w:szCs w:val="22"/>
              </w:rPr>
            </w:pPr>
            <w:r w:rsidRPr="00B426B5">
              <w:rPr>
                <w:rFonts w:ascii="Arial Narrow" w:hAnsi="Arial Narrow"/>
                <w:sz w:val="22"/>
                <w:szCs w:val="22"/>
              </w:rPr>
              <w:t>3.196</w:t>
            </w:r>
          </w:p>
        </w:tc>
      </w:tr>
      <w:tr w:rsidR="004562D9" w:rsidRPr="00B426B5" w:rsidTr="00817E66">
        <w:trPr>
          <w:trHeight w:val="284"/>
          <w:jc w:val="center"/>
        </w:trPr>
        <w:tc>
          <w:tcPr>
            <w:tcW w:w="1330" w:type="dxa"/>
            <w:vMerge/>
            <w:shd w:val="clear" w:color="auto" w:fill="auto"/>
            <w:noWrap/>
            <w:vAlign w:val="center"/>
          </w:tcPr>
          <w:p w:rsidR="004562D9" w:rsidRPr="00B426B5" w:rsidRDefault="004562D9" w:rsidP="00C73DB2">
            <w:pPr>
              <w:pStyle w:val="texto"/>
              <w:spacing w:after="0"/>
              <w:ind w:firstLine="0"/>
              <w:rPr>
                <w:rFonts w:ascii="Arial Narrow" w:hAnsi="Arial Narrow"/>
                <w:sz w:val="22"/>
                <w:szCs w:val="22"/>
              </w:rPr>
            </w:pPr>
          </w:p>
        </w:tc>
        <w:tc>
          <w:tcPr>
            <w:tcW w:w="3116" w:type="dxa"/>
            <w:vMerge w:val="restart"/>
            <w:tcBorders>
              <w:top w:val="single" w:sz="4"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sidRPr="00B426B5">
              <w:rPr>
                <w:rFonts w:ascii="Arial Narrow" w:hAnsi="Arial Narrow"/>
                <w:sz w:val="22"/>
                <w:szCs w:val="22"/>
              </w:rPr>
              <w:t>Prácticas de empleo</w:t>
            </w:r>
          </w:p>
        </w:tc>
        <w:tc>
          <w:tcPr>
            <w:tcW w:w="3437" w:type="dxa"/>
            <w:tcBorders>
              <w:top w:val="single" w:sz="4" w:space="0" w:color="auto"/>
              <w:bottom w:val="single" w:sz="2" w:space="0" w:color="auto"/>
            </w:tcBorders>
            <w:shd w:val="clear" w:color="auto" w:fill="auto"/>
            <w:vAlign w:val="center"/>
          </w:tcPr>
          <w:p w:rsidR="004562D9" w:rsidRPr="00B426B5" w:rsidRDefault="004562D9" w:rsidP="00D449F3">
            <w:pPr>
              <w:pStyle w:val="texto"/>
              <w:spacing w:after="0"/>
              <w:ind w:firstLine="0"/>
              <w:jc w:val="left"/>
              <w:rPr>
                <w:rFonts w:ascii="Arial Narrow" w:hAnsi="Arial Narrow"/>
                <w:sz w:val="22"/>
                <w:szCs w:val="22"/>
              </w:rPr>
            </w:pPr>
            <w:r w:rsidRPr="00B426B5">
              <w:rPr>
                <w:rFonts w:ascii="Arial Narrow" w:hAnsi="Arial Narrow"/>
                <w:sz w:val="22"/>
                <w:szCs w:val="22"/>
              </w:rPr>
              <w:t>Nº de prácticas iniciadas en el año</w:t>
            </w:r>
          </w:p>
        </w:tc>
        <w:tc>
          <w:tcPr>
            <w:tcW w:w="1258" w:type="dxa"/>
            <w:tcBorders>
              <w:top w:val="single" w:sz="4" w:space="0" w:color="auto"/>
              <w:bottom w:val="single" w:sz="2" w:space="0" w:color="auto"/>
            </w:tcBorders>
            <w:shd w:val="clear" w:color="auto" w:fill="auto"/>
            <w:noWrap/>
            <w:vAlign w:val="center"/>
          </w:tcPr>
          <w:p w:rsidR="004562D9" w:rsidRPr="00B426B5" w:rsidRDefault="004562D9" w:rsidP="00C73DB2">
            <w:pPr>
              <w:pStyle w:val="texto"/>
              <w:spacing w:after="0"/>
              <w:ind w:firstLine="0"/>
              <w:jc w:val="right"/>
              <w:rPr>
                <w:rFonts w:ascii="Arial Narrow" w:hAnsi="Arial Narrow"/>
                <w:sz w:val="22"/>
                <w:szCs w:val="22"/>
              </w:rPr>
            </w:pPr>
            <w:r w:rsidRPr="00B426B5">
              <w:rPr>
                <w:rFonts w:ascii="Arial Narrow" w:hAnsi="Arial Narrow"/>
                <w:sz w:val="22"/>
                <w:szCs w:val="22"/>
              </w:rPr>
              <w:t>1.390</w:t>
            </w:r>
          </w:p>
        </w:tc>
      </w:tr>
      <w:tr w:rsidR="004562D9" w:rsidRPr="00B426B5" w:rsidTr="00817E66">
        <w:trPr>
          <w:trHeight w:val="284"/>
          <w:jc w:val="center"/>
        </w:trPr>
        <w:tc>
          <w:tcPr>
            <w:tcW w:w="1330" w:type="dxa"/>
            <w:vMerge/>
            <w:tcBorders>
              <w:bottom w:val="single" w:sz="2" w:space="0" w:color="auto"/>
            </w:tcBorders>
            <w:shd w:val="clear" w:color="auto" w:fill="auto"/>
            <w:noWrap/>
            <w:vAlign w:val="center"/>
          </w:tcPr>
          <w:p w:rsidR="004562D9" w:rsidRPr="00B426B5" w:rsidRDefault="004562D9" w:rsidP="00C73DB2">
            <w:pPr>
              <w:pStyle w:val="texto"/>
              <w:spacing w:after="0"/>
              <w:ind w:firstLine="0"/>
              <w:rPr>
                <w:rFonts w:ascii="Arial Narrow" w:hAnsi="Arial Narrow"/>
                <w:sz w:val="22"/>
                <w:szCs w:val="22"/>
              </w:rPr>
            </w:pPr>
          </w:p>
        </w:tc>
        <w:tc>
          <w:tcPr>
            <w:tcW w:w="3116" w:type="dxa"/>
            <w:vMerge/>
            <w:tcBorders>
              <w:bottom w:val="single" w:sz="2"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p>
        </w:tc>
        <w:tc>
          <w:tcPr>
            <w:tcW w:w="3437" w:type="dxa"/>
            <w:tcBorders>
              <w:top w:val="single" w:sz="4" w:space="0" w:color="auto"/>
              <w:bottom w:val="single" w:sz="2"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sidRPr="00B426B5">
              <w:rPr>
                <w:rFonts w:ascii="Arial Narrow" w:hAnsi="Arial Narrow"/>
                <w:sz w:val="22"/>
                <w:szCs w:val="22"/>
              </w:rPr>
              <w:t>Nº de convenios de colaboración con empresas e instituciones</w:t>
            </w:r>
          </w:p>
        </w:tc>
        <w:tc>
          <w:tcPr>
            <w:tcW w:w="1258" w:type="dxa"/>
            <w:tcBorders>
              <w:top w:val="single" w:sz="4" w:space="0" w:color="auto"/>
              <w:bottom w:val="single" w:sz="2" w:space="0" w:color="auto"/>
            </w:tcBorders>
            <w:shd w:val="clear" w:color="auto" w:fill="auto"/>
            <w:noWrap/>
            <w:vAlign w:val="center"/>
          </w:tcPr>
          <w:p w:rsidR="004562D9" w:rsidRPr="00B426B5" w:rsidRDefault="004562D9" w:rsidP="00C73DB2">
            <w:pPr>
              <w:pStyle w:val="texto"/>
              <w:spacing w:after="0"/>
              <w:ind w:firstLine="0"/>
              <w:jc w:val="right"/>
              <w:rPr>
                <w:rFonts w:ascii="Arial Narrow" w:hAnsi="Arial Narrow"/>
                <w:sz w:val="22"/>
                <w:szCs w:val="22"/>
              </w:rPr>
            </w:pPr>
            <w:r w:rsidRPr="00B426B5">
              <w:rPr>
                <w:rFonts w:ascii="Arial Narrow" w:hAnsi="Arial Narrow"/>
                <w:sz w:val="22"/>
                <w:szCs w:val="22"/>
              </w:rPr>
              <w:t>141</w:t>
            </w:r>
          </w:p>
        </w:tc>
      </w:tr>
      <w:tr w:rsidR="004562D9" w:rsidRPr="00B426B5" w:rsidTr="00817E66">
        <w:trPr>
          <w:trHeight w:val="284"/>
          <w:jc w:val="center"/>
        </w:trPr>
        <w:tc>
          <w:tcPr>
            <w:tcW w:w="1330" w:type="dxa"/>
            <w:vMerge w:val="restart"/>
            <w:tcBorders>
              <w:top w:val="single" w:sz="2" w:space="0" w:color="auto"/>
            </w:tcBorders>
            <w:shd w:val="clear" w:color="auto" w:fill="auto"/>
            <w:noWrap/>
            <w:vAlign w:val="center"/>
          </w:tcPr>
          <w:p w:rsidR="004562D9" w:rsidRPr="00B426B5" w:rsidRDefault="004562D9" w:rsidP="00C73DB2">
            <w:pPr>
              <w:pStyle w:val="texto"/>
              <w:spacing w:after="0"/>
              <w:ind w:firstLine="0"/>
              <w:rPr>
                <w:rFonts w:ascii="Arial Narrow" w:hAnsi="Arial Narrow"/>
                <w:sz w:val="22"/>
                <w:szCs w:val="22"/>
              </w:rPr>
            </w:pPr>
            <w:r w:rsidRPr="00B426B5">
              <w:rPr>
                <w:rFonts w:ascii="Arial Narrow" w:hAnsi="Arial Narrow"/>
                <w:sz w:val="22"/>
                <w:szCs w:val="22"/>
              </w:rPr>
              <w:t>Formación</w:t>
            </w:r>
          </w:p>
        </w:tc>
        <w:tc>
          <w:tcPr>
            <w:tcW w:w="3116" w:type="dxa"/>
            <w:tcBorders>
              <w:top w:val="single" w:sz="2" w:space="0" w:color="auto"/>
              <w:bottom w:val="single" w:sz="2"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sidRPr="00B426B5">
              <w:rPr>
                <w:rFonts w:ascii="Arial Narrow" w:hAnsi="Arial Narrow"/>
                <w:sz w:val="22"/>
                <w:szCs w:val="22"/>
              </w:rPr>
              <w:t>Enseñanzas propias</w:t>
            </w:r>
          </w:p>
        </w:tc>
        <w:tc>
          <w:tcPr>
            <w:tcW w:w="3437" w:type="dxa"/>
            <w:tcBorders>
              <w:top w:val="single" w:sz="2" w:space="0" w:color="auto"/>
              <w:bottom w:val="single" w:sz="2"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sidRPr="00B426B5">
              <w:rPr>
                <w:rFonts w:ascii="Arial Narrow" w:hAnsi="Arial Narrow"/>
                <w:sz w:val="22"/>
                <w:szCs w:val="22"/>
              </w:rPr>
              <w:t>Títulos propios</w:t>
            </w:r>
          </w:p>
        </w:tc>
        <w:tc>
          <w:tcPr>
            <w:tcW w:w="1258" w:type="dxa"/>
            <w:tcBorders>
              <w:top w:val="single" w:sz="2" w:space="0" w:color="auto"/>
              <w:bottom w:val="single" w:sz="2" w:space="0" w:color="auto"/>
            </w:tcBorders>
            <w:shd w:val="clear" w:color="auto" w:fill="auto"/>
            <w:noWrap/>
            <w:vAlign w:val="center"/>
          </w:tcPr>
          <w:p w:rsidR="004562D9" w:rsidRPr="00B426B5" w:rsidRDefault="004562D9" w:rsidP="00C73DB2">
            <w:pPr>
              <w:pStyle w:val="texto"/>
              <w:spacing w:after="0"/>
              <w:ind w:firstLine="0"/>
              <w:jc w:val="right"/>
              <w:rPr>
                <w:rFonts w:ascii="Arial Narrow" w:hAnsi="Arial Narrow"/>
                <w:sz w:val="22"/>
                <w:szCs w:val="22"/>
              </w:rPr>
            </w:pPr>
            <w:r w:rsidRPr="00B426B5">
              <w:rPr>
                <w:rFonts w:ascii="Arial Narrow" w:hAnsi="Arial Narrow"/>
                <w:sz w:val="22"/>
                <w:szCs w:val="22"/>
              </w:rPr>
              <w:t>12</w:t>
            </w:r>
          </w:p>
        </w:tc>
      </w:tr>
      <w:tr w:rsidR="004562D9" w:rsidRPr="00B426B5" w:rsidTr="00817E66">
        <w:trPr>
          <w:trHeight w:val="284"/>
          <w:jc w:val="center"/>
        </w:trPr>
        <w:tc>
          <w:tcPr>
            <w:tcW w:w="1330" w:type="dxa"/>
            <w:vMerge/>
            <w:shd w:val="clear" w:color="auto" w:fill="auto"/>
            <w:noWrap/>
            <w:vAlign w:val="center"/>
          </w:tcPr>
          <w:p w:rsidR="004562D9" w:rsidRPr="00B426B5" w:rsidRDefault="004562D9" w:rsidP="00C73DB2">
            <w:pPr>
              <w:pStyle w:val="texto"/>
              <w:spacing w:after="0"/>
              <w:ind w:firstLine="0"/>
              <w:rPr>
                <w:rFonts w:ascii="Arial Narrow" w:hAnsi="Arial Narrow"/>
                <w:sz w:val="22"/>
                <w:szCs w:val="22"/>
              </w:rPr>
            </w:pPr>
          </w:p>
        </w:tc>
        <w:tc>
          <w:tcPr>
            <w:tcW w:w="3116" w:type="dxa"/>
            <w:vMerge w:val="restart"/>
            <w:tcBorders>
              <w:top w:val="single" w:sz="2"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sidRPr="00B426B5">
              <w:rPr>
                <w:rFonts w:ascii="Arial Narrow" w:hAnsi="Arial Narrow"/>
                <w:sz w:val="22"/>
                <w:szCs w:val="22"/>
              </w:rPr>
              <w:t>Formación continua</w:t>
            </w:r>
          </w:p>
        </w:tc>
        <w:tc>
          <w:tcPr>
            <w:tcW w:w="3437" w:type="dxa"/>
            <w:tcBorders>
              <w:top w:val="single" w:sz="2" w:space="0" w:color="auto"/>
              <w:bottom w:val="single" w:sz="2"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sidRPr="00B426B5">
              <w:rPr>
                <w:rFonts w:ascii="Arial Narrow" w:hAnsi="Arial Narrow"/>
                <w:sz w:val="22"/>
                <w:szCs w:val="22"/>
              </w:rPr>
              <w:t>Cursos de especialización</w:t>
            </w:r>
          </w:p>
        </w:tc>
        <w:tc>
          <w:tcPr>
            <w:tcW w:w="1258" w:type="dxa"/>
            <w:tcBorders>
              <w:top w:val="single" w:sz="2" w:space="0" w:color="auto"/>
              <w:bottom w:val="single" w:sz="2" w:space="0" w:color="auto"/>
            </w:tcBorders>
            <w:shd w:val="clear" w:color="auto" w:fill="auto"/>
            <w:noWrap/>
            <w:vAlign w:val="center"/>
          </w:tcPr>
          <w:p w:rsidR="004562D9" w:rsidRPr="00B426B5" w:rsidRDefault="004562D9" w:rsidP="00C73DB2">
            <w:pPr>
              <w:pStyle w:val="texto"/>
              <w:spacing w:after="0"/>
              <w:ind w:firstLine="0"/>
              <w:jc w:val="right"/>
              <w:rPr>
                <w:rFonts w:ascii="Arial Narrow" w:hAnsi="Arial Narrow"/>
                <w:sz w:val="22"/>
                <w:szCs w:val="22"/>
              </w:rPr>
            </w:pPr>
            <w:r w:rsidRPr="00B426B5">
              <w:rPr>
                <w:rFonts w:ascii="Arial Narrow" w:hAnsi="Arial Narrow"/>
                <w:sz w:val="22"/>
                <w:szCs w:val="22"/>
              </w:rPr>
              <w:t>5</w:t>
            </w:r>
          </w:p>
        </w:tc>
      </w:tr>
      <w:tr w:rsidR="004562D9" w:rsidRPr="00B426B5" w:rsidTr="00817E66">
        <w:trPr>
          <w:trHeight w:val="284"/>
          <w:jc w:val="center"/>
        </w:trPr>
        <w:tc>
          <w:tcPr>
            <w:tcW w:w="1330" w:type="dxa"/>
            <w:vMerge/>
            <w:shd w:val="clear" w:color="auto" w:fill="auto"/>
            <w:noWrap/>
            <w:vAlign w:val="center"/>
          </w:tcPr>
          <w:p w:rsidR="004562D9" w:rsidRPr="00B426B5" w:rsidRDefault="004562D9" w:rsidP="00C73DB2">
            <w:pPr>
              <w:pStyle w:val="texto"/>
              <w:spacing w:after="0"/>
              <w:ind w:firstLine="0"/>
              <w:rPr>
                <w:rFonts w:ascii="Arial Narrow" w:hAnsi="Arial Narrow"/>
                <w:sz w:val="22"/>
                <w:szCs w:val="22"/>
              </w:rPr>
            </w:pPr>
          </w:p>
        </w:tc>
        <w:tc>
          <w:tcPr>
            <w:tcW w:w="3116" w:type="dxa"/>
            <w:vMerge/>
            <w:tcBorders>
              <w:bottom w:val="single" w:sz="2"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p>
        </w:tc>
        <w:tc>
          <w:tcPr>
            <w:tcW w:w="3437" w:type="dxa"/>
            <w:tcBorders>
              <w:top w:val="single" w:sz="2" w:space="0" w:color="auto"/>
              <w:bottom w:val="single" w:sz="2"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sidRPr="00B426B5">
              <w:rPr>
                <w:rFonts w:ascii="Arial Narrow" w:hAnsi="Arial Narrow"/>
                <w:sz w:val="22"/>
                <w:szCs w:val="22"/>
              </w:rPr>
              <w:t>Cursos cortos para profesionales</w:t>
            </w:r>
          </w:p>
        </w:tc>
        <w:tc>
          <w:tcPr>
            <w:tcW w:w="1258" w:type="dxa"/>
            <w:tcBorders>
              <w:top w:val="single" w:sz="2" w:space="0" w:color="auto"/>
              <w:bottom w:val="single" w:sz="2" w:space="0" w:color="auto"/>
            </w:tcBorders>
            <w:shd w:val="clear" w:color="auto" w:fill="auto"/>
            <w:noWrap/>
            <w:vAlign w:val="center"/>
          </w:tcPr>
          <w:p w:rsidR="004562D9" w:rsidRPr="00B426B5" w:rsidRDefault="004562D9" w:rsidP="00C73DB2">
            <w:pPr>
              <w:pStyle w:val="texto"/>
              <w:spacing w:after="0"/>
              <w:ind w:firstLine="0"/>
              <w:jc w:val="right"/>
              <w:rPr>
                <w:rFonts w:ascii="Arial Narrow" w:hAnsi="Arial Narrow"/>
                <w:sz w:val="22"/>
                <w:szCs w:val="22"/>
              </w:rPr>
            </w:pPr>
            <w:r w:rsidRPr="00B426B5">
              <w:rPr>
                <w:rFonts w:ascii="Arial Narrow" w:hAnsi="Arial Narrow"/>
                <w:sz w:val="22"/>
                <w:szCs w:val="22"/>
              </w:rPr>
              <w:t>19</w:t>
            </w:r>
          </w:p>
        </w:tc>
      </w:tr>
      <w:tr w:rsidR="004562D9" w:rsidRPr="00B426B5" w:rsidTr="00817E66">
        <w:trPr>
          <w:trHeight w:val="284"/>
          <w:jc w:val="center"/>
        </w:trPr>
        <w:tc>
          <w:tcPr>
            <w:tcW w:w="1330" w:type="dxa"/>
            <w:vMerge/>
            <w:shd w:val="clear" w:color="auto" w:fill="auto"/>
            <w:noWrap/>
            <w:vAlign w:val="center"/>
          </w:tcPr>
          <w:p w:rsidR="004562D9" w:rsidRPr="00B426B5" w:rsidRDefault="004562D9" w:rsidP="00C73DB2">
            <w:pPr>
              <w:pStyle w:val="texto"/>
              <w:spacing w:after="0"/>
              <w:ind w:firstLine="0"/>
              <w:rPr>
                <w:rFonts w:ascii="Arial Narrow" w:hAnsi="Arial Narrow"/>
                <w:sz w:val="22"/>
                <w:szCs w:val="22"/>
              </w:rPr>
            </w:pPr>
          </w:p>
        </w:tc>
        <w:tc>
          <w:tcPr>
            <w:tcW w:w="3116" w:type="dxa"/>
            <w:vMerge w:val="restart"/>
            <w:tcBorders>
              <w:top w:val="single" w:sz="2"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sidRPr="00B426B5">
              <w:rPr>
                <w:rFonts w:ascii="Arial Narrow" w:hAnsi="Arial Narrow"/>
                <w:sz w:val="22"/>
                <w:szCs w:val="22"/>
              </w:rPr>
              <w:t>Formación para titulados en prácticas</w:t>
            </w:r>
          </w:p>
        </w:tc>
        <w:tc>
          <w:tcPr>
            <w:tcW w:w="3437" w:type="dxa"/>
            <w:tcBorders>
              <w:top w:val="single" w:sz="2" w:space="0" w:color="auto"/>
              <w:bottom w:val="single" w:sz="2"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sidRPr="00B426B5">
              <w:rPr>
                <w:rFonts w:ascii="Arial Narrow" w:hAnsi="Arial Narrow"/>
                <w:sz w:val="22"/>
                <w:szCs w:val="22"/>
              </w:rPr>
              <w:t>Nº acciones formativas para prácticas titulados</w:t>
            </w:r>
          </w:p>
        </w:tc>
        <w:tc>
          <w:tcPr>
            <w:tcW w:w="1258" w:type="dxa"/>
            <w:tcBorders>
              <w:top w:val="single" w:sz="2" w:space="0" w:color="auto"/>
              <w:bottom w:val="single" w:sz="2" w:space="0" w:color="auto"/>
            </w:tcBorders>
            <w:shd w:val="clear" w:color="auto" w:fill="auto"/>
            <w:noWrap/>
            <w:vAlign w:val="center"/>
          </w:tcPr>
          <w:p w:rsidR="004562D9" w:rsidRPr="00B426B5" w:rsidRDefault="004562D9" w:rsidP="00C73DB2">
            <w:pPr>
              <w:pStyle w:val="texto"/>
              <w:spacing w:after="0"/>
              <w:ind w:firstLine="0"/>
              <w:jc w:val="right"/>
              <w:rPr>
                <w:rFonts w:ascii="Arial Narrow" w:hAnsi="Arial Narrow"/>
                <w:sz w:val="22"/>
                <w:szCs w:val="22"/>
              </w:rPr>
            </w:pPr>
            <w:r w:rsidRPr="00B426B5">
              <w:rPr>
                <w:rFonts w:ascii="Arial Narrow" w:hAnsi="Arial Narrow"/>
                <w:sz w:val="22"/>
                <w:szCs w:val="22"/>
              </w:rPr>
              <w:t>104</w:t>
            </w:r>
          </w:p>
        </w:tc>
      </w:tr>
      <w:tr w:rsidR="004562D9" w:rsidRPr="00B426B5" w:rsidTr="00817E66">
        <w:trPr>
          <w:trHeight w:val="284"/>
          <w:jc w:val="center"/>
        </w:trPr>
        <w:tc>
          <w:tcPr>
            <w:tcW w:w="1330" w:type="dxa"/>
            <w:vMerge/>
            <w:shd w:val="clear" w:color="auto" w:fill="auto"/>
            <w:noWrap/>
            <w:vAlign w:val="center"/>
          </w:tcPr>
          <w:p w:rsidR="004562D9" w:rsidRPr="00B426B5" w:rsidRDefault="004562D9" w:rsidP="00C73DB2">
            <w:pPr>
              <w:pStyle w:val="texto"/>
              <w:spacing w:after="0"/>
              <w:ind w:firstLine="0"/>
              <w:rPr>
                <w:rFonts w:ascii="Arial Narrow" w:hAnsi="Arial Narrow"/>
                <w:sz w:val="22"/>
                <w:szCs w:val="22"/>
              </w:rPr>
            </w:pPr>
          </w:p>
        </w:tc>
        <w:tc>
          <w:tcPr>
            <w:tcW w:w="3116" w:type="dxa"/>
            <w:vMerge/>
            <w:tcBorders>
              <w:bottom w:val="single" w:sz="2"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p>
        </w:tc>
        <w:tc>
          <w:tcPr>
            <w:tcW w:w="3437" w:type="dxa"/>
            <w:tcBorders>
              <w:top w:val="single" w:sz="2" w:space="0" w:color="auto"/>
              <w:bottom w:val="single" w:sz="2" w:space="0" w:color="auto"/>
            </w:tcBorders>
            <w:shd w:val="clear" w:color="auto" w:fill="auto"/>
            <w:vAlign w:val="center"/>
          </w:tcPr>
          <w:p w:rsidR="004562D9" w:rsidRPr="00B426B5" w:rsidRDefault="004562D9" w:rsidP="00D449F3">
            <w:pPr>
              <w:pStyle w:val="texto"/>
              <w:spacing w:after="0"/>
              <w:ind w:firstLine="0"/>
              <w:jc w:val="left"/>
              <w:rPr>
                <w:rFonts w:ascii="Arial Narrow" w:hAnsi="Arial Narrow"/>
                <w:sz w:val="22"/>
                <w:szCs w:val="22"/>
              </w:rPr>
            </w:pPr>
            <w:r w:rsidRPr="00B426B5">
              <w:rPr>
                <w:rFonts w:ascii="Arial Narrow" w:hAnsi="Arial Narrow"/>
                <w:sz w:val="22"/>
                <w:szCs w:val="22"/>
              </w:rPr>
              <w:t>Nº de acciones formativas para Becas Navarra</w:t>
            </w:r>
          </w:p>
        </w:tc>
        <w:tc>
          <w:tcPr>
            <w:tcW w:w="1258" w:type="dxa"/>
            <w:tcBorders>
              <w:top w:val="single" w:sz="2" w:space="0" w:color="auto"/>
              <w:bottom w:val="single" w:sz="2" w:space="0" w:color="auto"/>
            </w:tcBorders>
            <w:shd w:val="clear" w:color="auto" w:fill="auto"/>
            <w:noWrap/>
            <w:vAlign w:val="center"/>
          </w:tcPr>
          <w:p w:rsidR="004562D9" w:rsidRPr="00B426B5" w:rsidRDefault="004562D9" w:rsidP="00C73DB2">
            <w:pPr>
              <w:pStyle w:val="texto"/>
              <w:spacing w:after="0"/>
              <w:ind w:firstLine="0"/>
              <w:jc w:val="right"/>
              <w:rPr>
                <w:rFonts w:ascii="Arial Narrow" w:hAnsi="Arial Narrow"/>
                <w:sz w:val="22"/>
                <w:szCs w:val="22"/>
              </w:rPr>
            </w:pPr>
            <w:r w:rsidRPr="00B426B5">
              <w:rPr>
                <w:rFonts w:ascii="Arial Narrow" w:hAnsi="Arial Narrow"/>
                <w:sz w:val="22"/>
                <w:szCs w:val="22"/>
              </w:rPr>
              <w:t>8</w:t>
            </w:r>
          </w:p>
        </w:tc>
      </w:tr>
      <w:tr w:rsidR="004562D9" w:rsidRPr="00B426B5" w:rsidTr="00817E66">
        <w:trPr>
          <w:trHeight w:val="284"/>
          <w:jc w:val="center"/>
        </w:trPr>
        <w:tc>
          <w:tcPr>
            <w:tcW w:w="1330" w:type="dxa"/>
            <w:vMerge/>
            <w:tcBorders>
              <w:bottom w:val="single" w:sz="2" w:space="0" w:color="auto"/>
            </w:tcBorders>
            <w:shd w:val="clear" w:color="auto" w:fill="auto"/>
            <w:noWrap/>
            <w:vAlign w:val="center"/>
          </w:tcPr>
          <w:p w:rsidR="004562D9" w:rsidRPr="00B426B5" w:rsidRDefault="004562D9" w:rsidP="00C73DB2">
            <w:pPr>
              <w:pStyle w:val="texto"/>
              <w:spacing w:after="0"/>
              <w:ind w:firstLine="0"/>
              <w:rPr>
                <w:rFonts w:ascii="Arial Narrow" w:hAnsi="Arial Narrow"/>
                <w:sz w:val="22"/>
                <w:szCs w:val="22"/>
              </w:rPr>
            </w:pPr>
          </w:p>
        </w:tc>
        <w:tc>
          <w:tcPr>
            <w:tcW w:w="3116" w:type="dxa"/>
            <w:tcBorders>
              <w:top w:val="single" w:sz="2" w:space="0" w:color="auto"/>
              <w:bottom w:val="single" w:sz="2"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sidRPr="00B426B5">
              <w:rPr>
                <w:rFonts w:ascii="Arial Narrow" w:hAnsi="Arial Narrow"/>
                <w:sz w:val="22"/>
                <w:szCs w:val="22"/>
              </w:rPr>
              <w:t>Formación continua SNE</w:t>
            </w:r>
          </w:p>
        </w:tc>
        <w:tc>
          <w:tcPr>
            <w:tcW w:w="3437" w:type="dxa"/>
            <w:tcBorders>
              <w:top w:val="single" w:sz="2" w:space="0" w:color="auto"/>
              <w:bottom w:val="single" w:sz="2"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sidRPr="00B426B5">
              <w:rPr>
                <w:rFonts w:ascii="Arial Narrow" w:hAnsi="Arial Narrow"/>
                <w:sz w:val="22"/>
                <w:szCs w:val="22"/>
              </w:rPr>
              <w:t>Certificados de profesionalidad</w:t>
            </w:r>
          </w:p>
        </w:tc>
        <w:tc>
          <w:tcPr>
            <w:tcW w:w="1258" w:type="dxa"/>
            <w:tcBorders>
              <w:top w:val="single" w:sz="2" w:space="0" w:color="auto"/>
              <w:bottom w:val="single" w:sz="2" w:space="0" w:color="auto"/>
            </w:tcBorders>
            <w:shd w:val="clear" w:color="auto" w:fill="auto"/>
            <w:noWrap/>
            <w:vAlign w:val="center"/>
          </w:tcPr>
          <w:p w:rsidR="004562D9" w:rsidRPr="00B426B5" w:rsidRDefault="004562D9" w:rsidP="00C73DB2">
            <w:pPr>
              <w:pStyle w:val="texto"/>
              <w:spacing w:after="0"/>
              <w:ind w:firstLine="0"/>
              <w:jc w:val="right"/>
              <w:rPr>
                <w:rFonts w:ascii="Arial Narrow" w:hAnsi="Arial Narrow"/>
                <w:sz w:val="22"/>
                <w:szCs w:val="22"/>
              </w:rPr>
            </w:pPr>
            <w:r w:rsidRPr="00B426B5">
              <w:rPr>
                <w:rFonts w:ascii="Arial Narrow" w:hAnsi="Arial Narrow"/>
                <w:sz w:val="22"/>
                <w:szCs w:val="22"/>
              </w:rPr>
              <w:t>4</w:t>
            </w:r>
          </w:p>
        </w:tc>
      </w:tr>
      <w:tr w:rsidR="004562D9" w:rsidRPr="00B426B5" w:rsidTr="00817E66">
        <w:trPr>
          <w:trHeight w:val="284"/>
          <w:jc w:val="center"/>
        </w:trPr>
        <w:tc>
          <w:tcPr>
            <w:tcW w:w="1330" w:type="dxa"/>
            <w:vMerge w:val="restart"/>
            <w:tcBorders>
              <w:top w:val="single" w:sz="2" w:space="0" w:color="auto"/>
            </w:tcBorders>
            <w:shd w:val="clear" w:color="auto" w:fill="auto"/>
            <w:noWrap/>
            <w:vAlign w:val="center"/>
          </w:tcPr>
          <w:p w:rsidR="004562D9" w:rsidRPr="00B426B5" w:rsidRDefault="004562D9" w:rsidP="00C73DB2">
            <w:pPr>
              <w:pStyle w:val="texto"/>
              <w:spacing w:after="0"/>
              <w:ind w:firstLine="0"/>
              <w:rPr>
                <w:rFonts w:ascii="Arial Narrow" w:hAnsi="Arial Narrow"/>
                <w:sz w:val="22"/>
                <w:szCs w:val="22"/>
              </w:rPr>
            </w:pPr>
            <w:r w:rsidRPr="00B426B5">
              <w:rPr>
                <w:rFonts w:ascii="Arial Narrow" w:hAnsi="Arial Narrow"/>
                <w:sz w:val="22"/>
                <w:szCs w:val="22"/>
              </w:rPr>
              <w:t>Idiomas</w:t>
            </w:r>
          </w:p>
        </w:tc>
        <w:tc>
          <w:tcPr>
            <w:tcW w:w="3116" w:type="dxa"/>
            <w:tcBorders>
              <w:top w:val="single" w:sz="2" w:space="0" w:color="auto"/>
              <w:bottom w:val="single" w:sz="4"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sidRPr="00B426B5">
              <w:rPr>
                <w:rFonts w:ascii="Arial Narrow" w:hAnsi="Arial Narrow"/>
                <w:sz w:val="22"/>
                <w:szCs w:val="22"/>
              </w:rPr>
              <w:t>Idiomas</w:t>
            </w:r>
          </w:p>
        </w:tc>
        <w:tc>
          <w:tcPr>
            <w:tcW w:w="3437" w:type="dxa"/>
            <w:tcBorders>
              <w:top w:val="single" w:sz="2" w:space="0" w:color="auto"/>
              <w:bottom w:val="single" w:sz="4"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sidRPr="00B426B5">
              <w:rPr>
                <w:rFonts w:ascii="Arial Narrow" w:hAnsi="Arial Narrow"/>
                <w:sz w:val="22"/>
                <w:szCs w:val="22"/>
              </w:rPr>
              <w:t>Nª de alumnos</w:t>
            </w:r>
          </w:p>
        </w:tc>
        <w:tc>
          <w:tcPr>
            <w:tcW w:w="1258" w:type="dxa"/>
            <w:tcBorders>
              <w:top w:val="single" w:sz="2" w:space="0" w:color="auto"/>
              <w:bottom w:val="single" w:sz="4" w:space="0" w:color="auto"/>
            </w:tcBorders>
            <w:shd w:val="clear" w:color="auto" w:fill="auto"/>
            <w:noWrap/>
            <w:vAlign w:val="center"/>
          </w:tcPr>
          <w:p w:rsidR="004562D9" w:rsidRPr="00B426B5" w:rsidRDefault="004562D9" w:rsidP="00C73DB2">
            <w:pPr>
              <w:pStyle w:val="texto"/>
              <w:spacing w:after="0"/>
              <w:ind w:firstLine="0"/>
              <w:jc w:val="right"/>
              <w:rPr>
                <w:rFonts w:ascii="Arial Narrow" w:hAnsi="Arial Narrow"/>
                <w:sz w:val="22"/>
                <w:szCs w:val="22"/>
              </w:rPr>
            </w:pPr>
            <w:r w:rsidRPr="00B426B5">
              <w:rPr>
                <w:rFonts w:ascii="Arial Narrow" w:hAnsi="Arial Narrow"/>
                <w:sz w:val="22"/>
                <w:szCs w:val="22"/>
              </w:rPr>
              <w:t>906</w:t>
            </w:r>
          </w:p>
        </w:tc>
      </w:tr>
      <w:tr w:rsidR="004562D9" w:rsidRPr="00B426B5" w:rsidTr="00817E66">
        <w:trPr>
          <w:trHeight w:val="284"/>
          <w:jc w:val="center"/>
        </w:trPr>
        <w:tc>
          <w:tcPr>
            <w:tcW w:w="1330" w:type="dxa"/>
            <w:vMerge/>
            <w:tcBorders>
              <w:bottom w:val="single" w:sz="4" w:space="0" w:color="auto"/>
            </w:tcBorders>
            <w:shd w:val="clear" w:color="auto" w:fill="auto"/>
            <w:noWrap/>
            <w:vAlign w:val="center"/>
          </w:tcPr>
          <w:p w:rsidR="004562D9" w:rsidRPr="00B426B5" w:rsidRDefault="004562D9" w:rsidP="00C73DB2">
            <w:pPr>
              <w:pStyle w:val="texto"/>
              <w:spacing w:after="0"/>
              <w:ind w:firstLine="0"/>
              <w:rPr>
                <w:rFonts w:ascii="Arial Narrow" w:hAnsi="Arial Narrow"/>
                <w:sz w:val="22"/>
                <w:szCs w:val="22"/>
              </w:rPr>
            </w:pPr>
          </w:p>
        </w:tc>
        <w:tc>
          <w:tcPr>
            <w:tcW w:w="3116" w:type="dxa"/>
            <w:tcBorders>
              <w:top w:val="single" w:sz="2" w:space="0" w:color="auto"/>
              <w:bottom w:val="single" w:sz="4"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sidRPr="00B426B5">
              <w:rPr>
                <w:rFonts w:ascii="Arial Narrow" w:hAnsi="Arial Narrow"/>
                <w:sz w:val="22"/>
                <w:szCs w:val="22"/>
              </w:rPr>
              <w:t>Exámenes oficiales</w:t>
            </w:r>
          </w:p>
        </w:tc>
        <w:tc>
          <w:tcPr>
            <w:tcW w:w="3437" w:type="dxa"/>
            <w:tcBorders>
              <w:top w:val="single" w:sz="2" w:space="0" w:color="auto"/>
              <w:bottom w:val="single" w:sz="4" w:space="0" w:color="auto"/>
            </w:tcBorders>
            <w:shd w:val="clear" w:color="auto" w:fill="auto"/>
            <w:vAlign w:val="center"/>
          </w:tcPr>
          <w:p w:rsidR="004562D9" w:rsidRPr="00B426B5" w:rsidRDefault="004562D9" w:rsidP="00AE2260">
            <w:pPr>
              <w:pStyle w:val="texto"/>
              <w:spacing w:after="0"/>
              <w:ind w:firstLine="0"/>
              <w:jc w:val="left"/>
              <w:rPr>
                <w:rFonts w:ascii="Arial Narrow" w:hAnsi="Arial Narrow"/>
                <w:sz w:val="22"/>
                <w:szCs w:val="22"/>
              </w:rPr>
            </w:pPr>
            <w:r w:rsidRPr="00B426B5">
              <w:rPr>
                <w:rFonts w:ascii="Arial Narrow" w:hAnsi="Arial Narrow"/>
                <w:sz w:val="22"/>
                <w:szCs w:val="22"/>
              </w:rPr>
              <w:t>Nº de alumnos</w:t>
            </w:r>
          </w:p>
        </w:tc>
        <w:tc>
          <w:tcPr>
            <w:tcW w:w="1258" w:type="dxa"/>
            <w:tcBorders>
              <w:top w:val="single" w:sz="2" w:space="0" w:color="auto"/>
              <w:bottom w:val="single" w:sz="4" w:space="0" w:color="auto"/>
            </w:tcBorders>
            <w:shd w:val="clear" w:color="auto" w:fill="auto"/>
            <w:noWrap/>
            <w:vAlign w:val="center"/>
          </w:tcPr>
          <w:p w:rsidR="004562D9" w:rsidRPr="00B426B5" w:rsidRDefault="004562D9" w:rsidP="00C73DB2">
            <w:pPr>
              <w:pStyle w:val="texto"/>
              <w:spacing w:after="0"/>
              <w:ind w:firstLine="0"/>
              <w:jc w:val="right"/>
              <w:rPr>
                <w:rFonts w:ascii="Arial Narrow" w:hAnsi="Arial Narrow"/>
                <w:sz w:val="22"/>
                <w:szCs w:val="22"/>
              </w:rPr>
            </w:pPr>
            <w:r w:rsidRPr="00B426B5">
              <w:rPr>
                <w:rFonts w:ascii="Arial Narrow" w:hAnsi="Arial Narrow"/>
                <w:sz w:val="22"/>
                <w:szCs w:val="22"/>
              </w:rPr>
              <w:t>1.746</w:t>
            </w:r>
          </w:p>
        </w:tc>
      </w:tr>
      <w:tr w:rsidR="004562D9" w:rsidRPr="00B426B5" w:rsidTr="00817E66">
        <w:trPr>
          <w:trHeight w:val="284"/>
          <w:jc w:val="center"/>
        </w:trPr>
        <w:tc>
          <w:tcPr>
            <w:tcW w:w="1330" w:type="dxa"/>
            <w:tcBorders>
              <w:top w:val="single" w:sz="4" w:space="0" w:color="auto"/>
              <w:bottom w:val="single" w:sz="4" w:space="0" w:color="auto"/>
            </w:tcBorders>
            <w:shd w:val="clear" w:color="auto" w:fill="auto"/>
            <w:noWrap/>
            <w:vAlign w:val="center"/>
          </w:tcPr>
          <w:p w:rsidR="004562D9" w:rsidRPr="00B426B5" w:rsidRDefault="004562D9" w:rsidP="00C73DB2">
            <w:pPr>
              <w:pStyle w:val="cuadroCabe"/>
              <w:rPr>
                <w:rFonts w:ascii="Arial Narrow" w:hAnsi="Arial Narrow"/>
                <w:sz w:val="22"/>
                <w:szCs w:val="22"/>
                <w:lang w:val="es-ES" w:eastAsia="es-ES"/>
              </w:rPr>
            </w:pPr>
            <w:r w:rsidRPr="00B426B5">
              <w:rPr>
                <w:rFonts w:ascii="Arial Narrow" w:hAnsi="Arial Narrow"/>
                <w:sz w:val="22"/>
                <w:szCs w:val="22"/>
                <w:lang w:val="es-ES" w:eastAsia="es-ES"/>
              </w:rPr>
              <w:t>Alumni</w:t>
            </w:r>
          </w:p>
        </w:tc>
        <w:tc>
          <w:tcPr>
            <w:tcW w:w="3116" w:type="dxa"/>
            <w:tcBorders>
              <w:top w:val="single" w:sz="4" w:space="0" w:color="auto"/>
              <w:bottom w:val="single" w:sz="4" w:space="0" w:color="auto"/>
            </w:tcBorders>
            <w:shd w:val="clear" w:color="auto" w:fill="auto"/>
            <w:vAlign w:val="center"/>
          </w:tcPr>
          <w:p w:rsidR="004562D9" w:rsidRPr="00B426B5" w:rsidRDefault="004562D9" w:rsidP="00AE2260">
            <w:pPr>
              <w:pStyle w:val="cuadroCabe"/>
              <w:jc w:val="left"/>
              <w:rPr>
                <w:rFonts w:ascii="Arial Narrow" w:hAnsi="Arial Narrow"/>
                <w:sz w:val="22"/>
                <w:szCs w:val="22"/>
                <w:lang w:val="es-ES" w:eastAsia="es-ES"/>
              </w:rPr>
            </w:pPr>
            <w:r w:rsidRPr="00B426B5">
              <w:rPr>
                <w:rFonts w:ascii="Arial Narrow" w:hAnsi="Arial Narrow"/>
                <w:sz w:val="22"/>
                <w:szCs w:val="22"/>
                <w:lang w:val="es-ES" w:eastAsia="es-ES"/>
              </w:rPr>
              <w:t>Captación antiguos alumnos</w:t>
            </w:r>
          </w:p>
        </w:tc>
        <w:tc>
          <w:tcPr>
            <w:tcW w:w="3437" w:type="dxa"/>
            <w:tcBorders>
              <w:top w:val="single" w:sz="4" w:space="0" w:color="auto"/>
              <w:bottom w:val="single" w:sz="4" w:space="0" w:color="auto"/>
            </w:tcBorders>
            <w:shd w:val="clear" w:color="auto" w:fill="auto"/>
            <w:vAlign w:val="center"/>
          </w:tcPr>
          <w:p w:rsidR="004562D9" w:rsidRPr="00B426B5" w:rsidRDefault="004562D9" w:rsidP="00AE2260">
            <w:pPr>
              <w:pStyle w:val="cuadroCabe"/>
              <w:jc w:val="left"/>
              <w:rPr>
                <w:rFonts w:ascii="Arial Narrow" w:hAnsi="Arial Narrow"/>
                <w:sz w:val="22"/>
                <w:szCs w:val="22"/>
                <w:lang w:val="es-ES" w:eastAsia="es-ES"/>
              </w:rPr>
            </w:pPr>
            <w:r w:rsidRPr="00B426B5">
              <w:rPr>
                <w:rFonts w:ascii="Arial Narrow" w:hAnsi="Arial Narrow"/>
                <w:sz w:val="22"/>
                <w:szCs w:val="22"/>
                <w:lang w:val="es-ES" w:eastAsia="es-ES"/>
              </w:rPr>
              <w:t>Inscritos alumni</w:t>
            </w:r>
          </w:p>
        </w:tc>
        <w:tc>
          <w:tcPr>
            <w:tcW w:w="1258" w:type="dxa"/>
            <w:tcBorders>
              <w:top w:val="single" w:sz="4" w:space="0" w:color="auto"/>
              <w:bottom w:val="single" w:sz="4" w:space="0" w:color="auto"/>
            </w:tcBorders>
            <w:shd w:val="clear" w:color="auto" w:fill="auto"/>
            <w:noWrap/>
            <w:vAlign w:val="center"/>
          </w:tcPr>
          <w:p w:rsidR="004562D9" w:rsidRPr="00B426B5" w:rsidRDefault="004562D9" w:rsidP="00C73DB2">
            <w:pPr>
              <w:pStyle w:val="cuadroCabe"/>
              <w:jc w:val="right"/>
              <w:rPr>
                <w:rFonts w:ascii="Arial Narrow" w:hAnsi="Arial Narrow"/>
                <w:sz w:val="22"/>
                <w:szCs w:val="22"/>
                <w:lang w:val="es-ES" w:eastAsia="es-ES"/>
              </w:rPr>
            </w:pPr>
            <w:r w:rsidRPr="00B426B5">
              <w:rPr>
                <w:rFonts w:ascii="Arial Narrow" w:hAnsi="Arial Narrow"/>
                <w:sz w:val="22"/>
                <w:szCs w:val="22"/>
                <w:lang w:val="es-ES" w:eastAsia="es-ES"/>
              </w:rPr>
              <w:t>739</w:t>
            </w:r>
          </w:p>
        </w:tc>
      </w:tr>
    </w:tbl>
    <w:p w:rsidR="00C73DB2" w:rsidRPr="00B426B5" w:rsidRDefault="00C73DB2" w:rsidP="00C73DB2">
      <w:pPr>
        <w:pStyle w:val="texto"/>
        <w:tabs>
          <w:tab w:val="clear" w:pos="2835"/>
          <w:tab w:val="clear" w:pos="3969"/>
          <w:tab w:val="clear" w:pos="5103"/>
          <w:tab w:val="clear" w:pos="6237"/>
          <w:tab w:val="clear" w:pos="7371"/>
        </w:tabs>
        <w:spacing w:after="0"/>
        <w:rPr>
          <w:rFonts w:ascii="Arial Narrow" w:hAnsi="Arial Narrow"/>
          <w:sz w:val="22"/>
          <w:szCs w:val="22"/>
        </w:rPr>
      </w:pPr>
    </w:p>
    <w:p w:rsidR="00C73DB2" w:rsidRDefault="00C73DB2" w:rsidP="00C73DB2">
      <w:pPr>
        <w:pStyle w:val="texto"/>
        <w:tabs>
          <w:tab w:val="clear" w:pos="2835"/>
          <w:tab w:val="clear" w:pos="3969"/>
          <w:tab w:val="clear" w:pos="5103"/>
          <w:tab w:val="clear" w:pos="6237"/>
          <w:tab w:val="clear" w:pos="7371"/>
        </w:tabs>
        <w:spacing w:after="0"/>
        <w:rPr>
          <w:szCs w:val="26"/>
        </w:rPr>
      </w:pPr>
    </w:p>
    <w:p w:rsidR="00C73DB2" w:rsidRDefault="00C73DB2" w:rsidP="00C73DB2">
      <w:pPr>
        <w:pStyle w:val="texto"/>
        <w:tabs>
          <w:tab w:val="clear" w:pos="2835"/>
          <w:tab w:val="clear" w:pos="3969"/>
          <w:tab w:val="clear" w:pos="5103"/>
          <w:tab w:val="clear" w:pos="6237"/>
          <w:tab w:val="clear" w:pos="7371"/>
        </w:tabs>
        <w:spacing w:after="0"/>
        <w:rPr>
          <w:szCs w:val="26"/>
        </w:rPr>
      </w:pPr>
    </w:p>
    <w:p w:rsidR="00B426B5" w:rsidRDefault="00B426B5">
      <w:pPr>
        <w:spacing w:after="0"/>
        <w:ind w:firstLine="0"/>
        <w:jc w:val="left"/>
        <w:rPr>
          <w:spacing w:val="6"/>
          <w:sz w:val="26"/>
          <w:szCs w:val="26"/>
        </w:rPr>
      </w:pPr>
      <w:r>
        <w:rPr>
          <w:szCs w:val="26"/>
        </w:rPr>
        <w:br w:type="page"/>
      </w:r>
    </w:p>
    <w:p w:rsidR="00146D16" w:rsidRDefault="00146D16" w:rsidP="00146D16">
      <w:pPr>
        <w:pStyle w:val="atitulo1"/>
      </w:pPr>
      <w:bookmarkStart w:id="38" w:name="_Toc3202789"/>
    </w:p>
    <w:p w:rsidR="00146D16" w:rsidRDefault="00146D16" w:rsidP="00146D16">
      <w:pPr>
        <w:pStyle w:val="atitulo1"/>
      </w:pPr>
      <w:bookmarkStart w:id="39" w:name="_Toc3967030"/>
      <w:r>
        <w:t>Cuentas Anuales</w:t>
      </w:r>
      <w:r w:rsidRPr="00730AE6">
        <w:t xml:space="preserve"> de la Universidad Pública de Navarra 2017</w:t>
      </w:r>
      <w:bookmarkEnd w:id="38"/>
      <w:bookmarkEnd w:id="39"/>
    </w:p>
    <w:sectPr w:rsidR="00146D16" w:rsidSect="00C42A2A">
      <w:footerReference w:type="default" r:id="rId14"/>
      <w:pgSz w:w="11907" w:h="16840" w:code="9"/>
      <w:pgMar w:top="2127" w:right="1417" w:bottom="1843"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54A" w:rsidRDefault="0073054A">
      <w:r>
        <w:separator/>
      </w:r>
    </w:p>
    <w:p w:rsidR="0073054A" w:rsidRDefault="0073054A"/>
    <w:p w:rsidR="0073054A" w:rsidRDefault="0073054A"/>
    <w:p w:rsidR="0073054A" w:rsidRDefault="0073054A"/>
  </w:endnote>
  <w:endnote w:type="continuationSeparator" w:id="0">
    <w:p w:rsidR="0073054A" w:rsidRDefault="0073054A">
      <w:r>
        <w:continuationSeparator/>
      </w:r>
    </w:p>
    <w:p w:rsidR="0073054A" w:rsidRDefault="0073054A"/>
    <w:p w:rsidR="0073054A" w:rsidRDefault="0073054A"/>
    <w:p w:rsidR="0073054A" w:rsidRDefault="00730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UnicodeMS-WinCharSetFFFF-H">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rajan">
    <w:altName w:val="Courier New"/>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54A" w:rsidRDefault="0073054A"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3054A" w:rsidRDefault="0073054A"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54A" w:rsidRPr="00F03814" w:rsidRDefault="0073054A"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1A86409D" wp14:editId="2B698DB2">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73054A" w:rsidRPr="00F74E38" w:rsidRDefault="0073054A"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54A" w:rsidRDefault="0073054A"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54A" w:rsidRDefault="0073054A" w:rsidP="0072408E">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Style w:val="Nmerodepgina"/>
        <w:szCs w:val="24"/>
      </w:rPr>
    </w:pPr>
    <w:r>
      <w:rPr>
        <w:rFonts w:ascii="GillSans" w:hAnsi="GillSans"/>
        <w:noProof/>
        <w:lang w:val="es-ES" w:eastAsia="es-ES"/>
      </w:rPr>
      <w:drawing>
        <wp:anchor distT="0" distB="0" distL="114300" distR="114300" simplePos="0" relativeHeight="251659264" behindDoc="0" locked="0" layoutInCell="1" allowOverlap="1" wp14:anchorId="09A46E85" wp14:editId="0430AD73">
          <wp:simplePos x="0" y="0"/>
          <wp:positionH relativeFrom="column">
            <wp:posOffset>1905</wp:posOffset>
          </wp:positionH>
          <wp:positionV relativeFrom="paragraph">
            <wp:posOffset>-74930</wp:posOffset>
          </wp:positionV>
          <wp:extent cx="219075" cy="371475"/>
          <wp:effectExtent l="0" t="0" r="9525" b="9525"/>
          <wp:wrapSquare wrapText="bothSides"/>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9B3BE6">
      <w:rPr>
        <w:rStyle w:val="Nmerodepgina"/>
        <w:noProof/>
        <w:szCs w:val="24"/>
      </w:rPr>
      <w:t>25</w:t>
    </w:r>
    <w:r w:rsidRPr="001D4F09">
      <w:rPr>
        <w:rStyle w:val="Nmerodepgina"/>
        <w:szCs w:val="24"/>
      </w:rPr>
      <w:fldChar w:fldCharType="end"/>
    </w:r>
    <w:r w:rsidRPr="001D4F09">
      <w:rPr>
        <w:rStyle w:val="Nmerodepgina"/>
        <w:szCs w:val="24"/>
      </w:rPr>
      <w:t xml:space="preserve"> </w:t>
    </w:r>
    <w:r>
      <w:rPr>
        <w:rStyle w:val="Nmerodepgina"/>
        <w:szCs w:val="24"/>
      </w:rPr>
      <w:t>-</w:t>
    </w:r>
  </w:p>
  <w:p w:rsidR="0073054A" w:rsidRDefault="0073054A"/>
  <w:p w:rsidR="0073054A" w:rsidRDefault="007305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54A" w:rsidRDefault="0073054A" w:rsidP="001F2A05">
      <w:pPr>
        <w:ind w:firstLine="0"/>
      </w:pPr>
      <w:r>
        <w:separator/>
      </w:r>
    </w:p>
  </w:footnote>
  <w:footnote w:type="continuationSeparator" w:id="0">
    <w:p w:rsidR="0073054A" w:rsidRDefault="0073054A" w:rsidP="00A5319B">
      <w:pPr>
        <w:ind w:firstLine="0"/>
      </w:pPr>
      <w:r>
        <w:continuationSeparator/>
      </w:r>
    </w:p>
  </w:footnote>
  <w:footnote w:id="1">
    <w:p w:rsidR="0073054A" w:rsidRDefault="0073054A" w:rsidP="005A63AB">
      <w:pPr>
        <w:pStyle w:val="Textonotapie"/>
        <w:spacing w:after="0"/>
        <w:ind w:firstLine="0"/>
      </w:pPr>
      <w:r>
        <w:rPr>
          <w:rStyle w:val="Refdenotaalpie"/>
        </w:rPr>
        <w:footnoteRef/>
      </w:r>
      <w:r>
        <w:t xml:space="preserve"> El documento completo de dicha memoria puede verse en el Portal de Transparencia de la página web de la Universidad (www.unavarra.es)</w:t>
      </w:r>
    </w:p>
  </w:footnote>
  <w:footnote w:id="2">
    <w:p w:rsidR="0073054A" w:rsidRDefault="0073054A" w:rsidP="001B4AEA">
      <w:pPr>
        <w:pStyle w:val="Textonotapie"/>
        <w:ind w:firstLine="0"/>
      </w:pPr>
      <w:r>
        <w:rPr>
          <w:rStyle w:val="Refdenotaalpie"/>
        </w:rPr>
        <w:footnoteRef/>
      </w:r>
      <w:r>
        <w:t xml:space="preserve"> Agronomía, Biotecnología y Alimentación; Ciencias; Ciencias de la Salud; Ciencias Humanas y de la Edu</w:t>
      </w:r>
      <w:r>
        <w:t>c</w:t>
      </w:r>
      <w:r>
        <w:t>ción; Derecho, Economía; Estadística, Informática y Matemáticas; Gestión de empresas; Ingeniería; Ingeniería eléctrica y de Comunicación; Sociología y Trabajo social.</w:t>
      </w:r>
    </w:p>
  </w:footnote>
  <w:footnote w:id="3">
    <w:p w:rsidR="0073054A" w:rsidRDefault="0073054A" w:rsidP="001B4AEA">
      <w:pPr>
        <w:pStyle w:val="Textonotapie"/>
        <w:ind w:firstLine="0"/>
      </w:pPr>
      <w:r>
        <w:rPr>
          <w:rStyle w:val="Refdenotaalpie"/>
        </w:rPr>
        <w:footnoteRef/>
      </w:r>
      <w:r>
        <w:t xml:space="preserve"> Titularidad compartida con el CISC y el Gobierno de Navarra</w:t>
      </w:r>
    </w:p>
  </w:footnote>
  <w:footnote w:id="4">
    <w:p w:rsidR="0073054A" w:rsidRPr="00C01AF4" w:rsidRDefault="0073054A" w:rsidP="00C01AF4">
      <w:pPr>
        <w:pStyle w:val="Textonotapie"/>
        <w:ind w:firstLine="0"/>
      </w:pPr>
      <w:r w:rsidRPr="00C01AF4">
        <w:rPr>
          <w:rStyle w:val="Refdenotaalpie"/>
        </w:rPr>
        <w:footnoteRef/>
      </w:r>
      <w:r w:rsidRPr="00C01AF4">
        <w:t xml:space="preserve"> </w:t>
      </w:r>
      <w:r w:rsidRPr="00C01AF4">
        <w:rPr>
          <w:shd w:val="clear" w:color="auto" w:fill="FFFFFF"/>
        </w:rPr>
        <w:t>I</w:t>
      </w:r>
      <w:r w:rsidRPr="00C01AF4">
        <w:rPr>
          <w:bCs/>
          <w:shd w:val="clear" w:color="auto" w:fill="FFFFFF"/>
        </w:rPr>
        <w:t>niciativas empresariales</w:t>
      </w:r>
      <w:r>
        <w:rPr>
          <w:shd w:val="clear" w:color="auto" w:fill="FFFFFF"/>
        </w:rPr>
        <w:t xml:space="preserve"> </w:t>
      </w:r>
      <w:r w:rsidRPr="00C01AF4">
        <w:rPr>
          <w:shd w:val="clear" w:color="auto" w:fill="FFFFFF"/>
        </w:rPr>
        <w:t>que promueven los miembros de la comunidad universitaria</w:t>
      </w:r>
      <w:r>
        <w:rPr>
          <w:shd w:val="clear" w:color="auto" w:fill="FFFFFF"/>
        </w:rPr>
        <w:t xml:space="preserve"> para</w:t>
      </w:r>
      <w:r w:rsidRPr="00C01AF4">
        <w:rPr>
          <w:shd w:val="clear" w:color="auto" w:fill="FFFFFF"/>
        </w:rPr>
        <w:t xml:space="preserve"> explotar los proc</w:t>
      </w:r>
      <w:r w:rsidRPr="00C01AF4">
        <w:rPr>
          <w:shd w:val="clear" w:color="auto" w:fill="FFFFFF"/>
        </w:rPr>
        <w:t>e</w:t>
      </w:r>
      <w:r w:rsidRPr="00C01AF4">
        <w:rPr>
          <w:shd w:val="clear" w:color="auto" w:fill="FFFFFF"/>
        </w:rPr>
        <w:t>sos, productos o servicios que han sido desarrollados en</w:t>
      </w:r>
      <w:r>
        <w:rPr>
          <w:shd w:val="clear" w:color="auto" w:fill="FFFFFF"/>
        </w:rPr>
        <w:t xml:space="preserve"> </w:t>
      </w:r>
      <w:hyperlink r:id="rId1" w:tgtFrame="_blank" w:tooltip="Estas son las universidades españolas con más investigadores citados en Google " w:history="1">
        <w:r>
          <w:rPr>
            <w:bdr w:val="none" w:sz="0" w:space="0" w:color="auto" w:frame="1"/>
            <w:shd w:val="clear" w:color="auto" w:fill="FFFFFF"/>
          </w:rPr>
          <w:t>las</w:t>
        </w:r>
      </w:hyperlink>
      <w:r>
        <w:t xml:space="preserve"> universidades</w:t>
      </w:r>
      <w:r w:rsidRPr="00C01AF4">
        <w:rPr>
          <w:shd w:val="clear" w:color="auto" w:fill="FFFFFF"/>
        </w:rPr>
        <w:t>.</w:t>
      </w:r>
    </w:p>
  </w:footnote>
  <w:footnote w:id="5">
    <w:p w:rsidR="0073054A" w:rsidRDefault="0073054A" w:rsidP="00BC4F7A">
      <w:pPr>
        <w:pStyle w:val="Textonotapie"/>
        <w:spacing w:after="40"/>
        <w:ind w:firstLine="0"/>
      </w:pPr>
      <w:r>
        <w:rPr>
          <w:rStyle w:val="Refdenotaalpie"/>
        </w:rPr>
        <w:footnoteRef/>
      </w:r>
      <w:r>
        <w:t xml:space="preserve"> </w:t>
      </w:r>
      <w:r w:rsidRPr="00BA3987">
        <w:t xml:space="preserve">Informe publicado en noviembre de 2018 </w:t>
      </w:r>
      <w:r>
        <w:t>y que puede verse en la página web de la Cámara de Comptos (www.camaradecomptos.navarra.es).</w:t>
      </w:r>
    </w:p>
  </w:footnote>
  <w:footnote w:id="6">
    <w:p w:rsidR="0073054A" w:rsidRDefault="0073054A" w:rsidP="00CB3447">
      <w:pPr>
        <w:pStyle w:val="Textonotapie"/>
        <w:spacing w:after="0"/>
        <w:ind w:firstLine="0"/>
      </w:pPr>
      <w:r>
        <w:rPr>
          <w:rStyle w:val="Refdenotaalpie"/>
        </w:rPr>
        <w:footnoteRef/>
      </w:r>
      <w:r>
        <w:t xml:space="preserve"> Ahorro Bruto: ingresos corrientes (cap.1 al 5) menos gastos de funcionamiento (cap.1, 2 y 4)</w:t>
      </w:r>
    </w:p>
  </w:footnote>
  <w:footnote w:id="7">
    <w:p w:rsidR="0073054A" w:rsidRDefault="0073054A" w:rsidP="00CB3447">
      <w:pPr>
        <w:pStyle w:val="Textonotapie"/>
        <w:spacing w:after="0"/>
        <w:ind w:firstLine="0"/>
      </w:pPr>
      <w:r>
        <w:rPr>
          <w:rStyle w:val="Refdenotaalpie"/>
        </w:rPr>
        <w:footnoteRef/>
      </w:r>
      <w:r>
        <w:t xml:space="preserve"> Ahorro Neto: ahorro bruto menos carga financiera (cap. 3 y 9 de gastos)</w:t>
      </w:r>
    </w:p>
  </w:footnote>
  <w:footnote w:id="8">
    <w:p w:rsidR="0073054A" w:rsidRDefault="0073054A" w:rsidP="00164283">
      <w:pPr>
        <w:pStyle w:val="Textonotapie"/>
        <w:spacing w:after="0"/>
        <w:ind w:firstLine="0"/>
      </w:pPr>
      <w:r>
        <w:rPr>
          <w:rStyle w:val="Refdenotaalpie"/>
        </w:rPr>
        <w:footnoteRef/>
      </w:r>
      <w:r>
        <w:t xml:space="preserve"> </w:t>
      </w:r>
      <w:proofErr w:type="spellStart"/>
      <w:r>
        <w:t>Alumni</w:t>
      </w:r>
      <w:proofErr w:type="spellEnd"/>
      <w:r>
        <w:t xml:space="preserve"> de amigos y antiguos alumnos de la Universidad Pública de Navarra.</w:t>
      </w:r>
    </w:p>
  </w:footnote>
  <w:footnote w:id="9">
    <w:p w:rsidR="0073054A" w:rsidRDefault="0073054A" w:rsidP="00164283">
      <w:pPr>
        <w:pStyle w:val="Textonotapie"/>
        <w:spacing w:after="0"/>
        <w:ind w:firstLine="0"/>
      </w:pPr>
      <w:r>
        <w:rPr>
          <w:rStyle w:val="Refdenotaalpie"/>
        </w:rPr>
        <w:footnoteRef/>
      </w:r>
      <w:r>
        <w:t xml:space="preserve"> Plataforma virtual de la Universidad Pública de Navarra.</w:t>
      </w:r>
    </w:p>
  </w:footnote>
  <w:footnote w:id="10">
    <w:p w:rsidR="0073054A" w:rsidRDefault="0073054A" w:rsidP="005910B1">
      <w:pPr>
        <w:pStyle w:val="Textonotapie"/>
        <w:spacing w:after="0"/>
        <w:ind w:firstLine="0"/>
      </w:pPr>
      <w:r>
        <w:rPr>
          <w:rStyle w:val="Refdenotaalpie"/>
        </w:rPr>
        <w:footnoteRef/>
      </w:r>
      <w:r>
        <w:t xml:space="preserve"> Para calcular el importe de la matrícula hay que multiplicar el número de créditos de las asignaturas por el precio de cada crédito.</w:t>
      </w:r>
    </w:p>
  </w:footnote>
  <w:footnote w:id="11">
    <w:p w:rsidR="0073054A" w:rsidRDefault="0073054A" w:rsidP="005910B1">
      <w:pPr>
        <w:pStyle w:val="Textonotapie"/>
        <w:spacing w:after="0"/>
        <w:ind w:firstLine="0"/>
      </w:pPr>
      <w:r>
        <w:rPr>
          <w:rStyle w:val="Refdenotaalpie"/>
        </w:rPr>
        <w:footnoteRef/>
      </w:r>
      <w:r>
        <w:t xml:space="preserve"> Según lo previsto en el artículo 7.2 del Real Decreto ley 14/2012, de 20 de abril, de medidas de racionalización del gasto público en el ámbito educativo.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54A" w:rsidRPr="0059650E" w:rsidRDefault="0073054A" w:rsidP="00422598">
    <w:pPr>
      <w:pStyle w:val="Encabezado"/>
      <w:pBdr>
        <w:bottom w:val="single" w:sz="4" w:space="1" w:color="auto"/>
      </w:pBdr>
      <w:spacing w:after="40"/>
      <w:ind w:firstLine="0"/>
      <w:jc w:val="left"/>
      <w:rPr>
        <w:lang w:val="es-ES"/>
      </w:rPr>
    </w:pPr>
    <w:r>
      <w:rPr>
        <w:b/>
        <w:noProof/>
        <w:lang w:val="es-ES" w:eastAsia="es-ES"/>
      </w:rPr>
      <w:drawing>
        <wp:inline distT="0" distB="0" distL="0" distR="0" wp14:anchorId="459954C4" wp14:editId="2655C7D5">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ab/>
      <w:t xml:space="preserve">          informe de fiscalización sobre la Universidad Pública de navarra,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54A" w:rsidRDefault="0073054A" w:rsidP="006A2D41">
    <w:pPr>
      <w:pStyle w:val="Encabezado"/>
      <w:ind w:firstLine="0"/>
      <w:jc w:val="left"/>
    </w:pPr>
    <w:r>
      <w:rPr>
        <w:noProof/>
        <w:lang w:val="es-ES" w:eastAsia="es-ES"/>
      </w:rPr>
      <w:drawing>
        <wp:inline distT="0" distB="0" distL="0" distR="0" wp14:anchorId="0B6DA428" wp14:editId="083F58BE">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0C47F80"/>
    <w:multiLevelType w:val="hybridMultilevel"/>
    <w:tmpl w:val="734229EE"/>
    <w:lvl w:ilvl="0" w:tplc="0C0A0003">
      <w:start w:val="1"/>
      <w:numFmt w:val="bullet"/>
      <w:lvlText w:val="o"/>
      <w:lvlJc w:val="left"/>
      <w:pPr>
        <w:ind w:left="2160" w:hanging="360"/>
      </w:pPr>
      <w:rPr>
        <w:rFonts w:ascii="Courier New" w:hAnsi="Courier New" w:cs="Courier New" w:hint="default"/>
      </w:rPr>
    </w:lvl>
    <w:lvl w:ilvl="1" w:tplc="CBE0EB02">
      <w:start w:val="1"/>
      <w:numFmt w:val="decimal"/>
      <w:lvlText w:val="%2."/>
      <w:lvlJc w:val="left"/>
      <w:pPr>
        <w:ind w:left="2880" w:hanging="360"/>
      </w:pPr>
    </w:lvl>
    <w:lvl w:ilvl="2" w:tplc="DF647896">
      <w:start w:val="1"/>
      <w:numFmt w:val="lowerLetter"/>
      <w:lvlText w:val="%3."/>
      <w:lvlJc w:val="left"/>
      <w:pPr>
        <w:ind w:left="3780" w:hanging="360"/>
      </w:pPr>
    </w:lvl>
    <w:lvl w:ilvl="3" w:tplc="0C0A000F">
      <w:start w:val="1"/>
      <w:numFmt w:val="decimal"/>
      <w:lvlText w:val="%4."/>
      <w:lvlJc w:val="left"/>
      <w:pPr>
        <w:ind w:left="4320" w:hanging="360"/>
      </w:pPr>
    </w:lvl>
    <w:lvl w:ilvl="4" w:tplc="0C0A0019">
      <w:start w:val="1"/>
      <w:numFmt w:val="lowerLetter"/>
      <w:lvlText w:val="%5."/>
      <w:lvlJc w:val="left"/>
      <w:pPr>
        <w:ind w:left="5040" w:hanging="360"/>
      </w:pPr>
    </w:lvl>
    <w:lvl w:ilvl="5" w:tplc="0C0A001B">
      <w:start w:val="1"/>
      <w:numFmt w:val="lowerRoman"/>
      <w:lvlText w:val="%6."/>
      <w:lvlJc w:val="right"/>
      <w:pPr>
        <w:ind w:left="5760" w:hanging="180"/>
      </w:pPr>
    </w:lvl>
    <w:lvl w:ilvl="6" w:tplc="0C0A000F">
      <w:start w:val="1"/>
      <w:numFmt w:val="decimal"/>
      <w:lvlText w:val="%7."/>
      <w:lvlJc w:val="left"/>
      <w:pPr>
        <w:ind w:left="6480" w:hanging="360"/>
      </w:pPr>
    </w:lvl>
    <w:lvl w:ilvl="7" w:tplc="0C0A0019">
      <w:start w:val="1"/>
      <w:numFmt w:val="lowerLetter"/>
      <w:lvlText w:val="%8."/>
      <w:lvlJc w:val="left"/>
      <w:pPr>
        <w:ind w:left="7200" w:hanging="360"/>
      </w:pPr>
    </w:lvl>
    <w:lvl w:ilvl="8" w:tplc="0C0A001B">
      <w:start w:val="1"/>
      <w:numFmt w:val="lowerRoman"/>
      <w:lvlText w:val="%9."/>
      <w:lvlJc w:val="right"/>
      <w:pPr>
        <w:ind w:left="7920" w:hanging="180"/>
      </w:pPr>
    </w:lvl>
  </w:abstractNum>
  <w:abstractNum w:abstractNumId="1">
    <w:nsid w:val="01AD0010"/>
    <w:multiLevelType w:val="hybridMultilevel"/>
    <w:tmpl w:val="1C3A49EE"/>
    <w:lvl w:ilvl="0" w:tplc="C04A5820">
      <w:start w:val="3"/>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2">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3">
    <w:nsid w:val="01E9738C"/>
    <w:multiLevelType w:val="hybridMultilevel"/>
    <w:tmpl w:val="805A9B30"/>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4">
    <w:nsid w:val="11DE2C32"/>
    <w:multiLevelType w:val="hybridMultilevel"/>
    <w:tmpl w:val="4B4E84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6">
    <w:nsid w:val="12B1318E"/>
    <w:multiLevelType w:val="hybridMultilevel"/>
    <w:tmpl w:val="198EB90A"/>
    <w:lvl w:ilvl="0" w:tplc="4E02265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nsid w:val="12F90CB7"/>
    <w:multiLevelType w:val="hybridMultilevel"/>
    <w:tmpl w:val="DD5486A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18757DBD"/>
    <w:multiLevelType w:val="hybridMultilevel"/>
    <w:tmpl w:val="2DFC7BBE"/>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19E46842"/>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1FE12499"/>
    <w:multiLevelType w:val="hybridMultilevel"/>
    <w:tmpl w:val="73B431A8"/>
    <w:lvl w:ilvl="0" w:tplc="0C0A0001">
      <w:start w:val="1"/>
      <w:numFmt w:val="bullet"/>
      <w:lvlText w:val=""/>
      <w:lvlJc w:val="left"/>
      <w:pPr>
        <w:ind w:left="720" w:hanging="360"/>
      </w:pPr>
      <w:rPr>
        <w:rFonts w:ascii="Symbol" w:hAnsi="Symbol" w:hint="default"/>
      </w:rPr>
    </w:lvl>
    <w:lvl w:ilvl="1" w:tplc="78F0FFC8">
      <w:start w:val="4"/>
      <w:numFmt w:val="bullet"/>
      <w:lvlText w:val="-"/>
      <w:lvlJc w:val="left"/>
      <w:pPr>
        <w:ind w:left="1605" w:hanging="525"/>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0EF38FA"/>
    <w:multiLevelType w:val="multilevel"/>
    <w:tmpl w:val="125472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1D93264"/>
    <w:multiLevelType w:val="hybridMultilevel"/>
    <w:tmpl w:val="19BA7946"/>
    <w:lvl w:ilvl="0" w:tplc="CA6A01B6">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nsid w:val="24A5116F"/>
    <w:multiLevelType w:val="hybridMultilevel"/>
    <w:tmpl w:val="A0265714"/>
    <w:lvl w:ilvl="0" w:tplc="93FA5FEE">
      <w:start w:val="3"/>
      <w:numFmt w:val="bullet"/>
      <w:lvlText w:val="-"/>
      <w:lvlJc w:val="left"/>
      <w:pPr>
        <w:ind w:left="720" w:hanging="360"/>
      </w:pPr>
      <w:rPr>
        <w:rFonts w:ascii="Calibri" w:eastAsia="ArialUnicodeMS-WinCharSetFFFF-H" w:hAnsi="Calibri" w:cs="ArialUnicodeMS-WinCharSetFFFF-H"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257E794E"/>
    <w:multiLevelType w:val="hybridMultilevel"/>
    <w:tmpl w:val="F14CA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F5627B8"/>
    <w:multiLevelType w:val="hybridMultilevel"/>
    <w:tmpl w:val="FBE8B9B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323D051F"/>
    <w:multiLevelType w:val="hybridMultilevel"/>
    <w:tmpl w:val="450C67FE"/>
    <w:lvl w:ilvl="0" w:tplc="0C0A0001">
      <w:start w:val="1"/>
      <w:numFmt w:val="bullet"/>
      <w:lvlText w:val=""/>
      <w:lvlJc w:val="left"/>
      <w:pPr>
        <w:ind w:left="2204" w:hanging="360"/>
      </w:pPr>
      <w:rPr>
        <w:rFonts w:ascii="Symbol" w:hAnsi="Symbol" w:hint="default"/>
      </w:rPr>
    </w:lvl>
    <w:lvl w:ilvl="1" w:tplc="0C0A0003" w:tentative="1">
      <w:start w:val="1"/>
      <w:numFmt w:val="bullet"/>
      <w:lvlText w:val="o"/>
      <w:lvlJc w:val="left"/>
      <w:pPr>
        <w:ind w:left="2924" w:hanging="360"/>
      </w:pPr>
      <w:rPr>
        <w:rFonts w:ascii="Courier New" w:hAnsi="Courier New" w:cs="Courier New" w:hint="default"/>
      </w:rPr>
    </w:lvl>
    <w:lvl w:ilvl="2" w:tplc="0C0A0005" w:tentative="1">
      <w:start w:val="1"/>
      <w:numFmt w:val="bullet"/>
      <w:lvlText w:val=""/>
      <w:lvlJc w:val="left"/>
      <w:pPr>
        <w:ind w:left="3644" w:hanging="360"/>
      </w:pPr>
      <w:rPr>
        <w:rFonts w:ascii="Wingdings" w:hAnsi="Wingdings" w:hint="default"/>
      </w:rPr>
    </w:lvl>
    <w:lvl w:ilvl="3" w:tplc="0C0A0001" w:tentative="1">
      <w:start w:val="1"/>
      <w:numFmt w:val="bullet"/>
      <w:lvlText w:val=""/>
      <w:lvlJc w:val="left"/>
      <w:pPr>
        <w:ind w:left="4364" w:hanging="360"/>
      </w:pPr>
      <w:rPr>
        <w:rFonts w:ascii="Symbol" w:hAnsi="Symbol" w:hint="default"/>
      </w:rPr>
    </w:lvl>
    <w:lvl w:ilvl="4" w:tplc="0C0A0003" w:tentative="1">
      <w:start w:val="1"/>
      <w:numFmt w:val="bullet"/>
      <w:lvlText w:val="o"/>
      <w:lvlJc w:val="left"/>
      <w:pPr>
        <w:ind w:left="5084" w:hanging="360"/>
      </w:pPr>
      <w:rPr>
        <w:rFonts w:ascii="Courier New" w:hAnsi="Courier New" w:cs="Courier New" w:hint="default"/>
      </w:rPr>
    </w:lvl>
    <w:lvl w:ilvl="5" w:tplc="0C0A0005" w:tentative="1">
      <w:start w:val="1"/>
      <w:numFmt w:val="bullet"/>
      <w:lvlText w:val=""/>
      <w:lvlJc w:val="left"/>
      <w:pPr>
        <w:ind w:left="5804" w:hanging="360"/>
      </w:pPr>
      <w:rPr>
        <w:rFonts w:ascii="Wingdings" w:hAnsi="Wingdings" w:hint="default"/>
      </w:rPr>
    </w:lvl>
    <w:lvl w:ilvl="6" w:tplc="0C0A0001" w:tentative="1">
      <w:start w:val="1"/>
      <w:numFmt w:val="bullet"/>
      <w:lvlText w:val=""/>
      <w:lvlJc w:val="left"/>
      <w:pPr>
        <w:ind w:left="6524" w:hanging="360"/>
      </w:pPr>
      <w:rPr>
        <w:rFonts w:ascii="Symbol" w:hAnsi="Symbol" w:hint="default"/>
      </w:rPr>
    </w:lvl>
    <w:lvl w:ilvl="7" w:tplc="0C0A0003" w:tentative="1">
      <w:start w:val="1"/>
      <w:numFmt w:val="bullet"/>
      <w:lvlText w:val="o"/>
      <w:lvlJc w:val="left"/>
      <w:pPr>
        <w:ind w:left="7244" w:hanging="360"/>
      </w:pPr>
      <w:rPr>
        <w:rFonts w:ascii="Courier New" w:hAnsi="Courier New" w:cs="Courier New" w:hint="default"/>
      </w:rPr>
    </w:lvl>
    <w:lvl w:ilvl="8" w:tplc="0C0A0005" w:tentative="1">
      <w:start w:val="1"/>
      <w:numFmt w:val="bullet"/>
      <w:lvlText w:val=""/>
      <w:lvlJc w:val="left"/>
      <w:pPr>
        <w:ind w:left="7964" w:hanging="360"/>
      </w:pPr>
      <w:rPr>
        <w:rFonts w:ascii="Wingdings" w:hAnsi="Wingdings" w:hint="default"/>
      </w:rPr>
    </w:lvl>
  </w:abstractNum>
  <w:abstractNum w:abstractNumId="17">
    <w:nsid w:val="34C811CE"/>
    <w:multiLevelType w:val="hybridMultilevel"/>
    <w:tmpl w:val="68E459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5B64ED3"/>
    <w:multiLevelType w:val="hybridMultilevel"/>
    <w:tmpl w:val="B9A8F71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nsid w:val="3ACF4670"/>
    <w:multiLevelType w:val="hybridMultilevel"/>
    <w:tmpl w:val="0AEECCB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nsid w:val="3B0E4361"/>
    <w:multiLevelType w:val="hybridMultilevel"/>
    <w:tmpl w:val="2F50962E"/>
    <w:lvl w:ilvl="0" w:tplc="ADE6FFCE">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21">
    <w:nsid w:val="3D5F2DB8"/>
    <w:multiLevelType w:val="hybridMultilevel"/>
    <w:tmpl w:val="65BC7D28"/>
    <w:lvl w:ilvl="0" w:tplc="93FA5FEE">
      <w:start w:val="3"/>
      <w:numFmt w:val="bullet"/>
      <w:lvlText w:val="-"/>
      <w:lvlJc w:val="left"/>
      <w:pPr>
        <w:ind w:left="720" w:hanging="360"/>
      </w:pPr>
      <w:rPr>
        <w:rFonts w:ascii="Calibri" w:eastAsia="ArialUnicodeMS-WinCharSetFFFF-H" w:hAnsi="Calibri" w:cs="ArialUnicodeMS-WinCharSetFFFF-H"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nsid w:val="3DD974D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3E2E1EDE"/>
    <w:multiLevelType w:val="hybridMultilevel"/>
    <w:tmpl w:val="491C2FB8"/>
    <w:lvl w:ilvl="0" w:tplc="31D876F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nsid w:val="44972795"/>
    <w:multiLevelType w:val="hybridMultilevel"/>
    <w:tmpl w:val="7642630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nsid w:val="553E0186"/>
    <w:multiLevelType w:val="multilevel"/>
    <w:tmpl w:val="190E6CC4"/>
    <w:lvl w:ilvl="0">
      <w:start w:val="1"/>
      <w:numFmt w:val="decimal"/>
      <w:lvlText w:val="%1."/>
      <w:lvlJc w:val="left"/>
      <w:pPr>
        <w:ind w:left="360" w:hanging="360"/>
      </w:p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68A29D9"/>
    <w:multiLevelType w:val="hybridMultilevel"/>
    <w:tmpl w:val="31947C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68D33A4"/>
    <w:multiLevelType w:val="hybridMultilevel"/>
    <w:tmpl w:val="1E38A770"/>
    <w:lvl w:ilvl="0" w:tplc="FA9E14D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nsid w:val="582952D6"/>
    <w:multiLevelType w:val="hybridMultilevel"/>
    <w:tmpl w:val="6D085556"/>
    <w:lvl w:ilvl="0" w:tplc="2DCA28FA">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nsid w:val="58707909"/>
    <w:multiLevelType w:val="hybridMultilevel"/>
    <w:tmpl w:val="3E34D208"/>
    <w:lvl w:ilvl="0" w:tplc="93FA5FEE">
      <w:start w:val="3"/>
      <w:numFmt w:val="bullet"/>
      <w:lvlText w:val="-"/>
      <w:lvlJc w:val="left"/>
      <w:pPr>
        <w:ind w:left="720" w:hanging="360"/>
      </w:pPr>
      <w:rPr>
        <w:rFonts w:ascii="Calibri" w:eastAsia="ArialUnicodeMS-WinCharSetFFFF-H" w:hAnsi="Calibri" w:cs="ArialUnicodeMS-WinCharSetFFFF-H"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nsid w:val="5A1D5130"/>
    <w:multiLevelType w:val="multilevel"/>
    <w:tmpl w:val="C39A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152" w:hanging="432"/>
      </w:pPr>
      <w:rPr>
        <w:rFonts w:ascii="Courier New" w:hAnsi="Courier New" w:cs="Courier New"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nsid w:val="5AFF2620"/>
    <w:multiLevelType w:val="multilevel"/>
    <w:tmpl w:val="E064037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F603873"/>
    <w:multiLevelType w:val="hybridMultilevel"/>
    <w:tmpl w:val="6852A082"/>
    <w:lvl w:ilvl="0" w:tplc="39B40518">
      <w:start w:val="1"/>
      <w:numFmt w:val="lowerLetter"/>
      <w:lvlText w:val="%1)"/>
      <w:lvlJc w:val="left"/>
      <w:pPr>
        <w:ind w:left="644" w:hanging="360"/>
      </w:pPr>
      <w:rPr>
        <w:rFonts w:ascii="Times New Roman" w:eastAsia="Times New Roman" w:hAnsi="Times New Roman" w:cs="Times New Roman"/>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3">
    <w:nsid w:val="644B5128"/>
    <w:multiLevelType w:val="singleLevel"/>
    <w:tmpl w:val="F50A19D2"/>
    <w:lvl w:ilvl="0">
      <w:start w:val="46"/>
      <w:numFmt w:val="bullet"/>
      <w:lvlText w:val=""/>
      <w:lvlJc w:val="left"/>
      <w:pPr>
        <w:tabs>
          <w:tab w:val="num" w:pos="928"/>
        </w:tabs>
        <w:ind w:left="398" w:firstLine="170"/>
      </w:pPr>
      <w:rPr>
        <w:rFonts w:ascii="Wingdings" w:hAnsi="Wingdings" w:hint="default"/>
      </w:rPr>
    </w:lvl>
  </w:abstractNum>
  <w:abstractNum w:abstractNumId="34">
    <w:nsid w:val="64D62D90"/>
    <w:multiLevelType w:val="hybridMultilevel"/>
    <w:tmpl w:val="6B2C18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B683EC0"/>
    <w:multiLevelType w:val="hybridMultilevel"/>
    <w:tmpl w:val="10561DAC"/>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6">
    <w:nsid w:val="6BAA1C86"/>
    <w:multiLevelType w:val="hybridMultilevel"/>
    <w:tmpl w:val="5F84D7B8"/>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7">
    <w:nsid w:val="6F431ED8"/>
    <w:multiLevelType w:val="hybridMultilevel"/>
    <w:tmpl w:val="8576A0D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8">
    <w:nsid w:val="708B6083"/>
    <w:multiLevelType w:val="hybridMultilevel"/>
    <w:tmpl w:val="198EB90A"/>
    <w:lvl w:ilvl="0" w:tplc="4E02265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nsid w:val="71911B6E"/>
    <w:multiLevelType w:val="hybridMultilevel"/>
    <w:tmpl w:val="24309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3C34D09"/>
    <w:multiLevelType w:val="hybridMultilevel"/>
    <w:tmpl w:val="0964ADD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1">
    <w:nsid w:val="75587C13"/>
    <w:multiLevelType w:val="hybridMultilevel"/>
    <w:tmpl w:val="5D86787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2">
    <w:nsid w:val="76695947"/>
    <w:multiLevelType w:val="hybridMultilevel"/>
    <w:tmpl w:val="733069A8"/>
    <w:lvl w:ilvl="0" w:tplc="FEF2366A">
      <w:start w:val="1"/>
      <w:numFmt w:val="bullet"/>
      <w:lvlText w:val=""/>
      <w:lvlJc w:val="left"/>
      <w:pPr>
        <w:tabs>
          <w:tab w:val="num" w:pos="539"/>
        </w:tabs>
        <w:ind w:left="454" w:firstLine="86"/>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3">
    <w:nsid w:val="78843801"/>
    <w:multiLevelType w:val="hybridMultilevel"/>
    <w:tmpl w:val="68F4F866"/>
    <w:lvl w:ilvl="0" w:tplc="040A0001">
      <w:start w:val="1"/>
      <w:numFmt w:val="bullet"/>
      <w:lvlText w:val=""/>
      <w:lvlJc w:val="left"/>
      <w:pPr>
        <w:ind w:left="1070"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44">
    <w:nsid w:val="7CC853A3"/>
    <w:multiLevelType w:val="hybridMultilevel"/>
    <w:tmpl w:val="C2BE6A7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33"/>
  </w:num>
  <w:num w:numId="2">
    <w:abstractNumId w:val="5"/>
  </w:num>
  <w:num w:numId="3">
    <w:abstractNumId w:val="2"/>
  </w:num>
  <w:num w:numId="4">
    <w:abstractNumId w:val="23"/>
  </w:num>
  <w:num w:numId="5">
    <w:abstractNumId w:val="38"/>
  </w:num>
  <w:num w:numId="6">
    <w:abstractNumId w:val="3"/>
  </w:num>
  <w:num w:numId="7">
    <w:abstractNumId w:val="6"/>
  </w:num>
  <w:num w:numId="8">
    <w:abstractNumId w:val="34"/>
  </w:num>
  <w:num w:numId="9">
    <w:abstractNumId w:val="4"/>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29"/>
  </w:num>
  <w:num w:numId="13">
    <w:abstractNumId w:val="21"/>
  </w:num>
  <w:num w:numId="14">
    <w:abstractNumId w:val="13"/>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0"/>
  </w:num>
  <w:num w:numId="18">
    <w:abstractNumId w:val="9"/>
  </w:num>
  <w:num w:numId="19">
    <w:abstractNumId w:val="12"/>
  </w:num>
  <w:num w:numId="20">
    <w:abstractNumId w:val="31"/>
  </w:num>
  <w:num w:numId="2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8"/>
  </w:num>
  <w:num w:numId="25">
    <w:abstractNumId w:val="28"/>
  </w:num>
  <w:num w:numId="26">
    <w:abstractNumId w:val="0"/>
  </w:num>
  <w:num w:numId="27">
    <w:abstractNumId w:val="11"/>
  </w:num>
  <w:num w:numId="28">
    <w:abstractNumId w:val="32"/>
  </w:num>
  <w:num w:numId="29">
    <w:abstractNumId w:val="36"/>
  </w:num>
  <w:num w:numId="30">
    <w:abstractNumId w:val="18"/>
  </w:num>
  <w:num w:numId="31">
    <w:abstractNumId w:val="16"/>
  </w:num>
  <w:num w:numId="32">
    <w:abstractNumId w:val="41"/>
  </w:num>
  <w:num w:numId="33">
    <w:abstractNumId w:val="7"/>
  </w:num>
  <w:num w:numId="34">
    <w:abstractNumId w:val="10"/>
  </w:num>
  <w:num w:numId="35">
    <w:abstractNumId w:val="24"/>
  </w:num>
  <w:num w:numId="36">
    <w:abstractNumId w:val="37"/>
  </w:num>
  <w:num w:numId="37">
    <w:abstractNumId w:val="26"/>
  </w:num>
  <w:num w:numId="38">
    <w:abstractNumId w:val="14"/>
  </w:num>
  <w:num w:numId="39">
    <w:abstractNumId w:val="17"/>
  </w:num>
  <w:num w:numId="40">
    <w:abstractNumId w:val="42"/>
  </w:num>
  <w:num w:numId="41">
    <w:abstractNumId w:val="1"/>
  </w:num>
  <w:num w:numId="42">
    <w:abstractNumId w:val="43"/>
  </w:num>
  <w:num w:numId="43">
    <w:abstractNumId w:val="40"/>
  </w:num>
  <w:num w:numId="44">
    <w:abstractNumId w:val="15"/>
  </w:num>
  <w:num w:numId="45">
    <w:abstractNumId w:val="27"/>
  </w:num>
  <w:num w:numId="46">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0CC"/>
    <w:rsid w:val="00000155"/>
    <w:rsid w:val="000004D2"/>
    <w:rsid w:val="00000781"/>
    <w:rsid w:val="00000AAA"/>
    <w:rsid w:val="00000C18"/>
    <w:rsid w:val="0000117B"/>
    <w:rsid w:val="000015CD"/>
    <w:rsid w:val="000019D8"/>
    <w:rsid w:val="00002221"/>
    <w:rsid w:val="00002640"/>
    <w:rsid w:val="00002A1F"/>
    <w:rsid w:val="00004162"/>
    <w:rsid w:val="00004203"/>
    <w:rsid w:val="00004531"/>
    <w:rsid w:val="00004E87"/>
    <w:rsid w:val="00004F6D"/>
    <w:rsid w:val="00005082"/>
    <w:rsid w:val="000052AF"/>
    <w:rsid w:val="000054F6"/>
    <w:rsid w:val="00005604"/>
    <w:rsid w:val="00005620"/>
    <w:rsid w:val="00005A48"/>
    <w:rsid w:val="00005E98"/>
    <w:rsid w:val="00006736"/>
    <w:rsid w:val="00006A97"/>
    <w:rsid w:val="00006F99"/>
    <w:rsid w:val="000073E9"/>
    <w:rsid w:val="000077CE"/>
    <w:rsid w:val="000078F1"/>
    <w:rsid w:val="00010953"/>
    <w:rsid w:val="00010F4B"/>
    <w:rsid w:val="00011172"/>
    <w:rsid w:val="0001123B"/>
    <w:rsid w:val="00011662"/>
    <w:rsid w:val="00011CCB"/>
    <w:rsid w:val="0001223E"/>
    <w:rsid w:val="00012A7F"/>
    <w:rsid w:val="00012B76"/>
    <w:rsid w:val="00012EC4"/>
    <w:rsid w:val="000132E9"/>
    <w:rsid w:val="00013553"/>
    <w:rsid w:val="000148C4"/>
    <w:rsid w:val="00014941"/>
    <w:rsid w:val="000151D8"/>
    <w:rsid w:val="00015543"/>
    <w:rsid w:val="00015835"/>
    <w:rsid w:val="00015CF7"/>
    <w:rsid w:val="00016873"/>
    <w:rsid w:val="00016A0F"/>
    <w:rsid w:val="00016CE7"/>
    <w:rsid w:val="0001781F"/>
    <w:rsid w:val="00017903"/>
    <w:rsid w:val="00017A3A"/>
    <w:rsid w:val="00017A48"/>
    <w:rsid w:val="00017BF7"/>
    <w:rsid w:val="00020941"/>
    <w:rsid w:val="00020CD1"/>
    <w:rsid w:val="00020DCD"/>
    <w:rsid w:val="000212A1"/>
    <w:rsid w:val="000212A5"/>
    <w:rsid w:val="0002160D"/>
    <w:rsid w:val="00021BF6"/>
    <w:rsid w:val="00021C39"/>
    <w:rsid w:val="00022611"/>
    <w:rsid w:val="00023062"/>
    <w:rsid w:val="00023CB0"/>
    <w:rsid w:val="00023EED"/>
    <w:rsid w:val="00023F3E"/>
    <w:rsid w:val="00024922"/>
    <w:rsid w:val="00024D15"/>
    <w:rsid w:val="00025142"/>
    <w:rsid w:val="0002530F"/>
    <w:rsid w:val="000253A5"/>
    <w:rsid w:val="00025E9B"/>
    <w:rsid w:val="00026109"/>
    <w:rsid w:val="00026242"/>
    <w:rsid w:val="00026720"/>
    <w:rsid w:val="00026D51"/>
    <w:rsid w:val="00027034"/>
    <w:rsid w:val="000301DB"/>
    <w:rsid w:val="000305E6"/>
    <w:rsid w:val="00030EB6"/>
    <w:rsid w:val="00031821"/>
    <w:rsid w:val="00031839"/>
    <w:rsid w:val="00032B64"/>
    <w:rsid w:val="00032D0F"/>
    <w:rsid w:val="0003340A"/>
    <w:rsid w:val="00033A91"/>
    <w:rsid w:val="00033BB1"/>
    <w:rsid w:val="00034301"/>
    <w:rsid w:val="00034399"/>
    <w:rsid w:val="00034907"/>
    <w:rsid w:val="000349F5"/>
    <w:rsid w:val="0003529A"/>
    <w:rsid w:val="00035747"/>
    <w:rsid w:val="00035A3C"/>
    <w:rsid w:val="00035BAF"/>
    <w:rsid w:val="00035E05"/>
    <w:rsid w:val="00036215"/>
    <w:rsid w:val="00036341"/>
    <w:rsid w:val="000368F1"/>
    <w:rsid w:val="00036A5A"/>
    <w:rsid w:val="00036C0F"/>
    <w:rsid w:val="00036E42"/>
    <w:rsid w:val="00036F10"/>
    <w:rsid w:val="00037F6A"/>
    <w:rsid w:val="000401DA"/>
    <w:rsid w:val="00040911"/>
    <w:rsid w:val="00041F12"/>
    <w:rsid w:val="00042314"/>
    <w:rsid w:val="0004256B"/>
    <w:rsid w:val="00042714"/>
    <w:rsid w:val="0004305C"/>
    <w:rsid w:val="0004373B"/>
    <w:rsid w:val="000438F8"/>
    <w:rsid w:val="00043A0C"/>
    <w:rsid w:val="00043C21"/>
    <w:rsid w:val="000446DB"/>
    <w:rsid w:val="000448FA"/>
    <w:rsid w:val="00044F0F"/>
    <w:rsid w:val="00044F35"/>
    <w:rsid w:val="0004544F"/>
    <w:rsid w:val="00045D0B"/>
    <w:rsid w:val="00046464"/>
    <w:rsid w:val="000464A4"/>
    <w:rsid w:val="000468C3"/>
    <w:rsid w:val="00047167"/>
    <w:rsid w:val="00047297"/>
    <w:rsid w:val="000478F4"/>
    <w:rsid w:val="00047D2C"/>
    <w:rsid w:val="000504A6"/>
    <w:rsid w:val="00050D8C"/>
    <w:rsid w:val="0005233B"/>
    <w:rsid w:val="0005249E"/>
    <w:rsid w:val="000528F8"/>
    <w:rsid w:val="000531FF"/>
    <w:rsid w:val="00053575"/>
    <w:rsid w:val="00053783"/>
    <w:rsid w:val="00053A42"/>
    <w:rsid w:val="00053AA1"/>
    <w:rsid w:val="00053C98"/>
    <w:rsid w:val="00053F02"/>
    <w:rsid w:val="00054E9A"/>
    <w:rsid w:val="0005517D"/>
    <w:rsid w:val="000553F7"/>
    <w:rsid w:val="00055968"/>
    <w:rsid w:val="0005601A"/>
    <w:rsid w:val="000561FF"/>
    <w:rsid w:val="00056408"/>
    <w:rsid w:val="0005659F"/>
    <w:rsid w:val="00057461"/>
    <w:rsid w:val="00057914"/>
    <w:rsid w:val="00057A16"/>
    <w:rsid w:val="000605A2"/>
    <w:rsid w:val="0006133D"/>
    <w:rsid w:val="0006142E"/>
    <w:rsid w:val="0006193A"/>
    <w:rsid w:val="00061AA9"/>
    <w:rsid w:val="00061DE3"/>
    <w:rsid w:val="00062575"/>
    <w:rsid w:val="00063585"/>
    <w:rsid w:val="00063A9B"/>
    <w:rsid w:val="00064240"/>
    <w:rsid w:val="0006445D"/>
    <w:rsid w:val="00064667"/>
    <w:rsid w:val="00064847"/>
    <w:rsid w:val="000649A0"/>
    <w:rsid w:val="00066838"/>
    <w:rsid w:val="000668B0"/>
    <w:rsid w:val="00066A20"/>
    <w:rsid w:val="00066BDE"/>
    <w:rsid w:val="00066FA6"/>
    <w:rsid w:val="000676C4"/>
    <w:rsid w:val="00067C61"/>
    <w:rsid w:val="000702E1"/>
    <w:rsid w:val="000702E9"/>
    <w:rsid w:val="00071476"/>
    <w:rsid w:val="00071558"/>
    <w:rsid w:val="0007168C"/>
    <w:rsid w:val="00071CD0"/>
    <w:rsid w:val="00071F6B"/>
    <w:rsid w:val="000728EB"/>
    <w:rsid w:val="0007293A"/>
    <w:rsid w:val="00072B53"/>
    <w:rsid w:val="000732F2"/>
    <w:rsid w:val="00073840"/>
    <w:rsid w:val="00073DA0"/>
    <w:rsid w:val="00073EAF"/>
    <w:rsid w:val="000746E4"/>
    <w:rsid w:val="00074C75"/>
    <w:rsid w:val="00074ECC"/>
    <w:rsid w:val="00075692"/>
    <w:rsid w:val="00075BFC"/>
    <w:rsid w:val="0007622A"/>
    <w:rsid w:val="00076450"/>
    <w:rsid w:val="00076947"/>
    <w:rsid w:val="00077297"/>
    <w:rsid w:val="00077848"/>
    <w:rsid w:val="00077853"/>
    <w:rsid w:val="00077E66"/>
    <w:rsid w:val="00080099"/>
    <w:rsid w:val="000803BB"/>
    <w:rsid w:val="000811B8"/>
    <w:rsid w:val="00082080"/>
    <w:rsid w:val="0008248E"/>
    <w:rsid w:val="00082574"/>
    <w:rsid w:val="000828E5"/>
    <w:rsid w:val="00082A28"/>
    <w:rsid w:val="000831B6"/>
    <w:rsid w:val="00083928"/>
    <w:rsid w:val="00083ADC"/>
    <w:rsid w:val="00084177"/>
    <w:rsid w:val="0008442F"/>
    <w:rsid w:val="00085937"/>
    <w:rsid w:val="000862A3"/>
    <w:rsid w:val="00086F19"/>
    <w:rsid w:val="00087624"/>
    <w:rsid w:val="00087886"/>
    <w:rsid w:val="00087B8D"/>
    <w:rsid w:val="00087E89"/>
    <w:rsid w:val="0009040B"/>
    <w:rsid w:val="00090905"/>
    <w:rsid w:val="00090988"/>
    <w:rsid w:val="00090E15"/>
    <w:rsid w:val="00092434"/>
    <w:rsid w:val="00092DF2"/>
    <w:rsid w:val="00093204"/>
    <w:rsid w:val="00093246"/>
    <w:rsid w:val="00093D67"/>
    <w:rsid w:val="00093E60"/>
    <w:rsid w:val="000940D7"/>
    <w:rsid w:val="0009411D"/>
    <w:rsid w:val="00094A47"/>
    <w:rsid w:val="00095011"/>
    <w:rsid w:val="000951D8"/>
    <w:rsid w:val="00095932"/>
    <w:rsid w:val="00095941"/>
    <w:rsid w:val="00095BE9"/>
    <w:rsid w:val="000962EC"/>
    <w:rsid w:val="00096E69"/>
    <w:rsid w:val="000A01FA"/>
    <w:rsid w:val="000A0338"/>
    <w:rsid w:val="000A08FC"/>
    <w:rsid w:val="000A09EF"/>
    <w:rsid w:val="000A0AC8"/>
    <w:rsid w:val="000A0FCD"/>
    <w:rsid w:val="000A1018"/>
    <w:rsid w:val="000A12A7"/>
    <w:rsid w:val="000A1792"/>
    <w:rsid w:val="000A18B7"/>
    <w:rsid w:val="000A2061"/>
    <w:rsid w:val="000A225D"/>
    <w:rsid w:val="000A26BE"/>
    <w:rsid w:val="000A27A2"/>
    <w:rsid w:val="000A29D0"/>
    <w:rsid w:val="000A2C1E"/>
    <w:rsid w:val="000A33B8"/>
    <w:rsid w:val="000A34D8"/>
    <w:rsid w:val="000A35C1"/>
    <w:rsid w:val="000A4219"/>
    <w:rsid w:val="000A42F6"/>
    <w:rsid w:val="000A4432"/>
    <w:rsid w:val="000A445A"/>
    <w:rsid w:val="000A4697"/>
    <w:rsid w:val="000A46F3"/>
    <w:rsid w:val="000A4A9C"/>
    <w:rsid w:val="000A4FCC"/>
    <w:rsid w:val="000A5222"/>
    <w:rsid w:val="000A525A"/>
    <w:rsid w:val="000A5AD2"/>
    <w:rsid w:val="000A5B88"/>
    <w:rsid w:val="000A6C4D"/>
    <w:rsid w:val="000A734A"/>
    <w:rsid w:val="000B02FA"/>
    <w:rsid w:val="000B0434"/>
    <w:rsid w:val="000B06CE"/>
    <w:rsid w:val="000B0B0E"/>
    <w:rsid w:val="000B0B1E"/>
    <w:rsid w:val="000B0D4C"/>
    <w:rsid w:val="000B1536"/>
    <w:rsid w:val="000B1558"/>
    <w:rsid w:val="000B1576"/>
    <w:rsid w:val="000B16D4"/>
    <w:rsid w:val="000B18ED"/>
    <w:rsid w:val="000B23DF"/>
    <w:rsid w:val="000B2728"/>
    <w:rsid w:val="000B2764"/>
    <w:rsid w:val="000B3943"/>
    <w:rsid w:val="000B429B"/>
    <w:rsid w:val="000B4477"/>
    <w:rsid w:val="000B4696"/>
    <w:rsid w:val="000B4CF6"/>
    <w:rsid w:val="000B5023"/>
    <w:rsid w:val="000B5065"/>
    <w:rsid w:val="000B534F"/>
    <w:rsid w:val="000B59B9"/>
    <w:rsid w:val="000B5BB9"/>
    <w:rsid w:val="000B620A"/>
    <w:rsid w:val="000B674D"/>
    <w:rsid w:val="000B6896"/>
    <w:rsid w:val="000B6F64"/>
    <w:rsid w:val="000B70B0"/>
    <w:rsid w:val="000B71FF"/>
    <w:rsid w:val="000B73E1"/>
    <w:rsid w:val="000B7D3A"/>
    <w:rsid w:val="000C0704"/>
    <w:rsid w:val="000C13B1"/>
    <w:rsid w:val="000C17DD"/>
    <w:rsid w:val="000C19FC"/>
    <w:rsid w:val="000C1E53"/>
    <w:rsid w:val="000C2411"/>
    <w:rsid w:val="000C2B07"/>
    <w:rsid w:val="000C30E9"/>
    <w:rsid w:val="000C3451"/>
    <w:rsid w:val="000C3495"/>
    <w:rsid w:val="000C3678"/>
    <w:rsid w:val="000C398A"/>
    <w:rsid w:val="000C39CC"/>
    <w:rsid w:val="000C429F"/>
    <w:rsid w:val="000C4AB2"/>
    <w:rsid w:val="000C55C3"/>
    <w:rsid w:val="000C5950"/>
    <w:rsid w:val="000C6073"/>
    <w:rsid w:val="000C6499"/>
    <w:rsid w:val="000C64D6"/>
    <w:rsid w:val="000C64F5"/>
    <w:rsid w:val="000C7225"/>
    <w:rsid w:val="000C7566"/>
    <w:rsid w:val="000C7BF6"/>
    <w:rsid w:val="000C7C8D"/>
    <w:rsid w:val="000D07B1"/>
    <w:rsid w:val="000D0A95"/>
    <w:rsid w:val="000D0D34"/>
    <w:rsid w:val="000D0E71"/>
    <w:rsid w:val="000D0F6C"/>
    <w:rsid w:val="000D10A0"/>
    <w:rsid w:val="000D188E"/>
    <w:rsid w:val="000D1F16"/>
    <w:rsid w:val="000D2540"/>
    <w:rsid w:val="000D2601"/>
    <w:rsid w:val="000D2722"/>
    <w:rsid w:val="000D29E9"/>
    <w:rsid w:val="000D2A9F"/>
    <w:rsid w:val="000D3BAB"/>
    <w:rsid w:val="000D48B4"/>
    <w:rsid w:val="000D4AC6"/>
    <w:rsid w:val="000D4D73"/>
    <w:rsid w:val="000D5178"/>
    <w:rsid w:val="000D5335"/>
    <w:rsid w:val="000D6190"/>
    <w:rsid w:val="000D67E8"/>
    <w:rsid w:val="000D68C6"/>
    <w:rsid w:val="000D707C"/>
    <w:rsid w:val="000D70E5"/>
    <w:rsid w:val="000E086E"/>
    <w:rsid w:val="000E0F69"/>
    <w:rsid w:val="000E1981"/>
    <w:rsid w:val="000E2297"/>
    <w:rsid w:val="000E283B"/>
    <w:rsid w:val="000E287F"/>
    <w:rsid w:val="000E2E81"/>
    <w:rsid w:val="000E30C2"/>
    <w:rsid w:val="000E3F8C"/>
    <w:rsid w:val="000E472F"/>
    <w:rsid w:val="000E4927"/>
    <w:rsid w:val="000E495B"/>
    <w:rsid w:val="000E4E1D"/>
    <w:rsid w:val="000E4F75"/>
    <w:rsid w:val="000E5894"/>
    <w:rsid w:val="000E600D"/>
    <w:rsid w:val="000E6102"/>
    <w:rsid w:val="000E64FF"/>
    <w:rsid w:val="000E6630"/>
    <w:rsid w:val="000E7062"/>
    <w:rsid w:val="000E712F"/>
    <w:rsid w:val="000E79F9"/>
    <w:rsid w:val="000E7B86"/>
    <w:rsid w:val="000E7EE8"/>
    <w:rsid w:val="000F000D"/>
    <w:rsid w:val="000F0DD0"/>
    <w:rsid w:val="000F0E7E"/>
    <w:rsid w:val="000F1931"/>
    <w:rsid w:val="000F2A2A"/>
    <w:rsid w:val="000F2B17"/>
    <w:rsid w:val="000F2B66"/>
    <w:rsid w:val="000F3371"/>
    <w:rsid w:val="000F3452"/>
    <w:rsid w:val="000F3478"/>
    <w:rsid w:val="000F3688"/>
    <w:rsid w:val="000F3D83"/>
    <w:rsid w:val="000F3D8D"/>
    <w:rsid w:val="000F465E"/>
    <w:rsid w:val="000F4F57"/>
    <w:rsid w:val="000F5424"/>
    <w:rsid w:val="000F58DA"/>
    <w:rsid w:val="000F5C5C"/>
    <w:rsid w:val="000F5EFF"/>
    <w:rsid w:val="000F6922"/>
    <w:rsid w:val="000F6BF1"/>
    <w:rsid w:val="000F7088"/>
    <w:rsid w:val="000F70E7"/>
    <w:rsid w:val="000F73EA"/>
    <w:rsid w:val="00100119"/>
    <w:rsid w:val="0010013F"/>
    <w:rsid w:val="00100A4A"/>
    <w:rsid w:val="00100E07"/>
    <w:rsid w:val="00100F12"/>
    <w:rsid w:val="00101B81"/>
    <w:rsid w:val="00101E1C"/>
    <w:rsid w:val="00102392"/>
    <w:rsid w:val="00102F39"/>
    <w:rsid w:val="00103188"/>
    <w:rsid w:val="00103489"/>
    <w:rsid w:val="00103589"/>
    <w:rsid w:val="0010370B"/>
    <w:rsid w:val="001045C9"/>
    <w:rsid w:val="001058CE"/>
    <w:rsid w:val="00105CF0"/>
    <w:rsid w:val="00105D0C"/>
    <w:rsid w:val="00105D2E"/>
    <w:rsid w:val="00105DA1"/>
    <w:rsid w:val="00105FD3"/>
    <w:rsid w:val="00106B98"/>
    <w:rsid w:val="00107585"/>
    <w:rsid w:val="001075C1"/>
    <w:rsid w:val="00107863"/>
    <w:rsid w:val="00107960"/>
    <w:rsid w:val="00107B90"/>
    <w:rsid w:val="00107CC1"/>
    <w:rsid w:val="00107CC7"/>
    <w:rsid w:val="00110483"/>
    <w:rsid w:val="00110545"/>
    <w:rsid w:val="001111E9"/>
    <w:rsid w:val="0011163B"/>
    <w:rsid w:val="00111A92"/>
    <w:rsid w:val="00111D80"/>
    <w:rsid w:val="00112AAA"/>
    <w:rsid w:val="00112BEB"/>
    <w:rsid w:val="001131A9"/>
    <w:rsid w:val="00113466"/>
    <w:rsid w:val="00113A5C"/>
    <w:rsid w:val="00113FC9"/>
    <w:rsid w:val="00114266"/>
    <w:rsid w:val="00114412"/>
    <w:rsid w:val="001145C3"/>
    <w:rsid w:val="00114978"/>
    <w:rsid w:val="00115624"/>
    <w:rsid w:val="001158AB"/>
    <w:rsid w:val="00115FB0"/>
    <w:rsid w:val="00116150"/>
    <w:rsid w:val="001161D2"/>
    <w:rsid w:val="0011668C"/>
    <w:rsid w:val="00116E52"/>
    <w:rsid w:val="00116F5F"/>
    <w:rsid w:val="00117573"/>
    <w:rsid w:val="001176AA"/>
    <w:rsid w:val="0011788E"/>
    <w:rsid w:val="00117E2F"/>
    <w:rsid w:val="001207A4"/>
    <w:rsid w:val="00120A8B"/>
    <w:rsid w:val="00120C02"/>
    <w:rsid w:val="00120C91"/>
    <w:rsid w:val="00120CBD"/>
    <w:rsid w:val="00120D31"/>
    <w:rsid w:val="001212CD"/>
    <w:rsid w:val="001215DC"/>
    <w:rsid w:val="00121778"/>
    <w:rsid w:val="00121E13"/>
    <w:rsid w:val="00123574"/>
    <w:rsid w:val="00123578"/>
    <w:rsid w:val="001237FE"/>
    <w:rsid w:val="00123FC5"/>
    <w:rsid w:val="0012459F"/>
    <w:rsid w:val="00124B38"/>
    <w:rsid w:val="00124E7F"/>
    <w:rsid w:val="00125013"/>
    <w:rsid w:val="00125497"/>
    <w:rsid w:val="001255CD"/>
    <w:rsid w:val="00125A7A"/>
    <w:rsid w:val="00126284"/>
    <w:rsid w:val="001267D2"/>
    <w:rsid w:val="00126818"/>
    <w:rsid w:val="00126E34"/>
    <w:rsid w:val="00127FFD"/>
    <w:rsid w:val="0013026C"/>
    <w:rsid w:val="00130390"/>
    <w:rsid w:val="001304F7"/>
    <w:rsid w:val="0013092A"/>
    <w:rsid w:val="00130F3E"/>
    <w:rsid w:val="0013107B"/>
    <w:rsid w:val="001310C0"/>
    <w:rsid w:val="00131899"/>
    <w:rsid w:val="00131DF1"/>
    <w:rsid w:val="00132ADD"/>
    <w:rsid w:val="00132C38"/>
    <w:rsid w:val="00132CDE"/>
    <w:rsid w:val="00132DC3"/>
    <w:rsid w:val="00133984"/>
    <w:rsid w:val="00133A1E"/>
    <w:rsid w:val="00133BB9"/>
    <w:rsid w:val="00134033"/>
    <w:rsid w:val="001359C4"/>
    <w:rsid w:val="00135DF2"/>
    <w:rsid w:val="001365C4"/>
    <w:rsid w:val="00136C3B"/>
    <w:rsid w:val="001370C3"/>
    <w:rsid w:val="0013728E"/>
    <w:rsid w:val="00137870"/>
    <w:rsid w:val="001405F7"/>
    <w:rsid w:val="00140739"/>
    <w:rsid w:val="00140ADC"/>
    <w:rsid w:val="00141052"/>
    <w:rsid w:val="0014111A"/>
    <w:rsid w:val="0014147D"/>
    <w:rsid w:val="00141689"/>
    <w:rsid w:val="00141A82"/>
    <w:rsid w:val="00141C69"/>
    <w:rsid w:val="00141D29"/>
    <w:rsid w:val="001428A3"/>
    <w:rsid w:val="0014471F"/>
    <w:rsid w:val="00144DF9"/>
    <w:rsid w:val="0014506A"/>
    <w:rsid w:val="001458C3"/>
    <w:rsid w:val="00145A9D"/>
    <w:rsid w:val="00146151"/>
    <w:rsid w:val="00146342"/>
    <w:rsid w:val="00146343"/>
    <w:rsid w:val="001466BF"/>
    <w:rsid w:val="0014673A"/>
    <w:rsid w:val="00146881"/>
    <w:rsid w:val="00146D16"/>
    <w:rsid w:val="0014728F"/>
    <w:rsid w:val="001473F7"/>
    <w:rsid w:val="00150983"/>
    <w:rsid w:val="00150B10"/>
    <w:rsid w:val="00150D33"/>
    <w:rsid w:val="00151243"/>
    <w:rsid w:val="00152010"/>
    <w:rsid w:val="001521A2"/>
    <w:rsid w:val="00152358"/>
    <w:rsid w:val="001530EF"/>
    <w:rsid w:val="0015310C"/>
    <w:rsid w:val="00153382"/>
    <w:rsid w:val="00153539"/>
    <w:rsid w:val="001535B0"/>
    <w:rsid w:val="00153678"/>
    <w:rsid w:val="00153708"/>
    <w:rsid w:val="001537AF"/>
    <w:rsid w:val="0015461F"/>
    <w:rsid w:val="00154A81"/>
    <w:rsid w:val="0015558D"/>
    <w:rsid w:val="001556A3"/>
    <w:rsid w:val="00155BFF"/>
    <w:rsid w:val="00157A5B"/>
    <w:rsid w:val="00157CF0"/>
    <w:rsid w:val="001600BF"/>
    <w:rsid w:val="00160327"/>
    <w:rsid w:val="00160AEA"/>
    <w:rsid w:val="00160F66"/>
    <w:rsid w:val="00161184"/>
    <w:rsid w:val="001613BD"/>
    <w:rsid w:val="00161B4F"/>
    <w:rsid w:val="001622C0"/>
    <w:rsid w:val="001624BE"/>
    <w:rsid w:val="001633AF"/>
    <w:rsid w:val="00163A55"/>
    <w:rsid w:val="00164155"/>
    <w:rsid w:val="00164283"/>
    <w:rsid w:val="001648C8"/>
    <w:rsid w:val="00164B0F"/>
    <w:rsid w:val="001650C3"/>
    <w:rsid w:val="00165FD7"/>
    <w:rsid w:val="001668A5"/>
    <w:rsid w:val="001668AB"/>
    <w:rsid w:val="00166A6C"/>
    <w:rsid w:val="00167A64"/>
    <w:rsid w:val="001708D2"/>
    <w:rsid w:val="00171448"/>
    <w:rsid w:val="001716FE"/>
    <w:rsid w:val="001718E5"/>
    <w:rsid w:val="00171A4E"/>
    <w:rsid w:val="001729F2"/>
    <w:rsid w:val="00172E5B"/>
    <w:rsid w:val="00172FD5"/>
    <w:rsid w:val="001732F3"/>
    <w:rsid w:val="0017368D"/>
    <w:rsid w:val="00173DB6"/>
    <w:rsid w:val="00173EDD"/>
    <w:rsid w:val="0017402B"/>
    <w:rsid w:val="00174221"/>
    <w:rsid w:val="001744B3"/>
    <w:rsid w:val="0017459B"/>
    <w:rsid w:val="00174606"/>
    <w:rsid w:val="00174909"/>
    <w:rsid w:val="00174933"/>
    <w:rsid w:val="00174F1D"/>
    <w:rsid w:val="0017522F"/>
    <w:rsid w:val="00175E9A"/>
    <w:rsid w:val="001761C3"/>
    <w:rsid w:val="0017645F"/>
    <w:rsid w:val="00177EC9"/>
    <w:rsid w:val="0018077E"/>
    <w:rsid w:val="00180D21"/>
    <w:rsid w:val="0018107F"/>
    <w:rsid w:val="0018128E"/>
    <w:rsid w:val="00181AB5"/>
    <w:rsid w:val="00181D37"/>
    <w:rsid w:val="00181DA3"/>
    <w:rsid w:val="001821FD"/>
    <w:rsid w:val="00182DB2"/>
    <w:rsid w:val="00183412"/>
    <w:rsid w:val="001835B7"/>
    <w:rsid w:val="001838DC"/>
    <w:rsid w:val="001841D5"/>
    <w:rsid w:val="0018426B"/>
    <w:rsid w:val="0018440D"/>
    <w:rsid w:val="001844E9"/>
    <w:rsid w:val="001847DE"/>
    <w:rsid w:val="00184F43"/>
    <w:rsid w:val="00185192"/>
    <w:rsid w:val="00185A37"/>
    <w:rsid w:val="00186777"/>
    <w:rsid w:val="001868A4"/>
    <w:rsid w:val="001869A5"/>
    <w:rsid w:val="00186F19"/>
    <w:rsid w:val="00187E05"/>
    <w:rsid w:val="00190007"/>
    <w:rsid w:val="00190245"/>
    <w:rsid w:val="001904B4"/>
    <w:rsid w:val="001908B4"/>
    <w:rsid w:val="001915D6"/>
    <w:rsid w:val="00191739"/>
    <w:rsid w:val="00191B74"/>
    <w:rsid w:val="001923A8"/>
    <w:rsid w:val="00192BFC"/>
    <w:rsid w:val="0019312E"/>
    <w:rsid w:val="0019331F"/>
    <w:rsid w:val="001933A0"/>
    <w:rsid w:val="00193748"/>
    <w:rsid w:val="001937E5"/>
    <w:rsid w:val="00194309"/>
    <w:rsid w:val="00194C67"/>
    <w:rsid w:val="00194E66"/>
    <w:rsid w:val="00195084"/>
    <w:rsid w:val="001952B5"/>
    <w:rsid w:val="001964B5"/>
    <w:rsid w:val="00196541"/>
    <w:rsid w:val="0019660E"/>
    <w:rsid w:val="001967FE"/>
    <w:rsid w:val="0019681E"/>
    <w:rsid w:val="00196953"/>
    <w:rsid w:val="00196F5E"/>
    <w:rsid w:val="00197172"/>
    <w:rsid w:val="00197966"/>
    <w:rsid w:val="00197CF6"/>
    <w:rsid w:val="001A029B"/>
    <w:rsid w:val="001A0675"/>
    <w:rsid w:val="001A0E67"/>
    <w:rsid w:val="001A0F2A"/>
    <w:rsid w:val="001A1799"/>
    <w:rsid w:val="001A1912"/>
    <w:rsid w:val="001A197F"/>
    <w:rsid w:val="001A1A6F"/>
    <w:rsid w:val="001A26E5"/>
    <w:rsid w:val="001A31DA"/>
    <w:rsid w:val="001A37B3"/>
    <w:rsid w:val="001A426D"/>
    <w:rsid w:val="001A428F"/>
    <w:rsid w:val="001A449C"/>
    <w:rsid w:val="001A4595"/>
    <w:rsid w:val="001A45C2"/>
    <w:rsid w:val="001A4B1E"/>
    <w:rsid w:val="001A4B87"/>
    <w:rsid w:val="001A517A"/>
    <w:rsid w:val="001A52F1"/>
    <w:rsid w:val="001A5453"/>
    <w:rsid w:val="001A5781"/>
    <w:rsid w:val="001A578F"/>
    <w:rsid w:val="001A5FF0"/>
    <w:rsid w:val="001A61CF"/>
    <w:rsid w:val="001A6D61"/>
    <w:rsid w:val="001A74B1"/>
    <w:rsid w:val="001A756A"/>
    <w:rsid w:val="001A79BD"/>
    <w:rsid w:val="001B0451"/>
    <w:rsid w:val="001B0597"/>
    <w:rsid w:val="001B06A2"/>
    <w:rsid w:val="001B0A10"/>
    <w:rsid w:val="001B0DFE"/>
    <w:rsid w:val="001B11EA"/>
    <w:rsid w:val="001B13ED"/>
    <w:rsid w:val="001B1C8E"/>
    <w:rsid w:val="001B2055"/>
    <w:rsid w:val="001B3046"/>
    <w:rsid w:val="001B30BC"/>
    <w:rsid w:val="001B3685"/>
    <w:rsid w:val="001B39E2"/>
    <w:rsid w:val="001B39F8"/>
    <w:rsid w:val="001B3BE5"/>
    <w:rsid w:val="001B4AEA"/>
    <w:rsid w:val="001B4C48"/>
    <w:rsid w:val="001B5078"/>
    <w:rsid w:val="001B510C"/>
    <w:rsid w:val="001B5B58"/>
    <w:rsid w:val="001B5C59"/>
    <w:rsid w:val="001B6A84"/>
    <w:rsid w:val="001B6B4F"/>
    <w:rsid w:val="001B7C94"/>
    <w:rsid w:val="001B7DFF"/>
    <w:rsid w:val="001C102A"/>
    <w:rsid w:val="001C1062"/>
    <w:rsid w:val="001C16A2"/>
    <w:rsid w:val="001C1B78"/>
    <w:rsid w:val="001C24DD"/>
    <w:rsid w:val="001C2B26"/>
    <w:rsid w:val="001C2C55"/>
    <w:rsid w:val="001C2DF7"/>
    <w:rsid w:val="001C2E1E"/>
    <w:rsid w:val="001C3096"/>
    <w:rsid w:val="001C3129"/>
    <w:rsid w:val="001C3A32"/>
    <w:rsid w:val="001C3C5A"/>
    <w:rsid w:val="001C4B7F"/>
    <w:rsid w:val="001C4F7C"/>
    <w:rsid w:val="001C628B"/>
    <w:rsid w:val="001C6484"/>
    <w:rsid w:val="001C72D5"/>
    <w:rsid w:val="001C79DC"/>
    <w:rsid w:val="001C7E70"/>
    <w:rsid w:val="001D02F9"/>
    <w:rsid w:val="001D068E"/>
    <w:rsid w:val="001D095C"/>
    <w:rsid w:val="001D0B9B"/>
    <w:rsid w:val="001D0F67"/>
    <w:rsid w:val="001D1165"/>
    <w:rsid w:val="001D11FE"/>
    <w:rsid w:val="001D3314"/>
    <w:rsid w:val="001D3D28"/>
    <w:rsid w:val="001D4811"/>
    <w:rsid w:val="001D4BF2"/>
    <w:rsid w:val="001D4F09"/>
    <w:rsid w:val="001D56A3"/>
    <w:rsid w:val="001D56C7"/>
    <w:rsid w:val="001D5C1B"/>
    <w:rsid w:val="001D6679"/>
    <w:rsid w:val="001D6968"/>
    <w:rsid w:val="001D6E1F"/>
    <w:rsid w:val="001E01FC"/>
    <w:rsid w:val="001E06D8"/>
    <w:rsid w:val="001E0E24"/>
    <w:rsid w:val="001E0F99"/>
    <w:rsid w:val="001E108E"/>
    <w:rsid w:val="001E115A"/>
    <w:rsid w:val="001E133E"/>
    <w:rsid w:val="001E1411"/>
    <w:rsid w:val="001E17CB"/>
    <w:rsid w:val="001E18FB"/>
    <w:rsid w:val="001E1D08"/>
    <w:rsid w:val="001E1D5C"/>
    <w:rsid w:val="001E1DC1"/>
    <w:rsid w:val="001E2A02"/>
    <w:rsid w:val="001E3A33"/>
    <w:rsid w:val="001E3D82"/>
    <w:rsid w:val="001E403F"/>
    <w:rsid w:val="001E45E3"/>
    <w:rsid w:val="001E4B93"/>
    <w:rsid w:val="001E4F02"/>
    <w:rsid w:val="001E56F8"/>
    <w:rsid w:val="001E5D69"/>
    <w:rsid w:val="001E6108"/>
    <w:rsid w:val="001E63B9"/>
    <w:rsid w:val="001E6F0C"/>
    <w:rsid w:val="001E7189"/>
    <w:rsid w:val="001E77FC"/>
    <w:rsid w:val="001E78F1"/>
    <w:rsid w:val="001E7A4F"/>
    <w:rsid w:val="001E7AE7"/>
    <w:rsid w:val="001E7C86"/>
    <w:rsid w:val="001F0092"/>
    <w:rsid w:val="001F00EA"/>
    <w:rsid w:val="001F022D"/>
    <w:rsid w:val="001F02EF"/>
    <w:rsid w:val="001F0C73"/>
    <w:rsid w:val="001F0D85"/>
    <w:rsid w:val="001F118D"/>
    <w:rsid w:val="001F13B7"/>
    <w:rsid w:val="001F1482"/>
    <w:rsid w:val="001F1B25"/>
    <w:rsid w:val="001F1C18"/>
    <w:rsid w:val="001F1E22"/>
    <w:rsid w:val="001F1F30"/>
    <w:rsid w:val="001F1F77"/>
    <w:rsid w:val="001F20D7"/>
    <w:rsid w:val="001F2418"/>
    <w:rsid w:val="001F26C6"/>
    <w:rsid w:val="001F2811"/>
    <w:rsid w:val="001F2A05"/>
    <w:rsid w:val="001F3165"/>
    <w:rsid w:val="001F323F"/>
    <w:rsid w:val="001F3851"/>
    <w:rsid w:val="001F38E0"/>
    <w:rsid w:val="001F3B57"/>
    <w:rsid w:val="001F3B76"/>
    <w:rsid w:val="001F3ED0"/>
    <w:rsid w:val="001F4548"/>
    <w:rsid w:val="001F480A"/>
    <w:rsid w:val="001F4865"/>
    <w:rsid w:val="001F52CA"/>
    <w:rsid w:val="001F53D9"/>
    <w:rsid w:val="001F55DC"/>
    <w:rsid w:val="001F5624"/>
    <w:rsid w:val="001F5B7B"/>
    <w:rsid w:val="001F6503"/>
    <w:rsid w:val="001F651C"/>
    <w:rsid w:val="001F6AA3"/>
    <w:rsid w:val="001F6E57"/>
    <w:rsid w:val="001F7056"/>
    <w:rsid w:val="001F709B"/>
    <w:rsid w:val="001F7598"/>
    <w:rsid w:val="001F766D"/>
    <w:rsid w:val="001F7744"/>
    <w:rsid w:val="001F7819"/>
    <w:rsid w:val="001F7AAF"/>
    <w:rsid w:val="001F7D17"/>
    <w:rsid w:val="002001CE"/>
    <w:rsid w:val="0020022E"/>
    <w:rsid w:val="00200D7D"/>
    <w:rsid w:val="00201178"/>
    <w:rsid w:val="0020122E"/>
    <w:rsid w:val="002014EB"/>
    <w:rsid w:val="00201729"/>
    <w:rsid w:val="0020222C"/>
    <w:rsid w:val="00202A0B"/>
    <w:rsid w:val="00202B1A"/>
    <w:rsid w:val="00202F17"/>
    <w:rsid w:val="002030F4"/>
    <w:rsid w:val="0020383A"/>
    <w:rsid w:val="002041EE"/>
    <w:rsid w:val="00204979"/>
    <w:rsid w:val="00204DEB"/>
    <w:rsid w:val="00205AC9"/>
    <w:rsid w:val="00206826"/>
    <w:rsid w:val="00206991"/>
    <w:rsid w:val="00206C1B"/>
    <w:rsid w:val="00206D3B"/>
    <w:rsid w:val="00206E22"/>
    <w:rsid w:val="0020716D"/>
    <w:rsid w:val="00207942"/>
    <w:rsid w:val="002079CB"/>
    <w:rsid w:val="00207D58"/>
    <w:rsid w:val="00207D65"/>
    <w:rsid w:val="00207FD7"/>
    <w:rsid w:val="00211452"/>
    <w:rsid w:val="002118CC"/>
    <w:rsid w:val="00211905"/>
    <w:rsid w:val="00211C61"/>
    <w:rsid w:val="00211D69"/>
    <w:rsid w:val="002129DF"/>
    <w:rsid w:val="00212B59"/>
    <w:rsid w:val="00212E0E"/>
    <w:rsid w:val="002138B1"/>
    <w:rsid w:val="00213C27"/>
    <w:rsid w:val="00213FE7"/>
    <w:rsid w:val="0021409C"/>
    <w:rsid w:val="00214F6C"/>
    <w:rsid w:val="002153D2"/>
    <w:rsid w:val="0021545A"/>
    <w:rsid w:val="002154BD"/>
    <w:rsid w:val="00215553"/>
    <w:rsid w:val="0021572B"/>
    <w:rsid w:val="0021587E"/>
    <w:rsid w:val="00215F32"/>
    <w:rsid w:val="00216C70"/>
    <w:rsid w:val="0021726F"/>
    <w:rsid w:val="002176E2"/>
    <w:rsid w:val="002179DB"/>
    <w:rsid w:val="00217C03"/>
    <w:rsid w:val="00220F9D"/>
    <w:rsid w:val="00221630"/>
    <w:rsid w:val="002217E1"/>
    <w:rsid w:val="00221A4F"/>
    <w:rsid w:val="00221CCA"/>
    <w:rsid w:val="00221CD3"/>
    <w:rsid w:val="0022288A"/>
    <w:rsid w:val="00222AE6"/>
    <w:rsid w:val="00222ED7"/>
    <w:rsid w:val="002249A1"/>
    <w:rsid w:val="00224A7E"/>
    <w:rsid w:val="00224E02"/>
    <w:rsid w:val="00224F7A"/>
    <w:rsid w:val="00225058"/>
    <w:rsid w:val="00225B2C"/>
    <w:rsid w:val="002261C3"/>
    <w:rsid w:val="002263B7"/>
    <w:rsid w:val="00226540"/>
    <w:rsid w:val="00226C3E"/>
    <w:rsid w:val="002270BD"/>
    <w:rsid w:val="002273FB"/>
    <w:rsid w:val="00227A1D"/>
    <w:rsid w:val="00227E48"/>
    <w:rsid w:val="00230577"/>
    <w:rsid w:val="002305E0"/>
    <w:rsid w:val="00230A7F"/>
    <w:rsid w:val="00231437"/>
    <w:rsid w:val="002317FE"/>
    <w:rsid w:val="0023209D"/>
    <w:rsid w:val="00232338"/>
    <w:rsid w:val="002333F8"/>
    <w:rsid w:val="0023383B"/>
    <w:rsid w:val="002338F8"/>
    <w:rsid w:val="00233B6A"/>
    <w:rsid w:val="00233C06"/>
    <w:rsid w:val="00233D79"/>
    <w:rsid w:val="0023439D"/>
    <w:rsid w:val="00234D86"/>
    <w:rsid w:val="00234FD8"/>
    <w:rsid w:val="00235152"/>
    <w:rsid w:val="002352AC"/>
    <w:rsid w:val="002353D9"/>
    <w:rsid w:val="002355BC"/>
    <w:rsid w:val="00235E3C"/>
    <w:rsid w:val="00236ADF"/>
    <w:rsid w:val="0023744B"/>
    <w:rsid w:val="0023751E"/>
    <w:rsid w:val="00237657"/>
    <w:rsid w:val="00237B17"/>
    <w:rsid w:val="002401AE"/>
    <w:rsid w:val="0024059F"/>
    <w:rsid w:val="0024068F"/>
    <w:rsid w:val="002406E1"/>
    <w:rsid w:val="00242177"/>
    <w:rsid w:val="00242257"/>
    <w:rsid w:val="00242651"/>
    <w:rsid w:val="00242981"/>
    <w:rsid w:val="00242985"/>
    <w:rsid w:val="00242BA7"/>
    <w:rsid w:val="00242F11"/>
    <w:rsid w:val="0024375D"/>
    <w:rsid w:val="0024377D"/>
    <w:rsid w:val="002437B5"/>
    <w:rsid w:val="002437BD"/>
    <w:rsid w:val="00244675"/>
    <w:rsid w:val="002448C1"/>
    <w:rsid w:val="00244BB0"/>
    <w:rsid w:val="00244EF1"/>
    <w:rsid w:val="002453C8"/>
    <w:rsid w:val="002458C5"/>
    <w:rsid w:val="00246173"/>
    <w:rsid w:val="002461EC"/>
    <w:rsid w:val="0024658E"/>
    <w:rsid w:val="00246600"/>
    <w:rsid w:val="00246F21"/>
    <w:rsid w:val="002473F8"/>
    <w:rsid w:val="00247777"/>
    <w:rsid w:val="0025021D"/>
    <w:rsid w:val="002502E8"/>
    <w:rsid w:val="00250C74"/>
    <w:rsid w:val="00250E5B"/>
    <w:rsid w:val="00251408"/>
    <w:rsid w:val="00251C95"/>
    <w:rsid w:val="002529B1"/>
    <w:rsid w:val="00252B24"/>
    <w:rsid w:val="002531FD"/>
    <w:rsid w:val="0025369E"/>
    <w:rsid w:val="0025381A"/>
    <w:rsid w:val="00253E78"/>
    <w:rsid w:val="00254123"/>
    <w:rsid w:val="00254522"/>
    <w:rsid w:val="00254ACE"/>
    <w:rsid w:val="00254B3D"/>
    <w:rsid w:val="00254E1C"/>
    <w:rsid w:val="00255305"/>
    <w:rsid w:val="002561A0"/>
    <w:rsid w:val="0025620F"/>
    <w:rsid w:val="002563C9"/>
    <w:rsid w:val="00256690"/>
    <w:rsid w:val="00256A0F"/>
    <w:rsid w:val="0025731A"/>
    <w:rsid w:val="00257714"/>
    <w:rsid w:val="00257743"/>
    <w:rsid w:val="002577D1"/>
    <w:rsid w:val="00260A5D"/>
    <w:rsid w:val="00260B2B"/>
    <w:rsid w:val="00260E80"/>
    <w:rsid w:val="002610BB"/>
    <w:rsid w:val="0026160E"/>
    <w:rsid w:val="00262A6F"/>
    <w:rsid w:val="00262C3C"/>
    <w:rsid w:val="00263CC9"/>
    <w:rsid w:val="0026400E"/>
    <w:rsid w:val="00264C88"/>
    <w:rsid w:val="00264DF2"/>
    <w:rsid w:val="0026532C"/>
    <w:rsid w:val="0026539B"/>
    <w:rsid w:val="0026575D"/>
    <w:rsid w:val="002657D4"/>
    <w:rsid w:val="00265E74"/>
    <w:rsid w:val="00266201"/>
    <w:rsid w:val="00266312"/>
    <w:rsid w:val="002667F5"/>
    <w:rsid w:val="0026682B"/>
    <w:rsid w:val="00266EA5"/>
    <w:rsid w:val="00267229"/>
    <w:rsid w:val="002705B0"/>
    <w:rsid w:val="002717A6"/>
    <w:rsid w:val="00271B05"/>
    <w:rsid w:val="00272015"/>
    <w:rsid w:val="00272540"/>
    <w:rsid w:val="00272619"/>
    <w:rsid w:val="00272621"/>
    <w:rsid w:val="00272C5B"/>
    <w:rsid w:val="00272DD8"/>
    <w:rsid w:val="002733FA"/>
    <w:rsid w:val="0027384A"/>
    <w:rsid w:val="002738B2"/>
    <w:rsid w:val="00273B97"/>
    <w:rsid w:val="00273C10"/>
    <w:rsid w:val="00273EE3"/>
    <w:rsid w:val="002741D4"/>
    <w:rsid w:val="002747C7"/>
    <w:rsid w:val="00274AB7"/>
    <w:rsid w:val="00274B4C"/>
    <w:rsid w:val="0027559A"/>
    <w:rsid w:val="00276264"/>
    <w:rsid w:val="002771FD"/>
    <w:rsid w:val="00277626"/>
    <w:rsid w:val="002777E7"/>
    <w:rsid w:val="00277A3C"/>
    <w:rsid w:val="00280031"/>
    <w:rsid w:val="00280814"/>
    <w:rsid w:val="00280EF7"/>
    <w:rsid w:val="00281277"/>
    <w:rsid w:val="002816BB"/>
    <w:rsid w:val="002818E3"/>
    <w:rsid w:val="00281ABD"/>
    <w:rsid w:val="00281DCA"/>
    <w:rsid w:val="00282603"/>
    <w:rsid w:val="002827A3"/>
    <w:rsid w:val="00283B5C"/>
    <w:rsid w:val="00283C58"/>
    <w:rsid w:val="0028444E"/>
    <w:rsid w:val="002846A5"/>
    <w:rsid w:val="00284993"/>
    <w:rsid w:val="00284A2C"/>
    <w:rsid w:val="00284C02"/>
    <w:rsid w:val="00284DA7"/>
    <w:rsid w:val="00284F9A"/>
    <w:rsid w:val="00285041"/>
    <w:rsid w:val="0028543E"/>
    <w:rsid w:val="00285655"/>
    <w:rsid w:val="00285678"/>
    <w:rsid w:val="002857BD"/>
    <w:rsid w:val="0028594B"/>
    <w:rsid w:val="00285ACA"/>
    <w:rsid w:val="00285D14"/>
    <w:rsid w:val="00285D4F"/>
    <w:rsid w:val="00285F86"/>
    <w:rsid w:val="002861F3"/>
    <w:rsid w:val="0028725F"/>
    <w:rsid w:val="002875BB"/>
    <w:rsid w:val="00287D7E"/>
    <w:rsid w:val="00287EF9"/>
    <w:rsid w:val="0029006F"/>
    <w:rsid w:val="00290593"/>
    <w:rsid w:val="002908F2"/>
    <w:rsid w:val="00290902"/>
    <w:rsid w:val="00290B83"/>
    <w:rsid w:val="00290CF6"/>
    <w:rsid w:val="002914C9"/>
    <w:rsid w:val="00292455"/>
    <w:rsid w:val="002924F3"/>
    <w:rsid w:val="00292D96"/>
    <w:rsid w:val="00293378"/>
    <w:rsid w:val="002935D7"/>
    <w:rsid w:val="00293E1E"/>
    <w:rsid w:val="0029475E"/>
    <w:rsid w:val="00294D00"/>
    <w:rsid w:val="002960C3"/>
    <w:rsid w:val="002960D0"/>
    <w:rsid w:val="0029660C"/>
    <w:rsid w:val="002969C8"/>
    <w:rsid w:val="00296CA9"/>
    <w:rsid w:val="00296E2B"/>
    <w:rsid w:val="0029700B"/>
    <w:rsid w:val="00297637"/>
    <w:rsid w:val="00297B04"/>
    <w:rsid w:val="00297DEE"/>
    <w:rsid w:val="002A002A"/>
    <w:rsid w:val="002A0352"/>
    <w:rsid w:val="002A056C"/>
    <w:rsid w:val="002A17A8"/>
    <w:rsid w:val="002A1A5B"/>
    <w:rsid w:val="002A20CF"/>
    <w:rsid w:val="002A22C9"/>
    <w:rsid w:val="002A24A1"/>
    <w:rsid w:val="002A25E0"/>
    <w:rsid w:val="002A2668"/>
    <w:rsid w:val="002A2EFA"/>
    <w:rsid w:val="002A2FC3"/>
    <w:rsid w:val="002A33FE"/>
    <w:rsid w:val="002A3643"/>
    <w:rsid w:val="002A3BB1"/>
    <w:rsid w:val="002A40E1"/>
    <w:rsid w:val="002A413B"/>
    <w:rsid w:val="002A4262"/>
    <w:rsid w:val="002A462C"/>
    <w:rsid w:val="002A4676"/>
    <w:rsid w:val="002A537D"/>
    <w:rsid w:val="002A5582"/>
    <w:rsid w:val="002A5A43"/>
    <w:rsid w:val="002A66A5"/>
    <w:rsid w:val="002A6EBB"/>
    <w:rsid w:val="002A76F7"/>
    <w:rsid w:val="002A7D99"/>
    <w:rsid w:val="002B03E8"/>
    <w:rsid w:val="002B0A1D"/>
    <w:rsid w:val="002B1002"/>
    <w:rsid w:val="002B12E4"/>
    <w:rsid w:val="002B13ED"/>
    <w:rsid w:val="002B1B8E"/>
    <w:rsid w:val="002B1F9B"/>
    <w:rsid w:val="002B21E9"/>
    <w:rsid w:val="002B254E"/>
    <w:rsid w:val="002B2891"/>
    <w:rsid w:val="002B2A49"/>
    <w:rsid w:val="002B2A51"/>
    <w:rsid w:val="002B2B87"/>
    <w:rsid w:val="002B30C2"/>
    <w:rsid w:val="002B3260"/>
    <w:rsid w:val="002B34FC"/>
    <w:rsid w:val="002B3FEF"/>
    <w:rsid w:val="002B4E0F"/>
    <w:rsid w:val="002B501E"/>
    <w:rsid w:val="002B5190"/>
    <w:rsid w:val="002B5754"/>
    <w:rsid w:val="002B5840"/>
    <w:rsid w:val="002B5AF8"/>
    <w:rsid w:val="002B5F68"/>
    <w:rsid w:val="002B63FC"/>
    <w:rsid w:val="002B6745"/>
    <w:rsid w:val="002B67CD"/>
    <w:rsid w:val="002B6B26"/>
    <w:rsid w:val="002B72D7"/>
    <w:rsid w:val="002B74A8"/>
    <w:rsid w:val="002B7507"/>
    <w:rsid w:val="002C0414"/>
    <w:rsid w:val="002C0E9C"/>
    <w:rsid w:val="002C1485"/>
    <w:rsid w:val="002C16B7"/>
    <w:rsid w:val="002C1824"/>
    <w:rsid w:val="002C1918"/>
    <w:rsid w:val="002C1BE4"/>
    <w:rsid w:val="002C1DB2"/>
    <w:rsid w:val="002C1DCC"/>
    <w:rsid w:val="002C2AD5"/>
    <w:rsid w:val="002C2B76"/>
    <w:rsid w:val="002C33B3"/>
    <w:rsid w:val="002C34DF"/>
    <w:rsid w:val="002C44AB"/>
    <w:rsid w:val="002C48AE"/>
    <w:rsid w:val="002C4A57"/>
    <w:rsid w:val="002C4ED9"/>
    <w:rsid w:val="002C581F"/>
    <w:rsid w:val="002C60B7"/>
    <w:rsid w:val="002C6370"/>
    <w:rsid w:val="002C6740"/>
    <w:rsid w:val="002C69DD"/>
    <w:rsid w:val="002C6D2A"/>
    <w:rsid w:val="002C7026"/>
    <w:rsid w:val="002C71CD"/>
    <w:rsid w:val="002C7494"/>
    <w:rsid w:val="002C789A"/>
    <w:rsid w:val="002C7BC0"/>
    <w:rsid w:val="002C7D7E"/>
    <w:rsid w:val="002C7E08"/>
    <w:rsid w:val="002D0099"/>
    <w:rsid w:val="002D089F"/>
    <w:rsid w:val="002D0EC0"/>
    <w:rsid w:val="002D1A71"/>
    <w:rsid w:val="002D1B2A"/>
    <w:rsid w:val="002D210E"/>
    <w:rsid w:val="002D2313"/>
    <w:rsid w:val="002D240B"/>
    <w:rsid w:val="002D2834"/>
    <w:rsid w:val="002D2A88"/>
    <w:rsid w:val="002D387D"/>
    <w:rsid w:val="002D388B"/>
    <w:rsid w:val="002D3B2F"/>
    <w:rsid w:val="002D3E0C"/>
    <w:rsid w:val="002D4169"/>
    <w:rsid w:val="002D4269"/>
    <w:rsid w:val="002D4300"/>
    <w:rsid w:val="002D443A"/>
    <w:rsid w:val="002D48DB"/>
    <w:rsid w:val="002D4BA7"/>
    <w:rsid w:val="002D5057"/>
    <w:rsid w:val="002D5635"/>
    <w:rsid w:val="002D5E1E"/>
    <w:rsid w:val="002D65E8"/>
    <w:rsid w:val="002D6D12"/>
    <w:rsid w:val="002D7D32"/>
    <w:rsid w:val="002E02E5"/>
    <w:rsid w:val="002E0478"/>
    <w:rsid w:val="002E04BF"/>
    <w:rsid w:val="002E0791"/>
    <w:rsid w:val="002E098D"/>
    <w:rsid w:val="002E0EA0"/>
    <w:rsid w:val="002E155D"/>
    <w:rsid w:val="002E1AF0"/>
    <w:rsid w:val="002E1B92"/>
    <w:rsid w:val="002E20C5"/>
    <w:rsid w:val="002E22CF"/>
    <w:rsid w:val="002E27C3"/>
    <w:rsid w:val="002E2894"/>
    <w:rsid w:val="002E2B0E"/>
    <w:rsid w:val="002E3038"/>
    <w:rsid w:val="002E38AE"/>
    <w:rsid w:val="002E399F"/>
    <w:rsid w:val="002E3FA8"/>
    <w:rsid w:val="002E4B7F"/>
    <w:rsid w:val="002E4C02"/>
    <w:rsid w:val="002E5089"/>
    <w:rsid w:val="002E510A"/>
    <w:rsid w:val="002E5286"/>
    <w:rsid w:val="002E62E9"/>
    <w:rsid w:val="002E6E76"/>
    <w:rsid w:val="002E727A"/>
    <w:rsid w:val="002E75AB"/>
    <w:rsid w:val="002E75BE"/>
    <w:rsid w:val="002E7B81"/>
    <w:rsid w:val="002F0875"/>
    <w:rsid w:val="002F08A5"/>
    <w:rsid w:val="002F09FB"/>
    <w:rsid w:val="002F0D85"/>
    <w:rsid w:val="002F0DD8"/>
    <w:rsid w:val="002F0FE3"/>
    <w:rsid w:val="002F122E"/>
    <w:rsid w:val="002F1240"/>
    <w:rsid w:val="002F189A"/>
    <w:rsid w:val="002F1AF0"/>
    <w:rsid w:val="002F1E01"/>
    <w:rsid w:val="002F2530"/>
    <w:rsid w:val="002F272A"/>
    <w:rsid w:val="002F28D7"/>
    <w:rsid w:val="002F30DF"/>
    <w:rsid w:val="002F3225"/>
    <w:rsid w:val="002F3DB6"/>
    <w:rsid w:val="002F4084"/>
    <w:rsid w:val="002F5038"/>
    <w:rsid w:val="002F53B4"/>
    <w:rsid w:val="002F5615"/>
    <w:rsid w:val="002F6F8D"/>
    <w:rsid w:val="002F74D8"/>
    <w:rsid w:val="002F76D6"/>
    <w:rsid w:val="002F7A38"/>
    <w:rsid w:val="003006DF"/>
    <w:rsid w:val="00300A33"/>
    <w:rsid w:val="003010A2"/>
    <w:rsid w:val="003010A5"/>
    <w:rsid w:val="0030157B"/>
    <w:rsid w:val="00301DB9"/>
    <w:rsid w:val="00301E9A"/>
    <w:rsid w:val="003026C5"/>
    <w:rsid w:val="00302A1C"/>
    <w:rsid w:val="00302B52"/>
    <w:rsid w:val="00302CAA"/>
    <w:rsid w:val="00303506"/>
    <w:rsid w:val="00303AA4"/>
    <w:rsid w:val="00304017"/>
    <w:rsid w:val="0030452F"/>
    <w:rsid w:val="00304861"/>
    <w:rsid w:val="00305A08"/>
    <w:rsid w:val="00306EF0"/>
    <w:rsid w:val="00307057"/>
    <w:rsid w:val="0031045A"/>
    <w:rsid w:val="00312422"/>
    <w:rsid w:val="00312819"/>
    <w:rsid w:val="00312E9C"/>
    <w:rsid w:val="003133C0"/>
    <w:rsid w:val="00313875"/>
    <w:rsid w:val="0031394C"/>
    <w:rsid w:val="00313F4D"/>
    <w:rsid w:val="00314378"/>
    <w:rsid w:val="00314597"/>
    <w:rsid w:val="0031486F"/>
    <w:rsid w:val="00314A0E"/>
    <w:rsid w:val="00314A3E"/>
    <w:rsid w:val="00314AEB"/>
    <w:rsid w:val="0031506F"/>
    <w:rsid w:val="0031546E"/>
    <w:rsid w:val="003161F2"/>
    <w:rsid w:val="00316389"/>
    <w:rsid w:val="00316A83"/>
    <w:rsid w:val="00316EA7"/>
    <w:rsid w:val="0031736F"/>
    <w:rsid w:val="0031743A"/>
    <w:rsid w:val="0031787A"/>
    <w:rsid w:val="00317F02"/>
    <w:rsid w:val="00320375"/>
    <w:rsid w:val="003203BF"/>
    <w:rsid w:val="00321369"/>
    <w:rsid w:val="00321757"/>
    <w:rsid w:val="00321FBE"/>
    <w:rsid w:val="003222BE"/>
    <w:rsid w:val="00322950"/>
    <w:rsid w:val="00322DE9"/>
    <w:rsid w:val="00322E81"/>
    <w:rsid w:val="00322FBB"/>
    <w:rsid w:val="003235F5"/>
    <w:rsid w:val="003236D7"/>
    <w:rsid w:val="00323899"/>
    <w:rsid w:val="00323ECF"/>
    <w:rsid w:val="0032415E"/>
    <w:rsid w:val="00324C16"/>
    <w:rsid w:val="00324EA4"/>
    <w:rsid w:val="003252ED"/>
    <w:rsid w:val="00325449"/>
    <w:rsid w:val="00325502"/>
    <w:rsid w:val="00325853"/>
    <w:rsid w:val="00326099"/>
    <w:rsid w:val="00326ADC"/>
    <w:rsid w:val="00326CAE"/>
    <w:rsid w:val="003270AE"/>
    <w:rsid w:val="0032742E"/>
    <w:rsid w:val="0032786E"/>
    <w:rsid w:val="00327C96"/>
    <w:rsid w:val="00330028"/>
    <w:rsid w:val="00330403"/>
    <w:rsid w:val="00330787"/>
    <w:rsid w:val="0033080E"/>
    <w:rsid w:val="003309D6"/>
    <w:rsid w:val="00330E56"/>
    <w:rsid w:val="00331017"/>
    <w:rsid w:val="0033107E"/>
    <w:rsid w:val="003312B7"/>
    <w:rsid w:val="00331819"/>
    <w:rsid w:val="00331AF7"/>
    <w:rsid w:val="00331E90"/>
    <w:rsid w:val="003324F4"/>
    <w:rsid w:val="003325BE"/>
    <w:rsid w:val="0033288F"/>
    <w:rsid w:val="00332DC1"/>
    <w:rsid w:val="00333046"/>
    <w:rsid w:val="00333C01"/>
    <w:rsid w:val="00333F10"/>
    <w:rsid w:val="0033419F"/>
    <w:rsid w:val="003341E2"/>
    <w:rsid w:val="00335087"/>
    <w:rsid w:val="0033520B"/>
    <w:rsid w:val="003353C5"/>
    <w:rsid w:val="00335719"/>
    <w:rsid w:val="00335763"/>
    <w:rsid w:val="00335D3F"/>
    <w:rsid w:val="00336641"/>
    <w:rsid w:val="003370A3"/>
    <w:rsid w:val="00337288"/>
    <w:rsid w:val="00337493"/>
    <w:rsid w:val="003375AA"/>
    <w:rsid w:val="003376EB"/>
    <w:rsid w:val="00337C70"/>
    <w:rsid w:val="00337CF7"/>
    <w:rsid w:val="003403B8"/>
    <w:rsid w:val="00340D11"/>
    <w:rsid w:val="00340EA7"/>
    <w:rsid w:val="003414E1"/>
    <w:rsid w:val="00341E2C"/>
    <w:rsid w:val="00341EB1"/>
    <w:rsid w:val="00341F45"/>
    <w:rsid w:val="0034226A"/>
    <w:rsid w:val="003422E5"/>
    <w:rsid w:val="0034285F"/>
    <w:rsid w:val="00342B31"/>
    <w:rsid w:val="003433D3"/>
    <w:rsid w:val="0034364C"/>
    <w:rsid w:val="00344091"/>
    <w:rsid w:val="00344102"/>
    <w:rsid w:val="003441EF"/>
    <w:rsid w:val="00344444"/>
    <w:rsid w:val="003445A2"/>
    <w:rsid w:val="0034495F"/>
    <w:rsid w:val="00345219"/>
    <w:rsid w:val="003458B7"/>
    <w:rsid w:val="00345A9E"/>
    <w:rsid w:val="00346135"/>
    <w:rsid w:val="003464A4"/>
    <w:rsid w:val="003464E9"/>
    <w:rsid w:val="00346745"/>
    <w:rsid w:val="003478D0"/>
    <w:rsid w:val="0034795E"/>
    <w:rsid w:val="00347B38"/>
    <w:rsid w:val="0035007A"/>
    <w:rsid w:val="003503C0"/>
    <w:rsid w:val="00350708"/>
    <w:rsid w:val="00350BCA"/>
    <w:rsid w:val="00351684"/>
    <w:rsid w:val="003519C0"/>
    <w:rsid w:val="00351CB5"/>
    <w:rsid w:val="00351E8D"/>
    <w:rsid w:val="00351E8F"/>
    <w:rsid w:val="003525B3"/>
    <w:rsid w:val="003526B2"/>
    <w:rsid w:val="00352A62"/>
    <w:rsid w:val="00352EF4"/>
    <w:rsid w:val="0035324C"/>
    <w:rsid w:val="00353655"/>
    <w:rsid w:val="00353657"/>
    <w:rsid w:val="003538CE"/>
    <w:rsid w:val="00353B85"/>
    <w:rsid w:val="00353C00"/>
    <w:rsid w:val="00353C01"/>
    <w:rsid w:val="003543FA"/>
    <w:rsid w:val="00354458"/>
    <w:rsid w:val="00354B28"/>
    <w:rsid w:val="00355001"/>
    <w:rsid w:val="0035512A"/>
    <w:rsid w:val="00355618"/>
    <w:rsid w:val="0035588B"/>
    <w:rsid w:val="003568D6"/>
    <w:rsid w:val="00356D0D"/>
    <w:rsid w:val="00357326"/>
    <w:rsid w:val="00357735"/>
    <w:rsid w:val="00357737"/>
    <w:rsid w:val="00357AF8"/>
    <w:rsid w:val="00360750"/>
    <w:rsid w:val="0036076C"/>
    <w:rsid w:val="003607C6"/>
    <w:rsid w:val="00360903"/>
    <w:rsid w:val="00360CBA"/>
    <w:rsid w:val="00360F45"/>
    <w:rsid w:val="00361751"/>
    <w:rsid w:val="003618AF"/>
    <w:rsid w:val="00361937"/>
    <w:rsid w:val="00361B11"/>
    <w:rsid w:val="00361D0B"/>
    <w:rsid w:val="00361D89"/>
    <w:rsid w:val="00361F78"/>
    <w:rsid w:val="00361F9E"/>
    <w:rsid w:val="00362582"/>
    <w:rsid w:val="0036275A"/>
    <w:rsid w:val="003627C0"/>
    <w:rsid w:val="0036287C"/>
    <w:rsid w:val="00362CD0"/>
    <w:rsid w:val="00363566"/>
    <w:rsid w:val="00363653"/>
    <w:rsid w:val="003636BE"/>
    <w:rsid w:val="00363874"/>
    <w:rsid w:val="00363929"/>
    <w:rsid w:val="00363ECA"/>
    <w:rsid w:val="00363F87"/>
    <w:rsid w:val="003647B0"/>
    <w:rsid w:val="0036509D"/>
    <w:rsid w:val="00365C57"/>
    <w:rsid w:val="003665CC"/>
    <w:rsid w:val="0036661A"/>
    <w:rsid w:val="003672FF"/>
    <w:rsid w:val="00367848"/>
    <w:rsid w:val="0036790D"/>
    <w:rsid w:val="003679F9"/>
    <w:rsid w:val="0037102A"/>
    <w:rsid w:val="003710A0"/>
    <w:rsid w:val="00371383"/>
    <w:rsid w:val="003713EF"/>
    <w:rsid w:val="00371635"/>
    <w:rsid w:val="00371DF5"/>
    <w:rsid w:val="00372241"/>
    <w:rsid w:val="0037228C"/>
    <w:rsid w:val="003737A7"/>
    <w:rsid w:val="003738A6"/>
    <w:rsid w:val="003738FD"/>
    <w:rsid w:val="00373BB0"/>
    <w:rsid w:val="00373CB5"/>
    <w:rsid w:val="00373CCF"/>
    <w:rsid w:val="00374287"/>
    <w:rsid w:val="00374DE0"/>
    <w:rsid w:val="00374E35"/>
    <w:rsid w:val="00375153"/>
    <w:rsid w:val="00375899"/>
    <w:rsid w:val="00375BD4"/>
    <w:rsid w:val="00375DC0"/>
    <w:rsid w:val="00375F08"/>
    <w:rsid w:val="00376451"/>
    <w:rsid w:val="00376CDC"/>
    <w:rsid w:val="00377128"/>
    <w:rsid w:val="003772EE"/>
    <w:rsid w:val="003775E8"/>
    <w:rsid w:val="00377C66"/>
    <w:rsid w:val="00380F70"/>
    <w:rsid w:val="003810BE"/>
    <w:rsid w:val="003810D5"/>
    <w:rsid w:val="0038122A"/>
    <w:rsid w:val="003812CC"/>
    <w:rsid w:val="00381411"/>
    <w:rsid w:val="003826B5"/>
    <w:rsid w:val="003837C8"/>
    <w:rsid w:val="003843F1"/>
    <w:rsid w:val="00384FC0"/>
    <w:rsid w:val="00385A94"/>
    <w:rsid w:val="003861C7"/>
    <w:rsid w:val="00386F6C"/>
    <w:rsid w:val="00387621"/>
    <w:rsid w:val="00387675"/>
    <w:rsid w:val="00387709"/>
    <w:rsid w:val="00387719"/>
    <w:rsid w:val="00387794"/>
    <w:rsid w:val="003878E7"/>
    <w:rsid w:val="00387904"/>
    <w:rsid w:val="00390147"/>
    <w:rsid w:val="003905B5"/>
    <w:rsid w:val="0039062E"/>
    <w:rsid w:val="0039090A"/>
    <w:rsid w:val="00390B06"/>
    <w:rsid w:val="003912CC"/>
    <w:rsid w:val="0039166A"/>
    <w:rsid w:val="00391906"/>
    <w:rsid w:val="00391DA7"/>
    <w:rsid w:val="003920F5"/>
    <w:rsid w:val="0039285C"/>
    <w:rsid w:val="00393243"/>
    <w:rsid w:val="003937DB"/>
    <w:rsid w:val="00393A2A"/>
    <w:rsid w:val="003940F4"/>
    <w:rsid w:val="003947DC"/>
    <w:rsid w:val="00394B06"/>
    <w:rsid w:val="00394BB4"/>
    <w:rsid w:val="00394C4B"/>
    <w:rsid w:val="003951F0"/>
    <w:rsid w:val="00395296"/>
    <w:rsid w:val="0039610F"/>
    <w:rsid w:val="00396989"/>
    <w:rsid w:val="00396B9F"/>
    <w:rsid w:val="00396FBE"/>
    <w:rsid w:val="00397162"/>
    <w:rsid w:val="003A0523"/>
    <w:rsid w:val="003A060B"/>
    <w:rsid w:val="003A0C00"/>
    <w:rsid w:val="003A1A84"/>
    <w:rsid w:val="003A2934"/>
    <w:rsid w:val="003A2B8D"/>
    <w:rsid w:val="003A303A"/>
    <w:rsid w:val="003A335E"/>
    <w:rsid w:val="003A3DD2"/>
    <w:rsid w:val="003A445E"/>
    <w:rsid w:val="003A44DE"/>
    <w:rsid w:val="003A4DD8"/>
    <w:rsid w:val="003A515E"/>
    <w:rsid w:val="003A57B3"/>
    <w:rsid w:val="003A5FFE"/>
    <w:rsid w:val="003A63F5"/>
    <w:rsid w:val="003A694D"/>
    <w:rsid w:val="003A6B3C"/>
    <w:rsid w:val="003A6E45"/>
    <w:rsid w:val="003A732C"/>
    <w:rsid w:val="003A761F"/>
    <w:rsid w:val="003A7974"/>
    <w:rsid w:val="003A7A21"/>
    <w:rsid w:val="003B0779"/>
    <w:rsid w:val="003B0791"/>
    <w:rsid w:val="003B10E2"/>
    <w:rsid w:val="003B1120"/>
    <w:rsid w:val="003B1514"/>
    <w:rsid w:val="003B1A82"/>
    <w:rsid w:val="003B24C7"/>
    <w:rsid w:val="003B253D"/>
    <w:rsid w:val="003B2AF5"/>
    <w:rsid w:val="003B2BC6"/>
    <w:rsid w:val="003B312F"/>
    <w:rsid w:val="003B344A"/>
    <w:rsid w:val="003B3573"/>
    <w:rsid w:val="003B35A5"/>
    <w:rsid w:val="003B3699"/>
    <w:rsid w:val="003B38B8"/>
    <w:rsid w:val="003B3E45"/>
    <w:rsid w:val="003B3F53"/>
    <w:rsid w:val="003B40C4"/>
    <w:rsid w:val="003B4183"/>
    <w:rsid w:val="003B4931"/>
    <w:rsid w:val="003B4A51"/>
    <w:rsid w:val="003B4C63"/>
    <w:rsid w:val="003B4C93"/>
    <w:rsid w:val="003B52CC"/>
    <w:rsid w:val="003B57BB"/>
    <w:rsid w:val="003B5813"/>
    <w:rsid w:val="003B5A84"/>
    <w:rsid w:val="003B6564"/>
    <w:rsid w:val="003B66CB"/>
    <w:rsid w:val="003B6B82"/>
    <w:rsid w:val="003B7081"/>
    <w:rsid w:val="003B70D0"/>
    <w:rsid w:val="003B7B30"/>
    <w:rsid w:val="003B7B65"/>
    <w:rsid w:val="003B7CE7"/>
    <w:rsid w:val="003C03EA"/>
    <w:rsid w:val="003C0689"/>
    <w:rsid w:val="003C076E"/>
    <w:rsid w:val="003C196B"/>
    <w:rsid w:val="003C1986"/>
    <w:rsid w:val="003C1BF9"/>
    <w:rsid w:val="003C1CB3"/>
    <w:rsid w:val="003C2B44"/>
    <w:rsid w:val="003C315E"/>
    <w:rsid w:val="003C32F6"/>
    <w:rsid w:val="003C3B73"/>
    <w:rsid w:val="003C3FAC"/>
    <w:rsid w:val="003C42AA"/>
    <w:rsid w:val="003C447D"/>
    <w:rsid w:val="003C4D81"/>
    <w:rsid w:val="003C4E9C"/>
    <w:rsid w:val="003C52B8"/>
    <w:rsid w:val="003C55B2"/>
    <w:rsid w:val="003C58A4"/>
    <w:rsid w:val="003C5916"/>
    <w:rsid w:val="003C5D87"/>
    <w:rsid w:val="003C5D9E"/>
    <w:rsid w:val="003C5E11"/>
    <w:rsid w:val="003C5F92"/>
    <w:rsid w:val="003C614A"/>
    <w:rsid w:val="003C64C8"/>
    <w:rsid w:val="003C68D8"/>
    <w:rsid w:val="003C69F8"/>
    <w:rsid w:val="003C6D3A"/>
    <w:rsid w:val="003C6E1D"/>
    <w:rsid w:val="003C7784"/>
    <w:rsid w:val="003C7B82"/>
    <w:rsid w:val="003C7D5C"/>
    <w:rsid w:val="003D058C"/>
    <w:rsid w:val="003D1006"/>
    <w:rsid w:val="003D150A"/>
    <w:rsid w:val="003D1771"/>
    <w:rsid w:val="003D1F78"/>
    <w:rsid w:val="003D2634"/>
    <w:rsid w:val="003D2753"/>
    <w:rsid w:val="003D2A3C"/>
    <w:rsid w:val="003D343A"/>
    <w:rsid w:val="003D403A"/>
    <w:rsid w:val="003D439D"/>
    <w:rsid w:val="003D450C"/>
    <w:rsid w:val="003D45B2"/>
    <w:rsid w:val="003D4A18"/>
    <w:rsid w:val="003D4D07"/>
    <w:rsid w:val="003D52DC"/>
    <w:rsid w:val="003D57AE"/>
    <w:rsid w:val="003D5A2E"/>
    <w:rsid w:val="003D5C01"/>
    <w:rsid w:val="003D5DBD"/>
    <w:rsid w:val="003D6C1C"/>
    <w:rsid w:val="003D6E22"/>
    <w:rsid w:val="003D76B1"/>
    <w:rsid w:val="003D7ECD"/>
    <w:rsid w:val="003E0672"/>
    <w:rsid w:val="003E08C6"/>
    <w:rsid w:val="003E0D8C"/>
    <w:rsid w:val="003E0F33"/>
    <w:rsid w:val="003E1212"/>
    <w:rsid w:val="003E1594"/>
    <w:rsid w:val="003E17A6"/>
    <w:rsid w:val="003E1DDA"/>
    <w:rsid w:val="003E1ECB"/>
    <w:rsid w:val="003E20A6"/>
    <w:rsid w:val="003E2164"/>
    <w:rsid w:val="003E2274"/>
    <w:rsid w:val="003E2A35"/>
    <w:rsid w:val="003E2C45"/>
    <w:rsid w:val="003E2D89"/>
    <w:rsid w:val="003E382B"/>
    <w:rsid w:val="003E3BCC"/>
    <w:rsid w:val="003E3D2D"/>
    <w:rsid w:val="003E417E"/>
    <w:rsid w:val="003E4639"/>
    <w:rsid w:val="003E4AA5"/>
    <w:rsid w:val="003E4C43"/>
    <w:rsid w:val="003E4F46"/>
    <w:rsid w:val="003E53DC"/>
    <w:rsid w:val="003E54C5"/>
    <w:rsid w:val="003E5562"/>
    <w:rsid w:val="003E624D"/>
    <w:rsid w:val="003E6262"/>
    <w:rsid w:val="003E631C"/>
    <w:rsid w:val="003E6566"/>
    <w:rsid w:val="003E6B3A"/>
    <w:rsid w:val="003E7748"/>
    <w:rsid w:val="003E7B6F"/>
    <w:rsid w:val="003E7E48"/>
    <w:rsid w:val="003F07AC"/>
    <w:rsid w:val="003F14D1"/>
    <w:rsid w:val="003F172F"/>
    <w:rsid w:val="003F1CCD"/>
    <w:rsid w:val="003F1CEC"/>
    <w:rsid w:val="003F2693"/>
    <w:rsid w:val="003F2C11"/>
    <w:rsid w:val="003F3963"/>
    <w:rsid w:val="003F4080"/>
    <w:rsid w:val="003F43BF"/>
    <w:rsid w:val="003F45A0"/>
    <w:rsid w:val="003F4713"/>
    <w:rsid w:val="003F4EC2"/>
    <w:rsid w:val="003F606D"/>
    <w:rsid w:val="003F64E0"/>
    <w:rsid w:val="003F6B64"/>
    <w:rsid w:val="003F6BE4"/>
    <w:rsid w:val="003F6BF5"/>
    <w:rsid w:val="003F765F"/>
    <w:rsid w:val="00400030"/>
    <w:rsid w:val="004004C4"/>
    <w:rsid w:val="00400738"/>
    <w:rsid w:val="00400773"/>
    <w:rsid w:val="00400C4F"/>
    <w:rsid w:val="00400E0B"/>
    <w:rsid w:val="00400F2E"/>
    <w:rsid w:val="004016D5"/>
    <w:rsid w:val="004017F3"/>
    <w:rsid w:val="00401DAF"/>
    <w:rsid w:val="00403365"/>
    <w:rsid w:val="0040399F"/>
    <w:rsid w:val="00403CF8"/>
    <w:rsid w:val="00403DA6"/>
    <w:rsid w:val="00403E3F"/>
    <w:rsid w:val="004040E3"/>
    <w:rsid w:val="004058F4"/>
    <w:rsid w:val="00405DCB"/>
    <w:rsid w:val="00406777"/>
    <w:rsid w:val="0040715A"/>
    <w:rsid w:val="00407459"/>
    <w:rsid w:val="00407746"/>
    <w:rsid w:val="004079A9"/>
    <w:rsid w:val="00410523"/>
    <w:rsid w:val="004109E2"/>
    <w:rsid w:val="00410F93"/>
    <w:rsid w:val="004120D4"/>
    <w:rsid w:val="004123EA"/>
    <w:rsid w:val="0041243A"/>
    <w:rsid w:val="004124E1"/>
    <w:rsid w:val="00412720"/>
    <w:rsid w:val="004133E4"/>
    <w:rsid w:val="00413F35"/>
    <w:rsid w:val="0041441D"/>
    <w:rsid w:val="00414782"/>
    <w:rsid w:val="00414907"/>
    <w:rsid w:val="00414D01"/>
    <w:rsid w:val="00414E8C"/>
    <w:rsid w:val="0041510C"/>
    <w:rsid w:val="004153F0"/>
    <w:rsid w:val="00416D98"/>
    <w:rsid w:val="00416D9B"/>
    <w:rsid w:val="00416FC7"/>
    <w:rsid w:val="004170FE"/>
    <w:rsid w:val="004174B8"/>
    <w:rsid w:val="00420576"/>
    <w:rsid w:val="004205C6"/>
    <w:rsid w:val="0042072F"/>
    <w:rsid w:val="004209E6"/>
    <w:rsid w:val="00420A0A"/>
    <w:rsid w:val="00420E41"/>
    <w:rsid w:val="00420FC5"/>
    <w:rsid w:val="004212B3"/>
    <w:rsid w:val="004214D6"/>
    <w:rsid w:val="00421575"/>
    <w:rsid w:val="004218A3"/>
    <w:rsid w:val="00421E67"/>
    <w:rsid w:val="00422452"/>
    <w:rsid w:val="00422598"/>
    <w:rsid w:val="004225FA"/>
    <w:rsid w:val="00422C0A"/>
    <w:rsid w:val="00422D69"/>
    <w:rsid w:val="0042324B"/>
    <w:rsid w:val="004234E8"/>
    <w:rsid w:val="0042359C"/>
    <w:rsid w:val="00423D92"/>
    <w:rsid w:val="004245B7"/>
    <w:rsid w:val="00424631"/>
    <w:rsid w:val="00425025"/>
    <w:rsid w:val="00425100"/>
    <w:rsid w:val="004251AD"/>
    <w:rsid w:val="0042526B"/>
    <w:rsid w:val="0042580E"/>
    <w:rsid w:val="004259B1"/>
    <w:rsid w:val="00425A1F"/>
    <w:rsid w:val="00425CF6"/>
    <w:rsid w:val="00425EB1"/>
    <w:rsid w:val="00425ECB"/>
    <w:rsid w:val="00426805"/>
    <w:rsid w:val="00426A5C"/>
    <w:rsid w:val="00427383"/>
    <w:rsid w:val="0042739B"/>
    <w:rsid w:val="004275DE"/>
    <w:rsid w:val="004276A5"/>
    <w:rsid w:val="00427FED"/>
    <w:rsid w:val="00430150"/>
    <w:rsid w:val="004302F9"/>
    <w:rsid w:val="00430669"/>
    <w:rsid w:val="0043091F"/>
    <w:rsid w:val="00430A95"/>
    <w:rsid w:val="00430E84"/>
    <w:rsid w:val="00431190"/>
    <w:rsid w:val="004315AD"/>
    <w:rsid w:val="0043229B"/>
    <w:rsid w:val="00432531"/>
    <w:rsid w:val="004325F2"/>
    <w:rsid w:val="00432E52"/>
    <w:rsid w:val="00432E72"/>
    <w:rsid w:val="00432EAF"/>
    <w:rsid w:val="00432F23"/>
    <w:rsid w:val="004342B2"/>
    <w:rsid w:val="004348E3"/>
    <w:rsid w:val="00434925"/>
    <w:rsid w:val="00434AEE"/>
    <w:rsid w:val="0043523B"/>
    <w:rsid w:val="00435287"/>
    <w:rsid w:val="004354B4"/>
    <w:rsid w:val="004365ED"/>
    <w:rsid w:val="00436E43"/>
    <w:rsid w:val="00436EDB"/>
    <w:rsid w:val="00436F5D"/>
    <w:rsid w:val="00437777"/>
    <w:rsid w:val="00437A81"/>
    <w:rsid w:val="004400D7"/>
    <w:rsid w:val="00440761"/>
    <w:rsid w:val="00440A22"/>
    <w:rsid w:val="00440B08"/>
    <w:rsid w:val="00441093"/>
    <w:rsid w:val="004413D2"/>
    <w:rsid w:val="00441518"/>
    <w:rsid w:val="004416AE"/>
    <w:rsid w:val="00441DAF"/>
    <w:rsid w:val="00442648"/>
    <w:rsid w:val="004428FA"/>
    <w:rsid w:val="00443EE7"/>
    <w:rsid w:val="00443FC2"/>
    <w:rsid w:val="00444E1C"/>
    <w:rsid w:val="004455FA"/>
    <w:rsid w:val="00445FC8"/>
    <w:rsid w:val="004468AA"/>
    <w:rsid w:val="00446ACF"/>
    <w:rsid w:val="00446FF7"/>
    <w:rsid w:val="0044752F"/>
    <w:rsid w:val="00447AA4"/>
    <w:rsid w:val="00447EA0"/>
    <w:rsid w:val="0045055F"/>
    <w:rsid w:val="004507F9"/>
    <w:rsid w:val="00450820"/>
    <w:rsid w:val="00450D50"/>
    <w:rsid w:val="0045114E"/>
    <w:rsid w:val="0045212B"/>
    <w:rsid w:val="0045218A"/>
    <w:rsid w:val="004523DA"/>
    <w:rsid w:val="00452859"/>
    <w:rsid w:val="00452B44"/>
    <w:rsid w:val="00452BA8"/>
    <w:rsid w:val="004530DA"/>
    <w:rsid w:val="00453282"/>
    <w:rsid w:val="004533E6"/>
    <w:rsid w:val="00453487"/>
    <w:rsid w:val="0045406E"/>
    <w:rsid w:val="004546EB"/>
    <w:rsid w:val="00454707"/>
    <w:rsid w:val="00454874"/>
    <w:rsid w:val="004551A4"/>
    <w:rsid w:val="00455464"/>
    <w:rsid w:val="0045550E"/>
    <w:rsid w:val="00455A06"/>
    <w:rsid w:val="00455B1C"/>
    <w:rsid w:val="00455C56"/>
    <w:rsid w:val="00455DA4"/>
    <w:rsid w:val="004562D9"/>
    <w:rsid w:val="004562E2"/>
    <w:rsid w:val="00456456"/>
    <w:rsid w:val="00456D57"/>
    <w:rsid w:val="00456E4F"/>
    <w:rsid w:val="00457A55"/>
    <w:rsid w:val="00457B64"/>
    <w:rsid w:val="00457B86"/>
    <w:rsid w:val="00460AE0"/>
    <w:rsid w:val="00460DCA"/>
    <w:rsid w:val="0046190B"/>
    <w:rsid w:val="00461A5F"/>
    <w:rsid w:val="00461E28"/>
    <w:rsid w:val="00462367"/>
    <w:rsid w:val="004638ED"/>
    <w:rsid w:val="004642AE"/>
    <w:rsid w:val="0046490C"/>
    <w:rsid w:val="0046566E"/>
    <w:rsid w:val="00466E5A"/>
    <w:rsid w:val="00467097"/>
    <w:rsid w:val="00467B02"/>
    <w:rsid w:val="00467CFC"/>
    <w:rsid w:val="00470041"/>
    <w:rsid w:val="00470287"/>
    <w:rsid w:val="00470288"/>
    <w:rsid w:val="004702FA"/>
    <w:rsid w:val="004704BF"/>
    <w:rsid w:val="00470733"/>
    <w:rsid w:val="0047113C"/>
    <w:rsid w:val="0047193C"/>
    <w:rsid w:val="004719FB"/>
    <w:rsid w:val="00471EB5"/>
    <w:rsid w:val="00473880"/>
    <w:rsid w:val="004739B1"/>
    <w:rsid w:val="00473AF9"/>
    <w:rsid w:val="00473B8C"/>
    <w:rsid w:val="00473E08"/>
    <w:rsid w:val="004740AB"/>
    <w:rsid w:val="0047420E"/>
    <w:rsid w:val="004744DF"/>
    <w:rsid w:val="0047493B"/>
    <w:rsid w:val="00474F71"/>
    <w:rsid w:val="00475478"/>
    <w:rsid w:val="004757B4"/>
    <w:rsid w:val="00475880"/>
    <w:rsid w:val="00476256"/>
    <w:rsid w:val="00476642"/>
    <w:rsid w:val="004772AA"/>
    <w:rsid w:val="0047774A"/>
    <w:rsid w:val="004777A5"/>
    <w:rsid w:val="00477C53"/>
    <w:rsid w:val="00477E4C"/>
    <w:rsid w:val="00480C5C"/>
    <w:rsid w:val="00480EC4"/>
    <w:rsid w:val="00480F55"/>
    <w:rsid w:val="0048127A"/>
    <w:rsid w:val="004818E3"/>
    <w:rsid w:val="00481E0C"/>
    <w:rsid w:val="004820DD"/>
    <w:rsid w:val="00482CFA"/>
    <w:rsid w:val="00482E73"/>
    <w:rsid w:val="004832C0"/>
    <w:rsid w:val="00483575"/>
    <w:rsid w:val="00484440"/>
    <w:rsid w:val="004847DD"/>
    <w:rsid w:val="0048483A"/>
    <w:rsid w:val="004850F5"/>
    <w:rsid w:val="00485380"/>
    <w:rsid w:val="0048595A"/>
    <w:rsid w:val="00485A86"/>
    <w:rsid w:val="00485CD2"/>
    <w:rsid w:val="00485FD9"/>
    <w:rsid w:val="00486044"/>
    <w:rsid w:val="004862FD"/>
    <w:rsid w:val="00486A22"/>
    <w:rsid w:val="00487221"/>
    <w:rsid w:val="004877AC"/>
    <w:rsid w:val="004878EA"/>
    <w:rsid w:val="0049001C"/>
    <w:rsid w:val="00490322"/>
    <w:rsid w:val="0049033C"/>
    <w:rsid w:val="004907BE"/>
    <w:rsid w:val="00490818"/>
    <w:rsid w:val="004908D0"/>
    <w:rsid w:val="00490FB5"/>
    <w:rsid w:val="004912D4"/>
    <w:rsid w:val="00492320"/>
    <w:rsid w:val="00492461"/>
    <w:rsid w:val="004928C1"/>
    <w:rsid w:val="004930F7"/>
    <w:rsid w:val="00493762"/>
    <w:rsid w:val="00493D87"/>
    <w:rsid w:val="00493E6A"/>
    <w:rsid w:val="00494029"/>
    <w:rsid w:val="0049418F"/>
    <w:rsid w:val="00494381"/>
    <w:rsid w:val="004950CC"/>
    <w:rsid w:val="004950D4"/>
    <w:rsid w:val="004962C4"/>
    <w:rsid w:val="00496F1B"/>
    <w:rsid w:val="004971A9"/>
    <w:rsid w:val="0049799C"/>
    <w:rsid w:val="00497C6F"/>
    <w:rsid w:val="004A0506"/>
    <w:rsid w:val="004A0599"/>
    <w:rsid w:val="004A09DD"/>
    <w:rsid w:val="004A0B4D"/>
    <w:rsid w:val="004A0E00"/>
    <w:rsid w:val="004A13EB"/>
    <w:rsid w:val="004A14F0"/>
    <w:rsid w:val="004A22BB"/>
    <w:rsid w:val="004A2342"/>
    <w:rsid w:val="004A251B"/>
    <w:rsid w:val="004A2B88"/>
    <w:rsid w:val="004A2F62"/>
    <w:rsid w:val="004A33F3"/>
    <w:rsid w:val="004A39B8"/>
    <w:rsid w:val="004A3B4E"/>
    <w:rsid w:val="004A3F83"/>
    <w:rsid w:val="004A3FC6"/>
    <w:rsid w:val="004A40EE"/>
    <w:rsid w:val="004A4588"/>
    <w:rsid w:val="004A4AE5"/>
    <w:rsid w:val="004A549E"/>
    <w:rsid w:val="004A5D7F"/>
    <w:rsid w:val="004A694F"/>
    <w:rsid w:val="004A69DD"/>
    <w:rsid w:val="004A6FE5"/>
    <w:rsid w:val="004A7328"/>
    <w:rsid w:val="004A7541"/>
    <w:rsid w:val="004A7647"/>
    <w:rsid w:val="004A7652"/>
    <w:rsid w:val="004A7BD1"/>
    <w:rsid w:val="004B05AD"/>
    <w:rsid w:val="004B0635"/>
    <w:rsid w:val="004B0900"/>
    <w:rsid w:val="004B0D73"/>
    <w:rsid w:val="004B1BD3"/>
    <w:rsid w:val="004B1DB8"/>
    <w:rsid w:val="004B24B7"/>
    <w:rsid w:val="004B2E82"/>
    <w:rsid w:val="004B2EB6"/>
    <w:rsid w:val="004B2F01"/>
    <w:rsid w:val="004B3039"/>
    <w:rsid w:val="004B316D"/>
    <w:rsid w:val="004B33C3"/>
    <w:rsid w:val="004B33E1"/>
    <w:rsid w:val="004B355C"/>
    <w:rsid w:val="004B36E0"/>
    <w:rsid w:val="004B37CB"/>
    <w:rsid w:val="004B3D3E"/>
    <w:rsid w:val="004B4182"/>
    <w:rsid w:val="004B4538"/>
    <w:rsid w:val="004B482C"/>
    <w:rsid w:val="004B48F0"/>
    <w:rsid w:val="004B4AC6"/>
    <w:rsid w:val="004B4E77"/>
    <w:rsid w:val="004B5E75"/>
    <w:rsid w:val="004B6102"/>
    <w:rsid w:val="004B6670"/>
    <w:rsid w:val="004B68A7"/>
    <w:rsid w:val="004B6A99"/>
    <w:rsid w:val="004B6FB6"/>
    <w:rsid w:val="004B700E"/>
    <w:rsid w:val="004B74A3"/>
    <w:rsid w:val="004C012F"/>
    <w:rsid w:val="004C017C"/>
    <w:rsid w:val="004C0AC9"/>
    <w:rsid w:val="004C0BF7"/>
    <w:rsid w:val="004C0DE9"/>
    <w:rsid w:val="004C11CA"/>
    <w:rsid w:val="004C17F0"/>
    <w:rsid w:val="004C194C"/>
    <w:rsid w:val="004C1E90"/>
    <w:rsid w:val="004C1FE2"/>
    <w:rsid w:val="004C3851"/>
    <w:rsid w:val="004C3AFF"/>
    <w:rsid w:val="004C4182"/>
    <w:rsid w:val="004C4D2E"/>
    <w:rsid w:val="004C5006"/>
    <w:rsid w:val="004C5328"/>
    <w:rsid w:val="004C54B2"/>
    <w:rsid w:val="004C571D"/>
    <w:rsid w:val="004C6745"/>
    <w:rsid w:val="004C68D5"/>
    <w:rsid w:val="004C6E9F"/>
    <w:rsid w:val="004C72A5"/>
    <w:rsid w:val="004C7675"/>
    <w:rsid w:val="004D004E"/>
    <w:rsid w:val="004D0B92"/>
    <w:rsid w:val="004D0FAC"/>
    <w:rsid w:val="004D12B6"/>
    <w:rsid w:val="004D1831"/>
    <w:rsid w:val="004D1A7F"/>
    <w:rsid w:val="004D2481"/>
    <w:rsid w:val="004D2C51"/>
    <w:rsid w:val="004D34FC"/>
    <w:rsid w:val="004D35A2"/>
    <w:rsid w:val="004D39C3"/>
    <w:rsid w:val="004D473F"/>
    <w:rsid w:val="004D4921"/>
    <w:rsid w:val="004D4A02"/>
    <w:rsid w:val="004D4A6D"/>
    <w:rsid w:val="004D5E20"/>
    <w:rsid w:val="004D5EC2"/>
    <w:rsid w:val="004D5FD1"/>
    <w:rsid w:val="004D6035"/>
    <w:rsid w:val="004D6443"/>
    <w:rsid w:val="004D649B"/>
    <w:rsid w:val="004D6689"/>
    <w:rsid w:val="004D674C"/>
    <w:rsid w:val="004D6933"/>
    <w:rsid w:val="004D6972"/>
    <w:rsid w:val="004D6BA0"/>
    <w:rsid w:val="004E04E7"/>
    <w:rsid w:val="004E0920"/>
    <w:rsid w:val="004E124B"/>
    <w:rsid w:val="004E22A7"/>
    <w:rsid w:val="004E25D3"/>
    <w:rsid w:val="004E29B1"/>
    <w:rsid w:val="004E2FF1"/>
    <w:rsid w:val="004E366A"/>
    <w:rsid w:val="004E38E3"/>
    <w:rsid w:val="004E3B0B"/>
    <w:rsid w:val="004E52C3"/>
    <w:rsid w:val="004E5565"/>
    <w:rsid w:val="004E67D1"/>
    <w:rsid w:val="004E69B7"/>
    <w:rsid w:val="004E75F6"/>
    <w:rsid w:val="004F0008"/>
    <w:rsid w:val="004F0032"/>
    <w:rsid w:val="004F0B9A"/>
    <w:rsid w:val="004F156D"/>
    <w:rsid w:val="004F1627"/>
    <w:rsid w:val="004F1730"/>
    <w:rsid w:val="004F1A68"/>
    <w:rsid w:val="004F26FB"/>
    <w:rsid w:val="004F29BF"/>
    <w:rsid w:val="004F2E22"/>
    <w:rsid w:val="004F3217"/>
    <w:rsid w:val="004F438B"/>
    <w:rsid w:val="004F45ED"/>
    <w:rsid w:val="004F5247"/>
    <w:rsid w:val="004F5B85"/>
    <w:rsid w:val="004F61E8"/>
    <w:rsid w:val="004F6544"/>
    <w:rsid w:val="004F665B"/>
    <w:rsid w:val="004F6F16"/>
    <w:rsid w:val="004F75EF"/>
    <w:rsid w:val="004F7612"/>
    <w:rsid w:val="004F7756"/>
    <w:rsid w:val="004F7B63"/>
    <w:rsid w:val="004F7C93"/>
    <w:rsid w:val="00500258"/>
    <w:rsid w:val="0050054D"/>
    <w:rsid w:val="00500C25"/>
    <w:rsid w:val="00500D3E"/>
    <w:rsid w:val="00500DDB"/>
    <w:rsid w:val="005016AE"/>
    <w:rsid w:val="00501F38"/>
    <w:rsid w:val="00502091"/>
    <w:rsid w:val="00502345"/>
    <w:rsid w:val="005023C4"/>
    <w:rsid w:val="00502796"/>
    <w:rsid w:val="00502AF8"/>
    <w:rsid w:val="00502CD0"/>
    <w:rsid w:val="00502E69"/>
    <w:rsid w:val="0050308C"/>
    <w:rsid w:val="00503215"/>
    <w:rsid w:val="00503934"/>
    <w:rsid w:val="00503D82"/>
    <w:rsid w:val="00503F5E"/>
    <w:rsid w:val="00503FB4"/>
    <w:rsid w:val="005040C2"/>
    <w:rsid w:val="0050462F"/>
    <w:rsid w:val="00504987"/>
    <w:rsid w:val="00504B8F"/>
    <w:rsid w:val="00504F6C"/>
    <w:rsid w:val="00505415"/>
    <w:rsid w:val="00505460"/>
    <w:rsid w:val="00506105"/>
    <w:rsid w:val="005064B4"/>
    <w:rsid w:val="005064DB"/>
    <w:rsid w:val="005067AF"/>
    <w:rsid w:val="00506931"/>
    <w:rsid w:val="00506CFF"/>
    <w:rsid w:val="00507232"/>
    <w:rsid w:val="00507563"/>
    <w:rsid w:val="005104A6"/>
    <w:rsid w:val="005107AE"/>
    <w:rsid w:val="005109A7"/>
    <w:rsid w:val="00510DCC"/>
    <w:rsid w:val="0051114F"/>
    <w:rsid w:val="0051140E"/>
    <w:rsid w:val="0051171F"/>
    <w:rsid w:val="00511D5B"/>
    <w:rsid w:val="00511D94"/>
    <w:rsid w:val="00512856"/>
    <w:rsid w:val="00512C56"/>
    <w:rsid w:val="00512D2E"/>
    <w:rsid w:val="00513162"/>
    <w:rsid w:val="005132B2"/>
    <w:rsid w:val="00513B14"/>
    <w:rsid w:val="00513C2C"/>
    <w:rsid w:val="00513C54"/>
    <w:rsid w:val="005140B9"/>
    <w:rsid w:val="0051430C"/>
    <w:rsid w:val="005147A2"/>
    <w:rsid w:val="005153F6"/>
    <w:rsid w:val="005157DB"/>
    <w:rsid w:val="00515A06"/>
    <w:rsid w:val="00516101"/>
    <w:rsid w:val="00516B03"/>
    <w:rsid w:val="005171A1"/>
    <w:rsid w:val="0051736D"/>
    <w:rsid w:val="00517493"/>
    <w:rsid w:val="0052035F"/>
    <w:rsid w:val="00520B3D"/>
    <w:rsid w:val="00520D4E"/>
    <w:rsid w:val="005212FE"/>
    <w:rsid w:val="00521555"/>
    <w:rsid w:val="00521853"/>
    <w:rsid w:val="00521960"/>
    <w:rsid w:val="00521E71"/>
    <w:rsid w:val="00521EBC"/>
    <w:rsid w:val="00522369"/>
    <w:rsid w:val="00522C4A"/>
    <w:rsid w:val="00523691"/>
    <w:rsid w:val="00523F1D"/>
    <w:rsid w:val="005245C0"/>
    <w:rsid w:val="005247B3"/>
    <w:rsid w:val="00524C82"/>
    <w:rsid w:val="00524E4C"/>
    <w:rsid w:val="0052537D"/>
    <w:rsid w:val="0052565A"/>
    <w:rsid w:val="00525809"/>
    <w:rsid w:val="005262ED"/>
    <w:rsid w:val="005267F6"/>
    <w:rsid w:val="00526B08"/>
    <w:rsid w:val="00526DF3"/>
    <w:rsid w:val="00526E8A"/>
    <w:rsid w:val="0052716B"/>
    <w:rsid w:val="00527A09"/>
    <w:rsid w:val="00527BDA"/>
    <w:rsid w:val="00531223"/>
    <w:rsid w:val="005314C6"/>
    <w:rsid w:val="00531715"/>
    <w:rsid w:val="005319F3"/>
    <w:rsid w:val="0053220A"/>
    <w:rsid w:val="00532C9E"/>
    <w:rsid w:val="00534072"/>
    <w:rsid w:val="005343CA"/>
    <w:rsid w:val="0053502C"/>
    <w:rsid w:val="00535130"/>
    <w:rsid w:val="005354A6"/>
    <w:rsid w:val="00536006"/>
    <w:rsid w:val="0053606A"/>
    <w:rsid w:val="00536094"/>
    <w:rsid w:val="00536483"/>
    <w:rsid w:val="00536756"/>
    <w:rsid w:val="00537302"/>
    <w:rsid w:val="0053738C"/>
    <w:rsid w:val="00540FCE"/>
    <w:rsid w:val="005416F8"/>
    <w:rsid w:val="00541928"/>
    <w:rsid w:val="00542B93"/>
    <w:rsid w:val="00542D14"/>
    <w:rsid w:val="00542D3C"/>
    <w:rsid w:val="00543952"/>
    <w:rsid w:val="005441BD"/>
    <w:rsid w:val="00544559"/>
    <w:rsid w:val="005445A7"/>
    <w:rsid w:val="0054484F"/>
    <w:rsid w:val="0054496E"/>
    <w:rsid w:val="00545D3E"/>
    <w:rsid w:val="00545FAB"/>
    <w:rsid w:val="005466D8"/>
    <w:rsid w:val="0054780C"/>
    <w:rsid w:val="00547848"/>
    <w:rsid w:val="00550386"/>
    <w:rsid w:val="005505A6"/>
    <w:rsid w:val="005508CB"/>
    <w:rsid w:val="00550BC7"/>
    <w:rsid w:val="00551473"/>
    <w:rsid w:val="00551B33"/>
    <w:rsid w:val="00551F13"/>
    <w:rsid w:val="00551FFD"/>
    <w:rsid w:val="00552185"/>
    <w:rsid w:val="0055261D"/>
    <w:rsid w:val="00552795"/>
    <w:rsid w:val="00552C42"/>
    <w:rsid w:val="00553025"/>
    <w:rsid w:val="0055345C"/>
    <w:rsid w:val="0055365B"/>
    <w:rsid w:val="00553F16"/>
    <w:rsid w:val="00554225"/>
    <w:rsid w:val="005543D1"/>
    <w:rsid w:val="00554408"/>
    <w:rsid w:val="0055473D"/>
    <w:rsid w:val="005549A3"/>
    <w:rsid w:val="00554DB2"/>
    <w:rsid w:val="00554DEF"/>
    <w:rsid w:val="00555509"/>
    <w:rsid w:val="00555940"/>
    <w:rsid w:val="00555B02"/>
    <w:rsid w:val="0055694A"/>
    <w:rsid w:val="00557083"/>
    <w:rsid w:val="005572A0"/>
    <w:rsid w:val="00557A22"/>
    <w:rsid w:val="00557A74"/>
    <w:rsid w:val="00557DBC"/>
    <w:rsid w:val="00560102"/>
    <w:rsid w:val="00560605"/>
    <w:rsid w:val="00560742"/>
    <w:rsid w:val="00560876"/>
    <w:rsid w:val="00560953"/>
    <w:rsid w:val="00560F74"/>
    <w:rsid w:val="00561066"/>
    <w:rsid w:val="00561476"/>
    <w:rsid w:val="00561912"/>
    <w:rsid w:val="00561C5B"/>
    <w:rsid w:val="005621C9"/>
    <w:rsid w:val="0056278C"/>
    <w:rsid w:val="00563641"/>
    <w:rsid w:val="005639E3"/>
    <w:rsid w:val="00563D61"/>
    <w:rsid w:val="005640EA"/>
    <w:rsid w:val="005644D4"/>
    <w:rsid w:val="00564F2D"/>
    <w:rsid w:val="00565089"/>
    <w:rsid w:val="005650B9"/>
    <w:rsid w:val="0056515E"/>
    <w:rsid w:val="005653E1"/>
    <w:rsid w:val="0056594C"/>
    <w:rsid w:val="005661FF"/>
    <w:rsid w:val="00566357"/>
    <w:rsid w:val="005664A2"/>
    <w:rsid w:val="00566CDA"/>
    <w:rsid w:val="00566D96"/>
    <w:rsid w:val="0056727E"/>
    <w:rsid w:val="00567468"/>
    <w:rsid w:val="00567490"/>
    <w:rsid w:val="00567BA6"/>
    <w:rsid w:val="00567DBC"/>
    <w:rsid w:val="00570033"/>
    <w:rsid w:val="00570147"/>
    <w:rsid w:val="00570247"/>
    <w:rsid w:val="00570477"/>
    <w:rsid w:val="005706FB"/>
    <w:rsid w:val="005709EF"/>
    <w:rsid w:val="005716D8"/>
    <w:rsid w:val="00571E23"/>
    <w:rsid w:val="00572942"/>
    <w:rsid w:val="00572BC0"/>
    <w:rsid w:val="0057307E"/>
    <w:rsid w:val="005737D4"/>
    <w:rsid w:val="005737FF"/>
    <w:rsid w:val="00573955"/>
    <w:rsid w:val="00573A4C"/>
    <w:rsid w:val="00573B25"/>
    <w:rsid w:val="00573DBE"/>
    <w:rsid w:val="0057405B"/>
    <w:rsid w:val="0057411C"/>
    <w:rsid w:val="005749CE"/>
    <w:rsid w:val="00574A3D"/>
    <w:rsid w:val="00574A77"/>
    <w:rsid w:val="00574B79"/>
    <w:rsid w:val="00574D12"/>
    <w:rsid w:val="00576251"/>
    <w:rsid w:val="00576345"/>
    <w:rsid w:val="005763F6"/>
    <w:rsid w:val="00576545"/>
    <w:rsid w:val="005766B7"/>
    <w:rsid w:val="005768A2"/>
    <w:rsid w:val="0057775D"/>
    <w:rsid w:val="00577A7F"/>
    <w:rsid w:val="005800B4"/>
    <w:rsid w:val="0058070B"/>
    <w:rsid w:val="00580B6E"/>
    <w:rsid w:val="00581068"/>
    <w:rsid w:val="005818D3"/>
    <w:rsid w:val="00581E91"/>
    <w:rsid w:val="00581F55"/>
    <w:rsid w:val="005820DA"/>
    <w:rsid w:val="0058296F"/>
    <w:rsid w:val="005829E5"/>
    <w:rsid w:val="00582A73"/>
    <w:rsid w:val="00582B04"/>
    <w:rsid w:val="00583104"/>
    <w:rsid w:val="005831B0"/>
    <w:rsid w:val="00583D35"/>
    <w:rsid w:val="00584013"/>
    <w:rsid w:val="005846EA"/>
    <w:rsid w:val="00584A8A"/>
    <w:rsid w:val="00584E9D"/>
    <w:rsid w:val="00584E9F"/>
    <w:rsid w:val="005852E0"/>
    <w:rsid w:val="005856AB"/>
    <w:rsid w:val="00585BD7"/>
    <w:rsid w:val="005860E6"/>
    <w:rsid w:val="00586197"/>
    <w:rsid w:val="00586A16"/>
    <w:rsid w:val="00586CD1"/>
    <w:rsid w:val="00586D16"/>
    <w:rsid w:val="00587020"/>
    <w:rsid w:val="0058715A"/>
    <w:rsid w:val="00587585"/>
    <w:rsid w:val="00587AC6"/>
    <w:rsid w:val="005905D7"/>
    <w:rsid w:val="005905F4"/>
    <w:rsid w:val="005907EB"/>
    <w:rsid w:val="005908A8"/>
    <w:rsid w:val="005910B1"/>
    <w:rsid w:val="0059113E"/>
    <w:rsid w:val="005915BF"/>
    <w:rsid w:val="00591841"/>
    <w:rsid w:val="0059348F"/>
    <w:rsid w:val="00593ABE"/>
    <w:rsid w:val="00593DCC"/>
    <w:rsid w:val="005942EE"/>
    <w:rsid w:val="00594D2B"/>
    <w:rsid w:val="00595E80"/>
    <w:rsid w:val="00596003"/>
    <w:rsid w:val="005963E0"/>
    <w:rsid w:val="0059650E"/>
    <w:rsid w:val="005966CB"/>
    <w:rsid w:val="00596953"/>
    <w:rsid w:val="00596ABB"/>
    <w:rsid w:val="00596D56"/>
    <w:rsid w:val="00596F02"/>
    <w:rsid w:val="0059719E"/>
    <w:rsid w:val="005978EC"/>
    <w:rsid w:val="00597A0B"/>
    <w:rsid w:val="00597E19"/>
    <w:rsid w:val="00597F7B"/>
    <w:rsid w:val="005A01ED"/>
    <w:rsid w:val="005A1647"/>
    <w:rsid w:val="005A1827"/>
    <w:rsid w:val="005A1D37"/>
    <w:rsid w:val="005A1E20"/>
    <w:rsid w:val="005A247A"/>
    <w:rsid w:val="005A2B53"/>
    <w:rsid w:val="005A3474"/>
    <w:rsid w:val="005A3575"/>
    <w:rsid w:val="005A3F18"/>
    <w:rsid w:val="005A4461"/>
    <w:rsid w:val="005A48AA"/>
    <w:rsid w:val="005A4C85"/>
    <w:rsid w:val="005A4EE1"/>
    <w:rsid w:val="005A4F40"/>
    <w:rsid w:val="005A581C"/>
    <w:rsid w:val="005A5CFB"/>
    <w:rsid w:val="005A5D7D"/>
    <w:rsid w:val="005A5FBA"/>
    <w:rsid w:val="005A6030"/>
    <w:rsid w:val="005A63AB"/>
    <w:rsid w:val="005A64B8"/>
    <w:rsid w:val="005A66C3"/>
    <w:rsid w:val="005A6930"/>
    <w:rsid w:val="005A6970"/>
    <w:rsid w:val="005A73BB"/>
    <w:rsid w:val="005B001B"/>
    <w:rsid w:val="005B008A"/>
    <w:rsid w:val="005B04B8"/>
    <w:rsid w:val="005B0711"/>
    <w:rsid w:val="005B1530"/>
    <w:rsid w:val="005B29CF"/>
    <w:rsid w:val="005B2BFD"/>
    <w:rsid w:val="005B340D"/>
    <w:rsid w:val="005B3E7D"/>
    <w:rsid w:val="005B4014"/>
    <w:rsid w:val="005B4182"/>
    <w:rsid w:val="005B4218"/>
    <w:rsid w:val="005B46EA"/>
    <w:rsid w:val="005B4F60"/>
    <w:rsid w:val="005B53B1"/>
    <w:rsid w:val="005B57AD"/>
    <w:rsid w:val="005B619D"/>
    <w:rsid w:val="005B69EE"/>
    <w:rsid w:val="005B6D59"/>
    <w:rsid w:val="005B6D8A"/>
    <w:rsid w:val="005B7012"/>
    <w:rsid w:val="005B722E"/>
    <w:rsid w:val="005B7996"/>
    <w:rsid w:val="005C02FE"/>
    <w:rsid w:val="005C03BB"/>
    <w:rsid w:val="005C04D1"/>
    <w:rsid w:val="005C0D9E"/>
    <w:rsid w:val="005C10A1"/>
    <w:rsid w:val="005C1397"/>
    <w:rsid w:val="005C13DE"/>
    <w:rsid w:val="005C1432"/>
    <w:rsid w:val="005C1A34"/>
    <w:rsid w:val="005C2285"/>
    <w:rsid w:val="005C2A20"/>
    <w:rsid w:val="005C3046"/>
    <w:rsid w:val="005C31ED"/>
    <w:rsid w:val="005C33EC"/>
    <w:rsid w:val="005C39D2"/>
    <w:rsid w:val="005C3D45"/>
    <w:rsid w:val="005C42E7"/>
    <w:rsid w:val="005C50AC"/>
    <w:rsid w:val="005C5279"/>
    <w:rsid w:val="005C540E"/>
    <w:rsid w:val="005C54EE"/>
    <w:rsid w:val="005C5534"/>
    <w:rsid w:val="005C5D66"/>
    <w:rsid w:val="005C6406"/>
    <w:rsid w:val="005C67AB"/>
    <w:rsid w:val="005C6F22"/>
    <w:rsid w:val="005C7F7E"/>
    <w:rsid w:val="005D0E6A"/>
    <w:rsid w:val="005D2737"/>
    <w:rsid w:val="005D2DFA"/>
    <w:rsid w:val="005D3D24"/>
    <w:rsid w:val="005D3F7B"/>
    <w:rsid w:val="005D42C4"/>
    <w:rsid w:val="005D4B8A"/>
    <w:rsid w:val="005D5893"/>
    <w:rsid w:val="005D5CA8"/>
    <w:rsid w:val="005D5DBB"/>
    <w:rsid w:val="005D5F03"/>
    <w:rsid w:val="005D6292"/>
    <w:rsid w:val="005D685E"/>
    <w:rsid w:val="005D69D1"/>
    <w:rsid w:val="005D6CDF"/>
    <w:rsid w:val="005D73DA"/>
    <w:rsid w:val="005D756A"/>
    <w:rsid w:val="005D75A2"/>
    <w:rsid w:val="005E1547"/>
    <w:rsid w:val="005E1ECC"/>
    <w:rsid w:val="005E210D"/>
    <w:rsid w:val="005E268B"/>
    <w:rsid w:val="005E3415"/>
    <w:rsid w:val="005E359F"/>
    <w:rsid w:val="005E3B85"/>
    <w:rsid w:val="005E3F65"/>
    <w:rsid w:val="005E4625"/>
    <w:rsid w:val="005E4833"/>
    <w:rsid w:val="005E4A46"/>
    <w:rsid w:val="005E50E5"/>
    <w:rsid w:val="005E5696"/>
    <w:rsid w:val="005E5E3C"/>
    <w:rsid w:val="005E5FA1"/>
    <w:rsid w:val="005E604F"/>
    <w:rsid w:val="005E69F0"/>
    <w:rsid w:val="005E6C46"/>
    <w:rsid w:val="005E72C5"/>
    <w:rsid w:val="005E7487"/>
    <w:rsid w:val="005F01DB"/>
    <w:rsid w:val="005F0B79"/>
    <w:rsid w:val="005F0BEA"/>
    <w:rsid w:val="005F1029"/>
    <w:rsid w:val="005F1258"/>
    <w:rsid w:val="005F13BD"/>
    <w:rsid w:val="005F2288"/>
    <w:rsid w:val="005F235B"/>
    <w:rsid w:val="005F2425"/>
    <w:rsid w:val="005F38E3"/>
    <w:rsid w:val="005F3AF4"/>
    <w:rsid w:val="005F3B14"/>
    <w:rsid w:val="005F4093"/>
    <w:rsid w:val="005F42B0"/>
    <w:rsid w:val="005F4340"/>
    <w:rsid w:val="005F44E9"/>
    <w:rsid w:val="005F465D"/>
    <w:rsid w:val="005F4BD8"/>
    <w:rsid w:val="005F56AD"/>
    <w:rsid w:val="005F57D4"/>
    <w:rsid w:val="005F588A"/>
    <w:rsid w:val="005F5B33"/>
    <w:rsid w:val="005F5EC7"/>
    <w:rsid w:val="005F689F"/>
    <w:rsid w:val="005F6E05"/>
    <w:rsid w:val="005F6EB3"/>
    <w:rsid w:val="005F6F47"/>
    <w:rsid w:val="005F6F57"/>
    <w:rsid w:val="005F7207"/>
    <w:rsid w:val="005F77CD"/>
    <w:rsid w:val="005F7FCF"/>
    <w:rsid w:val="00600704"/>
    <w:rsid w:val="00601E67"/>
    <w:rsid w:val="006021E4"/>
    <w:rsid w:val="00602553"/>
    <w:rsid w:val="00602852"/>
    <w:rsid w:val="006031B7"/>
    <w:rsid w:val="00603A79"/>
    <w:rsid w:val="00603E7D"/>
    <w:rsid w:val="0060441B"/>
    <w:rsid w:val="00604551"/>
    <w:rsid w:val="006048DA"/>
    <w:rsid w:val="00604AA1"/>
    <w:rsid w:val="00604BDA"/>
    <w:rsid w:val="00604E0E"/>
    <w:rsid w:val="00605BA1"/>
    <w:rsid w:val="00605EA2"/>
    <w:rsid w:val="006066DF"/>
    <w:rsid w:val="00606CD0"/>
    <w:rsid w:val="006075FD"/>
    <w:rsid w:val="00607691"/>
    <w:rsid w:val="0060775E"/>
    <w:rsid w:val="006078A3"/>
    <w:rsid w:val="00607A36"/>
    <w:rsid w:val="00607B5A"/>
    <w:rsid w:val="00607E1C"/>
    <w:rsid w:val="006104B0"/>
    <w:rsid w:val="0061062C"/>
    <w:rsid w:val="00610FAB"/>
    <w:rsid w:val="00611120"/>
    <w:rsid w:val="006117ED"/>
    <w:rsid w:val="006119B4"/>
    <w:rsid w:val="006119E4"/>
    <w:rsid w:val="00611EA9"/>
    <w:rsid w:val="00611F45"/>
    <w:rsid w:val="00612305"/>
    <w:rsid w:val="00612A48"/>
    <w:rsid w:val="00612FEC"/>
    <w:rsid w:val="00613183"/>
    <w:rsid w:val="006133F0"/>
    <w:rsid w:val="00613669"/>
    <w:rsid w:val="00613D2A"/>
    <w:rsid w:val="00613F68"/>
    <w:rsid w:val="006145B6"/>
    <w:rsid w:val="00614808"/>
    <w:rsid w:val="00614847"/>
    <w:rsid w:val="006151BD"/>
    <w:rsid w:val="00616107"/>
    <w:rsid w:val="00616543"/>
    <w:rsid w:val="00616674"/>
    <w:rsid w:val="00616888"/>
    <w:rsid w:val="00616D28"/>
    <w:rsid w:val="006176BE"/>
    <w:rsid w:val="006206DD"/>
    <w:rsid w:val="006208EB"/>
    <w:rsid w:val="006212CB"/>
    <w:rsid w:val="00621AFC"/>
    <w:rsid w:val="00621F90"/>
    <w:rsid w:val="006224A7"/>
    <w:rsid w:val="00622579"/>
    <w:rsid w:val="00622906"/>
    <w:rsid w:val="00622A35"/>
    <w:rsid w:val="00622A58"/>
    <w:rsid w:val="00622D89"/>
    <w:rsid w:val="006231B5"/>
    <w:rsid w:val="006231CA"/>
    <w:rsid w:val="0062358E"/>
    <w:rsid w:val="00624EF3"/>
    <w:rsid w:val="00624FCE"/>
    <w:rsid w:val="00625BC8"/>
    <w:rsid w:val="00625C9E"/>
    <w:rsid w:val="00625FB8"/>
    <w:rsid w:val="006262C9"/>
    <w:rsid w:val="00626387"/>
    <w:rsid w:val="00626A1C"/>
    <w:rsid w:val="00626EF0"/>
    <w:rsid w:val="00627202"/>
    <w:rsid w:val="006272A9"/>
    <w:rsid w:val="006276DF"/>
    <w:rsid w:val="006279F9"/>
    <w:rsid w:val="00627D68"/>
    <w:rsid w:val="006307A3"/>
    <w:rsid w:val="006315FC"/>
    <w:rsid w:val="00631651"/>
    <w:rsid w:val="00631937"/>
    <w:rsid w:val="00631A7D"/>
    <w:rsid w:val="00631AD1"/>
    <w:rsid w:val="00631AFF"/>
    <w:rsid w:val="00631DEF"/>
    <w:rsid w:val="00632153"/>
    <w:rsid w:val="00632833"/>
    <w:rsid w:val="00632B3A"/>
    <w:rsid w:val="00632FA3"/>
    <w:rsid w:val="00633011"/>
    <w:rsid w:val="006330E5"/>
    <w:rsid w:val="0063336B"/>
    <w:rsid w:val="00633401"/>
    <w:rsid w:val="00633D2F"/>
    <w:rsid w:val="0063539D"/>
    <w:rsid w:val="00635530"/>
    <w:rsid w:val="00635D48"/>
    <w:rsid w:val="00635E7C"/>
    <w:rsid w:val="00635ED5"/>
    <w:rsid w:val="00635F9D"/>
    <w:rsid w:val="00636068"/>
    <w:rsid w:val="00636734"/>
    <w:rsid w:val="006369EE"/>
    <w:rsid w:val="00636C44"/>
    <w:rsid w:val="00636DAD"/>
    <w:rsid w:val="006375E2"/>
    <w:rsid w:val="006376AE"/>
    <w:rsid w:val="006376E1"/>
    <w:rsid w:val="00637EA9"/>
    <w:rsid w:val="00637ED1"/>
    <w:rsid w:val="00640358"/>
    <w:rsid w:val="00640D8F"/>
    <w:rsid w:val="006420DA"/>
    <w:rsid w:val="006425A2"/>
    <w:rsid w:val="00642E55"/>
    <w:rsid w:val="00642F84"/>
    <w:rsid w:val="006431B3"/>
    <w:rsid w:val="00643411"/>
    <w:rsid w:val="00643B3C"/>
    <w:rsid w:val="00643E90"/>
    <w:rsid w:val="00644D22"/>
    <w:rsid w:val="00644EC5"/>
    <w:rsid w:val="0064504E"/>
    <w:rsid w:val="006455AC"/>
    <w:rsid w:val="00645B37"/>
    <w:rsid w:val="00645C48"/>
    <w:rsid w:val="00645E91"/>
    <w:rsid w:val="0064659B"/>
    <w:rsid w:val="006466E2"/>
    <w:rsid w:val="0064700E"/>
    <w:rsid w:val="006470BA"/>
    <w:rsid w:val="00647F59"/>
    <w:rsid w:val="00650104"/>
    <w:rsid w:val="00650441"/>
    <w:rsid w:val="00650677"/>
    <w:rsid w:val="00650F41"/>
    <w:rsid w:val="00651554"/>
    <w:rsid w:val="0065167D"/>
    <w:rsid w:val="00651800"/>
    <w:rsid w:val="00652273"/>
    <w:rsid w:val="00652A2A"/>
    <w:rsid w:val="00652E7D"/>
    <w:rsid w:val="006535AB"/>
    <w:rsid w:val="006537D2"/>
    <w:rsid w:val="00653916"/>
    <w:rsid w:val="00653AB2"/>
    <w:rsid w:val="00654B00"/>
    <w:rsid w:val="00654B62"/>
    <w:rsid w:val="00654C7D"/>
    <w:rsid w:val="00654D2A"/>
    <w:rsid w:val="006554BE"/>
    <w:rsid w:val="00655785"/>
    <w:rsid w:val="006560A7"/>
    <w:rsid w:val="006560B9"/>
    <w:rsid w:val="00656243"/>
    <w:rsid w:val="00656DA6"/>
    <w:rsid w:val="0065704C"/>
    <w:rsid w:val="006574D4"/>
    <w:rsid w:val="00657513"/>
    <w:rsid w:val="00657660"/>
    <w:rsid w:val="00657BDD"/>
    <w:rsid w:val="0066012B"/>
    <w:rsid w:val="0066038E"/>
    <w:rsid w:val="00660858"/>
    <w:rsid w:val="006609E6"/>
    <w:rsid w:val="00660E51"/>
    <w:rsid w:val="00660F67"/>
    <w:rsid w:val="00661001"/>
    <w:rsid w:val="0066125F"/>
    <w:rsid w:val="006616A1"/>
    <w:rsid w:val="00662E59"/>
    <w:rsid w:val="00662E5A"/>
    <w:rsid w:val="00662F56"/>
    <w:rsid w:val="00663972"/>
    <w:rsid w:val="00663AE9"/>
    <w:rsid w:val="00663B71"/>
    <w:rsid w:val="00663D56"/>
    <w:rsid w:val="00665244"/>
    <w:rsid w:val="00665449"/>
    <w:rsid w:val="00665B8E"/>
    <w:rsid w:val="00665D56"/>
    <w:rsid w:val="00666270"/>
    <w:rsid w:val="00666460"/>
    <w:rsid w:val="00666CF1"/>
    <w:rsid w:val="00666D69"/>
    <w:rsid w:val="00666F76"/>
    <w:rsid w:val="006672FC"/>
    <w:rsid w:val="006678EC"/>
    <w:rsid w:val="00667BDF"/>
    <w:rsid w:val="00667D3D"/>
    <w:rsid w:val="00670292"/>
    <w:rsid w:val="00671560"/>
    <w:rsid w:val="00672145"/>
    <w:rsid w:val="0067223F"/>
    <w:rsid w:val="00672432"/>
    <w:rsid w:val="00672D15"/>
    <w:rsid w:val="00672DDC"/>
    <w:rsid w:val="00672FB6"/>
    <w:rsid w:val="00673600"/>
    <w:rsid w:val="006736A9"/>
    <w:rsid w:val="00673BC7"/>
    <w:rsid w:val="006743EE"/>
    <w:rsid w:val="00674975"/>
    <w:rsid w:val="00674B10"/>
    <w:rsid w:val="00674E07"/>
    <w:rsid w:val="00674E46"/>
    <w:rsid w:val="00675C7A"/>
    <w:rsid w:val="00675D39"/>
    <w:rsid w:val="006764BF"/>
    <w:rsid w:val="006766C5"/>
    <w:rsid w:val="006766EC"/>
    <w:rsid w:val="00676743"/>
    <w:rsid w:val="006770D5"/>
    <w:rsid w:val="00677F3C"/>
    <w:rsid w:val="006801FA"/>
    <w:rsid w:val="00680576"/>
    <w:rsid w:val="00680953"/>
    <w:rsid w:val="006813C0"/>
    <w:rsid w:val="00681727"/>
    <w:rsid w:val="00681D67"/>
    <w:rsid w:val="0068299A"/>
    <w:rsid w:val="00682C98"/>
    <w:rsid w:val="006830EB"/>
    <w:rsid w:val="00683A12"/>
    <w:rsid w:val="006847FA"/>
    <w:rsid w:val="0068560B"/>
    <w:rsid w:val="0068562B"/>
    <w:rsid w:val="006856C3"/>
    <w:rsid w:val="006856E7"/>
    <w:rsid w:val="00687236"/>
    <w:rsid w:val="0068740F"/>
    <w:rsid w:val="006879ED"/>
    <w:rsid w:val="0069027F"/>
    <w:rsid w:val="006908A0"/>
    <w:rsid w:val="00691574"/>
    <w:rsid w:val="006918B8"/>
    <w:rsid w:val="00691E12"/>
    <w:rsid w:val="00692A67"/>
    <w:rsid w:val="00692D0E"/>
    <w:rsid w:val="00692DFC"/>
    <w:rsid w:val="00693129"/>
    <w:rsid w:val="006935EB"/>
    <w:rsid w:val="00693B4B"/>
    <w:rsid w:val="00693CDE"/>
    <w:rsid w:val="00694003"/>
    <w:rsid w:val="0069464C"/>
    <w:rsid w:val="00694ED6"/>
    <w:rsid w:val="00694FCD"/>
    <w:rsid w:val="006955A6"/>
    <w:rsid w:val="0069588B"/>
    <w:rsid w:val="006968C0"/>
    <w:rsid w:val="00697911"/>
    <w:rsid w:val="006979F4"/>
    <w:rsid w:val="00697C2E"/>
    <w:rsid w:val="00697EA9"/>
    <w:rsid w:val="00697F96"/>
    <w:rsid w:val="006A0C50"/>
    <w:rsid w:val="006A0DA0"/>
    <w:rsid w:val="006A0DC5"/>
    <w:rsid w:val="006A0DED"/>
    <w:rsid w:val="006A1277"/>
    <w:rsid w:val="006A1B23"/>
    <w:rsid w:val="006A2227"/>
    <w:rsid w:val="006A230A"/>
    <w:rsid w:val="006A2602"/>
    <w:rsid w:val="006A2B3B"/>
    <w:rsid w:val="006A2D41"/>
    <w:rsid w:val="006A2D52"/>
    <w:rsid w:val="006A314F"/>
    <w:rsid w:val="006A32BC"/>
    <w:rsid w:val="006A3D16"/>
    <w:rsid w:val="006A4EE1"/>
    <w:rsid w:val="006A55F5"/>
    <w:rsid w:val="006A5683"/>
    <w:rsid w:val="006A5759"/>
    <w:rsid w:val="006A5BD5"/>
    <w:rsid w:val="006A5EDE"/>
    <w:rsid w:val="006A6424"/>
    <w:rsid w:val="006A67D3"/>
    <w:rsid w:val="006A67E1"/>
    <w:rsid w:val="006A68B5"/>
    <w:rsid w:val="006A697C"/>
    <w:rsid w:val="006A6FB3"/>
    <w:rsid w:val="006A77A2"/>
    <w:rsid w:val="006B019B"/>
    <w:rsid w:val="006B0879"/>
    <w:rsid w:val="006B0FDB"/>
    <w:rsid w:val="006B1754"/>
    <w:rsid w:val="006B1A80"/>
    <w:rsid w:val="006B29E1"/>
    <w:rsid w:val="006B2C09"/>
    <w:rsid w:val="006B31B0"/>
    <w:rsid w:val="006B394C"/>
    <w:rsid w:val="006B4205"/>
    <w:rsid w:val="006B51AD"/>
    <w:rsid w:val="006B5211"/>
    <w:rsid w:val="006B5569"/>
    <w:rsid w:val="006B5BA5"/>
    <w:rsid w:val="006B5BE9"/>
    <w:rsid w:val="006B5F67"/>
    <w:rsid w:val="006B6685"/>
    <w:rsid w:val="006B69E5"/>
    <w:rsid w:val="006B6CCC"/>
    <w:rsid w:val="006B6EF9"/>
    <w:rsid w:val="006B779A"/>
    <w:rsid w:val="006C00D0"/>
    <w:rsid w:val="006C00F5"/>
    <w:rsid w:val="006C0669"/>
    <w:rsid w:val="006C0970"/>
    <w:rsid w:val="006C09ED"/>
    <w:rsid w:val="006C0C65"/>
    <w:rsid w:val="006C1091"/>
    <w:rsid w:val="006C1403"/>
    <w:rsid w:val="006C155B"/>
    <w:rsid w:val="006C1AC7"/>
    <w:rsid w:val="006C1D2B"/>
    <w:rsid w:val="006C20FA"/>
    <w:rsid w:val="006C2700"/>
    <w:rsid w:val="006C2717"/>
    <w:rsid w:val="006C2931"/>
    <w:rsid w:val="006C2C26"/>
    <w:rsid w:val="006C2DBB"/>
    <w:rsid w:val="006C35F5"/>
    <w:rsid w:val="006C36FB"/>
    <w:rsid w:val="006C3795"/>
    <w:rsid w:val="006C4251"/>
    <w:rsid w:val="006C42CB"/>
    <w:rsid w:val="006C467D"/>
    <w:rsid w:val="006C4AA0"/>
    <w:rsid w:val="006C4FA7"/>
    <w:rsid w:val="006C4FBF"/>
    <w:rsid w:val="006C51EF"/>
    <w:rsid w:val="006C57CB"/>
    <w:rsid w:val="006C6010"/>
    <w:rsid w:val="006C61B5"/>
    <w:rsid w:val="006C63E3"/>
    <w:rsid w:val="006C673B"/>
    <w:rsid w:val="006C679F"/>
    <w:rsid w:val="006C67B0"/>
    <w:rsid w:val="006C6892"/>
    <w:rsid w:val="006C7450"/>
    <w:rsid w:val="006C7D62"/>
    <w:rsid w:val="006C7DA9"/>
    <w:rsid w:val="006C7E9D"/>
    <w:rsid w:val="006D02DA"/>
    <w:rsid w:val="006D06C1"/>
    <w:rsid w:val="006D0A5D"/>
    <w:rsid w:val="006D0B23"/>
    <w:rsid w:val="006D0CEA"/>
    <w:rsid w:val="006D1AFF"/>
    <w:rsid w:val="006D2482"/>
    <w:rsid w:val="006D286D"/>
    <w:rsid w:val="006D289E"/>
    <w:rsid w:val="006D2D26"/>
    <w:rsid w:val="006D2ED6"/>
    <w:rsid w:val="006D3355"/>
    <w:rsid w:val="006D3EF4"/>
    <w:rsid w:val="006D4576"/>
    <w:rsid w:val="006D4840"/>
    <w:rsid w:val="006D48F3"/>
    <w:rsid w:val="006D49AC"/>
    <w:rsid w:val="006D4BF2"/>
    <w:rsid w:val="006D4CA2"/>
    <w:rsid w:val="006D547F"/>
    <w:rsid w:val="006D5685"/>
    <w:rsid w:val="006D63F8"/>
    <w:rsid w:val="006D698C"/>
    <w:rsid w:val="006D6BC8"/>
    <w:rsid w:val="006D6E7C"/>
    <w:rsid w:val="006D73AB"/>
    <w:rsid w:val="006D7959"/>
    <w:rsid w:val="006E0D08"/>
    <w:rsid w:val="006E0E91"/>
    <w:rsid w:val="006E14A3"/>
    <w:rsid w:val="006E14C2"/>
    <w:rsid w:val="006E1987"/>
    <w:rsid w:val="006E1EB1"/>
    <w:rsid w:val="006E23B2"/>
    <w:rsid w:val="006E2570"/>
    <w:rsid w:val="006E2879"/>
    <w:rsid w:val="006E2D99"/>
    <w:rsid w:val="006E3BCF"/>
    <w:rsid w:val="006E401D"/>
    <w:rsid w:val="006E41BF"/>
    <w:rsid w:val="006E499F"/>
    <w:rsid w:val="006E4F69"/>
    <w:rsid w:val="006E4FBA"/>
    <w:rsid w:val="006E5207"/>
    <w:rsid w:val="006E62EB"/>
    <w:rsid w:val="006E687D"/>
    <w:rsid w:val="006E6B72"/>
    <w:rsid w:val="006E736A"/>
    <w:rsid w:val="006E7D16"/>
    <w:rsid w:val="006F0E73"/>
    <w:rsid w:val="006F1331"/>
    <w:rsid w:val="006F15F4"/>
    <w:rsid w:val="006F19F3"/>
    <w:rsid w:val="006F19FB"/>
    <w:rsid w:val="006F1B8D"/>
    <w:rsid w:val="006F2637"/>
    <w:rsid w:val="006F29E5"/>
    <w:rsid w:val="006F2B1B"/>
    <w:rsid w:val="006F3096"/>
    <w:rsid w:val="006F3312"/>
    <w:rsid w:val="006F350B"/>
    <w:rsid w:val="006F3680"/>
    <w:rsid w:val="006F3796"/>
    <w:rsid w:val="006F4DC1"/>
    <w:rsid w:val="006F4ED0"/>
    <w:rsid w:val="006F520A"/>
    <w:rsid w:val="006F54B2"/>
    <w:rsid w:val="006F57CD"/>
    <w:rsid w:val="006F5C70"/>
    <w:rsid w:val="006F5FB8"/>
    <w:rsid w:val="006F6378"/>
    <w:rsid w:val="006F6909"/>
    <w:rsid w:val="006F6A20"/>
    <w:rsid w:val="006F6AF1"/>
    <w:rsid w:val="006F727D"/>
    <w:rsid w:val="006F771C"/>
    <w:rsid w:val="0070027D"/>
    <w:rsid w:val="00700875"/>
    <w:rsid w:val="00700908"/>
    <w:rsid w:val="0070098E"/>
    <w:rsid w:val="00700B67"/>
    <w:rsid w:val="007017A0"/>
    <w:rsid w:val="00701AA3"/>
    <w:rsid w:val="00701C86"/>
    <w:rsid w:val="00702133"/>
    <w:rsid w:val="007024EC"/>
    <w:rsid w:val="00702A8B"/>
    <w:rsid w:val="00703010"/>
    <w:rsid w:val="007035D0"/>
    <w:rsid w:val="00703D30"/>
    <w:rsid w:val="00703D5B"/>
    <w:rsid w:val="00703DB8"/>
    <w:rsid w:val="007042AC"/>
    <w:rsid w:val="007046E0"/>
    <w:rsid w:val="007047B2"/>
    <w:rsid w:val="00704ADA"/>
    <w:rsid w:val="00704DE7"/>
    <w:rsid w:val="00704FBE"/>
    <w:rsid w:val="0070564E"/>
    <w:rsid w:val="007057FE"/>
    <w:rsid w:val="007058B0"/>
    <w:rsid w:val="00706394"/>
    <w:rsid w:val="00706868"/>
    <w:rsid w:val="00706E93"/>
    <w:rsid w:val="007072A6"/>
    <w:rsid w:val="00707319"/>
    <w:rsid w:val="00707418"/>
    <w:rsid w:val="007078B8"/>
    <w:rsid w:val="00707D2B"/>
    <w:rsid w:val="0071186D"/>
    <w:rsid w:val="00711969"/>
    <w:rsid w:val="007122A4"/>
    <w:rsid w:val="00712B4B"/>
    <w:rsid w:val="00712C40"/>
    <w:rsid w:val="00713352"/>
    <w:rsid w:val="00713978"/>
    <w:rsid w:val="00713AE7"/>
    <w:rsid w:val="00713B2F"/>
    <w:rsid w:val="00713E74"/>
    <w:rsid w:val="007146DF"/>
    <w:rsid w:val="007149C1"/>
    <w:rsid w:val="007149C5"/>
    <w:rsid w:val="00714B0B"/>
    <w:rsid w:val="0071501B"/>
    <w:rsid w:val="00715E32"/>
    <w:rsid w:val="007162D1"/>
    <w:rsid w:val="00716463"/>
    <w:rsid w:val="00716A3E"/>
    <w:rsid w:val="00716C1F"/>
    <w:rsid w:val="0071706E"/>
    <w:rsid w:val="007179ED"/>
    <w:rsid w:val="00720326"/>
    <w:rsid w:val="007211BD"/>
    <w:rsid w:val="00721203"/>
    <w:rsid w:val="00721479"/>
    <w:rsid w:val="007214E9"/>
    <w:rsid w:val="007228B6"/>
    <w:rsid w:val="00723618"/>
    <w:rsid w:val="00723776"/>
    <w:rsid w:val="00723883"/>
    <w:rsid w:val="00723E0C"/>
    <w:rsid w:val="0072408E"/>
    <w:rsid w:val="007243BB"/>
    <w:rsid w:val="00724DCF"/>
    <w:rsid w:val="00725502"/>
    <w:rsid w:val="00725767"/>
    <w:rsid w:val="00725C69"/>
    <w:rsid w:val="0072663E"/>
    <w:rsid w:val="00726CA3"/>
    <w:rsid w:val="00726E50"/>
    <w:rsid w:val="00727292"/>
    <w:rsid w:val="007277AC"/>
    <w:rsid w:val="007278B9"/>
    <w:rsid w:val="00727C25"/>
    <w:rsid w:val="007304AA"/>
    <w:rsid w:val="00730541"/>
    <w:rsid w:val="0073054A"/>
    <w:rsid w:val="007307D7"/>
    <w:rsid w:val="0073082C"/>
    <w:rsid w:val="00730AE6"/>
    <w:rsid w:val="00730D62"/>
    <w:rsid w:val="00730DF3"/>
    <w:rsid w:val="007313F5"/>
    <w:rsid w:val="00731832"/>
    <w:rsid w:val="00731B55"/>
    <w:rsid w:val="00732302"/>
    <w:rsid w:val="00733566"/>
    <w:rsid w:val="0073407C"/>
    <w:rsid w:val="00734203"/>
    <w:rsid w:val="00734CEF"/>
    <w:rsid w:val="00734F3C"/>
    <w:rsid w:val="00734FE8"/>
    <w:rsid w:val="00735293"/>
    <w:rsid w:val="00735625"/>
    <w:rsid w:val="007356AD"/>
    <w:rsid w:val="00735E1C"/>
    <w:rsid w:val="007368AB"/>
    <w:rsid w:val="00736DBD"/>
    <w:rsid w:val="00736E69"/>
    <w:rsid w:val="00740950"/>
    <w:rsid w:val="007409C2"/>
    <w:rsid w:val="00740C3D"/>
    <w:rsid w:val="00740CCF"/>
    <w:rsid w:val="00741378"/>
    <w:rsid w:val="00742560"/>
    <w:rsid w:val="00742F6A"/>
    <w:rsid w:val="0074350D"/>
    <w:rsid w:val="00743516"/>
    <w:rsid w:val="007435A0"/>
    <w:rsid w:val="007446E8"/>
    <w:rsid w:val="007451AD"/>
    <w:rsid w:val="00745FFB"/>
    <w:rsid w:val="00746C83"/>
    <w:rsid w:val="00746F46"/>
    <w:rsid w:val="00747271"/>
    <w:rsid w:val="0074731C"/>
    <w:rsid w:val="00747A2F"/>
    <w:rsid w:val="00747CCD"/>
    <w:rsid w:val="00750514"/>
    <w:rsid w:val="00751143"/>
    <w:rsid w:val="00751553"/>
    <w:rsid w:val="0075165E"/>
    <w:rsid w:val="00751E22"/>
    <w:rsid w:val="00751E98"/>
    <w:rsid w:val="00751FA8"/>
    <w:rsid w:val="007535A4"/>
    <w:rsid w:val="007544BC"/>
    <w:rsid w:val="007545A5"/>
    <w:rsid w:val="00754E10"/>
    <w:rsid w:val="00755FDC"/>
    <w:rsid w:val="00756092"/>
    <w:rsid w:val="007566EF"/>
    <w:rsid w:val="00756C17"/>
    <w:rsid w:val="0075724A"/>
    <w:rsid w:val="007579DD"/>
    <w:rsid w:val="00757A64"/>
    <w:rsid w:val="00757A86"/>
    <w:rsid w:val="00760503"/>
    <w:rsid w:val="00760C21"/>
    <w:rsid w:val="00760DDC"/>
    <w:rsid w:val="0076183C"/>
    <w:rsid w:val="00761AAC"/>
    <w:rsid w:val="00761C9B"/>
    <w:rsid w:val="00762030"/>
    <w:rsid w:val="0076219E"/>
    <w:rsid w:val="00762200"/>
    <w:rsid w:val="007626A3"/>
    <w:rsid w:val="00762702"/>
    <w:rsid w:val="007628A5"/>
    <w:rsid w:val="00762A29"/>
    <w:rsid w:val="00762D4C"/>
    <w:rsid w:val="00762FCD"/>
    <w:rsid w:val="0076327D"/>
    <w:rsid w:val="007636DE"/>
    <w:rsid w:val="00764122"/>
    <w:rsid w:val="007644B4"/>
    <w:rsid w:val="007645A5"/>
    <w:rsid w:val="0076467F"/>
    <w:rsid w:val="00764B5C"/>
    <w:rsid w:val="00764C00"/>
    <w:rsid w:val="00764C0B"/>
    <w:rsid w:val="00764F21"/>
    <w:rsid w:val="00765122"/>
    <w:rsid w:val="00765214"/>
    <w:rsid w:val="00765586"/>
    <w:rsid w:val="007657D4"/>
    <w:rsid w:val="0076590F"/>
    <w:rsid w:val="00765D14"/>
    <w:rsid w:val="00765FDB"/>
    <w:rsid w:val="00765FF0"/>
    <w:rsid w:val="007661A3"/>
    <w:rsid w:val="007661FF"/>
    <w:rsid w:val="00766527"/>
    <w:rsid w:val="00766864"/>
    <w:rsid w:val="0076743C"/>
    <w:rsid w:val="00767745"/>
    <w:rsid w:val="00767D1B"/>
    <w:rsid w:val="007702F4"/>
    <w:rsid w:val="00770436"/>
    <w:rsid w:val="00770518"/>
    <w:rsid w:val="007707FC"/>
    <w:rsid w:val="00770BE3"/>
    <w:rsid w:val="00770E54"/>
    <w:rsid w:val="007711CC"/>
    <w:rsid w:val="0077136F"/>
    <w:rsid w:val="0077176E"/>
    <w:rsid w:val="0077177A"/>
    <w:rsid w:val="00771C4E"/>
    <w:rsid w:val="00771C84"/>
    <w:rsid w:val="00771CCE"/>
    <w:rsid w:val="007720E5"/>
    <w:rsid w:val="007728A8"/>
    <w:rsid w:val="00772923"/>
    <w:rsid w:val="00772957"/>
    <w:rsid w:val="00772BA2"/>
    <w:rsid w:val="00772F23"/>
    <w:rsid w:val="007733D2"/>
    <w:rsid w:val="00773A37"/>
    <w:rsid w:val="00773D3E"/>
    <w:rsid w:val="0077455C"/>
    <w:rsid w:val="007746DD"/>
    <w:rsid w:val="00774ADC"/>
    <w:rsid w:val="00775013"/>
    <w:rsid w:val="00775365"/>
    <w:rsid w:val="007757DB"/>
    <w:rsid w:val="00775BA2"/>
    <w:rsid w:val="00776129"/>
    <w:rsid w:val="0077661F"/>
    <w:rsid w:val="00776AF5"/>
    <w:rsid w:val="00777A27"/>
    <w:rsid w:val="00777CEB"/>
    <w:rsid w:val="0078158B"/>
    <w:rsid w:val="00781A15"/>
    <w:rsid w:val="0078206C"/>
    <w:rsid w:val="00782816"/>
    <w:rsid w:val="007829B6"/>
    <w:rsid w:val="0078311B"/>
    <w:rsid w:val="007833DF"/>
    <w:rsid w:val="007834AE"/>
    <w:rsid w:val="007837BD"/>
    <w:rsid w:val="0078441D"/>
    <w:rsid w:val="007845AA"/>
    <w:rsid w:val="007848DE"/>
    <w:rsid w:val="0078490C"/>
    <w:rsid w:val="0078497C"/>
    <w:rsid w:val="00784D21"/>
    <w:rsid w:val="00784ECF"/>
    <w:rsid w:val="007851BF"/>
    <w:rsid w:val="00785A76"/>
    <w:rsid w:val="00786204"/>
    <w:rsid w:val="00786797"/>
    <w:rsid w:val="007867B5"/>
    <w:rsid w:val="00786B4D"/>
    <w:rsid w:val="00786B5E"/>
    <w:rsid w:val="00786DEB"/>
    <w:rsid w:val="00786F05"/>
    <w:rsid w:val="00787334"/>
    <w:rsid w:val="007876E1"/>
    <w:rsid w:val="00787852"/>
    <w:rsid w:val="00787E39"/>
    <w:rsid w:val="0079029F"/>
    <w:rsid w:val="007904D7"/>
    <w:rsid w:val="00790AA2"/>
    <w:rsid w:val="0079105B"/>
    <w:rsid w:val="007912E5"/>
    <w:rsid w:val="007915BC"/>
    <w:rsid w:val="007917EE"/>
    <w:rsid w:val="00793324"/>
    <w:rsid w:val="0079332E"/>
    <w:rsid w:val="00793455"/>
    <w:rsid w:val="007935D9"/>
    <w:rsid w:val="00793970"/>
    <w:rsid w:val="00793BD0"/>
    <w:rsid w:val="00793C5A"/>
    <w:rsid w:val="007940C9"/>
    <w:rsid w:val="0079475D"/>
    <w:rsid w:val="00794AA5"/>
    <w:rsid w:val="00794E04"/>
    <w:rsid w:val="00794F43"/>
    <w:rsid w:val="00795947"/>
    <w:rsid w:val="00795E63"/>
    <w:rsid w:val="007966B0"/>
    <w:rsid w:val="007967AF"/>
    <w:rsid w:val="007967FA"/>
    <w:rsid w:val="00797054"/>
    <w:rsid w:val="0079712F"/>
    <w:rsid w:val="00797E7A"/>
    <w:rsid w:val="007A0206"/>
    <w:rsid w:val="007A091A"/>
    <w:rsid w:val="007A0EA6"/>
    <w:rsid w:val="007A0F4B"/>
    <w:rsid w:val="007A10AB"/>
    <w:rsid w:val="007A14BC"/>
    <w:rsid w:val="007A16C9"/>
    <w:rsid w:val="007A19B0"/>
    <w:rsid w:val="007A2D9E"/>
    <w:rsid w:val="007A3174"/>
    <w:rsid w:val="007A41AC"/>
    <w:rsid w:val="007A4B0D"/>
    <w:rsid w:val="007A4D76"/>
    <w:rsid w:val="007A4DF9"/>
    <w:rsid w:val="007A54CF"/>
    <w:rsid w:val="007A5619"/>
    <w:rsid w:val="007A5B84"/>
    <w:rsid w:val="007A5E99"/>
    <w:rsid w:val="007A6594"/>
    <w:rsid w:val="007A6BFF"/>
    <w:rsid w:val="007A7095"/>
    <w:rsid w:val="007A738D"/>
    <w:rsid w:val="007A7967"/>
    <w:rsid w:val="007A7A8F"/>
    <w:rsid w:val="007B0381"/>
    <w:rsid w:val="007B056C"/>
    <w:rsid w:val="007B0ACE"/>
    <w:rsid w:val="007B0F3D"/>
    <w:rsid w:val="007B148D"/>
    <w:rsid w:val="007B1751"/>
    <w:rsid w:val="007B18C8"/>
    <w:rsid w:val="007B1A33"/>
    <w:rsid w:val="007B1BE4"/>
    <w:rsid w:val="007B1D4F"/>
    <w:rsid w:val="007B1EBB"/>
    <w:rsid w:val="007B22A6"/>
    <w:rsid w:val="007B2552"/>
    <w:rsid w:val="007B28DE"/>
    <w:rsid w:val="007B3712"/>
    <w:rsid w:val="007B3A9D"/>
    <w:rsid w:val="007B4231"/>
    <w:rsid w:val="007B43D6"/>
    <w:rsid w:val="007B4FD8"/>
    <w:rsid w:val="007B58AF"/>
    <w:rsid w:val="007B59C6"/>
    <w:rsid w:val="007B60CC"/>
    <w:rsid w:val="007B634E"/>
    <w:rsid w:val="007B6ADE"/>
    <w:rsid w:val="007B71C2"/>
    <w:rsid w:val="007B739D"/>
    <w:rsid w:val="007B7A5F"/>
    <w:rsid w:val="007C007D"/>
    <w:rsid w:val="007C0802"/>
    <w:rsid w:val="007C241C"/>
    <w:rsid w:val="007C273E"/>
    <w:rsid w:val="007C29C7"/>
    <w:rsid w:val="007C2A5C"/>
    <w:rsid w:val="007C2BD2"/>
    <w:rsid w:val="007C2EEB"/>
    <w:rsid w:val="007C3016"/>
    <w:rsid w:val="007C3020"/>
    <w:rsid w:val="007C35A3"/>
    <w:rsid w:val="007C36BE"/>
    <w:rsid w:val="007C373D"/>
    <w:rsid w:val="007C3843"/>
    <w:rsid w:val="007C4E4F"/>
    <w:rsid w:val="007C546C"/>
    <w:rsid w:val="007C5EFA"/>
    <w:rsid w:val="007C62E1"/>
    <w:rsid w:val="007C63B1"/>
    <w:rsid w:val="007C76BF"/>
    <w:rsid w:val="007D0145"/>
    <w:rsid w:val="007D03A2"/>
    <w:rsid w:val="007D0C37"/>
    <w:rsid w:val="007D242A"/>
    <w:rsid w:val="007D38C8"/>
    <w:rsid w:val="007D3BDB"/>
    <w:rsid w:val="007D3C97"/>
    <w:rsid w:val="007D4770"/>
    <w:rsid w:val="007D49B2"/>
    <w:rsid w:val="007D4B49"/>
    <w:rsid w:val="007D4B51"/>
    <w:rsid w:val="007D4B5F"/>
    <w:rsid w:val="007D4F4B"/>
    <w:rsid w:val="007D526A"/>
    <w:rsid w:val="007D53ED"/>
    <w:rsid w:val="007D5AA9"/>
    <w:rsid w:val="007D6001"/>
    <w:rsid w:val="007D6561"/>
    <w:rsid w:val="007D66D6"/>
    <w:rsid w:val="007D66DA"/>
    <w:rsid w:val="007D68BD"/>
    <w:rsid w:val="007D6E1B"/>
    <w:rsid w:val="007D7049"/>
    <w:rsid w:val="007D7970"/>
    <w:rsid w:val="007D7CE8"/>
    <w:rsid w:val="007D7F94"/>
    <w:rsid w:val="007E0255"/>
    <w:rsid w:val="007E03B1"/>
    <w:rsid w:val="007E05CE"/>
    <w:rsid w:val="007E0D98"/>
    <w:rsid w:val="007E0E48"/>
    <w:rsid w:val="007E115C"/>
    <w:rsid w:val="007E12CB"/>
    <w:rsid w:val="007E13AD"/>
    <w:rsid w:val="007E1476"/>
    <w:rsid w:val="007E176F"/>
    <w:rsid w:val="007E1796"/>
    <w:rsid w:val="007E1B76"/>
    <w:rsid w:val="007E1C1E"/>
    <w:rsid w:val="007E219A"/>
    <w:rsid w:val="007E280D"/>
    <w:rsid w:val="007E29C8"/>
    <w:rsid w:val="007E2B4A"/>
    <w:rsid w:val="007E2F9D"/>
    <w:rsid w:val="007E31B6"/>
    <w:rsid w:val="007E37BF"/>
    <w:rsid w:val="007E3941"/>
    <w:rsid w:val="007E3E8A"/>
    <w:rsid w:val="007E3ECA"/>
    <w:rsid w:val="007E468F"/>
    <w:rsid w:val="007E46B1"/>
    <w:rsid w:val="007E49FD"/>
    <w:rsid w:val="007E4DF5"/>
    <w:rsid w:val="007E50FC"/>
    <w:rsid w:val="007E52B1"/>
    <w:rsid w:val="007E5437"/>
    <w:rsid w:val="007E551F"/>
    <w:rsid w:val="007E5523"/>
    <w:rsid w:val="007E56ED"/>
    <w:rsid w:val="007E5897"/>
    <w:rsid w:val="007E5901"/>
    <w:rsid w:val="007E6400"/>
    <w:rsid w:val="007E6593"/>
    <w:rsid w:val="007E6C27"/>
    <w:rsid w:val="007E6C89"/>
    <w:rsid w:val="007E6E09"/>
    <w:rsid w:val="007E716B"/>
    <w:rsid w:val="007E71BB"/>
    <w:rsid w:val="007E7405"/>
    <w:rsid w:val="007E753B"/>
    <w:rsid w:val="007F087B"/>
    <w:rsid w:val="007F08DB"/>
    <w:rsid w:val="007F08ED"/>
    <w:rsid w:val="007F0A9A"/>
    <w:rsid w:val="007F0F43"/>
    <w:rsid w:val="007F1101"/>
    <w:rsid w:val="007F1978"/>
    <w:rsid w:val="007F2175"/>
    <w:rsid w:val="007F2555"/>
    <w:rsid w:val="007F2568"/>
    <w:rsid w:val="007F277C"/>
    <w:rsid w:val="007F2AA4"/>
    <w:rsid w:val="007F2CB1"/>
    <w:rsid w:val="007F2D0C"/>
    <w:rsid w:val="007F2DB2"/>
    <w:rsid w:val="007F2F9B"/>
    <w:rsid w:val="007F37E7"/>
    <w:rsid w:val="007F3D67"/>
    <w:rsid w:val="007F4171"/>
    <w:rsid w:val="007F4705"/>
    <w:rsid w:val="007F4A8D"/>
    <w:rsid w:val="007F533D"/>
    <w:rsid w:val="007F559A"/>
    <w:rsid w:val="007F62BD"/>
    <w:rsid w:val="007F65F8"/>
    <w:rsid w:val="007F6EDB"/>
    <w:rsid w:val="007F70AC"/>
    <w:rsid w:val="007F78C7"/>
    <w:rsid w:val="007F7A74"/>
    <w:rsid w:val="007F7B3D"/>
    <w:rsid w:val="007F7B5E"/>
    <w:rsid w:val="007F7DBF"/>
    <w:rsid w:val="00800109"/>
    <w:rsid w:val="00800416"/>
    <w:rsid w:val="008006BA"/>
    <w:rsid w:val="00800953"/>
    <w:rsid w:val="00801CE3"/>
    <w:rsid w:val="00802143"/>
    <w:rsid w:val="008021BD"/>
    <w:rsid w:val="00802C20"/>
    <w:rsid w:val="00802DCC"/>
    <w:rsid w:val="0080324D"/>
    <w:rsid w:val="008036EC"/>
    <w:rsid w:val="00803A23"/>
    <w:rsid w:val="00803D20"/>
    <w:rsid w:val="00804520"/>
    <w:rsid w:val="00804844"/>
    <w:rsid w:val="0080604B"/>
    <w:rsid w:val="00806AAC"/>
    <w:rsid w:val="00806DAC"/>
    <w:rsid w:val="00807816"/>
    <w:rsid w:val="0080791C"/>
    <w:rsid w:val="00807C00"/>
    <w:rsid w:val="00807F96"/>
    <w:rsid w:val="00810032"/>
    <w:rsid w:val="00810912"/>
    <w:rsid w:val="00810C5E"/>
    <w:rsid w:val="00810C84"/>
    <w:rsid w:val="008112A0"/>
    <w:rsid w:val="008113C7"/>
    <w:rsid w:val="00811791"/>
    <w:rsid w:val="00811A99"/>
    <w:rsid w:val="00812055"/>
    <w:rsid w:val="008129B0"/>
    <w:rsid w:val="00814563"/>
    <w:rsid w:val="00814977"/>
    <w:rsid w:val="00814E39"/>
    <w:rsid w:val="0081533C"/>
    <w:rsid w:val="0081674B"/>
    <w:rsid w:val="008167B5"/>
    <w:rsid w:val="0081696D"/>
    <w:rsid w:val="0081699E"/>
    <w:rsid w:val="00816E01"/>
    <w:rsid w:val="008173D0"/>
    <w:rsid w:val="00817CF0"/>
    <w:rsid w:val="00817E66"/>
    <w:rsid w:val="00817E6E"/>
    <w:rsid w:val="00820241"/>
    <w:rsid w:val="008204CD"/>
    <w:rsid w:val="008209F4"/>
    <w:rsid w:val="00820B26"/>
    <w:rsid w:val="00820E3F"/>
    <w:rsid w:val="0082100A"/>
    <w:rsid w:val="0082143B"/>
    <w:rsid w:val="0082159A"/>
    <w:rsid w:val="00821957"/>
    <w:rsid w:val="00822107"/>
    <w:rsid w:val="0082269E"/>
    <w:rsid w:val="008226A1"/>
    <w:rsid w:val="008226E2"/>
    <w:rsid w:val="00822B04"/>
    <w:rsid w:val="00822F28"/>
    <w:rsid w:val="00823235"/>
    <w:rsid w:val="0082369E"/>
    <w:rsid w:val="00823AD4"/>
    <w:rsid w:val="008249F1"/>
    <w:rsid w:val="00824AF2"/>
    <w:rsid w:val="0082506B"/>
    <w:rsid w:val="00825902"/>
    <w:rsid w:val="00825A54"/>
    <w:rsid w:val="00825B8D"/>
    <w:rsid w:val="00826158"/>
    <w:rsid w:val="0082654B"/>
    <w:rsid w:val="00826686"/>
    <w:rsid w:val="00827C60"/>
    <w:rsid w:val="00827DB2"/>
    <w:rsid w:val="00827DED"/>
    <w:rsid w:val="00827F74"/>
    <w:rsid w:val="0083072D"/>
    <w:rsid w:val="00830AE2"/>
    <w:rsid w:val="00830B6D"/>
    <w:rsid w:val="00830E2D"/>
    <w:rsid w:val="00832530"/>
    <w:rsid w:val="008325B4"/>
    <w:rsid w:val="0083277B"/>
    <w:rsid w:val="0083279A"/>
    <w:rsid w:val="0083369F"/>
    <w:rsid w:val="00834405"/>
    <w:rsid w:val="00834C3C"/>
    <w:rsid w:val="00835563"/>
    <w:rsid w:val="00835A9D"/>
    <w:rsid w:val="00835DA5"/>
    <w:rsid w:val="00836511"/>
    <w:rsid w:val="00836827"/>
    <w:rsid w:val="00836B02"/>
    <w:rsid w:val="00836B41"/>
    <w:rsid w:val="00836E62"/>
    <w:rsid w:val="00836EC6"/>
    <w:rsid w:val="008372C9"/>
    <w:rsid w:val="0083741E"/>
    <w:rsid w:val="00837985"/>
    <w:rsid w:val="00837C10"/>
    <w:rsid w:val="00837D3B"/>
    <w:rsid w:val="00837FC2"/>
    <w:rsid w:val="00840140"/>
    <w:rsid w:val="00840ACA"/>
    <w:rsid w:val="00840BAF"/>
    <w:rsid w:val="00840E3D"/>
    <w:rsid w:val="00840E3E"/>
    <w:rsid w:val="008411D3"/>
    <w:rsid w:val="008412E5"/>
    <w:rsid w:val="0084142E"/>
    <w:rsid w:val="00841D8C"/>
    <w:rsid w:val="00841EB7"/>
    <w:rsid w:val="008420DE"/>
    <w:rsid w:val="00842220"/>
    <w:rsid w:val="008422BB"/>
    <w:rsid w:val="00842F63"/>
    <w:rsid w:val="00842F6C"/>
    <w:rsid w:val="00843E4C"/>
    <w:rsid w:val="00844111"/>
    <w:rsid w:val="008441A7"/>
    <w:rsid w:val="008448DC"/>
    <w:rsid w:val="008449A9"/>
    <w:rsid w:val="00844E51"/>
    <w:rsid w:val="00844F6E"/>
    <w:rsid w:val="00844F74"/>
    <w:rsid w:val="008455F8"/>
    <w:rsid w:val="00845725"/>
    <w:rsid w:val="00845E64"/>
    <w:rsid w:val="00846112"/>
    <w:rsid w:val="00846339"/>
    <w:rsid w:val="00846382"/>
    <w:rsid w:val="008463F0"/>
    <w:rsid w:val="00846A10"/>
    <w:rsid w:val="0085060C"/>
    <w:rsid w:val="008506EC"/>
    <w:rsid w:val="00850908"/>
    <w:rsid w:val="00850F57"/>
    <w:rsid w:val="00850FE8"/>
    <w:rsid w:val="0085190E"/>
    <w:rsid w:val="00852161"/>
    <w:rsid w:val="00852639"/>
    <w:rsid w:val="00852823"/>
    <w:rsid w:val="00852903"/>
    <w:rsid w:val="00853262"/>
    <w:rsid w:val="00853394"/>
    <w:rsid w:val="008535C5"/>
    <w:rsid w:val="0085368E"/>
    <w:rsid w:val="008536C2"/>
    <w:rsid w:val="00853A6A"/>
    <w:rsid w:val="008542D1"/>
    <w:rsid w:val="00854893"/>
    <w:rsid w:val="00854ACC"/>
    <w:rsid w:val="00854AFB"/>
    <w:rsid w:val="00854C49"/>
    <w:rsid w:val="00854FBB"/>
    <w:rsid w:val="00855378"/>
    <w:rsid w:val="00855D3F"/>
    <w:rsid w:val="00856985"/>
    <w:rsid w:val="00856C8B"/>
    <w:rsid w:val="00856D98"/>
    <w:rsid w:val="00857358"/>
    <w:rsid w:val="008600C7"/>
    <w:rsid w:val="0086030E"/>
    <w:rsid w:val="00860A95"/>
    <w:rsid w:val="00860C5C"/>
    <w:rsid w:val="008611D8"/>
    <w:rsid w:val="0086150E"/>
    <w:rsid w:val="008617D0"/>
    <w:rsid w:val="008619AD"/>
    <w:rsid w:val="00861A38"/>
    <w:rsid w:val="00861A60"/>
    <w:rsid w:val="00861AB6"/>
    <w:rsid w:val="00861BF8"/>
    <w:rsid w:val="00861D4E"/>
    <w:rsid w:val="00861F2A"/>
    <w:rsid w:val="008622A2"/>
    <w:rsid w:val="00862357"/>
    <w:rsid w:val="008623CD"/>
    <w:rsid w:val="008626AC"/>
    <w:rsid w:val="00862D02"/>
    <w:rsid w:val="00863425"/>
    <w:rsid w:val="008637B9"/>
    <w:rsid w:val="00863EB4"/>
    <w:rsid w:val="00864194"/>
    <w:rsid w:val="00864212"/>
    <w:rsid w:val="0086427B"/>
    <w:rsid w:val="00864802"/>
    <w:rsid w:val="00864B5D"/>
    <w:rsid w:val="00864B9C"/>
    <w:rsid w:val="00865646"/>
    <w:rsid w:val="008656F3"/>
    <w:rsid w:val="0086592D"/>
    <w:rsid w:val="00865F5A"/>
    <w:rsid w:val="00866278"/>
    <w:rsid w:val="008663E2"/>
    <w:rsid w:val="00866924"/>
    <w:rsid w:val="00866B39"/>
    <w:rsid w:val="00866BDB"/>
    <w:rsid w:val="00867368"/>
    <w:rsid w:val="0086762E"/>
    <w:rsid w:val="0086782D"/>
    <w:rsid w:val="00867C01"/>
    <w:rsid w:val="00867E60"/>
    <w:rsid w:val="008700BE"/>
    <w:rsid w:val="008702A6"/>
    <w:rsid w:val="00870399"/>
    <w:rsid w:val="008705BD"/>
    <w:rsid w:val="00870FA1"/>
    <w:rsid w:val="008711EC"/>
    <w:rsid w:val="008718FE"/>
    <w:rsid w:val="00872946"/>
    <w:rsid w:val="00872D02"/>
    <w:rsid w:val="0087349B"/>
    <w:rsid w:val="00873B7F"/>
    <w:rsid w:val="00873BA5"/>
    <w:rsid w:val="00874349"/>
    <w:rsid w:val="00874517"/>
    <w:rsid w:val="00874601"/>
    <w:rsid w:val="00874A3E"/>
    <w:rsid w:val="00875108"/>
    <w:rsid w:val="00875333"/>
    <w:rsid w:val="00875AA0"/>
    <w:rsid w:val="00875DC8"/>
    <w:rsid w:val="00876421"/>
    <w:rsid w:val="00876DC6"/>
    <w:rsid w:val="008771CE"/>
    <w:rsid w:val="0087768B"/>
    <w:rsid w:val="008777F0"/>
    <w:rsid w:val="008778A3"/>
    <w:rsid w:val="00877F3E"/>
    <w:rsid w:val="0088040D"/>
    <w:rsid w:val="008804F0"/>
    <w:rsid w:val="00880904"/>
    <w:rsid w:val="00880A1F"/>
    <w:rsid w:val="00880FB6"/>
    <w:rsid w:val="008811F1"/>
    <w:rsid w:val="00881876"/>
    <w:rsid w:val="00881D5A"/>
    <w:rsid w:val="00881DA8"/>
    <w:rsid w:val="00881E01"/>
    <w:rsid w:val="008828F8"/>
    <w:rsid w:val="0088296F"/>
    <w:rsid w:val="00882B5C"/>
    <w:rsid w:val="00882BEB"/>
    <w:rsid w:val="00882F1F"/>
    <w:rsid w:val="008834B4"/>
    <w:rsid w:val="008835EE"/>
    <w:rsid w:val="0088362F"/>
    <w:rsid w:val="00883782"/>
    <w:rsid w:val="008837C5"/>
    <w:rsid w:val="008838C0"/>
    <w:rsid w:val="00883928"/>
    <w:rsid w:val="00883DDE"/>
    <w:rsid w:val="00883F46"/>
    <w:rsid w:val="00884D0B"/>
    <w:rsid w:val="00884E03"/>
    <w:rsid w:val="008850A2"/>
    <w:rsid w:val="0088510D"/>
    <w:rsid w:val="00885890"/>
    <w:rsid w:val="00885D0A"/>
    <w:rsid w:val="00886CB6"/>
    <w:rsid w:val="00887784"/>
    <w:rsid w:val="008900BC"/>
    <w:rsid w:val="0089026B"/>
    <w:rsid w:val="008902EF"/>
    <w:rsid w:val="008903A0"/>
    <w:rsid w:val="00890C5D"/>
    <w:rsid w:val="00891470"/>
    <w:rsid w:val="008914B9"/>
    <w:rsid w:val="00891D73"/>
    <w:rsid w:val="00892054"/>
    <w:rsid w:val="0089211A"/>
    <w:rsid w:val="00892395"/>
    <w:rsid w:val="00892A44"/>
    <w:rsid w:val="008931DD"/>
    <w:rsid w:val="0089352B"/>
    <w:rsid w:val="0089372A"/>
    <w:rsid w:val="008940A5"/>
    <w:rsid w:val="008944C4"/>
    <w:rsid w:val="00894636"/>
    <w:rsid w:val="0089482C"/>
    <w:rsid w:val="00894DED"/>
    <w:rsid w:val="008955AC"/>
    <w:rsid w:val="0089588C"/>
    <w:rsid w:val="00895BB3"/>
    <w:rsid w:val="00896FE4"/>
    <w:rsid w:val="008974B8"/>
    <w:rsid w:val="0089780F"/>
    <w:rsid w:val="00897AEC"/>
    <w:rsid w:val="00897E01"/>
    <w:rsid w:val="00897F0A"/>
    <w:rsid w:val="00897FD0"/>
    <w:rsid w:val="008A1031"/>
    <w:rsid w:val="008A12E8"/>
    <w:rsid w:val="008A1396"/>
    <w:rsid w:val="008A13ED"/>
    <w:rsid w:val="008A1409"/>
    <w:rsid w:val="008A1B1A"/>
    <w:rsid w:val="008A1CBA"/>
    <w:rsid w:val="008A21F9"/>
    <w:rsid w:val="008A2535"/>
    <w:rsid w:val="008A2561"/>
    <w:rsid w:val="008A25A1"/>
    <w:rsid w:val="008A26E4"/>
    <w:rsid w:val="008A2DE8"/>
    <w:rsid w:val="008A312D"/>
    <w:rsid w:val="008A3A16"/>
    <w:rsid w:val="008A3E09"/>
    <w:rsid w:val="008A3E57"/>
    <w:rsid w:val="008A4647"/>
    <w:rsid w:val="008A4738"/>
    <w:rsid w:val="008A54E2"/>
    <w:rsid w:val="008A5791"/>
    <w:rsid w:val="008A61C1"/>
    <w:rsid w:val="008A6963"/>
    <w:rsid w:val="008A6AE7"/>
    <w:rsid w:val="008A734A"/>
    <w:rsid w:val="008A745C"/>
    <w:rsid w:val="008A77A7"/>
    <w:rsid w:val="008B0601"/>
    <w:rsid w:val="008B0681"/>
    <w:rsid w:val="008B0C30"/>
    <w:rsid w:val="008B0D7D"/>
    <w:rsid w:val="008B0F09"/>
    <w:rsid w:val="008B0FFD"/>
    <w:rsid w:val="008B1A4D"/>
    <w:rsid w:val="008B1A98"/>
    <w:rsid w:val="008B21F4"/>
    <w:rsid w:val="008B2B4F"/>
    <w:rsid w:val="008B2C0F"/>
    <w:rsid w:val="008B344A"/>
    <w:rsid w:val="008B3EE8"/>
    <w:rsid w:val="008B3F34"/>
    <w:rsid w:val="008B4059"/>
    <w:rsid w:val="008B44B2"/>
    <w:rsid w:val="008B4CFD"/>
    <w:rsid w:val="008B5B5D"/>
    <w:rsid w:val="008B6504"/>
    <w:rsid w:val="008B672C"/>
    <w:rsid w:val="008B6B9E"/>
    <w:rsid w:val="008B6D00"/>
    <w:rsid w:val="008B71ED"/>
    <w:rsid w:val="008B79CA"/>
    <w:rsid w:val="008B7F8B"/>
    <w:rsid w:val="008C01E0"/>
    <w:rsid w:val="008C0794"/>
    <w:rsid w:val="008C08F7"/>
    <w:rsid w:val="008C0B4F"/>
    <w:rsid w:val="008C10D0"/>
    <w:rsid w:val="008C1530"/>
    <w:rsid w:val="008C1648"/>
    <w:rsid w:val="008C1925"/>
    <w:rsid w:val="008C1973"/>
    <w:rsid w:val="008C1C78"/>
    <w:rsid w:val="008C1E80"/>
    <w:rsid w:val="008C1FC9"/>
    <w:rsid w:val="008C22E9"/>
    <w:rsid w:val="008C2704"/>
    <w:rsid w:val="008C271E"/>
    <w:rsid w:val="008C27C2"/>
    <w:rsid w:val="008C29E3"/>
    <w:rsid w:val="008C2E26"/>
    <w:rsid w:val="008C2E8D"/>
    <w:rsid w:val="008C33EB"/>
    <w:rsid w:val="008C401B"/>
    <w:rsid w:val="008C434D"/>
    <w:rsid w:val="008C52BE"/>
    <w:rsid w:val="008C56B9"/>
    <w:rsid w:val="008C56C8"/>
    <w:rsid w:val="008C5C35"/>
    <w:rsid w:val="008C5D16"/>
    <w:rsid w:val="008C6033"/>
    <w:rsid w:val="008C6152"/>
    <w:rsid w:val="008C6592"/>
    <w:rsid w:val="008C65F4"/>
    <w:rsid w:val="008C68EA"/>
    <w:rsid w:val="008C756E"/>
    <w:rsid w:val="008C789D"/>
    <w:rsid w:val="008D05E0"/>
    <w:rsid w:val="008D07DC"/>
    <w:rsid w:val="008D1662"/>
    <w:rsid w:val="008D1DB7"/>
    <w:rsid w:val="008D1EB9"/>
    <w:rsid w:val="008D21A9"/>
    <w:rsid w:val="008D23E0"/>
    <w:rsid w:val="008D2600"/>
    <w:rsid w:val="008D2764"/>
    <w:rsid w:val="008D2841"/>
    <w:rsid w:val="008D33B9"/>
    <w:rsid w:val="008D3B9B"/>
    <w:rsid w:val="008D3CB7"/>
    <w:rsid w:val="008D4279"/>
    <w:rsid w:val="008D514F"/>
    <w:rsid w:val="008D5E75"/>
    <w:rsid w:val="008D6209"/>
    <w:rsid w:val="008D624B"/>
    <w:rsid w:val="008D6BE2"/>
    <w:rsid w:val="008D6D4A"/>
    <w:rsid w:val="008D6E57"/>
    <w:rsid w:val="008D70BC"/>
    <w:rsid w:val="008D721C"/>
    <w:rsid w:val="008D77F5"/>
    <w:rsid w:val="008D7E55"/>
    <w:rsid w:val="008E025F"/>
    <w:rsid w:val="008E0394"/>
    <w:rsid w:val="008E061C"/>
    <w:rsid w:val="008E0AC0"/>
    <w:rsid w:val="008E0D4B"/>
    <w:rsid w:val="008E0F71"/>
    <w:rsid w:val="008E1345"/>
    <w:rsid w:val="008E18DF"/>
    <w:rsid w:val="008E1D90"/>
    <w:rsid w:val="008E2004"/>
    <w:rsid w:val="008E2056"/>
    <w:rsid w:val="008E221A"/>
    <w:rsid w:val="008E24D2"/>
    <w:rsid w:val="008E2773"/>
    <w:rsid w:val="008E27D3"/>
    <w:rsid w:val="008E28D8"/>
    <w:rsid w:val="008E2B31"/>
    <w:rsid w:val="008E3634"/>
    <w:rsid w:val="008E36B7"/>
    <w:rsid w:val="008E3CDE"/>
    <w:rsid w:val="008E3FFE"/>
    <w:rsid w:val="008E459E"/>
    <w:rsid w:val="008E4809"/>
    <w:rsid w:val="008E498D"/>
    <w:rsid w:val="008E4D40"/>
    <w:rsid w:val="008E5218"/>
    <w:rsid w:val="008E5287"/>
    <w:rsid w:val="008E5693"/>
    <w:rsid w:val="008E5817"/>
    <w:rsid w:val="008E59D9"/>
    <w:rsid w:val="008E5F8A"/>
    <w:rsid w:val="008E60BE"/>
    <w:rsid w:val="008E63C9"/>
    <w:rsid w:val="008E647E"/>
    <w:rsid w:val="008E6510"/>
    <w:rsid w:val="008E667A"/>
    <w:rsid w:val="008E692A"/>
    <w:rsid w:val="008E6B74"/>
    <w:rsid w:val="008E6C3E"/>
    <w:rsid w:val="008E70F4"/>
    <w:rsid w:val="008E7D7B"/>
    <w:rsid w:val="008F0FAF"/>
    <w:rsid w:val="008F11DB"/>
    <w:rsid w:val="008F147F"/>
    <w:rsid w:val="008F1523"/>
    <w:rsid w:val="008F16CC"/>
    <w:rsid w:val="008F1E1A"/>
    <w:rsid w:val="008F216B"/>
    <w:rsid w:val="008F23C8"/>
    <w:rsid w:val="008F365E"/>
    <w:rsid w:val="008F3B5E"/>
    <w:rsid w:val="008F3F8F"/>
    <w:rsid w:val="008F4621"/>
    <w:rsid w:val="008F46CD"/>
    <w:rsid w:val="008F4889"/>
    <w:rsid w:val="008F489A"/>
    <w:rsid w:val="008F5289"/>
    <w:rsid w:val="008F57B0"/>
    <w:rsid w:val="008F5E95"/>
    <w:rsid w:val="008F63CF"/>
    <w:rsid w:val="008F6480"/>
    <w:rsid w:val="008F6B9D"/>
    <w:rsid w:val="008F6F4A"/>
    <w:rsid w:val="008F7740"/>
    <w:rsid w:val="008F78E2"/>
    <w:rsid w:val="0090046D"/>
    <w:rsid w:val="00900BAC"/>
    <w:rsid w:val="00900CA2"/>
    <w:rsid w:val="00900E13"/>
    <w:rsid w:val="00900E48"/>
    <w:rsid w:val="0090143A"/>
    <w:rsid w:val="009014ED"/>
    <w:rsid w:val="00901824"/>
    <w:rsid w:val="00901AB2"/>
    <w:rsid w:val="00903653"/>
    <w:rsid w:val="00903C87"/>
    <w:rsid w:val="00903CD7"/>
    <w:rsid w:val="00903CE2"/>
    <w:rsid w:val="0090420A"/>
    <w:rsid w:val="009047F5"/>
    <w:rsid w:val="00904CED"/>
    <w:rsid w:val="0090508C"/>
    <w:rsid w:val="009054A0"/>
    <w:rsid w:val="009057E7"/>
    <w:rsid w:val="00907147"/>
    <w:rsid w:val="00907217"/>
    <w:rsid w:val="009075BE"/>
    <w:rsid w:val="0090776D"/>
    <w:rsid w:val="00907BD3"/>
    <w:rsid w:val="00907E47"/>
    <w:rsid w:val="00910047"/>
    <w:rsid w:val="009100B5"/>
    <w:rsid w:val="009103D9"/>
    <w:rsid w:val="00910A52"/>
    <w:rsid w:val="00911479"/>
    <w:rsid w:val="009117FB"/>
    <w:rsid w:val="00911EE8"/>
    <w:rsid w:val="0091217A"/>
    <w:rsid w:val="009122E0"/>
    <w:rsid w:val="009128EE"/>
    <w:rsid w:val="009129C6"/>
    <w:rsid w:val="00912EB5"/>
    <w:rsid w:val="00912F40"/>
    <w:rsid w:val="0091310A"/>
    <w:rsid w:val="00913981"/>
    <w:rsid w:val="00913B0B"/>
    <w:rsid w:val="0091484D"/>
    <w:rsid w:val="00914D67"/>
    <w:rsid w:val="00914D9E"/>
    <w:rsid w:val="00914F44"/>
    <w:rsid w:val="00915718"/>
    <w:rsid w:val="00915ADC"/>
    <w:rsid w:val="00915E20"/>
    <w:rsid w:val="00915F9C"/>
    <w:rsid w:val="0091601D"/>
    <w:rsid w:val="009166EA"/>
    <w:rsid w:val="00917073"/>
    <w:rsid w:val="00917478"/>
    <w:rsid w:val="0092038D"/>
    <w:rsid w:val="009205C3"/>
    <w:rsid w:val="009207DF"/>
    <w:rsid w:val="00920FD7"/>
    <w:rsid w:val="009217EC"/>
    <w:rsid w:val="009219D3"/>
    <w:rsid w:val="00921C41"/>
    <w:rsid w:val="00921E96"/>
    <w:rsid w:val="00922F53"/>
    <w:rsid w:val="00923682"/>
    <w:rsid w:val="00923C81"/>
    <w:rsid w:val="00923E44"/>
    <w:rsid w:val="0092435C"/>
    <w:rsid w:val="00924412"/>
    <w:rsid w:val="009249C6"/>
    <w:rsid w:val="009251B5"/>
    <w:rsid w:val="00925413"/>
    <w:rsid w:val="0092575D"/>
    <w:rsid w:val="0092583A"/>
    <w:rsid w:val="009258B8"/>
    <w:rsid w:val="00925E71"/>
    <w:rsid w:val="00925F9A"/>
    <w:rsid w:val="0092699D"/>
    <w:rsid w:val="00927C70"/>
    <w:rsid w:val="00930745"/>
    <w:rsid w:val="0093100A"/>
    <w:rsid w:val="009310B9"/>
    <w:rsid w:val="009311DC"/>
    <w:rsid w:val="00931800"/>
    <w:rsid w:val="00931840"/>
    <w:rsid w:val="00931991"/>
    <w:rsid w:val="00931CB1"/>
    <w:rsid w:val="00932131"/>
    <w:rsid w:val="009324DF"/>
    <w:rsid w:val="00932C36"/>
    <w:rsid w:val="00932F9F"/>
    <w:rsid w:val="0093329F"/>
    <w:rsid w:val="009333E2"/>
    <w:rsid w:val="0093353E"/>
    <w:rsid w:val="009337A2"/>
    <w:rsid w:val="009337C1"/>
    <w:rsid w:val="00934505"/>
    <w:rsid w:val="0093461F"/>
    <w:rsid w:val="0093482A"/>
    <w:rsid w:val="00936C3C"/>
    <w:rsid w:val="00936EE8"/>
    <w:rsid w:val="00936FEF"/>
    <w:rsid w:val="00937043"/>
    <w:rsid w:val="0093767A"/>
    <w:rsid w:val="009377D1"/>
    <w:rsid w:val="0094095F"/>
    <w:rsid w:val="00940A2B"/>
    <w:rsid w:val="00940C40"/>
    <w:rsid w:val="00941219"/>
    <w:rsid w:val="009415DA"/>
    <w:rsid w:val="00941DA8"/>
    <w:rsid w:val="0094391C"/>
    <w:rsid w:val="00943A54"/>
    <w:rsid w:val="00943B65"/>
    <w:rsid w:val="00943D74"/>
    <w:rsid w:val="00943E42"/>
    <w:rsid w:val="00943F97"/>
    <w:rsid w:val="009440D2"/>
    <w:rsid w:val="009445D3"/>
    <w:rsid w:val="00944E43"/>
    <w:rsid w:val="00945154"/>
    <w:rsid w:val="0094542A"/>
    <w:rsid w:val="00945729"/>
    <w:rsid w:val="009458E8"/>
    <w:rsid w:val="00945A8F"/>
    <w:rsid w:val="00945D1D"/>
    <w:rsid w:val="00946083"/>
    <w:rsid w:val="00947213"/>
    <w:rsid w:val="009472F5"/>
    <w:rsid w:val="00947C70"/>
    <w:rsid w:val="00947E9D"/>
    <w:rsid w:val="0095142E"/>
    <w:rsid w:val="009516BD"/>
    <w:rsid w:val="00951926"/>
    <w:rsid w:val="00951CD7"/>
    <w:rsid w:val="00952206"/>
    <w:rsid w:val="00952550"/>
    <w:rsid w:val="0095279F"/>
    <w:rsid w:val="00952BC2"/>
    <w:rsid w:val="009531D8"/>
    <w:rsid w:val="00953500"/>
    <w:rsid w:val="009535CC"/>
    <w:rsid w:val="00953C45"/>
    <w:rsid w:val="00954058"/>
    <w:rsid w:val="00954101"/>
    <w:rsid w:val="00954243"/>
    <w:rsid w:val="0095459A"/>
    <w:rsid w:val="009549E1"/>
    <w:rsid w:val="00954CCC"/>
    <w:rsid w:val="00955118"/>
    <w:rsid w:val="00955166"/>
    <w:rsid w:val="0095599E"/>
    <w:rsid w:val="00955A8A"/>
    <w:rsid w:val="009568BA"/>
    <w:rsid w:val="00956F98"/>
    <w:rsid w:val="00956F9F"/>
    <w:rsid w:val="00957E24"/>
    <w:rsid w:val="00957F66"/>
    <w:rsid w:val="00960FF2"/>
    <w:rsid w:val="00961E49"/>
    <w:rsid w:val="009625EB"/>
    <w:rsid w:val="0096290F"/>
    <w:rsid w:val="00962B92"/>
    <w:rsid w:val="00963132"/>
    <w:rsid w:val="00963692"/>
    <w:rsid w:val="00963812"/>
    <w:rsid w:val="00963945"/>
    <w:rsid w:val="00963C6B"/>
    <w:rsid w:val="00963DD2"/>
    <w:rsid w:val="0096400D"/>
    <w:rsid w:val="00964021"/>
    <w:rsid w:val="00964078"/>
    <w:rsid w:val="009640EF"/>
    <w:rsid w:val="00964487"/>
    <w:rsid w:val="009645BC"/>
    <w:rsid w:val="0096490F"/>
    <w:rsid w:val="009653AC"/>
    <w:rsid w:val="00965F5F"/>
    <w:rsid w:val="009663C8"/>
    <w:rsid w:val="00966592"/>
    <w:rsid w:val="00966600"/>
    <w:rsid w:val="00966B64"/>
    <w:rsid w:val="009671B2"/>
    <w:rsid w:val="009671D9"/>
    <w:rsid w:val="00967276"/>
    <w:rsid w:val="00967A5F"/>
    <w:rsid w:val="00967B5B"/>
    <w:rsid w:val="00967CD7"/>
    <w:rsid w:val="00967D1D"/>
    <w:rsid w:val="00970359"/>
    <w:rsid w:val="00970543"/>
    <w:rsid w:val="009706AA"/>
    <w:rsid w:val="009706FA"/>
    <w:rsid w:val="009707CE"/>
    <w:rsid w:val="009710BE"/>
    <w:rsid w:val="009712C9"/>
    <w:rsid w:val="00971352"/>
    <w:rsid w:val="0097148C"/>
    <w:rsid w:val="00971831"/>
    <w:rsid w:val="00971EBB"/>
    <w:rsid w:val="0097222E"/>
    <w:rsid w:val="009726D1"/>
    <w:rsid w:val="0097292D"/>
    <w:rsid w:val="00972A8B"/>
    <w:rsid w:val="0097312B"/>
    <w:rsid w:val="0097391F"/>
    <w:rsid w:val="00974781"/>
    <w:rsid w:val="00974DD3"/>
    <w:rsid w:val="009754EB"/>
    <w:rsid w:val="00975AE8"/>
    <w:rsid w:val="00975C92"/>
    <w:rsid w:val="00975E5B"/>
    <w:rsid w:val="00975F51"/>
    <w:rsid w:val="00976679"/>
    <w:rsid w:val="009766D9"/>
    <w:rsid w:val="00976CD6"/>
    <w:rsid w:val="00976D48"/>
    <w:rsid w:val="00976F22"/>
    <w:rsid w:val="00976FF9"/>
    <w:rsid w:val="0097786E"/>
    <w:rsid w:val="009779B1"/>
    <w:rsid w:val="009779F8"/>
    <w:rsid w:val="00977C8F"/>
    <w:rsid w:val="00977F94"/>
    <w:rsid w:val="00977FAE"/>
    <w:rsid w:val="00980A1F"/>
    <w:rsid w:val="00981131"/>
    <w:rsid w:val="0098115E"/>
    <w:rsid w:val="00981249"/>
    <w:rsid w:val="009815DE"/>
    <w:rsid w:val="00982A83"/>
    <w:rsid w:val="00982BD1"/>
    <w:rsid w:val="009832C8"/>
    <w:rsid w:val="00983326"/>
    <w:rsid w:val="009836F9"/>
    <w:rsid w:val="00984815"/>
    <w:rsid w:val="009853B5"/>
    <w:rsid w:val="009853EA"/>
    <w:rsid w:val="00985C2C"/>
    <w:rsid w:val="009863E9"/>
    <w:rsid w:val="00986CD8"/>
    <w:rsid w:val="0098757B"/>
    <w:rsid w:val="00987D41"/>
    <w:rsid w:val="00987E95"/>
    <w:rsid w:val="0099050D"/>
    <w:rsid w:val="009905C4"/>
    <w:rsid w:val="009918FE"/>
    <w:rsid w:val="00991A04"/>
    <w:rsid w:val="00991EEC"/>
    <w:rsid w:val="00991F31"/>
    <w:rsid w:val="009924E1"/>
    <w:rsid w:val="009926B2"/>
    <w:rsid w:val="00992E20"/>
    <w:rsid w:val="00993301"/>
    <w:rsid w:val="009935DF"/>
    <w:rsid w:val="009936FC"/>
    <w:rsid w:val="00993925"/>
    <w:rsid w:val="00993977"/>
    <w:rsid w:val="00993A00"/>
    <w:rsid w:val="00995B7B"/>
    <w:rsid w:val="009967E1"/>
    <w:rsid w:val="009969B5"/>
    <w:rsid w:val="00996D2E"/>
    <w:rsid w:val="00997085"/>
    <w:rsid w:val="00997708"/>
    <w:rsid w:val="00997BDB"/>
    <w:rsid w:val="009A01B7"/>
    <w:rsid w:val="009A05D1"/>
    <w:rsid w:val="009A0628"/>
    <w:rsid w:val="009A09A7"/>
    <w:rsid w:val="009A0C37"/>
    <w:rsid w:val="009A1153"/>
    <w:rsid w:val="009A1386"/>
    <w:rsid w:val="009A1D25"/>
    <w:rsid w:val="009A1FD3"/>
    <w:rsid w:val="009A28AC"/>
    <w:rsid w:val="009A2B14"/>
    <w:rsid w:val="009A319A"/>
    <w:rsid w:val="009A341D"/>
    <w:rsid w:val="009A37D9"/>
    <w:rsid w:val="009A3A5B"/>
    <w:rsid w:val="009A3F2A"/>
    <w:rsid w:val="009A3FD1"/>
    <w:rsid w:val="009A467D"/>
    <w:rsid w:val="009A48B8"/>
    <w:rsid w:val="009A48E0"/>
    <w:rsid w:val="009A56D0"/>
    <w:rsid w:val="009A6F60"/>
    <w:rsid w:val="009A72D4"/>
    <w:rsid w:val="009A73D8"/>
    <w:rsid w:val="009A7FCB"/>
    <w:rsid w:val="009B1707"/>
    <w:rsid w:val="009B1BFA"/>
    <w:rsid w:val="009B1C62"/>
    <w:rsid w:val="009B1E11"/>
    <w:rsid w:val="009B2794"/>
    <w:rsid w:val="009B27F9"/>
    <w:rsid w:val="009B2AAC"/>
    <w:rsid w:val="009B2B6D"/>
    <w:rsid w:val="009B3298"/>
    <w:rsid w:val="009B337F"/>
    <w:rsid w:val="009B3521"/>
    <w:rsid w:val="009B35C8"/>
    <w:rsid w:val="009B370B"/>
    <w:rsid w:val="009B37CF"/>
    <w:rsid w:val="009B3BE6"/>
    <w:rsid w:val="009B3D5F"/>
    <w:rsid w:val="009B445A"/>
    <w:rsid w:val="009B4B94"/>
    <w:rsid w:val="009B4BEC"/>
    <w:rsid w:val="009B541C"/>
    <w:rsid w:val="009B54E4"/>
    <w:rsid w:val="009B5505"/>
    <w:rsid w:val="009B554C"/>
    <w:rsid w:val="009B6291"/>
    <w:rsid w:val="009B659F"/>
    <w:rsid w:val="009B68AB"/>
    <w:rsid w:val="009B6B8B"/>
    <w:rsid w:val="009B706A"/>
    <w:rsid w:val="009B709C"/>
    <w:rsid w:val="009B73A6"/>
    <w:rsid w:val="009B7404"/>
    <w:rsid w:val="009B786F"/>
    <w:rsid w:val="009C076C"/>
    <w:rsid w:val="009C0C79"/>
    <w:rsid w:val="009C14A1"/>
    <w:rsid w:val="009C14F7"/>
    <w:rsid w:val="009C34D6"/>
    <w:rsid w:val="009C3B19"/>
    <w:rsid w:val="009C413A"/>
    <w:rsid w:val="009C4460"/>
    <w:rsid w:val="009C4671"/>
    <w:rsid w:val="009C4706"/>
    <w:rsid w:val="009C472B"/>
    <w:rsid w:val="009C5345"/>
    <w:rsid w:val="009C554D"/>
    <w:rsid w:val="009C5613"/>
    <w:rsid w:val="009C6FF1"/>
    <w:rsid w:val="009D0462"/>
    <w:rsid w:val="009D05C1"/>
    <w:rsid w:val="009D22EE"/>
    <w:rsid w:val="009D2C16"/>
    <w:rsid w:val="009D36F1"/>
    <w:rsid w:val="009D3BEF"/>
    <w:rsid w:val="009D3CC9"/>
    <w:rsid w:val="009D3D6B"/>
    <w:rsid w:val="009D42D3"/>
    <w:rsid w:val="009D4F56"/>
    <w:rsid w:val="009D5239"/>
    <w:rsid w:val="009D5528"/>
    <w:rsid w:val="009D575F"/>
    <w:rsid w:val="009D59BB"/>
    <w:rsid w:val="009D641E"/>
    <w:rsid w:val="009D7192"/>
    <w:rsid w:val="009D7223"/>
    <w:rsid w:val="009D7DD5"/>
    <w:rsid w:val="009D7EE8"/>
    <w:rsid w:val="009D7F6F"/>
    <w:rsid w:val="009E0E38"/>
    <w:rsid w:val="009E1A35"/>
    <w:rsid w:val="009E1DB4"/>
    <w:rsid w:val="009E2B94"/>
    <w:rsid w:val="009E2D23"/>
    <w:rsid w:val="009E33D4"/>
    <w:rsid w:val="009E37C5"/>
    <w:rsid w:val="009E3EC8"/>
    <w:rsid w:val="009E3EDF"/>
    <w:rsid w:val="009E4D49"/>
    <w:rsid w:val="009E5096"/>
    <w:rsid w:val="009E53EB"/>
    <w:rsid w:val="009E688D"/>
    <w:rsid w:val="009E6B67"/>
    <w:rsid w:val="009E6ECF"/>
    <w:rsid w:val="009E6EEF"/>
    <w:rsid w:val="009E6FD1"/>
    <w:rsid w:val="009E7199"/>
    <w:rsid w:val="009E7969"/>
    <w:rsid w:val="009E7C3A"/>
    <w:rsid w:val="009F01BE"/>
    <w:rsid w:val="009F09AA"/>
    <w:rsid w:val="009F1A2B"/>
    <w:rsid w:val="009F1BAE"/>
    <w:rsid w:val="009F1C44"/>
    <w:rsid w:val="009F1C49"/>
    <w:rsid w:val="009F21D7"/>
    <w:rsid w:val="009F2AC6"/>
    <w:rsid w:val="009F2BDB"/>
    <w:rsid w:val="009F2C16"/>
    <w:rsid w:val="009F2C1B"/>
    <w:rsid w:val="009F2DF6"/>
    <w:rsid w:val="009F2E00"/>
    <w:rsid w:val="009F2F78"/>
    <w:rsid w:val="009F2FBD"/>
    <w:rsid w:val="009F3029"/>
    <w:rsid w:val="009F3110"/>
    <w:rsid w:val="009F3206"/>
    <w:rsid w:val="009F32D5"/>
    <w:rsid w:val="009F335C"/>
    <w:rsid w:val="009F5039"/>
    <w:rsid w:val="009F615D"/>
    <w:rsid w:val="009F654A"/>
    <w:rsid w:val="009F6B04"/>
    <w:rsid w:val="009F6F4B"/>
    <w:rsid w:val="009F708C"/>
    <w:rsid w:val="009F7987"/>
    <w:rsid w:val="00A00258"/>
    <w:rsid w:val="00A002B5"/>
    <w:rsid w:val="00A00FBE"/>
    <w:rsid w:val="00A0108C"/>
    <w:rsid w:val="00A01C9E"/>
    <w:rsid w:val="00A01F4A"/>
    <w:rsid w:val="00A0260C"/>
    <w:rsid w:val="00A0286B"/>
    <w:rsid w:val="00A02AFE"/>
    <w:rsid w:val="00A02EFB"/>
    <w:rsid w:val="00A03CF5"/>
    <w:rsid w:val="00A041B5"/>
    <w:rsid w:val="00A042E4"/>
    <w:rsid w:val="00A04E5D"/>
    <w:rsid w:val="00A04F8C"/>
    <w:rsid w:val="00A05158"/>
    <w:rsid w:val="00A056B3"/>
    <w:rsid w:val="00A057E7"/>
    <w:rsid w:val="00A05A4C"/>
    <w:rsid w:val="00A05E3D"/>
    <w:rsid w:val="00A067E8"/>
    <w:rsid w:val="00A069C4"/>
    <w:rsid w:val="00A07D50"/>
    <w:rsid w:val="00A102AD"/>
    <w:rsid w:val="00A103F3"/>
    <w:rsid w:val="00A103F7"/>
    <w:rsid w:val="00A10873"/>
    <w:rsid w:val="00A11370"/>
    <w:rsid w:val="00A11733"/>
    <w:rsid w:val="00A11A30"/>
    <w:rsid w:val="00A11D81"/>
    <w:rsid w:val="00A123ED"/>
    <w:rsid w:val="00A12DFB"/>
    <w:rsid w:val="00A12FF8"/>
    <w:rsid w:val="00A13AD2"/>
    <w:rsid w:val="00A13BF5"/>
    <w:rsid w:val="00A1428B"/>
    <w:rsid w:val="00A1474E"/>
    <w:rsid w:val="00A14837"/>
    <w:rsid w:val="00A14857"/>
    <w:rsid w:val="00A148C1"/>
    <w:rsid w:val="00A15ADD"/>
    <w:rsid w:val="00A165C0"/>
    <w:rsid w:val="00A1671F"/>
    <w:rsid w:val="00A16BA6"/>
    <w:rsid w:val="00A16F61"/>
    <w:rsid w:val="00A17809"/>
    <w:rsid w:val="00A17B87"/>
    <w:rsid w:val="00A17DA3"/>
    <w:rsid w:val="00A17E9D"/>
    <w:rsid w:val="00A20116"/>
    <w:rsid w:val="00A203E3"/>
    <w:rsid w:val="00A20815"/>
    <w:rsid w:val="00A20BA8"/>
    <w:rsid w:val="00A2159A"/>
    <w:rsid w:val="00A216F5"/>
    <w:rsid w:val="00A21826"/>
    <w:rsid w:val="00A21C98"/>
    <w:rsid w:val="00A21EF7"/>
    <w:rsid w:val="00A2212D"/>
    <w:rsid w:val="00A225E3"/>
    <w:rsid w:val="00A229F8"/>
    <w:rsid w:val="00A22B53"/>
    <w:rsid w:val="00A22D90"/>
    <w:rsid w:val="00A23A26"/>
    <w:rsid w:val="00A23A7A"/>
    <w:rsid w:val="00A23FA4"/>
    <w:rsid w:val="00A2412E"/>
    <w:rsid w:val="00A2435F"/>
    <w:rsid w:val="00A24A8F"/>
    <w:rsid w:val="00A24DBB"/>
    <w:rsid w:val="00A2568A"/>
    <w:rsid w:val="00A25708"/>
    <w:rsid w:val="00A25BF0"/>
    <w:rsid w:val="00A25C83"/>
    <w:rsid w:val="00A262AA"/>
    <w:rsid w:val="00A26BFA"/>
    <w:rsid w:val="00A26EEA"/>
    <w:rsid w:val="00A277E6"/>
    <w:rsid w:val="00A278E7"/>
    <w:rsid w:val="00A2796B"/>
    <w:rsid w:val="00A300D6"/>
    <w:rsid w:val="00A3026E"/>
    <w:rsid w:val="00A30B1F"/>
    <w:rsid w:val="00A314CE"/>
    <w:rsid w:val="00A31554"/>
    <w:rsid w:val="00A3183D"/>
    <w:rsid w:val="00A31F0B"/>
    <w:rsid w:val="00A32042"/>
    <w:rsid w:val="00A32052"/>
    <w:rsid w:val="00A321B4"/>
    <w:rsid w:val="00A3250B"/>
    <w:rsid w:val="00A3296A"/>
    <w:rsid w:val="00A32A9C"/>
    <w:rsid w:val="00A331A6"/>
    <w:rsid w:val="00A331B3"/>
    <w:rsid w:val="00A33691"/>
    <w:rsid w:val="00A336AE"/>
    <w:rsid w:val="00A33D3A"/>
    <w:rsid w:val="00A33E01"/>
    <w:rsid w:val="00A34136"/>
    <w:rsid w:val="00A34BFE"/>
    <w:rsid w:val="00A35F1D"/>
    <w:rsid w:val="00A368E8"/>
    <w:rsid w:val="00A36C34"/>
    <w:rsid w:val="00A371C0"/>
    <w:rsid w:val="00A3756D"/>
    <w:rsid w:val="00A376A3"/>
    <w:rsid w:val="00A40151"/>
    <w:rsid w:val="00A403A5"/>
    <w:rsid w:val="00A40884"/>
    <w:rsid w:val="00A40AD0"/>
    <w:rsid w:val="00A40AFA"/>
    <w:rsid w:val="00A40E3B"/>
    <w:rsid w:val="00A418AB"/>
    <w:rsid w:val="00A424B3"/>
    <w:rsid w:val="00A42638"/>
    <w:rsid w:val="00A42955"/>
    <w:rsid w:val="00A42BEA"/>
    <w:rsid w:val="00A43093"/>
    <w:rsid w:val="00A43786"/>
    <w:rsid w:val="00A43AB9"/>
    <w:rsid w:val="00A43ED5"/>
    <w:rsid w:val="00A43F29"/>
    <w:rsid w:val="00A43F34"/>
    <w:rsid w:val="00A452DC"/>
    <w:rsid w:val="00A456AF"/>
    <w:rsid w:val="00A4576A"/>
    <w:rsid w:val="00A45AD0"/>
    <w:rsid w:val="00A45EE9"/>
    <w:rsid w:val="00A4667A"/>
    <w:rsid w:val="00A46711"/>
    <w:rsid w:val="00A46FE8"/>
    <w:rsid w:val="00A47564"/>
    <w:rsid w:val="00A47A81"/>
    <w:rsid w:val="00A47BD5"/>
    <w:rsid w:val="00A5010D"/>
    <w:rsid w:val="00A5013C"/>
    <w:rsid w:val="00A5089F"/>
    <w:rsid w:val="00A5090E"/>
    <w:rsid w:val="00A50F16"/>
    <w:rsid w:val="00A522C1"/>
    <w:rsid w:val="00A5279E"/>
    <w:rsid w:val="00A5283F"/>
    <w:rsid w:val="00A52A66"/>
    <w:rsid w:val="00A5319B"/>
    <w:rsid w:val="00A53774"/>
    <w:rsid w:val="00A53C14"/>
    <w:rsid w:val="00A541C2"/>
    <w:rsid w:val="00A54223"/>
    <w:rsid w:val="00A5451B"/>
    <w:rsid w:val="00A54817"/>
    <w:rsid w:val="00A5526E"/>
    <w:rsid w:val="00A56188"/>
    <w:rsid w:val="00A564C4"/>
    <w:rsid w:val="00A57689"/>
    <w:rsid w:val="00A5768A"/>
    <w:rsid w:val="00A578FC"/>
    <w:rsid w:val="00A57C4B"/>
    <w:rsid w:val="00A57D48"/>
    <w:rsid w:val="00A61058"/>
    <w:rsid w:val="00A610D5"/>
    <w:rsid w:val="00A61362"/>
    <w:rsid w:val="00A61410"/>
    <w:rsid w:val="00A6198A"/>
    <w:rsid w:val="00A62AA8"/>
    <w:rsid w:val="00A62AC3"/>
    <w:rsid w:val="00A62D7C"/>
    <w:rsid w:val="00A63241"/>
    <w:rsid w:val="00A63CF7"/>
    <w:rsid w:val="00A63E26"/>
    <w:rsid w:val="00A645AA"/>
    <w:rsid w:val="00A646BF"/>
    <w:rsid w:val="00A64A75"/>
    <w:rsid w:val="00A65108"/>
    <w:rsid w:val="00A65134"/>
    <w:rsid w:val="00A65760"/>
    <w:rsid w:val="00A65D86"/>
    <w:rsid w:val="00A6610C"/>
    <w:rsid w:val="00A66140"/>
    <w:rsid w:val="00A661CE"/>
    <w:rsid w:val="00A665E6"/>
    <w:rsid w:val="00A6669A"/>
    <w:rsid w:val="00A668D0"/>
    <w:rsid w:val="00A66B1B"/>
    <w:rsid w:val="00A66C40"/>
    <w:rsid w:val="00A66F2D"/>
    <w:rsid w:val="00A670CD"/>
    <w:rsid w:val="00A6733C"/>
    <w:rsid w:val="00A67FAF"/>
    <w:rsid w:val="00A700E0"/>
    <w:rsid w:val="00A7037E"/>
    <w:rsid w:val="00A705AD"/>
    <w:rsid w:val="00A7067F"/>
    <w:rsid w:val="00A70767"/>
    <w:rsid w:val="00A707A7"/>
    <w:rsid w:val="00A70D31"/>
    <w:rsid w:val="00A71790"/>
    <w:rsid w:val="00A718CD"/>
    <w:rsid w:val="00A718FD"/>
    <w:rsid w:val="00A719D9"/>
    <w:rsid w:val="00A72341"/>
    <w:rsid w:val="00A72486"/>
    <w:rsid w:val="00A728D3"/>
    <w:rsid w:val="00A72ADE"/>
    <w:rsid w:val="00A73A83"/>
    <w:rsid w:val="00A73BFB"/>
    <w:rsid w:val="00A73EEE"/>
    <w:rsid w:val="00A74F10"/>
    <w:rsid w:val="00A75373"/>
    <w:rsid w:val="00A75447"/>
    <w:rsid w:val="00A75D0C"/>
    <w:rsid w:val="00A761DC"/>
    <w:rsid w:val="00A769A9"/>
    <w:rsid w:val="00A76A3A"/>
    <w:rsid w:val="00A77102"/>
    <w:rsid w:val="00A7712B"/>
    <w:rsid w:val="00A7754F"/>
    <w:rsid w:val="00A776ED"/>
    <w:rsid w:val="00A778AA"/>
    <w:rsid w:val="00A779C0"/>
    <w:rsid w:val="00A77DDF"/>
    <w:rsid w:val="00A77EA2"/>
    <w:rsid w:val="00A80D6D"/>
    <w:rsid w:val="00A80E50"/>
    <w:rsid w:val="00A811D4"/>
    <w:rsid w:val="00A81279"/>
    <w:rsid w:val="00A813B1"/>
    <w:rsid w:val="00A82123"/>
    <w:rsid w:val="00A82800"/>
    <w:rsid w:val="00A82DC4"/>
    <w:rsid w:val="00A83663"/>
    <w:rsid w:val="00A83741"/>
    <w:rsid w:val="00A83B0F"/>
    <w:rsid w:val="00A83E5B"/>
    <w:rsid w:val="00A84216"/>
    <w:rsid w:val="00A844E8"/>
    <w:rsid w:val="00A856F7"/>
    <w:rsid w:val="00A859EC"/>
    <w:rsid w:val="00A86004"/>
    <w:rsid w:val="00A8660A"/>
    <w:rsid w:val="00A872D9"/>
    <w:rsid w:val="00A87974"/>
    <w:rsid w:val="00A87B61"/>
    <w:rsid w:val="00A87D3C"/>
    <w:rsid w:val="00A90BFA"/>
    <w:rsid w:val="00A90C89"/>
    <w:rsid w:val="00A91433"/>
    <w:rsid w:val="00A914D4"/>
    <w:rsid w:val="00A9260A"/>
    <w:rsid w:val="00A92AA9"/>
    <w:rsid w:val="00A92BF3"/>
    <w:rsid w:val="00A92DB3"/>
    <w:rsid w:val="00A92E53"/>
    <w:rsid w:val="00A93830"/>
    <w:rsid w:val="00A9385F"/>
    <w:rsid w:val="00A938CB"/>
    <w:rsid w:val="00A93ADD"/>
    <w:rsid w:val="00A93C3E"/>
    <w:rsid w:val="00A93DA4"/>
    <w:rsid w:val="00A943C8"/>
    <w:rsid w:val="00A94AB3"/>
    <w:rsid w:val="00A94FFA"/>
    <w:rsid w:val="00A950A4"/>
    <w:rsid w:val="00A9520D"/>
    <w:rsid w:val="00A956A8"/>
    <w:rsid w:val="00A95D26"/>
    <w:rsid w:val="00A96012"/>
    <w:rsid w:val="00A96479"/>
    <w:rsid w:val="00A96588"/>
    <w:rsid w:val="00A96635"/>
    <w:rsid w:val="00A96838"/>
    <w:rsid w:val="00A96870"/>
    <w:rsid w:val="00A969B0"/>
    <w:rsid w:val="00A96CD7"/>
    <w:rsid w:val="00A96F9E"/>
    <w:rsid w:val="00A97026"/>
    <w:rsid w:val="00A9747D"/>
    <w:rsid w:val="00A97BF1"/>
    <w:rsid w:val="00A97C01"/>
    <w:rsid w:val="00AA00A6"/>
    <w:rsid w:val="00AA0208"/>
    <w:rsid w:val="00AA02E4"/>
    <w:rsid w:val="00AA0DC6"/>
    <w:rsid w:val="00AA0DD0"/>
    <w:rsid w:val="00AA0EF0"/>
    <w:rsid w:val="00AA0FD3"/>
    <w:rsid w:val="00AA1285"/>
    <w:rsid w:val="00AA1830"/>
    <w:rsid w:val="00AA1AB1"/>
    <w:rsid w:val="00AA24EF"/>
    <w:rsid w:val="00AA2AD2"/>
    <w:rsid w:val="00AA2B6B"/>
    <w:rsid w:val="00AA2D3D"/>
    <w:rsid w:val="00AA3DCD"/>
    <w:rsid w:val="00AA3F44"/>
    <w:rsid w:val="00AA41E1"/>
    <w:rsid w:val="00AA476E"/>
    <w:rsid w:val="00AA4966"/>
    <w:rsid w:val="00AA4D18"/>
    <w:rsid w:val="00AA5053"/>
    <w:rsid w:val="00AA52B8"/>
    <w:rsid w:val="00AA5333"/>
    <w:rsid w:val="00AA5897"/>
    <w:rsid w:val="00AA5A75"/>
    <w:rsid w:val="00AA646F"/>
    <w:rsid w:val="00AA6B49"/>
    <w:rsid w:val="00AA6BA8"/>
    <w:rsid w:val="00AA6FBD"/>
    <w:rsid w:val="00AA7405"/>
    <w:rsid w:val="00AA757B"/>
    <w:rsid w:val="00AA7B14"/>
    <w:rsid w:val="00AA7B5F"/>
    <w:rsid w:val="00AA7EF2"/>
    <w:rsid w:val="00AA7F5A"/>
    <w:rsid w:val="00AB003B"/>
    <w:rsid w:val="00AB0111"/>
    <w:rsid w:val="00AB09D6"/>
    <w:rsid w:val="00AB0B6B"/>
    <w:rsid w:val="00AB0F69"/>
    <w:rsid w:val="00AB18BF"/>
    <w:rsid w:val="00AB2340"/>
    <w:rsid w:val="00AB280E"/>
    <w:rsid w:val="00AB2C3E"/>
    <w:rsid w:val="00AB31A3"/>
    <w:rsid w:val="00AB3488"/>
    <w:rsid w:val="00AB3CFC"/>
    <w:rsid w:val="00AB3EE2"/>
    <w:rsid w:val="00AB4851"/>
    <w:rsid w:val="00AB4F95"/>
    <w:rsid w:val="00AB5615"/>
    <w:rsid w:val="00AB5770"/>
    <w:rsid w:val="00AB5CA0"/>
    <w:rsid w:val="00AB5D36"/>
    <w:rsid w:val="00AB5D79"/>
    <w:rsid w:val="00AB5DBC"/>
    <w:rsid w:val="00AB5E23"/>
    <w:rsid w:val="00AB5F1C"/>
    <w:rsid w:val="00AB5FE4"/>
    <w:rsid w:val="00AB6007"/>
    <w:rsid w:val="00AB659D"/>
    <w:rsid w:val="00AB6713"/>
    <w:rsid w:val="00AB6998"/>
    <w:rsid w:val="00AB6BA2"/>
    <w:rsid w:val="00AB6DBE"/>
    <w:rsid w:val="00AB6F76"/>
    <w:rsid w:val="00AB738A"/>
    <w:rsid w:val="00AB7869"/>
    <w:rsid w:val="00AB7D86"/>
    <w:rsid w:val="00AC026E"/>
    <w:rsid w:val="00AC0392"/>
    <w:rsid w:val="00AC0435"/>
    <w:rsid w:val="00AC0850"/>
    <w:rsid w:val="00AC0AFF"/>
    <w:rsid w:val="00AC1037"/>
    <w:rsid w:val="00AC140C"/>
    <w:rsid w:val="00AC140E"/>
    <w:rsid w:val="00AC1567"/>
    <w:rsid w:val="00AC19AD"/>
    <w:rsid w:val="00AC229F"/>
    <w:rsid w:val="00AC252A"/>
    <w:rsid w:val="00AC25C5"/>
    <w:rsid w:val="00AC32AB"/>
    <w:rsid w:val="00AC3918"/>
    <w:rsid w:val="00AC3964"/>
    <w:rsid w:val="00AC3FC0"/>
    <w:rsid w:val="00AC426C"/>
    <w:rsid w:val="00AC43CC"/>
    <w:rsid w:val="00AC4B85"/>
    <w:rsid w:val="00AC53A9"/>
    <w:rsid w:val="00AC5417"/>
    <w:rsid w:val="00AC5960"/>
    <w:rsid w:val="00AC60CA"/>
    <w:rsid w:val="00AC61D7"/>
    <w:rsid w:val="00AC6D51"/>
    <w:rsid w:val="00AC7991"/>
    <w:rsid w:val="00AC7A58"/>
    <w:rsid w:val="00AC7B00"/>
    <w:rsid w:val="00AC7E86"/>
    <w:rsid w:val="00AC7F0A"/>
    <w:rsid w:val="00AD0256"/>
    <w:rsid w:val="00AD0FB6"/>
    <w:rsid w:val="00AD2016"/>
    <w:rsid w:val="00AD2569"/>
    <w:rsid w:val="00AD3070"/>
    <w:rsid w:val="00AD3627"/>
    <w:rsid w:val="00AD3774"/>
    <w:rsid w:val="00AD3951"/>
    <w:rsid w:val="00AD3AC5"/>
    <w:rsid w:val="00AD498C"/>
    <w:rsid w:val="00AD4A0A"/>
    <w:rsid w:val="00AD4C32"/>
    <w:rsid w:val="00AD4E7C"/>
    <w:rsid w:val="00AD592D"/>
    <w:rsid w:val="00AD6FFF"/>
    <w:rsid w:val="00AD718F"/>
    <w:rsid w:val="00AD7555"/>
    <w:rsid w:val="00AD7671"/>
    <w:rsid w:val="00AD77F4"/>
    <w:rsid w:val="00AD7D1E"/>
    <w:rsid w:val="00AD7DA7"/>
    <w:rsid w:val="00AE05E6"/>
    <w:rsid w:val="00AE1109"/>
    <w:rsid w:val="00AE14A2"/>
    <w:rsid w:val="00AE1F28"/>
    <w:rsid w:val="00AE1F75"/>
    <w:rsid w:val="00AE2260"/>
    <w:rsid w:val="00AE232C"/>
    <w:rsid w:val="00AE23C9"/>
    <w:rsid w:val="00AE2975"/>
    <w:rsid w:val="00AE2997"/>
    <w:rsid w:val="00AE2A21"/>
    <w:rsid w:val="00AE2D0C"/>
    <w:rsid w:val="00AE33D1"/>
    <w:rsid w:val="00AE347D"/>
    <w:rsid w:val="00AE365B"/>
    <w:rsid w:val="00AE3939"/>
    <w:rsid w:val="00AE4119"/>
    <w:rsid w:val="00AE424D"/>
    <w:rsid w:val="00AE42D5"/>
    <w:rsid w:val="00AE5000"/>
    <w:rsid w:val="00AE53CE"/>
    <w:rsid w:val="00AE53E8"/>
    <w:rsid w:val="00AE5CF6"/>
    <w:rsid w:val="00AE5E09"/>
    <w:rsid w:val="00AE6FE4"/>
    <w:rsid w:val="00AE71DF"/>
    <w:rsid w:val="00AE7719"/>
    <w:rsid w:val="00AE781F"/>
    <w:rsid w:val="00AE7916"/>
    <w:rsid w:val="00AE7941"/>
    <w:rsid w:val="00AF0506"/>
    <w:rsid w:val="00AF13A6"/>
    <w:rsid w:val="00AF13F9"/>
    <w:rsid w:val="00AF1D2D"/>
    <w:rsid w:val="00AF1D5C"/>
    <w:rsid w:val="00AF2059"/>
    <w:rsid w:val="00AF2186"/>
    <w:rsid w:val="00AF2651"/>
    <w:rsid w:val="00AF2F5F"/>
    <w:rsid w:val="00AF316C"/>
    <w:rsid w:val="00AF342D"/>
    <w:rsid w:val="00AF3659"/>
    <w:rsid w:val="00AF369F"/>
    <w:rsid w:val="00AF3769"/>
    <w:rsid w:val="00AF3AF2"/>
    <w:rsid w:val="00AF3D84"/>
    <w:rsid w:val="00AF4161"/>
    <w:rsid w:val="00AF45BD"/>
    <w:rsid w:val="00AF464F"/>
    <w:rsid w:val="00AF5044"/>
    <w:rsid w:val="00AF580B"/>
    <w:rsid w:val="00AF58F5"/>
    <w:rsid w:val="00AF67F9"/>
    <w:rsid w:val="00AF6EB0"/>
    <w:rsid w:val="00AF6F6A"/>
    <w:rsid w:val="00AF70B9"/>
    <w:rsid w:val="00AF7ACC"/>
    <w:rsid w:val="00B007C8"/>
    <w:rsid w:val="00B008AA"/>
    <w:rsid w:val="00B00A4D"/>
    <w:rsid w:val="00B00AAF"/>
    <w:rsid w:val="00B01442"/>
    <w:rsid w:val="00B015AA"/>
    <w:rsid w:val="00B02B4D"/>
    <w:rsid w:val="00B02E2D"/>
    <w:rsid w:val="00B03105"/>
    <w:rsid w:val="00B03533"/>
    <w:rsid w:val="00B0366B"/>
    <w:rsid w:val="00B041D2"/>
    <w:rsid w:val="00B047B2"/>
    <w:rsid w:val="00B04BC4"/>
    <w:rsid w:val="00B04C3B"/>
    <w:rsid w:val="00B04CB5"/>
    <w:rsid w:val="00B056CC"/>
    <w:rsid w:val="00B057A6"/>
    <w:rsid w:val="00B05F2D"/>
    <w:rsid w:val="00B0610A"/>
    <w:rsid w:val="00B06602"/>
    <w:rsid w:val="00B07883"/>
    <w:rsid w:val="00B1036E"/>
    <w:rsid w:val="00B10413"/>
    <w:rsid w:val="00B10590"/>
    <w:rsid w:val="00B105DC"/>
    <w:rsid w:val="00B108BF"/>
    <w:rsid w:val="00B10A8F"/>
    <w:rsid w:val="00B10B6D"/>
    <w:rsid w:val="00B11042"/>
    <w:rsid w:val="00B1113F"/>
    <w:rsid w:val="00B11834"/>
    <w:rsid w:val="00B1224D"/>
    <w:rsid w:val="00B122CA"/>
    <w:rsid w:val="00B126AC"/>
    <w:rsid w:val="00B12ED9"/>
    <w:rsid w:val="00B136E9"/>
    <w:rsid w:val="00B138D3"/>
    <w:rsid w:val="00B14410"/>
    <w:rsid w:val="00B14778"/>
    <w:rsid w:val="00B14C1B"/>
    <w:rsid w:val="00B15E61"/>
    <w:rsid w:val="00B1628B"/>
    <w:rsid w:val="00B16478"/>
    <w:rsid w:val="00B169E9"/>
    <w:rsid w:val="00B16A66"/>
    <w:rsid w:val="00B16ACC"/>
    <w:rsid w:val="00B17471"/>
    <w:rsid w:val="00B17D1B"/>
    <w:rsid w:val="00B205C2"/>
    <w:rsid w:val="00B20EB7"/>
    <w:rsid w:val="00B20F1F"/>
    <w:rsid w:val="00B20FC3"/>
    <w:rsid w:val="00B2233A"/>
    <w:rsid w:val="00B22B07"/>
    <w:rsid w:val="00B22EF8"/>
    <w:rsid w:val="00B23125"/>
    <w:rsid w:val="00B24245"/>
    <w:rsid w:val="00B2484B"/>
    <w:rsid w:val="00B2485C"/>
    <w:rsid w:val="00B24954"/>
    <w:rsid w:val="00B24F15"/>
    <w:rsid w:val="00B24F35"/>
    <w:rsid w:val="00B25C01"/>
    <w:rsid w:val="00B26085"/>
    <w:rsid w:val="00B26207"/>
    <w:rsid w:val="00B270E4"/>
    <w:rsid w:val="00B27CED"/>
    <w:rsid w:val="00B27D46"/>
    <w:rsid w:val="00B27F20"/>
    <w:rsid w:val="00B3024D"/>
    <w:rsid w:val="00B302FD"/>
    <w:rsid w:val="00B30ABB"/>
    <w:rsid w:val="00B30CAE"/>
    <w:rsid w:val="00B30D7B"/>
    <w:rsid w:val="00B31676"/>
    <w:rsid w:val="00B31AC3"/>
    <w:rsid w:val="00B31BA6"/>
    <w:rsid w:val="00B321F6"/>
    <w:rsid w:val="00B32219"/>
    <w:rsid w:val="00B32584"/>
    <w:rsid w:val="00B32C88"/>
    <w:rsid w:val="00B32EE1"/>
    <w:rsid w:val="00B33080"/>
    <w:rsid w:val="00B33A26"/>
    <w:rsid w:val="00B33F2E"/>
    <w:rsid w:val="00B34249"/>
    <w:rsid w:val="00B34747"/>
    <w:rsid w:val="00B347DB"/>
    <w:rsid w:val="00B34DAA"/>
    <w:rsid w:val="00B3582A"/>
    <w:rsid w:val="00B3590D"/>
    <w:rsid w:val="00B35996"/>
    <w:rsid w:val="00B35D07"/>
    <w:rsid w:val="00B35D2B"/>
    <w:rsid w:val="00B36369"/>
    <w:rsid w:val="00B36F77"/>
    <w:rsid w:val="00B3714B"/>
    <w:rsid w:val="00B37D93"/>
    <w:rsid w:val="00B37F18"/>
    <w:rsid w:val="00B37FAD"/>
    <w:rsid w:val="00B409AE"/>
    <w:rsid w:val="00B42246"/>
    <w:rsid w:val="00B4256D"/>
    <w:rsid w:val="00B426B5"/>
    <w:rsid w:val="00B42AB7"/>
    <w:rsid w:val="00B42CBA"/>
    <w:rsid w:val="00B42E49"/>
    <w:rsid w:val="00B43285"/>
    <w:rsid w:val="00B438D2"/>
    <w:rsid w:val="00B444D7"/>
    <w:rsid w:val="00B44D0B"/>
    <w:rsid w:val="00B451E4"/>
    <w:rsid w:val="00B4557C"/>
    <w:rsid w:val="00B45A13"/>
    <w:rsid w:val="00B45BB6"/>
    <w:rsid w:val="00B4716E"/>
    <w:rsid w:val="00B471A5"/>
    <w:rsid w:val="00B47D40"/>
    <w:rsid w:val="00B50903"/>
    <w:rsid w:val="00B5099F"/>
    <w:rsid w:val="00B50A30"/>
    <w:rsid w:val="00B50C75"/>
    <w:rsid w:val="00B51241"/>
    <w:rsid w:val="00B513E2"/>
    <w:rsid w:val="00B51581"/>
    <w:rsid w:val="00B51AF0"/>
    <w:rsid w:val="00B51C71"/>
    <w:rsid w:val="00B522C8"/>
    <w:rsid w:val="00B52998"/>
    <w:rsid w:val="00B52C37"/>
    <w:rsid w:val="00B530EA"/>
    <w:rsid w:val="00B5314E"/>
    <w:rsid w:val="00B53666"/>
    <w:rsid w:val="00B54433"/>
    <w:rsid w:val="00B550AE"/>
    <w:rsid w:val="00B55B0E"/>
    <w:rsid w:val="00B574B6"/>
    <w:rsid w:val="00B57B93"/>
    <w:rsid w:val="00B60104"/>
    <w:rsid w:val="00B60A2D"/>
    <w:rsid w:val="00B60BDA"/>
    <w:rsid w:val="00B60ECE"/>
    <w:rsid w:val="00B618B6"/>
    <w:rsid w:val="00B61C3E"/>
    <w:rsid w:val="00B61D9F"/>
    <w:rsid w:val="00B61EE0"/>
    <w:rsid w:val="00B62165"/>
    <w:rsid w:val="00B6233F"/>
    <w:rsid w:val="00B62F8C"/>
    <w:rsid w:val="00B62FFE"/>
    <w:rsid w:val="00B63A6C"/>
    <w:rsid w:val="00B642AB"/>
    <w:rsid w:val="00B64B6C"/>
    <w:rsid w:val="00B64D44"/>
    <w:rsid w:val="00B65013"/>
    <w:rsid w:val="00B650FE"/>
    <w:rsid w:val="00B6525C"/>
    <w:rsid w:val="00B65643"/>
    <w:rsid w:val="00B65DB2"/>
    <w:rsid w:val="00B65F24"/>
    <w:rsid w:val="00B66BCB"/>
    <w:rsid w:val="00B671D3"/>
    <w:rsid w:val="00B67536"/>
    <w:rsid w:val="00B67859"/>
    <w:rsid w:val="00B7012C"/>
    <w:rsid w:val="00B708B9"/>
    <w:rsid w:val="00B70998"/>
    <w:rsid w:val="00B709A6"/>
    <w:rsid w:val="00B7123A"/>
    <w:rsid w:val="00B71346"/>
    <w:rsid w:val="00B7195C"/>
    <w:rsid w:val="00B71EDD"/>
    <w:rsid w:val="00B71EFD"/>
    <w:rsid w:val="00B721AC"/>
    <w:rsid w:val="00B722F0"/>
    <w:rsid w:val="00B724BD"/>
    <w:rsid w:val="00B72540"/>
    <w:rsid w:val="00B72AC4"/>
    <w:rsid w:val="00B72B94"/>
    <w:rsid w:val="00B72C48"/>
    <w:rsid w:val="00B73B6D"/>
    <w:rsid w:val="00B7435C"/>
    <w:rsid w:val="00B74477"/>
    <w:rsid w:val="00B74792"/>
    <w:rsid w:val="00B748C1"/>
    <w:rsid w:val="00B74C1A"/>
    <w:rsid w:val="00B75493"/>
    <w:rsid w:val="00B75520"/>
    <w:rsid w:val="00B75D83"/>
    <w:rsid w:val="00B75EA2"/>
    <w:rsid w:val="00B76F38"/>
    <w:rsid w:val="00B7753D"/>
    <w:rsid w:val="00B77B93"/>
    <w:rsid w:val="00B77D0E"/>
    <w:rsid w:val="00B8002A"/>
    <w:rsid w:val="00B803EA"/>
    <w:rsid w:val="00B8085D"/>
    <w:rsid w:val="00B80B24"/>
    <w:rsid w:val="00B80DF8"/>
    <w:rsid w:val="00B81668"/>
    <w:rsid w:val="00B8178C"/>
    <w:rsid w:val="00B81EFF"/>
    <w:rsid w:val="00B8228E"/>
    <w:rsid w:val="00B824C3"/>
    <w:rsid w:val="00B825BF"/>
    <w:rsid w:val="00B82623"/>
    <w:rsid w:val="00B827C2"/>
    <w:rsid w:val="00B82AEB"/>
    <w:rsid w:val="00B83198"/>
    <w:rsid w:val="00B831BA"/>
    <w:rsid w:val="00B831F8"/>
    <w:rsid w:val="00B836BB"/>
    <w:rsid w:val="00B838BB"/>
    <w:rsid w:val="00B83947"/>
    <w:rsid w:val="00B83B87"/>
    <w:rsid w:val="00B83BDB"/>
    <w:rsid w:val="00B83C2D"/>
    <w:rsid w:val="00B83F8C"/>
    <w:rsid w:val="00B84033"/>
    <w:rsid w:val="00B84122"/>
    <w:rsid w:val="00B844B1"/>
    <w:rsid w:val="00B85494"/>
    <w:rsid w:val="00B85DB2"/>
    <w:rsid w:val="00B85E73"/>
    <w:rsid w:val="00B862B0"/>
    <w:rsid w:val="00B86379"/>
    <w:rsid w:val="00B864FB"/>
    <w:rsid w:val="00B86939"/>
    <w:rsid w:val="00B86CD0"/>
    <w:rsid w:val="00B87198"/>
    <w:rsid w:val="00B87784"/>
    <w:rsid w:val="00B87AD5"/>
    <w:rsid w:val="00B87FAF"/>
    <w:rsid w:val="00B90EBD"/>
    <w:rsid w:val="00B916D2"/>
    <w:rsid w:val="00B92043"/>
    <w:rsid w:val="00B9220C"/>
    <w:rsid w:val="00B92354"/>
    <w:rsid w:val="00B925DE"/>
    <w:rsid w:val="00B9274D"/>
    <w:rsid w:val="00B92E53"/>
    <w:rsid w:val="00B92F3A"/>
    <w:rsid w:val="00B92F80"/>
    <w:rsid w:val="00B932C1"/>
    <w:rsid w:val="00B93314"/>
    <w:rsid w:val="00B93D79"/>
    <w:rsid w:val="00B93EF6"/>
    <w:rsid w:val="00B9441D"/>
    <w:rsid w:val="00B94651"/>
    <w:rsid w:val="00B9555F"/>
    <w:rsid w:val="00B9574E"/>
    <w:rsid w:val="00B96105"/>
    <w:rsid w:val="00B96187"/>
    <w:rsid w:val="00B97B23"/>
    <w:rsid w:val="00B97F71"/>
    <w:rsid w:val="00B97F9B"/>
    <w:rsid w:val="00BA0456"/>
    <w:rsid w:val="00BA0547"/>
    <w:rsid w:val="00BA09C2"/>
    <w:rsid w:val="00BA0A92"/>
    <w:rsid w:val="00BA0B11"/>
    <w:rsid w:val="00BA10BA"/>
    <w:rsid w:val="00BA1908"/>
    <w:rsid w:val="00BA2946"/>
    <w:rsid w:val="00BA2B7C"/>
    <w:rsid w:val="00BA3987"/>
    <w:rsid w:val="00BA3B07"/>
    <w:rsid w:val="00BA3DFA"/>
    <w:rsid w:val="00BA44B0"/>
    <w:rsid w:val="00BA4775"/>
    <w:rsid w:val="00BA47D9"/>
    <w:rsid w:val="00BA4A20"/>
    <w:rsid w:val="00BA55A1"/>
    <w:rsid w:val="00BA5600"/>
    <w:rsid w:val="00BA5CFF"/>
    <w:rsid w:val="00BA5F17"/>
    <w:rsid w:val="00BA67AE"/>
    <w:rsid w:val="00BA6968"/>
    <w:rsid w:val="00BA6DB8"/>
    <w:rsid w:val="00BA7867"/>
    <w:rsid w:val="00BA79C8"/>
    <w:rsid w:val="00BA7A94"/>
    <w:rsid w:val="00BA7D36"/>
    <w:rsid w:val="00BB07B4"/>
    <w:rsid w:val="00BB1089"/>
    <w:rsid w:val="00BB127D"/>
    <w:rsid w:val="00BB142A"/>
    <w:rsid w:val="00BB1450"/>
    <w:rsid w:val="00BB1E70"/>
    <w:rsid w:val="00BB2334"/>
    <w:rsid w:val="00BB2564"/>
    <w:rsid w:val="00BB29A4"/>
    <w:rsid w:val="00BB2A78"/>
    <w:rsid w:val="00BB2E12"/>
    <w:rsid w:val="00BB2E23"/>
    <w:rsid w:val="00BB2F69"/>
    <w:rsid w:val="00BB30CF"/>
    <w:rsid w:val="00BB31A0"/>
    <w:rsid w:val="00BB34B9"/>
    <w:rsid w:val="00BB35C2"/>
    <w:rsid w:val="00BB362B"/>
    <w:rsid w:val="00BB383B"/>
    <w:rsid w:val="00BB3989"/>
    <w:rsid w:val="00BB3D21"/>
    <w:rsid w:val="00BB42AB"/>
    <w:rsid w:val="00BB42F9"/>
    <w:rsid w:val="00BB476E"/>
    <w:rsid w:val="00BB4841"/>
    <w:rsid w:val="00BB548B"/>
    <w:rsid w:val="00BB553B"/>
    <w:rsid w:val="00BB5606"/>
    <w:rsid w:val="00BB5607"/>
    <w:rsid w:val="00BB57AC"/>
    <w:rsid w:val="00BB5CDF"/>
    <w:rsid w:val="00BB5D9C"/>
    <w:rsid w:val="00BB6120"/>
    <w:rsid w:val="00BB6544"/>
    <w:rsid w:val="00BB7180"/>
    <w:rsid w:val="00BB71AB"/>
    <w:rsid w:val="00BB761B"/>
    <w:rsid w:val="00BB79EE"/>
    <w:rsid w:val="00BB7FD6"/>
    <w:rsid w:val="00BC0913"/>
    <w:rsid w:val="00BC0B83"/>
    <w:rsid w:val="00BC0C0C"/>
    <w:rsid w:val="00BC12B7"/>
    <w:rsid w:val="00BC20EB"/>
    <w:rsid w:val="00BC28D7"/>
    <w:rsid w:val="00BC2D08"/>
    <w:rsid w:val="00BC329E"/>
    <w:rsid w:val="00BC376C"/>
    <w:rsid w:val="00BC3849"/>
    <w:rsid w:val="00BC3DF0"/>
    <w:rsid w:val="00BC4143"/>
    <w:rsid w:val="00BC44CE"/>
    <w:rsid w:val="00BC4EA5"/>
    <w:rsid w:val="00BC4F7A"/>
    <w:rsid w:val="00BC55C3"/>
    <w:rsid w:val="00BC5711"/>
    <w:rsid w:val="00BC5BE8"/>
    <w:rsid w:val="00BC5EBC"/>
    <w:rsid w:val="00BC6321"/>
    <w:rsid w:val="00BC642E"/>
    <w:rsid w:val="00BC774F"/>
    <w:rsid w:val="00BC7817"/>
    <w:rsid w:val="00BD04B1"/>
    <w:rsid w:val="00BD06A0"/>
    <w:rsid w:val="00BD09B2"/>
    <w:rsid w:val="00BD0D79"/>
    <w:rsid w:val="00BD13EA"/>
    <w:rsid w:val="00BD19C5"/>
    <w:rsid w:val="00BD2676"/>
    <w:rsid w:val="00BD306B"/>
    <w:rsid w:val="00BD33BF"/>
    <w:rsid w:val="00BD371B"/>
    <w:rsid w:val="00BD3819"/>
    <w:rsid w:val="00BD3BF0"/>
    <w:rsid w:val="00BD3D6B"/>
    <w:rsid w:val="00BD3D93"/>
    <w:rsid w:val="00BD4158"/>
    <w:rsid w:val="00BD41E7"/>
    <w:rsid w:val="00BD45A8"/>
    <w:rsid w:val="00BD45EB"/>
    <w:rsid w:val="00BD486F"/>
    <w:rsid w:val="00BD4A3C"/>
    <w:rsid w:val="00BD4E9F"/>
    <w:rsid w:val="00BD5272"/>
    <w:rsid w:val="00BD5766"/>
    <w:rsid w:val="00BD5BE5"/>
    <w:rsid w:val="00BD6173"/>
    <w:rsid w:val="00BD62C5"/>
    <w:rsid w:val="00BD642D"/>
    <w:rsid w:val="00BD6988"/>
    <w:rsid w:val="00BD725D"/>
    <w:rsid w:val="00BD7474"/>
    <w:rsid w:val="00BE0190"/>
    <w:rsid w:val="00BE030A"/>
    <w:rsid w:val="00BE08DC"/>
    <w:rsid w:val="00BE0C60"/>
    <w:rsid w:val="00BE0D80"/>
    <w:rsid w:val="00BE100A"/>
    <w:rsid w:val="00BE116B"/>
    <w:rsid w:val="00BE1283"/>
    <w:rsid w:val="00BE1484"/>
    <w:rsid w:val="00BE19F0"/>
    <w:rsid w:val="00BE1A77"/>
    <w:rsid w:val="00BE1DF8"/>
    <w:rsid w:val="00BE2911"/>
    <w:rsid w:val="00BE2A78"/>
    <w:rsid w:val="00BE2C0B"/>
    <w:rsid w:val="00BE2D01"/>
    <w:rsid w:val="00BE2DD1"/>
    <w:rsid w:val="00BE3897"/>
    <w:rsid w:val="00BE39E2"/>
    <w:rsid w:val="00BE3D43"/>
    <w:rsid w:val="00BE4742"/>
    <w:rsid w:val="00BE49C7"/>
    <w:rsid w:val="00BE66DA"/>
    <w:rsid w:val="00BE6772"/>
    <w:rsid w:val="00BE6F61"/>
    <w:rsid w:val="00BE7383"/>
    <w:rsid w:val="00BE7391"/>
    <w:rsid w:val="00BE754D"/>
    <w:rsid w:val="00BE7574"/>
    <w:rsid w:val="00BE76A9"/>
    <w:rsid w:val="00BE78D6"/>
    <w:rsid w:val="00BF0903"/>
    <w:rsid w:val="00BF0945"/>
    <w:rsid w:val="00BF124B"/>
    <w:rsid w:val="00BF19A5"/>
    <w:rsid w:val="00BF1DB9"/>
    <w:rsid w:val="00BF21A8"/>
    <w:rsid w:val="00BF2273"/>
    <w:rsid w:val="00BF258D"/>
    <w:rsid w:val="00BF28B9"/>
    <w:rsid w:val="00BF2CD9"/>
    <w:rsid w:val="00BF3207"/>
    <w:rsid w:val="00BF3213"/>
    <w:rsid w:val="00BF32D4"/>
    <w:rsid w:val="00BF3E30"/>
    <w:rsid w:val="00BF555B"/>
    <w:rsid w:val="00BF5ABB"/>
    <w:rsid w:val="00BF6D10"/>
    <w:rsid w:val="00BF6E79"/>
    <w:rsid w:val="00BF742C"/>
    <w:rsid w:val="00BF751B"/>
    <w:rsid w:val="00BF7592"/>
    <w:rsid w:val="00C00113"/>
    <w:rsid w:val="00C002BB"/>
    <w:rsid w:val="00C002FE"/>
    <w:rsid w:val="00C0054B"/>
    <w:rsid w:val="00C0174D"/>
    <w:rsid w:val="00C019E1"/>
    <w:rsid w:val="00C01AF4"/>
    <w:rsid w:val="00C021F6"/>
    <w:rsid w:val="00C0222F"/>
    <w:rsid w:val="00C022C3"/>
    <w:rsid w:val="00C02329"/>
    <w:rsid w:val="00C023A2"/>
    <w:rsid w:val="00C0240E"/>
    <w:rsid w:val="00C02592"/>
    <w:rsid w:val="00C028AA"/>
    <w:rsid w:val="00C02F5E"/>
    <w:rsid w:val="00C03927"/>
    <w:rsid w:val="00C03C4F"/>
    <w:rsid w:val="00C03F6C"/>
    <w:rsid w:val="00C03FAF"/>
    <w:rsid w:val="00C04E80"/>
    <w:rsid w:val="00C04F1B"/>
    <w:rsid w:val="00C05472"/>
    <w:rsid w:val="00C0606E"/>
    <w:rsid w:val="00C061E6"/>
    <w:rsid w:val="00C06275"/>
    <w:rsid w:val="00C06458"/>
    <w:rsid w:val="00C06906"/>
    <w:rsid w:val="00C0737F"/>
    <w:rsid w:val="00C07488"/>
    <w:rsid w:val="00C074E6"/>
    <w:rsid w:val="00C07564"/>
    <w:rsid w:val="00C10032"/>
    <w:rsid w:val="00C105B5"/>
    <w:rsid w:val="00C1091D"/>
    <w:rsid w:val="00C10BDA"/>
    <w:rsid w:val="00C11030"/>
    <w:rsid w:val="00C12108"/>
    <w:rsid w:val="00C121D9"/>
    <w:rsid w:val="00C1292D"/>
    <w:rsid w:val="00C12AFC"/>
    <w:rsid w:val="00C12E14"/>
    <w:rsid w:val="00C12E70"/>
    <w:rsid w:val="00C1336F"/>
    <w:rsid w:val="00C13453"/>
    <w:rsid w:val="00C13CBB"/>
    <w:rsid w:val="00C13F24"/>
    <w:rsid w:val="00C1468F"/>
    <w:rsid w:val="00C154C0"/>
    <w:rsid w:val="00C159DF"/>
    <w:rsid w:val="00C15A30"/>
    <w:rsid w:val="00C15BDB"/>
    <w:rsid w:val="00C15C0D"/>
    <w:rsid w:val="00C161F0"/>
    <w:rsid w:val="00C16225"/>
    <w:rsid w:val="00C1659E"/>
    <w:rsid w:val="00C173CD"/>
    <w:rsid w:val="00C179BB"/>
    <w:rsid w:val="00C17EB3"/>
    <w:rsid w:val="00C20471"/>
    <w:rsid w:val="00C20BA7"/>
    <w:rsid w:val="00C20F03"/>
    <w:rsid w:val="00C2120C"/>
    <w:rsid w:val="00C21DB7"/>
    <w:rsid w:val="00C220F9"/>
    <w:rsid w:val="00C2223B"/>
    <w:rsid w:val="00C22597"/>
    <w:rsid w:val="00C22B74"/>
    <w:rsid w:val="00C22F66"/>
    <w:rsid w:val="00C237E7"/>
    <w:rsid w:val="00C23A05"/>
    <w:rsid w:val="00C23C30"/>
    <w:rsid w:val="00C2428E"/>
    <w:rsid w:val="00C243F5"/>
    <w:rsid w:val="00C24836"/>
    <w:rsid w:val="00C24EFF"/>
    <w:rsid w:val="00C2541C"/>
    <w:rsid w:val="00C25D63"/>
    <w:rsid w:val="00C261B6"/>
    <w:rsid w:val="00C26676"/>
    <w:rsid w:val="00C26862"/>
    <w:rsid w:val="00C26C97"/>
    <w:rsid w:val="00C26E4C"/>
    <w:rsid w:val="00C271EB"/>
    <w:rsid w:val="00C2757D"/>
    <w:rsid w:val="00C2787E"/>
    <w:rsid w:val="00C27BF9"/>
    <w:rsid w:val="00C302B7"/>
    <w:rsid w:val="00C30458"/>
    <w:rsid w:val="00C308C7"/>
    <w:rsid w:val="00C309D0"/>
    <w:rsid w:val="00C3157B"/>
    <w:rsid w:val="00C31DA6"/>
    <w:rsid w:val="00C325E6"/>
    <w:rsid w:val="00C32852"/>
    <w:rsid w:val="00C3285F"/>
    <w:rsid w:val="00C32AE9"/>
    <w:rsid w:val="00C3306F"/>
    <w:rsid w:val="00C33260"/>
    <w:rsid w:val="00C33612"/>
    <w:rsid w:val="00C34064"/>
    <w:rsid w:val="00C34628"/>
    <w:rsid w:val="00C3546B"/>
    <w:rsid w:val="00C35FE9"/>
    <w:rsid w:val="00C36803"/>
    <w:rsid w:val="00C36BC5"/>
    <w:rsid w:val="00C37964"/>
    <w:rsid w:val="00C37C4F"/>
    <w:rsid w:val="00C40385"/>
    <w:rsid w:val="00C40D0B"/>
    <w:rsid w:val="00C41089"/>
    <w:rsid w:val="00C410A7"/>
    <w:rsid w:val="00C411AB"/>
    <w:rsid w:val="00C414B6"/>
    <w:rsid w:val="00C41750"/>
    <w:rsid w:val="00C4209D"/>
    <w:rsid w:val="00C42A2A"/>
    <w:rsid w:val="00C42DB4"/>
    <w:rsid w:val="00C42E31"/>
    <w:rsid w:val="00C42E86"/>
    <w:rsid w:val="00C43DB0"/>
    <w:rsid w:val="00C43EAF"/>
    <w:rsid w:val="00C44416"/>
    <w:rsid w:val="00C444D0"/>
    <w:rsid w:val="00C44543"/>
    <w:rsid w:val="00C446C5"/>
    <w:rsid w:val="00C45346"/>
    <w:rsid w:val="00C4598F"/>
    <w:rsid w:val="00C459C4"/>
    <w:rsid w:val="00C45C80"/>
    <w:rsid w:val="00C45D0B"/>
    <w:rsid w:val="00C46043"/>
    <w:rsid w:val="00C46549"/>
    <w:rsid w:val="00C46891"/>
    <w:rsid w:val="00C46A92"/>
    <w:rsid w:val="00C46F7A"/>
    <w:rsid w:val="00C46FEE"/>
    <w:rsid w:val="00C4715E"/>
    <w:rsid w:val="00C47216"/>
    <w:rsid w:val="00C47549"/>
    <w:rsid w:val="00C50360"/>
    <w:rsid w:val="00C50A95"/>
    <w:rsid w:val="00C51070"/>
    <w:rsid w:val="00C5125D"/>
    <w:rsid w:val="00C51347"/>
    <w:rsid w:val="00C51AD5"/>
    <w:rsid w:val="00C520EC"/>
    <w:rsid w:val="00C52403"/>
    <w:rsid w:val="00C524A4"/>
    <w:rsid w:val="00C528B2"/>
    <w:rsid w:val="00C52A1A"/>
    <w:rsid w:val="00C52F48"/>
    <w:rsid w:val="00C531BE"/>
    <w:rsid w:val="00C533D9"/>
    <w:rsid w:val="00C5344C"/>
    <w:rsid w:val="00C5446A"/>
    <w:rsid w:val="00C54754"/>
    <w:rsid w:val="00C54E12"/>
    <w:rsid w:val="00C55252"/>
    <w:rsid w:val="00C552ED"/>
    <w:rsid w:val="00C553F6"/>
    <w:rsid w:val="00C55468"/>
    <w:rsid w:val="00C557DA"/>
    <w:rsid w:val="00C55A6D"/>
    <w:rsid w:val="00C55E7B"/>
    <w:rsid w:val="00C573B2"/>
    <w:rsid w:val="00C574D1"/>
    <w:rsid w:val="00C60394"/>
    <w:rsid w:val="00C60532"/>
    <w:rsid w:val="00C60C53"/>
    <w:rsid w:val="00C60D03"/>
    <w:rsid w:val="00C60E5E"/>
    <w:rsid w:val="00C613C5"/>
    <w:rsid w:val="00C618F4"/>
    <w:rsid w:val="00C622C3"/>
    <w:rsid w:val="00C624FB"/>
    <w:rsid w:val="00C62A99"/>
    <w:rsid w:val="00C6347F"/>
    <w:rsid w:val="00C6370F"/>
    <w:rsid w:val="00C63BD5"/>
    <w:rsid w:val="00C63CE6"/>
    <w:rsid w:val="00C65504"/>
    <w:rsid w:val="00C6586C"/>
    <w:rsid w:val="00C65986"/>
    <w:rsid w:val="00C65ABF"/>
    <w:rsid w:val="00C65CEA"/>
    <w:rsid w:val="00C66EAB"/>
    <w:rsid w:val="00C670C7"/>
    <w:rsid w:val="00C6776F"/>
    <w:rsid w:val="00C67AF3"/>
    <w:rsid w:val="00C70101"/>
    <w:rsid w:val="00C707D6"/>
    <w:rsid w:val="00C708ED"/>
    <w:rsid w:val="00C70BFF"/>
    <w:rsid w:val="00C70C21"/>
    <w:rsid w:val="00C72AB5"/>
    <w:rsid w:val="00C73DB2"/>
    <w:rsid w:val="00C73FA8"/>
    <w:rsid w:val="00C74906"/>
    <w:rsid w:val="00C74B06"/>
    <w:rsid w:val="00C75B20"/>
    <w:rsid w:val="00C75B9A"/>
    <w:rsid w:val="00C7771E"/>
    <w:rsid w:val="00C77BBA"/>
    <w:rsid w:val="00C77D0A"/>
    <w:rsid w:val="00C80248"/>
    <w:rsid w:val="00C803C3"/>
    <w:rsid w:val="00C80C8D"/>
    <w:rsid w:val="00C81042"/>
    <w:rsid w:val="00C814C9"/>
    <w:rsid w:val="00C81A5A"/>
    <w:rsid w:val="00C81B40"/>
    <w:rsid w:val="00C81D8F"/>
    <w:rsid w:val="00C81D95"/>
    <w:rsid w:val="00C81EA9"/>
    <w:rsid w:val="00C81FEA"/>
    <w:rsid w:val="00C82637"/>
    <w:rsid w:val="00C82E05"/>
    <w:rsid w:val="00C83969"/>
    <w:rsid w:val="00C8396A"/>
    <w:rsid w:val="00C839F6"/>
    <w:rsid w:val="00C84E20"/>
    <w:rsid w:val="00C85018"/>
    <w:rsid w:val="00C85234"/>
    <w:rsid w:val="00C85ED0"/>
    <w:rsid w:val="00C85F9C"/>
    <w:rsid w:val="00C86154"/>
    <w:rsid w:val="00C866E5"/>
    <w:rsid w:val="00C86C7D"/>
    <w:rsid w:val="00C86C95"/>
    <w:rsid w:val="00C873AE"/>
    <w:rsid w:val="00C875A8"/>
    <w:rsid w:val="00C8791D"/>
    <w:rsid w:val="00C90C09"/>
    <w:rsid w:val="00C910EF"/>
    <w:rsid w:val="00C9209A"/>
    <w:rsid w:val="00C9253E"/>
    <w:rsid w:val="00C9287B"/>
    <w:rsid w:val="00C937D2"/>
    <w:rsid w:val="00C93915"/>
    <w:rsid w:val="00C949BF"/>
    <w:rsid w:val="00C95089"/>
    <w:rsid w:val="00C95A0E"/>
    <w:rsid w:val="00C9624F"/>
    <w:rsid w:val="00C96628"/>
    <w:rsid w:val="00C9665D"/>
    <w:rsid w:val="00C96BD5"/>
    <w:rsid w:val="00C97209"/>
    <w:rsid w:val="00C97465"/>
    <w:rsid w:val="00CA05EB"/>
    <w:rsid w:val="00CA095F"/>
    <w:rsid w:val="00CA0C88"/>
    <w:rsid w:val="00CA2598"/>
    <w:rsid w:val="00CA3515"/>
    <w:rsid w:val="00CA3535"/>
    <w:rsid w:val="00CA3746"/>
    <w:rsid w:val="00CA3755"/>
    <w:rsid w:val="00CA3770"/>
    <w:rsid w:val="00CA3A05"/>
    <w:rsid w:val="00CA3CBF"/>
    <w:rsid w:val="00CA43A7"/>
    <w:rsid w:val="00CA4C2F"/>
    <w:rsid w:val="00CA5894"/>
    <w:rsid w:val="00CA62BE"/>
    <w:rsid w:val="00CA686B"/>
    <w:rsid w:val="00CA6898"/>
    <w:rsid w:val="00CA73A6"/>
    <w:rsid w:val="00CA746B"/>
    <w:rsid w:val="00CA75D4"/>
    <w:rsid w:val="00CA76D9"/>
    <w:rsid w:val="00CA7A9A"/>
    <w:rsid w:val="00CA7D61"/>
    <w:rsid w:val="00CA7FDA"/>
    <w:rsid w:val="00CB032A"/>
    <w:rsid w:val="00CB04E2"/>
    <w:rsid w:val="00CB05A0"/>
    <w:rsid w:val="00CB08B2"/>
    <w:rsid w:val="00CB108D"/>
    <w:rsid w:val="00CB11BF"/>
    <w:rsid w:val="00CB14E9"/>
    <w:rsid w:val="00CB15F1"/>
    <w:rsid w:val="00CB1B6A"/>
    <w:rsid w:val="00CB1D83"/>
    <w:rsid w:val="00CB2947"/>
    <w:rsid w:val="00CB29C2"/>
    <w:rsid w:val="00CB3447"/>
    <w:rsid w:val="00CB4202"/>
    <w:rsid w:val="00CB4B2C"/>
    <w:rsid w:val="00CB4D02"/>
    <w:rsid w:val="00CB4F70"/>
    <w:rsid w:val="00CB573A"/>
    <w:rsid w:val="00CB58EC"/>
    <w:rsid w:val="00CB60D4"/>
    <w:rsid w:val="00CB63DA"/>
    <w:rsid w:val="00CB68D9"/>
    <w:rsid w:val="00CB6D90"/>
    <w:rsid w:val="00CB6ECC"/>
    <w:rsid w:val="00CB70CD"/>
    <w:rsid w:val="00CB71CB"/>
    <w:rsid w:val="00CB72C3"/>
    <w:rsid w:val="00CB7521"/>
    <w:rsid w:val="00CB78B7"/>
    <w:rsid w:val="00CC0122"/>
    <w:rsid w:val="00CC05C8"/>
    <w:rsid w:val="00CC062F"/>
    <w:rsid w:val="00CC0D27"/>
    <w:rsid w:val="00CC11BE"/>
    <w:rsid w:val="00CC125C"/>
    <w:rsid w:val="00CC29EB"/>
    <w:rsid w:val="00CC311C"/>
    <w:rsid w:val="00CC44A5"/>
    <w:rsid w:val="00CC45E4"/>
    <w:rsid w:val="00CC4620"/>
    <w:rsid w:val="00CC46E0"/>
    <w:rsid w:val="00CC53C3"/>
    <w:rsid w:val="00CC574E"/>
    <w:rsid w:val="00CC60B7"/>
    <w:rsid w:val="00CC6345"/>
    <w:rsid w:val="00CC67EF"/>
    <w:rsid w:val="00CC6940"/>
    <w:rsid w:val="00CC722A"/>
    <w:rsid w:val="00CC726E"/>
    <w:rsid w:val="00CC77F2"/>
    <w:rsid w:val="00CC78A9"/>
    <w:rsid w:val="00CC791B"/>
    <w:rsid w:val="00CC79C6"/>
    <w:rsid w:val="00CC7A56"/>
    <w:rsid w:val="00CC7D06"/>
    <w:rsid w:val="00CD019F"/>
    <w:rsid w:val="00CD01AF"/>
    <w:rsid w:val="00CD0829"/>
    <w:rsid w:val="00CD11A5"/>
    <w:rsid w:val="00CD196B"/>
    <w:rsid w:val="00CD27C5"/>
    <w:rsid w:val="00CD293A"/>
    <w:rsid w:val="00CD37E9"/>
    <w:rsid w:val="00CD3834"/>
    <w:rsid w:val="00CD39F7"/>
    <w:rsid w:val="00CD3DA6"/>
    <w:rsid w:val="00CD4742"/>
    <w:rsid w:val="00CD48E6"/>
    <w:rsid w:val="00CD4F10"/>
    <w:rsid w:val="00CD4F1C"/>
    <w:rsid w:val="00CD4F79"/>
    <w:rsid w:val="00CD525A"/>
    <w:rsid w:val="00CD59B3"/>
    <w:rsid w:val="00CD5ACD"/>
    <w:rsid w:val="00CD5AE5"/>
    <w:rsid w:val="00CD5F75"/>
    <w:rsid w:val="00CD6577"/>
    <w:rsid w:val="00CD663A"/>
    <w:rsid w:val="00CD6AA4"/>
    <w:rsid w:val="00CD78D2"/>
    <w:rsid w:val="00CD7C03"/>
    <w:rsid w:val="00CE0766"/>
    <w:rsid w:val="00CE0CD3"/>
    <w:rsid w:val="00CE0ED5"/>
    <w:rsid w:val="00CE14C6"/>
    <w:rsid w:val="00CE16C0"/>
    <w:rsid w:val="00CE18F3"/>
    <w:rsid w:val="00CE1AF5"/>
    <w:rsid w:val="00CE1E6E"/>
    <w:rsid w:val="00CE1F1E"/>
    <w:rsid w:val="00CE28BE"/>
    <w:rsid w:val="00CE313E"/>
    <w:rsid w:val="00CE343B"/>
    <w:rsid w:val="00CE350B"/>
    <w:rsid w:val="00CE35D1"/>
    <w:rsid w:val="00CE4169"/>
    <w:rsid w:val="00CE427F"/>
    <w:rsid w:val="00CE5022"/>
    <w:rsid w:val="00CE5256"/>
    <w:rsid w:val="00CE57A2"/>
    <w:rsid w:val="00CE5B0D"/>
    <w:rsid w:val="00CE5C02"/>
    <w:rsid w:val="00CE5D21"/>
    <w:rsid w:val="00CE5D72"/>
    <w:rsid w:val="00CE5DC3"/>
    <w:rsid w:val="00CE62C7"/>
    <w:rsid w:val="00CE6334"/>
    <w:rsid w:val="00CE65B3"/>
    <w:rsid w:val="00CE6B40"/>
    <w:rsid w:val="00CE6C97"/>
    <w:rsid w:val="00CE6EBD"/>
    <w:rsid w:val="00CE7894"/>
    <w:rsid w:val="00CF001D"/>
    <w:rsid w:val="00CF06A1"/>
    <w:rsid w:val="00CF1467"/>
    <w:rsid w:val="00CF170A"/>
    <w:rsid w:val="00CF1751"/>
    <w:rsid w:val="00CF18E9"/>
    <w:rsid w:val="00CF2253"/>
    <w:rsid w:val="00CF24F7"/>
    <w:rsid w:val="00CF2645"/>
    <w:rsid w:val="00CF2A30"/>
    <w:rsid w:val="00CF3412"/>
    <w:rsid w:val="00CF34EE"/>
    <w:rsid w:val="00CF3532"/>
    <w:rsid w:val="00CF47E6"/>
    <w:rsid w:val="00CF48D6"/>
    <w:rsid w:val="00CF4D85"/>
    <w:rsid w:val="00CF5551"/>
    <w:rsid w:val="00CF57C9"/>
    <w:rsid w:val="00CF57D6"/>
    <w:rsid w:val="00CF5C3F"/>
    <w:rsid w:val="00CF6110"/>
    <w:rsid w:val="00CF6356"/>
    <w:rsid w:val="00CF686C"/>
    <w:rsid w:val="00CF6C1B"/>
    <w:rsid w:val="00CF75AB"/>
    <w:rsid w:val="00CF7E8B"/>
    <w:rsid w:val="00D0004E"/>
    <w:rsid w:val="00D005C9"/>
    <w:rsid w:val="00D00A4E"/>
    <w:rsid w:val="00D019D5"/>
    <w:rsid w:val="00D01CDE"/>
    <w:rsid w:val="00D02182"/>
    <w:rsid w:val="00D02224"/>
    <w:rsid w:val="00D02FEC"/>
    <w:rsid w:val="00D03066"/>
    <w:rsid w:val="00D033AB"/>
    <w:rsid w:val="00D03C6B"/>
    <w:rsid w:val="00D03D62"/>
    <w:rsid w:val="00D03E5F"/>
    <w:rsid w:val="00D03FD8"/>
    <w:rsid w:val="00D040FE"/>
    <w:rsid w:val="00D0412E"/>
    <w:rsid w:val="00D043C3"/>
    <w:rsid w:val="00D047DE"/>
    <w:rsid w:val="00D04962"/>
    <w:rsid w:val="00D04ED4"/>
    <w:rsid w:val="00D05B28"/>
    <w:rsid w:val="00D05FA0"/>
    <w:rsid w:val="00D06377"/>
    <w:rsid w:val="00D063D0"/>
    <w:rsid w:val="00D06413"/>
    <w:rsid w:val="00D068CB"/>
    <w:rsid w:val="00D06EC1"/>
    <w:rsid w:val="00D0728A"/>
    <w:rsid w:val="00D07E57"/>
    <w:rsid w:val="00D1012B"/>
    <w:rsid w:val="00D1029C"/>
    <w:rsid w:val="00D1115E"/>
    <w:rsid w:val="00D114A0"/>
    <w:rsid w:val="00D118D5"/>
    <w:rsid w:val="00D127EF"/>
    <w:rsid w:val="00D12D8A"/>
    <w:rsid w:val="00D12DF6"/>
    <w:rsid w:val="00D1322A"/>
    <w:rsid w:val="00D13999"/>
    <w:rsid w:val="00D139F5"/>
    <w:rsid w:val="00D13A70"/>
    <w:rsid w:val="00D14E89"/>
    <w:rsid w:val="00D152CE"/>
    <w:rsid w:val="00D1544D"/>
    <w:rsid w:val="00D159BF"/>
    <w:rsid w:val="00D162E2"/>
    <w:rsid w:val="00D1668F"/>
    <w:rsid w:val="00D167D0"/>
    <w:rsid w:val="00D168BF"/>
    <w:rsid w:val="00D168FD"/>
    <w:rsid w:val="00D16F64"/>
    <w:rsid w:val="00D1702B"/>
    <w:rsid w:val="00D17052"/>
    <w:rsid w:val="00D174BE"/>
    <w:rsid w:val="00D20268"/>
    <w:rsid w:val="00D207F2"/>
    <w:rsid w:val="00D212EB"/>
    <w:rsid w:val="00D21F17"/>
    <w:rsid w:val="00D21F1E"/>
    <w:rsid w:val="00D22F05"/>
    <w:rsid w:val="00D2308C"/>
    <w:rsid w:val="00D230A7"/>
    <w:rsid w:val="00D230BC"/>
    <w:rsid w:val="00D233DE"/>
    <w:rsid w:val="00D23AC3"/>
    <w:rsid w:val="00D23D4C"/>
    <w:rsid w:val="00D23F8E"/>
    <w:rsid w:val="00D2472C"/>
    <w:rsid w:val="00D24B8F"/>
    <w:rsid w:val="00D24DF9"/>
    <w:rsid w:val="00D250CC"/>
    <w:rsid w:val="00D25590"/>
    <w:rsid w:val="00D2685A"/>
    <w:rsid w:val="00D26902"/>
    <w:rsid w:val="00D2756A"/>
    <w:rsid w:val="00D279BA"/>
    <w:rsid w:val="00D27EEC"/>
    <w:rsid w:val="00D30D7A"/>
    <w:rsid w:val="00D310EC"/>
    <w:rsid w:val="00D311EA"/>
    <w:rsid w:val="00D31835"/>
    <w:rsid w:val="00D31ACE"/>
    <w:rsid w:val="00D31BB1"/>
    <w:rsid w:val="00D31DE2"/>
    <w:rsid w:val="00D31E91"/>
    <w:rsid w:val="00D320D0"/>
    <w:rsid w:val="00D3217D"/>
    <w:rsid w:val="00D325E1"/>
    <w:rsid w:val="00D32BD3"/>
    <w:rsid w:val="00D33084"/>
    <w:rsid w:val="00D334D0"/>
    <w:rsid w:val="00D33BB0"/>
    <w:rsid w:val="00D34303"/>
    <w:rsid w:val="00D34413"/>
    <w:rsid w:val="00D345D3"/>
    <w:rsid w:val="00D34705"/>
    <w:rsid w:val="00D34774"/>
    <w:rsid w:val="00D349E7"/>
    <w:rsid w:val="00D34E6E"/>
    <w:rsid w:val="00D34E7B"/>
    <w:rsid w:val="00D362AE"/>
    <w:rsid w:val="00D36691"/>
    <w:rsid w:val="00D36754"/>
    <w:rsid w:val="00D3779A"/>
    <w:rsid w:val="00D37839"/>
    <w:rsid w:val="00D37997"/>
    <w:rsid w:val="00D40026"/>
    <w:rsid w:val="00D402C4"/>
    <w:rsid w:val="00D404B5"/>
    <w:rsid w:val="00D40CD2"/>
    <w:rsid w:val="00D4206C"/>
    <w:rsid w:val="00D422C4"/>
    <w:rsid w:val="00D423C6"/>
    <w:rsid w:val="00D42C56"/>
    <w:rsid w:val="00D43417"/>
    <w:rsid w:val="00D43F74"/>
    <w:rsid w:val="00D43FDC"/>
    <w:rsid w:val="00D447CB"/>
    <w:rsid w:val="00D4485A"/>
    <w:rsid w:val="00D449BA"/>
    <w:rsid w:val="00D449F3"/>
    <w:rsid w:val="00D4545C"/>
    <w:rsid w:val="00D45A7E"/>
    <w:rsid w:val="00D45B7E"/>
    <w:rsid w:val="00D45D67"/>
    <w:rsid w:val="00D460D6"/>
    <w:rsid w:val="00D4636F"/>
    <w:rsid w:val="00D46D2B"/>
    <w:rsid w:val="00D475F4"/>
    <w:rsid w:val="00D479A0"/>
    <w:rsid w:val="00D47A3B"/>
    <w:rsid w:val="00D47A76"/>
    <w:rsid w:val="00D47D16"/>
    <w:rsid w:val="00D47E6C"/>
    <w:rsid w:val="00D502F0"/>
    <w:rsid w:val="00D5039B"/>
    <w:rsid w:val="00D505F4"/>
    <w:rsid w:val="00D50FF7"/>
    <w:rsid w:val="00D511C9"/>
    <w:rsid w:val="00D518B9"/>
    <w:rsid w:val="00D51978"/>
    <w:rsid w:val="00D51CE1"/>
    <w:rsid w:val="00D522EF"/>
    <w:rsid w:val="00D52408"/>
    <w:rsid w:val="00D528F9"/>
    <w:rsid w:val="00D52A5B"/>
    <w:rsid w:val="00D53E9B"/>
    <w:rsid w:val="00D54429"/>
    <w:rsid w:val="00D546B7"/>
    <w:rsid w:val="00D5470D"/>
    <w:rsid w:val="00D54B79"/>
    <w:rsid w:val="00D55250"/>
    <w:rsid w:val="00D55369"/>
    <w:rsid w:val="00D55382"/>
    <w:rsid w:val="00D55539"/>
    <w:rsid w:val="00D5579E"/>
    <w:rsid w:val="00D557F5"/>
    <w:rsid w:val="00D55D76"/>
    <w:rsid w:val="00D562F2"/>
    <w:rsid w:val="00D56F5A"/>
    <w:rsid w:val="00D56FE3"/>
    <w:rsid w:val="00D57120"/>
    <w:rsid w:val="00D576A0"/>
    <w:rsid w:val="00D5797C"/>
    <w:rsid w:val="00D57D9E"/>
    <w:rsid w:val="00D57EB9"/>
    <w:rsid w:val="00D60A2A"/>
    <w:rsid w:val="00D60CAA"/>
    <w:rsid w:val="00D612AA"/>
    <w:rsid w:val="00D61858"/>
    <w:rsid w:val="00D61B59"/>
    <w:rsid w:val="00D61B8D"/>
    <w:rsid w:val="00D61B93"/>
    <w:rsid w:val="00D622C8"/>
    <w:rsid w:val="00D62D31"/>
    <w:rsid w:val="00D63AD4"/>
    <w:rsid w:val="00D64721"/>
    <w:rsid w:val="00D6580F"/>
    <w:rsid w:val="00D65B0E"/>
    <w:rsid w:val="00D65D87"/>
    <w:rsid w:val="00D66410"/>
    <w:rsid w:val="00D66A15"/>
    <w:rsid w:val="00D67B9E"/>
    <w:rsid w:val="00D67CDD"/>
    <w:rsid w:val="00D67E4A"/>
    <w:rsid w:val="00D702A6"/>
    <w:rsid w:val="00D705AD"/>
    <w:rsid w:val="00D71245"/>
    <w:rsid w:val="00D71D0B"/>
    <w:rsid w:val="00D72B44"/>
    <w:rsid w:val="00D732AA"/>
    <w:rsid w:val="00D73C01"/>
    <w:rsid w:val="00D74164"/>
    <w:rsid w:val="00D74181"/>
    <w:rsid w:val="00D74357"/>
    <w:rsid w:val="00D74F06"/>
    <w:rsid w:val="00D7517E"/>
    <w:rsid w:val="00D759AC"/>
    <w:rsid w:val="00D75A2B"/>
    <w:rsid w:val="00D763FD"/>
    <w:rsid w:val="00D7670F"/>
    <w:rsid w:val="00D76DB6"/>
    <w:rsid w:val="00D76F89"/>
    <w:rsid w:val="00D77285"/>
    <w:rsid w:val="00D802F3"/>
    <w:rsid w:val="00D80C31"/>
    <w:rsid w:val="00D80DD2"/>
    <w:rsid w:val="00D81A7A"/>
    <w:rsid w:val="00D820B6"/>
    <w:rsid w:val="00D820B8"/>
    <w:rsid w:val="00D825B1"/>
    <w:rsid w:val="00D82AE2"/>
    <w:rsid w:val="00D82CAF"/>
    <w:rsid w:val="00D82DA0"/>
    <w:rsid w:val="00D83672"/>
    <w:rsid w:val="00D8383C"/>
    <w:rsid w:val="00D84461"/>
    <w:rsid w:val="00D84738"/>
    <w:rsid w:val="00D84E00"/>
    <w:rsid w:val="00D856E8"/>
    <w:rsid w:val="00D858C5"/>
    <w:rsid w:val="00D85F0C"/>
    <w:rsid w:val="00D860A6"/>
    <w:rsid w:val="00D862FF"/>
    <w:rsid w:val="00D8670D"/>
    <w:rsid w:val="00D86888"/>
    <w:rsid w:val="00D86FEE"/>
    <w:rsid w:val="00D87B36"/>
    <w:rsid w:val="00D9045F"/>
    <w:rsid w:val="00D90748"/>
    <w:rsid w:val="00D90AD1"/>
    <w:rsid w:val="00D90B71"/>
    <w:rsid w:val="00D90CE4"/>
    <w:rsid w:val="00D912C0"/>
    <w:rsid w:val="00D91365"/>
    <w:rsid w:val="00D915F6"/>
    <w:rsid w:val="00D917F2"/>
    <w:rsid w:val="00D91E92"/>
    <w:rsid w:val="00D91FD9"/>
    <w:rsid w:val="00D92622"/>
    <w:rsid w:val="00D927F9"/>
    <w:rsid w:val="00D92896"/>
    <w:rsid w:val="00D93792"/>
    <w:rsid w:val="00D93EB3"/>
    <w:rsid w:val="00D941F7"/>
    <w:rsid w:val="00D942B8"/>
    <w:rsid w:val="00D94B5D"/>
    <w:rsid w:val="00D9512D"/>
    <w:rsid w:val="00D9583E"/>
    <w:rsid w:val="00D96D3D"/>
    <w:rsid w:val="00D96FA2"/>
    <w:rsid w:val="00D9702F"/>
    <w:rsid w:val="00D97322"/>
    <w:rsid w:val="00D97409"/>
    <w:rsid w:val="00D9764E"/>
    <w:rsid w:val="00D9766F"/>
    <w:rsid w:val="00D9769A"/>
    <w:rsid w:val="00D97776"/>
    <w:rsid w:val="00D97D97"/>
    <w:rsid w:val="00D97EC6"/>
    <w:rsid w:val="00DA047F"/>
    <w:rsid w:val="00DA04D0"/>
    <w:rsid w:val="00DA069D"/>
    <w:rsid w:val="00DA07A5"/>
    <w:rsid w:val="00DA0E88"/>
    <w:rsid w:val="00DA1384"/>
    <w:rsid w:val="00DA13CF"/>
    <w:rsid w:val="00DA1565"/>
    <w:rsid w:val="00DA1E08"/>
    <w:rsid w:val="00DA20AB"/>
    <w:rsid w:val="00DA2210"/>
    <w:rsid w:val="00DA23E0"/>
    <w:rsid w:val="00DA2510"/>
    <w:rsid w:val="00DA29E0"/>
    <w:rsid w:val="00DA2D5D"/>
    <w:rsid w:val="00DA2EC6"/>
    <w:rsid w:val="00DA352B"/>
    <w:rsid w:val="00DA36FD"/>
    <w:rsid w:val="00DA3F89"/>
    <w:rsid w:val="00DA45B8"/>
    <w:rsid w:val="00DA4B81"/>
    <w:rsid w:val="00DA4DDF"/>
    <w:rsid w:val="00DA5F9F"/>
    <w:rsid w:val="00DA6081"/>
    <w:rsid w:val="00DA6207"/>
    <w:rsid w:val="00DA66ED"/>
    <w:rsid w:val="00DA712E"/>
    <w:rsid w:val="00DB0804"/>
    <w:rsid w:val="00DB0891"/>
    <w:rsid w:val="00DB0EC0"/>
    <w:rsid w:val="00DB18D6"/>
    <w:rsid w:val="00DB1B11"/>
    <w:rsid w:val="00DB1C2E"/>
    <w:rsid w:val="00DB1D21"/>
    <w:rsid w:val="00DB2041"/>
    <w:rsid w:val="00DB23D6"/>
    <w:rsid w:val="00DB2977"/>
    <w:rsid w:val="00DB2FC4"/>
    <w:rsid w:val="00DB3A88"/>
    <w:rsid w:val="00DB3BD4"/>
    <w:rsid w:val="00DB4020"/>
    <w:rsid w:val="00DB410B"/>
    <w:rsid w:val="00DB4477"/>
    <w:rsid w:val="00DB48E2"/>
    <w:rsid w:val="00DB5026"/>
    <w:rsid w:val="00DB52BF"/>
    <w:rsid w:val="00DB5BED"/>
    <w:rsid w:val="00DB5D08"/>
    <w:rsid w:val="00DB5ED6"/>
    <w:rsid w:val="00DB6381"/>
    <w:rsid w:val="00DB68DF"/>
    <w:rsid w:val="00DB6C69"/>
    <w:rsid w:val="00DB6ED6"/>
    <w:rsid w:val="00DB6F39"/>
    <w:rsid w:val="00DB72F9"/>
    <w:rsid w:val="00DB7F5A"/>
    <w:rsid w:val="00DC147D"/>
    <w:rsid w:val="00DC1C0B"/>
    <w:rsid w:val="00DC1CB5"/>
    <w:rsid w:val="00DC1D98"/>
    <w:rsid w:val="00DC2191"/>
    <w:rsid w:val="00DC2AAC"/>
    <w:rsid w:val="00DC2C35"/>
    <w:rsid w:val="00DC3245"/>
    <w:rsid w:val="00DC366B"/>
    <w:rsid w:val="00DC382A"/>
    <w:rsid w:val="00DC3949"/>
    <w:rsid w:val="00DC42E0"/>
    <w:rsid w:val="00DC4955"/>
    <w:rsid w:val="00DC4FF3"/>
    <w:rsid w:val="00DC54F0"/>
    <w:rsid w:val="00DC64D5"/>
    <w:rsid w:val="00DC75B4"/>
    <w:rsid w:val="00DC776B"/>
    <w:rsid w:val="00DC7D5E"/>
    <w:rsid w:val="00DD0512"/>
    <w:rsid w:val="00DD1529"/>
    <w:rsid w:val="00DD1624"/>
    <w:rsid w:val="00DD1A4A"/>
    <w:rsid w:val="00DD277E"/>
    <w:rsid w:val="00DD2C87"/>
    <w:rsid w:val="00DD2CF9"/>
    <w:rsid w:val="00DD2F2E"/>
    <w:rsid w:val="00DD2F99"/>
    <w:rsid w:val="00DD337C"/>
    <w:rsid w:val="00DD37F2"/>
    <w:rsid w:val="00DD43B0"/>
    <w:rsid w:val="00DD48BA"/>
    <w:rsid w:val="00DD54E7"/>
    <w:rsid w:val="00DD5947"/>
    <w:rsid w:val="00DD6954"/>
    <w:rsid w:val="00DD6B51"/>
    <w:rsid w:val="00DD6CE5"/>
    <w:rsid w:val="00DD6D5A"/>
    <w:rsid w:val="00DD73FA"/>
    <w:rsid w:val="00DD74EB"/>
    <w:rsid w:val="00DE0018"/>
    <w:rsid w:val="00DE0402"/>
    <w:rsid w:val="00DE09ED"/>
    <w:rsid w:val="00DE0ABB"/>
    <w:rsid w:val="00DE0DF8"/>
    <w:rsid w:val="00DE1012"/>
    <w:rsid w:val="00DE14CC"/>
    <w:rsid w:val="00DE1828"/>
    <w:rsid w:val="00DE1923"/>
    <w:rsid w:val="00DE1AFD"/>
    <w:rsid w:val="00DE1D08"/>
    <w:rsid w:val="00DE1D56"/>
    <w:rsid w:val="00DE22B5"/>
    <w:rsid w:val="00DE235E"/>
    <w:rsid w:val="00DE23E4"/>
    <w:rsid w:val="00DE29A2"/>
    <w:rsid w:val="00DE2B33"/>
    <w:rsid w:val="00DE2C80"/>
    <w:rsid w:val="00DE360C"/>
    <w:rsid w:val="00DE4131"/>
    <w:rsid w:val="00DE433C"/>
    <w:rsid w:val="00DE434C"/>
    <w:rsid w:val="00DE4532"/>
    <w:rsid w:val="00DE4DEA"/>
    <w:rsid w:val="00DE506E"/>
    <w:rsid w:val="00DE5AA1"/>
    <w:rsid w:val="00DE5C65"/>
    <w:rsid w:val="00DE5CC7"/>
    <w:rsid w:val="00DE60E6"/>
    <w:rsid w:val="00DE638B"/>
    <w:rsid w:val="00DE65C9"/>
    <w:rsid w:val="00DE6919"/>
    <w:rsid w:val="00DE6B0F"/>
    <w:rsid w:val="00DE72EE"/>
    <w:rsid w:val="00DE7481"/>
    <w:rsid w:val="00DE75BE"/>
    <w:rsid w:val="00DE7D34"/>
    <w:rsid w:val="00DF050C"/>
    <w:rsid w:val="00DF07D2"/>
    <w:rsid w:val="00DF0AA0"/>
    <w:rsid w:val="00DF0B03"/>
    <w:rsid w:val="00DF0C5E"/>
    <w:rsid w:val="00DF1267"/>
    <w:rsid w:val="00DF1480"/>
    <w:rsid w:val="00DF26B7"/>
    <w:rsid w:val="00DF2BC4"/>
    <w:rsid w:val="00DF2C7F"/>
    <w:rsid w:val="00DF37E5"/>
    <w:rsid w:val="00DF3895"/>
    <w:rsid w:val="00DF4208"/>
    <w:rsid w:val="00DF458B"/>
    <w:rsid w:val="00DF4704"/>
    <w:rsid w:val="00DF5023"/>
    <w:rsid w:val="00DF51AE"/>
    <w:rsid w:val="00DF5349"/>
    <w:rsid w:val="00DF6C06"/>
    <w:rsid w:val="00DF7555"/>
    <w:rsid w:val="00DF7603"/>
    <w:rsid w:val="00DF77A5"/>
    <w:rsid w:val="00E0048E"/>
    <w:rsid w:val="00E004B8"/>
    <w:rsid w:val="00E01637"/>
    <w:rsid w:val="00E01AF7"/>
    <w:rsid w:val="00E01B6E"/>
    <w:rsid w:val="00E0265F"/>
    <w:rsid w:val="00E02AF9"/>
    <w:rsid w:val="00E033C5"/>
    <w:rsid w:val="00E034FE"/>
    <w:rsid w:val="00E03709"/>
    <w:rsid w:val="00E037D2"/>
    <w:rsid w:val="00E0397B"/>
    <w:rsid w:val="00E03C4D"/>
    <w:rsid w:val="00E041E5"/>
    <w:rsid w:val="00E04287"/>
    <w:rsid w:val="00E04812"/>
    <w:rsid w:val="00E04888"/>
    <w:rsid w:val="00E04DEF"/>
    <w:rsid w:val="00E0525D"/>
    <w:rsid w:val="00E057A2"/>
    <w:rsid w:val="00E05F1B"/>
    <w:rsid w:val="00E06383"/>
    <w:rsid w:val="00E0639F"/>
    <w:rsid w:val="00E06B86"/>
    <w:rsid w:val="00E06D0B"/>
    <w:rsid w:val="00E07530"/>
    <w:rsid w:val="00E0763B"/>
    <w:rsid w:val="00E0777D"/>
    <w:rsid w:val="00E0796A"/>
    <w:rsid w:val="00E07CAC"/>
    <w:rsid w:val="00E101BB"/>
    <w:rsid w:val="00E10302"/>
    <w:rsid w:val="00E107D9"/>
    <w:rsid w:val="00E10C3F"/>
    <w:rsid w:val="00E10F33"/>
    <w:rsid w:val="00E118E6"/>
    <w:rsid w:val="00E1258A"/>
    <w:rsid w:val="00E129AB"/>
    <w:rsid w:val="00E12E6D"/>
    <w:rsid w:val="00E130CE"/>
    <w:rsid w:val="00E133A7"/>
    <w:rsid w:val="00E13A49"/>
    <w:rsid w:val="00E13D25"/>
    <w:rsid w:val="00E147EF"/>
    <w:rsid w:val="00E149A6"/>
    <w:rsid w:val="00E15096"/>
    <w:rsid w:val="00E1651D"/>
    <w:rsid w:val="00E16A19"/>
    <w:rsid w:val="00E16C0E"/>
    <w:rsid w:val="00E17EC5"/>
    <w:rsid w:val="00E17EFE"/>
    <w:rsid w:val="00E2009D"/>
    <w:rsid w:val="00E20155"/>
    <w:rsid w:val="00E208B6"/>
    <w:rsid w:val="00E209FB"/>
    <w:rsid w:val="00E2124E"/>
    <w:rsid w:val="00E21AD1"/>
    <w:rsid w:val="00E21B7B"/>
    <w:rsid w:val="00E21F2D"/>
    <w:rsid w:val="00E227F0"/>
    <w:rsid w:val="00E23147"/>
    <w:rsid w:val="00E23FD8"/>
    <w:rsid w:val="00E241BE"/>
    <w:rsid w:val="00E2471F"/>
    <w:rsid w:val="00E24E6C"/>
    <w:rsid w:val="00E25052"/>
    <w:rsid w:val="00E250E5"/>
    <w:rsid w:val="00E26241"/>
    <w:rsid w:val="00E262E0"/>
    <w:rsid w:val="00E26545"/>
    <w:rsid w:val="00E269E9"/>
    <w:rsid w:val="00E26A41"/>
    <w:rsid w:val="00E26BFD"/>
    <w:rsid w:val="00E26C55"/>
    <w:rsid w:val="00E26E5C"/>
    <w:rsid w:val="00E27E90"/>
    <w:rsid w:val="00E301F2"/>
    <w:rsid w:val="00E30D8A"/>
    <w:rsid w:val="00E30D93"/>
    <w:rsid w:val="00E313DF"/>
    <w:rsid w:val="00E32077"/>
    <w:rsid w:val="00E326BF"/>
    <w:rsid w:val="00E328A7"/>
    <w:rsid w:val="00E32A4F"/>
    <w:rsid w:val="00E32CB9"/>
    <w:rsid w:val="00E32CF3"/>
    <w:rsid w:val="00E32E5A"/>
    <w:rsid w:val="00E3307F"/>
    <w:rsid w:val="00E331E6"/>
    <w:rsid w:val="00E332B4"/>
    <w:rsid w:val="00E334A7"/>
    <w:rsid w:val="00E33601"/>
    <w:rsid w:val="00E336C8"/>
    <w:rsid w:val="00E336EA"/>
    <w:rsid w:val="00E33C83"/>
    <w:rsid w:val="00E33D02"/>
    <w:rsid w:val="00E34064"/>
    <w:rsid w:val="00E34970"/>
    <w:rsid w:val="00E34BE4"/>
    <w:rsid w:val="00E34F2C"/>
    <w:rsid w:val="00E34FAD"/>
    <w:rsid w:val="00E35D2F"/>
    <w:rsid w:val="00E35D79"/>
    <w:rsid w:val="00E36496"/>
    <w:rsid w:val="00E368B0"/>
    <w:rsid w:val="00E3724A"/>
    <w:rsid w:val="00E3743D"/>
    <w:rsid w:val="00E37ED0"/>
    <w:rsid w:val="00E40316"/>
    <w:rsid w:val="00E42F7E"/>
    <w:rsid w:val="00E434AD"/>
    <w:rsid w:val="00E43707"/>
    <w:rsid w:val="00E43D07"/>
    <w:rsid w:val="00E44202"/>
    <w:rsid w:val="00E44235"/>
    <w:rsid w:val="00E443C2"/>
    <w:rsid w:val="00E44E46"/>
    <w:rsid w:val="00E45745"/>
    <w:rsid w:val="00E45DB9"/>
    <w:rsid w:val="00E45EB1"/>
    <w:rsid w:val="00E45FB3"/>
    <w:rsid w:val="00E4641E"/>
    <w:rsid w:val="00E469DA"/>
    <w:rsid w:val="00E475DC"/>
    <w:rsid w:val="00E47747"/>
    <w:rsid w:val="00E47887"/>
    <w:rsid w:val="00E479EE"/>
    <w:rsid w:val="00E47D19"/>
    <w:rsid w:val="00E501FE"/>
    <w:rsid w:val="00E50BC7"/>
    <w:rsid w:val="00E50D3E"/>
    <w:rsid w:val="00E50F86"/>
    <w:rsid w:val="00E519AE"/>
    <w:rsid w:val="00E51CCC"/>
    <w:rsid w:val="00E521E0"/>
    <w:rsid w:val="00E523CE"/>
    <w:rsid w:val="00E527AD"/>
    <w:rsid w:val="00E52D27"/>
    <w:rsid w:val="00E53100"/>
    <w:rsid w:val="00E532BD"/>
    <w:rsid w:val="00E53550"/>
    <w:rsid w:val="00E5365F"/>
    <w:rsid w:val="00E53B63"/>
    <w:rsid w:val="00E53B84"/>
    <w:rsid w:val="00E5521A"/>
    <w:rsid w:val="00E55708"/>
    <w:rsid w:val="00E557E2"/>
    <w:rsid w:val="00E55C5B"/>
    <w:rsid w:val="00E56011"/>
    <w:rsid w:val="00E560DE"/>
    <w:rsid w:val="00E56149"/>
    <w:rsid w:val="00E561B7"/>
    <w:rsid w:val="00E5629D"/>
    <w:rsid w:val="00E57AF7"/>
    <w:rsid w:val="00E57B2F"/>
    <w:rsid w:val="00E57F60"/>
    <w:rsid w:val="00E602FF"/>
    <w:rsid w:val="00E6085A"/>
    <w:rsid w:val="00E60969"/>
    <w:rsid w:val="00E60F0F"/>
    <w:rsid w:val="00E610E8"/>
    <w:rsid w:val="00E6135A"/>
    <w:rsid w:val="00E6155D"/>
    <w:rsid w:val="00E6166A"/>
    <w:rsid w:val="00E61A8C"/>
    <w:rsid w:val="00E6241B"/>
    <w:rsid w:val="00E63554"/>
    <w:rsid w:val="00E6419A"/>
    <w:rsid w:val="00E641AB"/>
    <w:rsid w:val="00E641B4"/>
    <w:rsid w:val="00E641BA"/>
    <w:rsid w:val="00E645DC"/>
    <w:rsid w:val="00E64628"/>
    <w:rsid w:val="00E64FCC"/>
    <w:rsid w:val="00E64FD7"/>
    <w:rsid w:val="00E65196"/>
    <w:rsid w:val="00E6520B"/>
    <w:rsid w:val="00E65F7E"/>
    <w:rsid w:val="00E66085"/>
    <w:rsid w:val="00E6637C"/>
    <w:rsid w:val="00E67171"/>
    <w:rsid w:val="00E67173"/>
    <w:rsid w:val="00E67492"/>
    <w:rsid w:val="00E6787F"/>
    <w:rsid w:val="00E67A54"/>
    <w:rsid w:val="00E67B57"/>
    <w:rsid w:val="00E703B6"/>
    <w:rsid w:val="00E70A82"/>
    <w:rsid w:val="00E70AA1"/>
    <w:rsid w:val="00E7190F"/>
    <w:rsid w:val="00E71F15"/>
    <w:rsid w:val="00E72200"/>
    <w:rsid w:val="00E72436"/>
    <w:rsid w:val="00E7247F"/>
    <w:rsid w:val="00E72B1B"/>
    <w:rsid w:val="00E72BD5"/>
    <w:rsid w:val="00E72C0C"/>
    <w:rsid w:val="00E72DC4"/>
    <w:rsid w:val="00E72DD5"/>
    <w:rsid w:val="00E72ECD"/>
    <w:rsid w:val="00E731DC"/>
    <w:rsid w:val="00E73207"/>
    <w:rsid w:val="00E735F8"/>
    <w:rsid w:val="00E73672"/>
    <w:rsid w:val="00E73E22"/>
    <w:rsid w:val="00E74D26"/>
    <w:rsid w:val="00E75198"/>
    <w:rsid w:val="00E75A5C"/>
    <w:rsid w:val="00E75C9B"/>
    <w:rsid w:val="00E75D47"/>
    <w:rsid w:val="00E75E00"/>
    <w:rsid w:val="00E75E4D"/>
    <w:rsid w:val="00E763BF"/>
    <w:rsid w:val="00E76474"/>
    <w:rsid w:val="00E766F5"/>
    <w:rsid w:val="00E76932"/>
    <w:rsid w:val="00E77A28"/>
    <w:rsid w:val="00E77F0E"/>
    <w:rsid w:val="00E80467"/>
    <w:rsid w:val="00E808A3"/>
    <w:rsid w:val="00E80EDF"/>
    <w:rsid w:val="00E80FC3"/>
    <w:rsid w:val="00E8113D"/>
    <w:rsid w:val="00E8145D"/>
    <w:rsid w:val="00E82948"/>
    <w:rsid w:val="00E82B28"/>
    <w:rsid w:val="00E82F9C"/>
    <w:rsid w:val="00E83928"/>
    <w:rsid w:val="00E848FB"/>
    <w:rsid w:val="00E84A0E"/>
    <w:rsid w:val="00E85255"/>
    <w:rsid w:val="00E85AC3"/>
    <w:rsid w:val="00E8615B"/>
    <w:rsid w:val="00E86309"/>
    <w:rsid w:val="00E870EB"/>
    <w:rsid w:val="00E87333"/>
    <w:rsid w:val="00E873F8"/>
    <w:rsid w:val="00E87707"/>
    <w:rsid w:val="00E87A46"/>
    <w:rsid w:val="00E87F99"/>
    <w:rsid w:val="00E87FB0"/>
    <w:rsid w:val="00E9013A"/>
    <w:rsid w:val="00E90218"/>
    <w:rsid w:val="00E913BB"/>
    <w:rsid w:val="00E9254F"/>
    <w:rsid w:val="00E92708"/>
    <w:rsid w:val="00E928DE"/>
    <w:rsid w:val="00E92B07"/>
    <w:rsid w:val="00E931A9"/>
    <w:rsid w:val="00E93D0B"/>
    <w:rsid w:val="00E948E3"/>
    <w:rsid w:val="00E94C21"/>
    <w:rsid w:val="00E94FAD"/>
    <w:rsid w:val="00E95A35"/>
    <w:rsid w:val="00E95A94"/>
    <w:rsid w:val="00E95F2E"/>
    <w:rsid w:val="00E96213"/>
    <w:rsid w:val="00E96388"/>
    <w:rsid w:val="00E96A23"/>
    <w:rsid w:val="00E97177"/>
    <w:rsid w:val="00E9764D"/>
    <w:rsid w:val="00EA0137"/>
    <w:rsid w:val="00EA0235"/>
    <w:rsid w:val="00EA06A5"/>
    <w:rsid w:val="00EA0834"/>
    <w:rsid w:val="00EA08E7"/>
    <w:rsid w:val="00EA109C"/>
    <w:rsid w:val="00EA1508"/>
    <w:rsid w:val="00EA1541"/>
    <w:rsid w:val="00EA17EB"/>
    <w:rsid w:val="00EA1A5D"/>
    <w:rsid w:val="00EA29F4"/>
    <w:rsid w:val="00EA2B78"/>
    <w:rsid w:val="00EA2C8D"/>
    <w:rsid w:val="00EA3189"/>
    <w:rsid w:val="00EA32E4"/>
    <w:rsid w:val="00EA32EA"/>
    <w:rsid w:val="00EA3630"/>
    <w:rsid w:val="00EA3952"/>
    <w:rsid w:val="00EA3BF9"/>
    <w:rsid w:val="00EA3C0D"/>
    <w:rsid w:val="00EA4618"/>
    <w:rsid w:val="00EA484F"/>
    <w:rsid w:val="00EA4E37"/>
    <w:rsid w:val="00EA50F9"/>
    <w:rsid w:val="00EA5813"/>
    <w:rsid w:val="00EA59DF"/>
    <w:rsid w:val="00EA5A12"/>
    <w:rsid w:val="00EA6859"/>
    <w:rsid w:val="00EA6C3B"/>
    <w:rsid w:val="00EA73A9"/>
    <w:rsid w:val="00EA7B73"/>
    <w:rsid w:val="00EA7E36"/>
    <w:rsid w:val="00EB0335"/>
    <w:rsid w:val="00EB0898"/>
    <w:rsid w:val="00EB0AC1"/>
    <w:rsid w:val="00EB0CF4"/>
    <w:rsid w:val="00EB119E"/>
    <w:rsid w:val="00EB1266"/>
    <w:rsid w:val="00EB1957"/>
    <w:rsid w:val="00EB19B7"/>
    <w:rsid w:val="00EB211E"/>
    <w:rsid w:val="00EB223F"/>
    <w:rsid w:val="00EB22CA"/>
    <w:rsid w:val="00EB24A7"/>
    <w:rsid w:val="00EB2591"/>
    <w:rsid w:val="00EB285C"/>
    <w:rsid w:val="00EB2C4C"/>
    <w:rsid w:val="00EB36F5"/>
    <w:rsid w:val="00EB383A"/>
    <w:rsid w:val="00EB3DD8"/>
    <w:rsid w:val="00EB4EA0"/>
    <w:rsid w:val="00EB51EB"/>
    <w:rsid w:val="00EB5BEB"/>
    <w:rsid w:val="00EB5CEF"/>
    <w:rsid w:val="00EB6239"/>
    <w:rsid w:val="00EB627B"/>
    <w:rsid w:val="00EB6906"/>
    <w:rsid w:val="00EB6AB1"/>
    <w:rsid w:val="00EB6D94"/>
    <w:rsid w:val="00EB7206"/>
    <w:rsid w:val="00EB7815"/>
    <w:rsid w:val="00EB7C4B"/>
    <w:rsid w:val="00EB7DDF"/>
    <w:rsid w:val="00EC05E6"/>
    <w:rsid w:val="00EC0724"/>
    <w:rsid w:val="00EC0DC0"/>
    <w:rsid w:val="00EC206D"/>
    <w:rsid w:val="00EC2098"/>
    <w:rsid w:val="00EC27E5"/>
    <w:rsid w:val="00EC281E"/>
    <w:rsid w:val="00EC31BB"/>
    <w:rsid w:val="00EC4183"/>
    <w:rsid w:val="00EC4C17"/>
    <w:rsid w:val="00EC4EA2"/>
    <w:rsid w:val="00EC5222"/>
    <w:rsid w:val="00EC52FF"/>
    <w:rsid w:val="00EC53AA"/>
    <w:rsid w:val="00EC575F"/>
    <w:rsid w:val="00EC5950"/>
    <w:rsid w:val="00EC61A4"/>
    <w:rsid w:val="00EC6468"/>
    <w:rsid w:val="00EC6708"/>
    <w:rsid w:val="00EC74BE"/>
    <w:rsid w:val="00EC7A32"/>
    <w:rsid w:val="00ED02B3"/>
    <w:rsid w:val="00ED0361"/>
    <w:rsid w:val="00ED0BBD"/>
    <w:rsid w:val="00ED0D32"/>
    <w:rsid w:val="00ED0D7F"/>
    <w:rsid w:val="00ED12E5"/>
    <w:rsid w:val="00ED1670"/>
    <w:rsid w:val="00ED1A98"/>
    <w:rsid w:val="00ED1CB6"/>
    <w:rsid w:val="00ED207C"/>
    <w:rsid w:val="00ED21BF"/>
    <w:rsid w:val="00ED2461"/>
    <w:rsid w:val="00ED24CB"/>
    <w:rsid w:val="00ED2D30"/>
    <w:rsid w:val="00ED2F16"/>
    <w:rsid w:val="00ED325A"/>
    <w:rsid w:val="00ED3424"/>
    <w:rsid w:val="00ED38A4"/>
    <w:rsid w:val="00ED3D76"/>
    <w:rsid w:val="00ED3E67"/>
    <w:rsid w:val="00ED3F41"/>
    <w:rsid w:val="00ED4089"/>
    <w:rsid w:val="00ED4D16"/>
    <w:rsid w:val="00ED5615"/>
    <w:rsid w:val="00ED6234"/>
    <w:rsid w:val="00ED692E"/>
    <w:rsid w:val="00ED69AF"/>
    <w:rsid w:val="00ED6B3B"/>
    <w:rsid w:val="00ED6C5A"/>
    <w:rsid w:val="00ED793C"/>
    <w:rsid w:val="00ED7D7F"/>
    <w:rsid w:val="00EE023D"/>
    <w:rsid w:val="00EE0B35"/>
    <w:rsid w:val="00EE116C"/>
    <w:rsid w:val="00EE13CF"/>
    <w:rsid w:val="00EE1847"/>
    <w:rsid w:val="00EE240E"/>
    <w:rsid w:val="00EE2560"/>
    <w:rsid w:val="00EE3092"/>
    <w:rsid w:val="00EE3421"/>
    <w:rsid w:val="00EE3546"/>
    <w:rsid w:val="00EE420A"/>
    <w:rsid w:val="00EE44CE"/>
    <w:rsid w:val="00EE5362"/>
    <w:rsid w:val="00EE5654"/>
    <w:rsid w:val="00EE5962"/>
    <w:rsid w:val="00EE5A91"/>
    <w:rsid w:val="00EE66C0"/>
    <w:rsid w:val="00EE688E"/>
    <w:rsid w:val="00EE6A6D"/>
    <w:rsid w:val="00EE6AA2"/>
    <w:rsid w:val="00EE6D65"/>
    <w:rsid w:val="00EE6E9F"/>
    <w:rsid w:val="00EE7AEE"/>
    <w:rsid w:val="00EF034B"/>
    <w:rsid w:val="00EF03E2"/>
    <w:rsid w:val="00EF0692"/>
    <w:rsid w:val="00EF0B24"/>
    <w:rsid w:val="00EF0B67"/>
    <w:rsid w:val="00EF141D"/>
    <w:rsid w:val="00EF171E"/>
    <w:rsid w:val="00EF1ADE"/>
    <w:rsid w:val="00EF1B0A"/>
    <w:rsid w:val="00EF1B85"/>
    <w:rsid w:val="00EF270E"/>
    <w:rsid w:val="00EF359F"/>
    <w:rsid w:val="00EF371A"/>
    <w:rsid w:val="00EF37D0"/>
    <w:rsid w:val="00EF3A19"/>
    <w:rsid w:val="00EF3F25"/>
    <w:rsid w:val="00EF43CE"/>
    <w:rsid w:val="00EF4C90"/>
    <w:rsid w:val="00EF4C92"/>
    <w:rsid w:val="00EF4E55"/>
    <w:rsid w:val="00EF54C6"/>
    <w:rsid w:val="00EF58DD"/>
    <w:rsid w:val="00EF5931"/>
    <w:rsid w:val="00EF5ADC"/>
    <w:rsid w:val="00EF6906"/>
    <w:rsid w:val="00EF7069"/>
    <w:rsid w:val="00EF77AF"/>
    <w:rsid w:val="00EF7F8B"/>
    <w:rsid w:val="00F0002B"/>
    <w:rsid w:val="00F00120"/>
    <w:rsid w:val="00F004B5"/>
    <w:rsid w:val="00F01146"/>
    <w:rsid w:val="00F0153C"/>
    <w:rsid w:val="00F01C81"/>
    <w:rsid w:val="00F02115"/>
    <w:rsid w:val="00F022CE"/>
    <w:rsid w:val="00F02541"/>
    <w:rsid w:val="00F025FC"/>
    <w:rsid w:val="00F02CBA"/>
    <w:rsid w:val="00F02F64"/>
    <w:rsid w:val="00F0300F"/>
    <w:rsid w:val="00F032E6"/>
    <w:rsid w:val="00F03814"/>
    <w:rsid w:val="00F03BBA"/>
    <w:rsid w:val="00F03C69"/>
    <w:rsid w:val="00F03D11"/>
    <w:rsid w:val="00F04489"/>
    <w:rsid w:val="00F048A6"/>
    <w:rsid w:val="00F04B5E"/>
    <w:rsid w:val="00F04EA7"/>
    <w:rsid w:val="00F057A8"/>
    <w:rsid w:val="00F05E71"/>
    <w:rsid w:val="00F063A5"/>
    <w:rsid w:val="00F06801"/>
    <w:rsid w:val="00F07A09"/>
    <w:rsid w:val="00F11178"/>
    <w:rsid w:val="00F11EC1"/>
    <w:rsid w:val="00F12DD6"/>
    <w:rsid w:val="00F12E4F"/>
    <w:rsid w:val="00F1390C"/>
    <w:rsid w:val="00F13E69"/>
    <w:rsid w:val="00F13E83"/>
    <w:rsid w:val="00F14D98"/>
    <w:rsid w:val="00F14F2E"/>
    <w:rsid w:val="00F159C1"/>
    <w:rsid w:val="00F15C7D"/>
    <w:rsid w:val="00F16662"/>
    <w:rsid w:val="00F16899"/>
    <w:rsid w:val="00F16A12"/>
    <w:rsid w:val="00F16E95"/>
    <w:rsid w:val="00F17464"/>
    <w:rsid w:val="00F175A3"/>
    <w:rsid w:val="00F17A9E"/>
    <w:rsid w:val="00F17FC9"/>
    <w:rsid w:val="00F20C5E"/>
    <w:rsid w:val="00F20F8B"/>
    <w:rsid w:val="00F2104A"/>
    <w:rsid w:val="00F21187"/>
    <w:rsid w:val="00F21341"/>
    <w:rsid w:val="00F216FD"/>
    <w:rsid w:val="00F22722"/>
    <w:rsid w:val="00F22A54"/>
    <w:rsid w:val="00F22A7B"/>
    <w:rsid w:val="00F2353A"/>
    <w:rsid w:val="00F23A49"/>
    <w:rsid w:val="00F251D6"/>
    <w:rsid w:val="00F25739"/>
    <w:rsid w:val="00F257EF"/>
    <w:rsid w:val="00F25868"/>
    <w:rsid w:val="00F26AC6"/>
    <w:rsid w:val="00F26B34"/>
    <w:rsid w:val="00F2722A"/>
    <w:rsid w:val="00F27712"/>
    <w:rsid w:val="00F27A40"/>
    <w:rsid w:val="00F301B9"/>
    <w:rsid w:val="00F30575"/>
    <w:rsid w:val="00F30A22"/>
    <w:rsid w:val="00F30C5B"/>
    <w:rsid w:val="00F31CC2"/>
    <w:rsid w:val="00F31FB7"/>
    <w:rsid w:val="00F32318"/>
    <w:rsid w:val="00F32BD1"/>
    <w:rsid w:val="00F32BED"/>
    <w:rsid w:val="00F33733"/>
    <w:rsid w:val="00F33D95"/>
    <w:rsid w:val="00F342DE"/>
    <w:rsid w:val="00F35242"/>
    <w:rsid w:val="00F352D2"/>
    <w:rsid w:val="00F356BE"/>
    <w:rsid w:val="00F35F50"/>
    <w:rsid w:val="00F365C6"/>
    <w:rsid w:val="00F369D6"/>
    <w:rsid w:val="00F36A1D"/>
    <w:rsid w:val="00F36ACD"/>
    <w:rsid w:val="00F36C80"/>
    <w:rsid w:val="00F37064"/>
    <w:rsid w:val="00F37291"/>
    <w:rsid w:val="00F37567"/>
    <w:rsid w:val="00F3763C"/>
    <w:rsid w:val="00F378FE"/>
    <w:rsid w:val="00F37EBC"/>
    <w:rsid w:val="00F40245"/>
    <w:rsid w:val="00F4036D"/>
    <w:rsid w:val="00F405AE"/>
    <w:rsid w:val="00F40719"/>
    <w:rsid w:val="00F40888"/>
    <w:rsid w:val="00F40B0F"/>
    <w:rsid w:val="00F40EA3"/>
    <w:rsid w:val="00F41122"/>
    <w:rsid w:val="00F41616"/>
    <w:rsid w:val="00F41839"/>
    <w:rsid w:val="00F41969"/>
    <w:rsid w:val="00F41A73"/>
    <w:rsid w:val="00F425EA"/>
    <w:rsid w:val="00F427E6"/>
    <w:rsid w:val="00F42B7B"/>
    <w:rsid w:val="00F42BE9"/>
    <w:rsid w:val="00F434C9"/>
    <w:rsid w:val="00F43FE0"/>
    <w:rsid w:val="00F44079"/>
    <w:rsid w:val="00F44278"/>
    <w:rsid w:val="00F44427"/>
    <w:rsid w:val="00F445A3"/>
    <w:rsid w:val="00F44A8C"/>
    <w:rsid w:val="00F44D06"/>
    <w:rsid w:val="00F44EF7"/>
    <w:rsid w:val="00F456A7"/>
    <w:rsid w:val="00F4773E"/>
    <w:rsid w:val="00F50F5B"/>
    <w:rsid w:val="00F51324"/>
    <w:rsid w:val="00F515E8"/>
    <w:rsid w:val="00F517E1"/>
    <w:rsid w:val="00F51B65"/>
    <w:rsid w:val="00F51DE6"/>
    <w:rsid w:val="00F51E25"/>
    <w:rsid w:val="00F51FBB"/>
    <w:rsid w:val="00F52AAB"/>
    <w:rsid w:val="00F52AF7"/>
    <w:rsid w:val="00F52DC6"/>
    <w:rsid w:val="00F52EB6"/>
    <w:rsid w:val="00F52F49"/>
    <w:rsid w:val="00F53B46"/>
    <w:rsid w:val="00F5482E"/>
    <w:rsid w:val="00F551A4"/>
    <w:rsid w:val="00F551AB"/>
    <w:rsid w:val="00F55260"/>
    <w:rsid w:val="00F55592"/>
    <w:rsid w:val="00F557BA"/>
    <w:rsid w:val="00F5594F"/>
    <w:rsid w:val="00F5619F"/>
    <w:rsid w:val="00F562D0"/>
    <w:rsid w:val="00F56356"/>
    <w:rsid w:val="00F56481"/>
    <w:rsid w:val="00F60021"/>
    <w:rsid w:val="00F60E62"/>
    <w:rsid w:val="00F61686"/>
    <w:rsid w:val="00F6229D"/>
    <w:rsid w:val="00F62321"/>
    <w:rsid w:val="00F6246E"/>
    <w:rsid w:val="00F6251D"/>
    <w:rsid w:val="00F6316B"/>
    <w:rsid w:val="00F633F3"/>
    <w:rsid w:val="00F63403"/>
    <w:rsid w:val="00F63FED"/>
    <w:rsid w:val="00F64381"/>
    <w:rsid w:val="00F646FB"/>
    <w:rsid w:val="00F64A9F"/>
    <w:rsid w:val="00F65376"/>
    <w:rsid w:val="00F657A1"/>
    <w:rsid w:val="00F657D2"/>
    <w:rsid w:val="00F65AE0"/>
    <w:rsid w:val="00F66971"/>
    <w:rsid w:val="00F67631"/>
    <w:rsid w:val="00F67B5C"/>
    <w:rsid w:val="00F67D8F"/>
    <w:rsid w:val="00F67E75"/>
    <w:rsid w:val="00F70018"/>
    <w:rsid w:val="00F7085C"/>
    <w:rsid w:val="00F70B4A"/>
    <w:rsid w:val="00F71151"/>
    <w:rsid w:val="00F7119A"/>
    <w:rsid w:val="00F71243"/>
    <w:rsid w:val="00F717FC"/>
    <w:rsid w:val="00F72571"/>
    <w:rsid w:val="00F72DA5"/>
    <w:rsid w:val="00F74554"/>
    <w:rsid w:val="00F74561"/>
    <w:rsid w:val="00F74A3D"/>
    <w:rsid w:val="00F74E38"/>
    <w:rsid w:val="00F7520F"/>
    <w:rsid w:val="00F761B8"/>
    <w:rsid w:val="00F7623E"/>
    <w:rsid w:val="00F764F1"/>
    <w:rsid w:val="00F76906"/>
    <w:rsid w:val="00F76AEB"/>
    <w:rsid w:val="00F76BBD"/>
    <w:rsid w:val="00F76D6F"/>
    <w:rsid w:val="00F76DAE"/>
    <w:rsid w:val="00F77124"/>
    <w:rsid w:val="00F778B0"/>
    <w:rsid w:val="00F7792E"/>
    <w:rsid w:val="00F779C5"/>
    <w:rsid w:val="00F80A95"/>
    <w:rsid w:val="00F80B33"/>
    <w:rsid w:val="00F80EBD"/>
    <w:rsid w:val="00F8112C"/>
    <w:rsid w:val="00F8186E"/>
    <w:rsid w:val="00F81A39"/>
    <w:rsid w:val="00F81B4D"/>
    <w:rsid w:val="00F81BB2"/>
    <w:rsid w:val="00F81EDE"/>
    <w:rsid w:val="00F82B42"/>
    <w:rsid w:val="00F82E38"/>
    <w:rsid w:val="00F8307E"/>
    <w:rsid w:val="00F830C3"/>
    <w:rsid w:val="00F83293"/>
    <w:rsid w:val="00F833F6"/>
    <w:rsid w:val="00F8352C"/>
    <w:rsid w:val="00F83BC2"/>
    <w:rsid w:val="00F83E4C"/>
    <w:rsid w:val="00F84038"/>
    <w:rsid w:val="00F84086"/>
    <w:rsid w:val="00F84229"/>
    <w:rsid w:val="00F848A4"/>
    <w:rsid w:val="00F84B03"/>
    <w:rsid w:val="00F84DBD"/>
    <w:rsid w:val="00F85144"/>
    <w:rsid w:val="00F8544A"/>
    <w:rsid w:val="00F8570D"/>
    <w:rsid w:val="00F857DB"/>
    <w:rsid w:val="00F85A6C"/>
    <w:rsid w:val="00F85FB8"/>
    <w:rsid w:val="00F8619C"/>
    <w:rsid w:val="00F8635F"/>
    <w:rsid w:val="00F86DF6"/>
    <w:rsid w:val="00F87551"/>
    <w:rsid w:val="00F87584"/>
    <w:rsid w:val="00F87E97"/>
    <w:rsid w:val="00F904E2"/>
    <w:rsid w:val="00F907B7"/>
    <w:rsid w:val="00F90B8D"/>
    <w:rsid w:val="00F90D80"/>
    <w:rsid w:val="00F90D84"/>
    <w:rsid w:val="00F91006"/>
    <w:rsid w:val="00F91549"/>
    <w:rsid w:val="00F916B9"/>
    <w:rsid w:val="00F9184B"/>
    <w:rsid w:val="00F919A7"/>
    <w:rsid w:val="00F91B02"/>
    <w:rsid w:val="00F923AF"/>
    <w:rsid w:val="00F92EC1"/>
    <w:rsid w:val="00F932F6"/>
    <w:rsid w:val="00F934B6"/>
    <w:rsid w:val="00F93691"/>
    <w:rsid w:val="00F938CE"/>
    <w:rsid w:val="00F93BAE"/>
    <w:rsid w:val="00F946F5"/>
    <w:rsid w:val="00F94BCB"/>
    <w:rsid w:val="00F94C47"/>
    <w:rsid w:val="00F95710"/>
    <w:rsid w:val="00F9595A"/>
    <w:rsid w:val="00F9659B"/>
    <w:rsid w:val="00F968E7"/>
    <w:rsid w:val="00F96964"/>
    <w:rsid w:val="00F96AA9"/>
    <w:rsid w:val="00F96C4B"/>
    <w:rsid w:val="00F96D0D"/>
    <w:rsid w:val="00F973DD"/>
    <w:rsid w:val="00F97425"/>
    <w:rsid w:val="00F97F68"/>
    <w:rsid w:val="00FA0148"/>
    <w:rsid w:val="00FA0421"/>
    <w:rsid w:val="00FA0912"/>
    <w:rsid w:val="00FA0C66"/>
    <w:rsid w:val="00FA1956"/>
    <w:rsid w:val="00FA1CDA"/>
    <w:rsid w:val="00FA1DCF"/>
    <w:rsid w:val="00FA1DD9"/>
    <w:rsid w:val="00FA1E63"/>
    <w:rsid w:val="00FA2310"/>
    <w:rsid w:val="00FA2BD2"/>
    <w:rsid w:val="00FA2CA8"/>
    <w:rsid w:val="00FA2EB8"/>
    <w:rsid w:val="00FA3389"/>
    <w:rsid w:val="00FA3476"/>
    <w:rsid w:val="00FA361A"/>
    <w:rsid w:val="00FA42B1"/>
    <w:rsid w:val="00FA4423"/>
    <w:rsid w:val="00FA44E5"/>
    <w:rsid w:val="00FA4CA1"/>
    <w:rsid w:val="00FA5305"/>
    <w:rsid w:val="00FA56BC"/>
    <w:rsid w:val="00FA5C31"/>
    <w:rsid w:val="00FA65E2"/>
    <w:rsid w:val="00FA669E"/>
    <w:rsid w:val="00FA6798"/>
    <w:rsid w:val="00FA6919"/>
    <w:rsid w:val="00FA69E6"/>
    <w:rsid w:val="00FA75C6"/>
    <w:rsid w:val="00FA7886"/>
    <w:rsid w:val="00FA7E49"/>
    <w:rsid w:val="00FB0A5A"/>
    <w:rsid w:val="00FB0C10"/>
    <w:rsid w:val="00FB1F99"/>
    <w:rsid w:val="00FB21CE"/>
    <w:rsid w:val="00FB257D"/>
    <w:rsid w:val="00FB2844"/>
    <w:rsid w:val="00FB3364"/>
    <w:rsid w:val="00FB3C36"/>
    <w:rsid w:val="00FB40AD"/>
    <w:rsid w:val="00FB423D"/>
    <w:rsid w:val="00FB4280"/>
    <w:rsid w:val="00FB455E"/>
    <w:rsid w:val="00FB4B60"/>
    <w:rsid w:val="00FB5214"/>
    <w:rsid w:val="00FB57F8"/>
    <w:rsid w:val="00FB580D"/>
    <w:rsid w:val="00FB5B7F"/>
    <w:rsid w:val="00FB621A"/>
    <w:rsid w:val="00FB645A"/>
    <w:rsid w:val="00FB68DE"/>
    <w:rsid w:val="00FB6B05"/>
    <w:rsid w:val="00FB6DA7"/>
    <w:rsid w:val="00FB75AE"/>
    <w:rsid w:val="00FB77D8"/>
    <w:rsid w:val="00FB7B14"/>
    <w:rsid w:val="00FB7CCE"/>
    <w:rsid w:val="00FC0104"/>
    <w:rsid w:val="00FC01C8"/>
    <w:rsid w:val="00FC0519"/>
    <w:rsid w:val="00FC0A92"/>
    <w:rsid w:val="00FC0D8F"/>
    <w:rsid w:val="00FC0F61"/>
    <w:rsid w:val="00FC145B"/>
    <w:rsid w:val="00FC1577"/>
    <w:rsid w:val="00FC198F"/>
    <w:rsid w:val="00FC2CA4"/>
    <w:rsid w:val="00FC2DEE"/>
    <w:rsid w:val="00FC3501"/>
    <w:rsid w:val="00FC36A1"/>
    <w:rsid w:val="00FC3790"/>
    <w:rsid w:val="00FC39FD"/>
    <w:rsid w:val="00FC3D67"/>
    <w:rsid w:val="00FC423D"/>
    <w:rsid w:val="00FC46CF"/>
    <w:rsid w:val="00FC5027"/>
    <w:rsid w:val="00FC50C7"/>
    <w:rsid w:val="00FC511D"/>
    <w:rsid w:val="00FC5547"/>
    <w:rsid w:val="00FC6034"/>
    <w:rsid w:val="00FC68BC"/>
    <w:rsid w:val="00FC7366"/>
    <w:rsid w:val="00FC74ED"/>
    <w:rsid w:val="00FC75E3"/>
    <w:rsid w:val="00FC765C"/>
    <w:rsid w:val="00FD035C"/>
    <w:rsid w:val="00FD07EF"/>
    <w:rsid w:val="00FD097A"/>
    <w:rsid w:val="00FD0E3D"/>
    <w:rsid w:val="00FD105B"/>
    <w:rsid w:val="00FD11D4"/>
    <w:rsid w:val="00FD1321"/>
    <w:rsid w:val="00FD1DD0"/>
    <w:rsid w:val="00FD217B"/>
    <w:rsid w:val="00FD225D"/>
    <w:rsid w:val="00FD2384"/>
    <w:rsid w:val="00FD29D4"/>
    <w:rsid w:val="00FD2E6C"/>
    <w:rsid w:val="00FD42AA"/>
    <w:rsid w:val="00FD42FC"/>
    <w:rsid w:val="00FD4C24"/>
    <w:rsid w:val="00FD4C88"/>
    <w:rsid w:val="00FD4F32"/>
    <w:rsid w:val="00FD59ED"/>
    <w:rsid w:val="00FD5A7E"/>
    <w:rsid w:val="00FD5CAF"/>
    <w:rsid w:val="00FD66A4"/>
    <w:rsid w:val="00FD66C6"/>
    <w:rsid w:val="00FD6B00"/>
    <w:rsid w:val="00FD749B"/>
    <w:rsid w:val="00FD7AE2"/>
    <w:rsid w:val="00FD7C9B"/>
    <w:rsid w:val="00FD7D34"/>
    <w:rsid w:val="00FD7E19"/>
    <w:rsid w:val="00FD7F27"/>
    <w:rsid w:val="00FE035B"/>
    <w:rsid w:val="00FE0ADF"/>
    <w:rsid w:val="00FE0F68"/>
    <w:rsid w:val="00FE11F6"/>
    <w:rsid w:val="00FE125C"/>
    <w:rsid w:val="00FE1F3B"/>
    <w:rsid w:val="00FE24F8"/>
    <w:rsid w:val="00FE2BEA"/>
    <w:rsid w:val="00FE3482"/>
    <w:rsid w:val="00FE3549"/>
    <w:rsid w:val="00FE3A2D"/>
    <w:rsid w:val="00FE452E"/>
    <w:rsid w:val="00FE4670"/>
    <w:rsid w:val="00FE4827"/>
    <w:rsid w:val="00FE4963"/>
    <w:rsid w:val="00FE4DFC"/>
    <w:rsid w:val="00FE4FA3"/>
    <w:rsid w:val="00FE58C7"/>
    <w:rsid w:val="00FE5C7B"/>
    <w:rsid w:val="00FE6060"/>
    <w:rsid w:val="00FE650C"/>
    <w:rsid w:val="00FE7B6C"/>
    <w:rsid w:val="00FF0201"/>
    <w:rsid w:val="00FF03C0"/>
    <w:rsid w:val="00FF0CAF"/>
    <w:rsid w:val="00FF1E60"/>
    <w:rsid w:val="00FF1FE7"/>
    <w:rsid w:val="00FF2806"/>
    <w:rsid w:val="00FF2AED"/>
    <w:rsid w:val="00FF2D9A"/>
    <w:rsid w:val="00FF34CB"/>
    <w:rsid w:val="00FF3663"/>
    <w:rsid w:val="00FF3B7A"/>
    <w:rsid w:val="00FF4269"/>
    <w:rsid w:val="00FF4275"/>
    <w:rsid w:val="00FF4621"/>
    <w:rsid w:val="00FF49B3"/>
    <w:rsid w:val="00FF4A4C"/>
    <w:rsid w:val="00FF4C15"/>
    <w:rsid w:val="00FF4F2F"/>
    <w:rsid w:val="00FF5955"/>
    <w:rsid w:val="00FF5BFB"/>
    <w:rsid w:val="00FF5E54"/>
    <w:rsid w:val="00FF69EA"/>
    <w:rsid w:val="00FF70F1"/>
    <w:rsid w:val="00FF754D"/>
    <w:rsid w:val="00FF761C"/>
    <w:rsid w:val="00FF7EB4"/>
    <w:rsid w:val="00FF7E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22"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47BD5"/>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6535A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6535AB"/>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rsid w:val="001D4F09"/>
    <w:rPr>
      <w:spacing w:val="6"/>
      <w:sz w:val="26"/>
      <w:szCs w:val="24"/>
      <w:lang w:val="es-ES_tradnl" w:eastAsia="en-US" w:bidi="ar-SA"/>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character" w:customStyle="1" w:styleId="atitulo2Car">
    <w:name w:val="atitulo2 Car"/>
    <w:link w:val="atitulo2"/>
    <w:uiPriority w:val="99"/>
    <w:rsid w:val="00882BEB"/>
    <w:rPr>
      <w:rFonts w:ascii="Arial" w:hAnsi="Arial"/>
      <w:bCs/>
      <w:iCs/>
      <w:color w:val="000000"/>
      <w:spacing w:val="10"/>
      <w:kern w:val="28"/>
      <w:sz w:val="25"/>
      <w:szCs w:val="26"/>
      <w:lang w:val="es-ES_tradnl" w:eastAsia="en-US" w:bidi="ar-SA"/>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FA7886"/>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54484F"/>
    <w:pPr>
      <w:tabs>
        <w:tab w:val="right" w:leader="dot" w:pos="8930"/>
      </w:tabs>
      <w:spacing w:after="0"/>
      <w:ind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Epgrafe">
    <w:name w:val="caption"/>
    <w:basedOn w:val="Normal"/>
    <w:next w:val="Normal"/>
    <w:uiPriority w:val="99"/>
    <w:qFormat/>
    <w:rsid w:val="00891D73"/>
    <w:rPr>
      <w:b/>
      <w:bCs/>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Estndar">
    <w:name w:val="Estándar"/>
    <w:rsid w:val="00882BEB"/>
    <w:pPr>
      <w:snapToGrid w:val="0"/>
    </w:pPr>
    <w:rPr>
      <w:rFonts w:ascii="CG Omega" w:hAnsi="CG Omega"/>
      <w:color w:val="000000"/>
      <w:sz w:val="22"/>
    </w:rPr>
  </w:style>
  <w:style w:type="paragraph" w:customStyle="1" w:styleId="tabla10">
    <w:name w:val="tabla10"/>
    <w:rsid w:val="00882BEB"/>
    <w:pPr>
      <w:tabs>
        <w:tab w:val="left" w:pos="567"/>
        <w:tab w:val="left" w:pos="1134"/>
      </w:tabs>
      <w:snapToGrid w:val="0"/>
    </w:pPr>
    <w:rPr>
      <w:rFonts w:ascii="CG Times" w:hAnsi="CG Times"/>
      <w:color w:val="000000"/>
    </w:rPr>
  </w:style>
  <w:style w:type="paragraph" w:styleId="NormalWeb">
    <w:name w:val="Normal (Web)"/>
    <w:basedOn w:val="Normal"/>
    <w:uiPriority w:val="99"/>
    <w:rsid w:val="00882BEB"/>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semiHidden/>
    <w:rsid w:val="00882BEB"/>
  </w:style>
  <w:style w:type="character" w:customStyle="1" w:styleId="TextocomentarioCar">
    <w:name w:val="Texto comentario Car"/>
    <w:link w:val="Textocomentario"/>
    <w:semiHidden/>
    <w:rsid w:val="00882BEB"/>
    <w:rPr>
      <w:lang w:val="es-ES_tradnl" w:eastAsia="en-US" w:bidi="ar-SA"/>
    </w:rPr>
  </w:style>
  <w:style w:type="paragraph" w:styleId="Asuntodelcomentario">
    <w:name w:val="annotation subject"/>
    <w:basedOn w:val="Textocomentario"/>
    <w:next w:val="Textocomentario"/>
    <w:semiHidden/>
    <w:rsid w:val="00882BEB"/>
    <w:rPr>
      <w:b/>
      <w:bCs/>
    </w:rPr>
  </w:style>
  <w:style w:type="paragraph" w:styleId="Mapadeldocumento">
    <w:name w:val="Document Map"/>
    <w:basedOn w:val="Normal"/>
    <w:semiHidden/>
    <w:rsid w:val="00882BEB"/>
    <w:pPr>
      <w:shd w:val="clear" w:color="auto" w:fill="000080"/>
    </w:pPr>
    <w:rPr>
      <w:rFonts w:ascii="Tahoma" w:hAnsi="Tahoma" w:cs="Tahoma"/>
    </w:rPr>
  </w:style>
  <w:style w:type="paragraph" w:styleId="Textonotapie">
    <w:name w:val="footnote text"/>
    <w:basedOn w:val="Normal"/>
    <w:link w:val="TextonotapieCar"/>
    <w:rsid w:val="00882BEB"/>
  </w:style>
  <w:style w:type="character" w:customStyle="1" w:styleId="TextonotapieCar">
    <w:name w:val="Texto nota pie Car"/>
    <w:link w:val="Textonotapie"/>
    <w:rsid w:val="00882BEB"/>
    <w:rPr>
      <w:lang w:val="es-ES_tradnl" w:eastAsia="en-US" w:bidi="ar-SA"/>
    </w:rPr>
  </w:style>
  <w:style w:type="character" w:styleId="Refdenotaalpie">
    <w:name w:val="footnote reference"/>
    <w:rsid w:val="00882BEB"/>
    <w:rPr>
      <w:vertAlign w:val="superscript"/>
    </w:rPr>
  </w:style>
  <w:style w:type="paragraph" w:styleId="Prrafodelista">
    <w:name w:val="List Paragraph"/>
    <w:basedOn w:val="Normal"/>
    <w:uiPriority w:val="34"/>
    <w:qFormat/>
    <w:rsid w:val="002E399F"/>
    <w:pPr>
      <w:ind w:left="720"/>
      <w:contextualSpacing/>
    </w:pPr>
  </w:style>
  <w:style w:type="character" w:customStyle="1" w:styleId="PiedepginaCar">
    <w:name w:val="Pie de página Car"/>
    <w:basedOn w:val="Fuentedeprrafopredeter"/>
    <w:link w:val="Piedepgina"/>
    <w:uiPriority w:val="99"/>
    <w:rsid w:val="00667D3D"/>
    <w:rPr>
      <w:spacing w:val="6"/>
      <w:lang w:val="es-ES_tradnl" w:eastAsia="en-US"/>
    </w:rPr>
  </w:style>
  <w:style w:type="character" w:customStyle="1" w:styleId="atitulo1Car">
    <w:name w:val="atitulo1 Car"/>
    <w:link w:val="atitulo1"/>
    <w:uiPriority w:val="99"/>
    <w:rsid w:val="0066012B"/>
    <w:rPr>
      <w:rFonts w:ascii="Arial" w:hAnsi="Arial"/>
      <w:b/>
      <w:color w:val="000000"/>
      <w:kern w:val="28"/>
      <w:sz w:val="25"/>
      <w:szCs w:val="26"/>
      <w:lang w:val="es-ES_tradnl" w:eastAsia="en-US"/>
    </w:rPr>
  </w:style>
  <w:style w:type="paragraph" w:customStyle="1" w:styleId="Default">
    <w:name w:val="Default"/>
    <w:rsid w:val="006C2717"/>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6C2717"/>
    <w:rPr>
      <w:color w:val="auto"/>
    </w:rPr>
  </w:style>
  <w:style w:type="paragraph" w:styleId="Textoindependiente">
    <w:name w:val="Body Text"/>
    <w:basedOn w:val="Normal"/>
    <w:link w:val="TextoindependienteCar"/>
    <w:rsid w:val="00794AA5"/>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794AA5"/>
    <w:rPr>
      <w:rFonts w:ascii="Arial" w:hAnsi="Arial"/>
      <w:sz w:val="24"/>
      <w:lang w:val="es-ES_tradnl"/>
    </w:rPr>
  </w:style>
  <w:style w:type="paragraph" w:customStyle="1" w:styleId="Pa7">
    <w:name w:val="Pa7"/>
    <w:basedOn w:val="Default"/>
    <w:next w:val="Default"/>
    <w:uiPriority w:val="99"/>
    <w:rsid w:val="00B82623"/>
    <w:pPr>
      <w:spacing w:line="201" w:lineRule="atLeast"/>
    </w:pPr>
    <w:rPr>
      <w:color w:val="auto"/>
    </w:rPr>
  </w:style>
  <w:style w:type="character" w:customStyle="1" w:styleId="corchete-llamada1">
    <w:name w:val="corchete-llamada1"/>
    <w:basedOn w:val="Fuentedeprrafopredeter"/>
    <w:rsid w:val="00974DD3"/>
    <w:rPr>
      <w:vanish/>
      <w:webHidden w:val="0"/>
      <w:specVanish w:val="0"/>
    </w:rPr>
  </w:style>
  <w:style w:type="paragraph" w:customStyle="1" w:styleId="xl1">
    <w:name w:val="xl1"/>
    <w:basedOn w:val="Normal"/>
    <w:rsid w:val="00870FA1"/>
    <w:pPr>
      <w:spacing w:after="240"/>
      <w:ind w:left="300" w:right="75" w:hanging="225"/>
    </w:pPr>
    <w:rPr>
      <w:sz w:val="24"/>
      <w:szCs w:val="24"/>
      <w:lang w:val="es-ES" w:eastAsia="es-ES"/>
    </w:rPr>
  </w:style>
  <w:style w:type="paragraph" w:customStyle="1" w:styleId="xl2">
    <w:name w:val="xl2"/>
    <w:basedOn w:val="Normal"/>
    <w:rsid w:val="00E2009D"/>
    <w:pPr>
      <w:spacing w:after="240"/>
      <w:ind w:left="525" w:right="75" w:hanging="225"/>
    </w:pPr>
    <w:rPr>
      <w:sz w:val="24"/>
      <w:szCs w:val="24"/>
      <w:lang w:val="es-ES" w:eastAsia="es-ES"/>
    </w:rPr>
  </w:style>
  <w:style w:type="numbering" w:customStyle="1" w:styleId="Sinlista1">
    <w:name w:val="Sin lista1"/>
    <w:next w:val="Sinlista"/>
    <w:uiPriority w:val="99"/>
    <w:semiHidden/>
    <w:unhideWhenUsed/>
    <w:rsid w:val="00FC2CA4"/>
  </w:style>
  <w:style w:type="table" w:styleId="Sombreadoclaro">
    <w:name w:val="Light Shading"/>
    <w:aliases w:val="tabla informe"/>
    <w:basedOn w:val="Tablanormal"/>
    <w:uiPriority w:val="60"/>
    <w:rsid w:val="00FC2CA4"/>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9197CF" w:themeFill="text2" w:themeFillTint="66"/>
      </w:tcPr>
    </w:tblStylePr>
    <w:tblStylePr w:type="lastRow">
      <w:pPr>
        <w:spacing w:before="0" w:after="0" w:line="240" w:lineRule="auto"/>
        <w:jc w:val="right"/>
      </w:pPr>
      <w:rPr>
        <w:rFonts w:ascii="Arial" w:hAnsi="Arial"/>
        <w:b w:val="0"/>
        <w:bCs/>
        <w:sz w:val="18"/>
      </w:rPr>
      <w:tblPr/>
      <w:tcPr>
        <w:shd w:val="clear" w:color="auto" w:fill="9197CF"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FC2C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FC2CA4"/>
    <w:rPr>
      <w:rFonts w:ascii="Tahoma" w:hAnsi="Tahoma" w:cs="Tahoma"/>
      <w:sz w:val="16"/>
      <w:szCs w:val="16"/>
      <w:lang w:val="es-ES_tradnl" w:eastAsia="en-US"/>
    </w:rPr>
  </w:style>
  <w:style w:type="character" w:customStyle="1" w:styleId="Ttulo4Car">
    <w:name w:val="Título 4 Car"/>
    <w:basedOn w:val="Fuentedeprrafopredeter"/>
    <w:link w:val="Ttulo4"/>
    <w:uiPriority w:val="99"/>
    <w:rsid w:val="006535AB"/>
    <w:rPr>
      <w:b/>
      <w:bCs/>
      <w:sz w:val="28"/>
      <w:szCs w:val="28"/>
      <w:lang w:val="es-ES_tradnl" w:eastAsia="en-US"/>
    </w:rPr>
  </w:style>
  <w:style w:type="character" w:customStyle="1" w:styleId="Ttulo7Car">
    <w:name w:val="Título 7 Car"/>
    <w:basedOn w:val="Fuentedeprrafopredeter"/>
    <w:link w:val="Ttulo7"/>
    <w:uiPriority w:val="99"/>
    <w:rsid w:val="006535AB"/>
    <w:rPr>
      <w:sz w:val="52"/>
    </w:rPr>
  </w:style>
  <w:style w:type="character" w:customStyle="1" w:styleId="Ttulo1Car">
    <w:name w:val="Título 1 Car"/>
    <w:basedOn w:val="Fuentedeprrafopredeter"/>
    <w:link w:val="Ttulo1"/>
    <w:uiPriority w:val="99"/>
    <w:rsid w:val="006535AB"/>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6535AB"/>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6535AB"/>
    <w:rPr>
      <w:rFonts w:ascii="Arial" w:hAnsi="Arial" w:cs="Arial"/>
      <w:b/>
      <w:bCs/>
      <w:szCs w:val="26"/>
      <w:lang w:val="es-ES_tradnl" w:eastAsia="en-US"/>
    </w:rPr>
  </w:style>
  <w:style w:type="character" w:customStyle="1" w:styleId="Ttulo5Car">
    <w:name w:val="Título 5 Car"/>
    <w:basedOn w:val="Fuentedeprrafopredeter"/>
    <w:link w:val="Ttulo5"/>
    <w:uiPriority w:val="99"/>
    <w:rsid w:val="006535AB"/>
    <w:rPr>
      <w:b/>
      <w:sz w:val="28"/>
      <w:lang w:eastAsia="en-US"/>
    </w:rPr>
  </w:style>
  <w:style w:type="paragraph" w:styleId="Ttulo">
    <w:name w:val="Title"/>
    <w:basedOn w:val="Normal"/>
    <w:next w:val="Normal"/>
    <w:link w:val="TtuloCar"/>
    <w:uiPriority w:val="10"/>
    <w:qFormat/>
    <w:rsid w:val="006535AB"/>
    <w:pPr>
      <w:pBdr>
        <w:bottom w:val="single" w:sz="8" w:space="4" w:color="629DD1"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tuloCar">
    <w:name w:val="Título Car"/>
    <w:basedOn w:val="Fuentedeprrafopredeter"/>
    <w:link w:val="Ttulo"/>
    <w:uiPriority w:val="10"/>
    <w:rsid w:val="006535AB"/>
    <w:rPr>
      <w:rFonts w:asciiTheme="majorHAnsi" w:eastAsiaTheme="majorEastAsia" w:hAnsiTheme="majorHAnsi" w:cstheme="majorBidi"/>
      <w:color w:val="1B1D3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6535AB"/>
    <w:pPr>
      <w:numPr>
        <w:ilvl w:val="1"/>
      </w:numPr>
      <w:ind w:firstLine="567"/>
    </w:pPr>
    <w:rPr>
      <w:rFonts w:asciiTheme="majorHAnsi" w:eastAsiaTheme="majorEastAsia" w:hAnsiTheme="majorHAnsi" w:cstheme="majorBidi"/>
      <w:i/>
      <w:iCs/>
      <w:color w:val="629DD1" w:themeColor="accent1"/>
      <w:spacing w:val="15"/>
      <w:sz w:val="24"/>
      <w:szCs w:val="24"/>
    </w:rPr>
  </w:style>
  <w:style w:type="character" w:customStyle="1" w:styleId="SubttuloCar">
    <w:name w:val="Subtítulo Car"/>
    <w:basedOn w:val="Fuentedeprrafopredeter"/>
    <w:link w:val="Subttulo"/>
    <w:uiPriority w:val="11"/>
    <w:rsid w:val="006535AB"/>
    <w:rPr>
      <w:rFonts w:asciiTheme="majorHAnsi" w:eastAsiaTheme="majorEastAsia" w:hAnsiTheme="majorHAnsi" w:cstheme="majorBidi"/>
      <w:i/>
      <w:iCs/>
      <w:color w:val="629DD1" w:themeColor="accent1"/>
      <w:spacing w:val="15"/>
      <w:sz w:val="24"/>
      <w:szCs w:val="24"/>
      <w:lang w:val="es-ES_tradnl" w:eastAsia="en-US"/>
    </w:rPr>
  </w:style>
  <w:style w:type="character" w:styleId="Textoennegrita">
    <w:name w:val="Strong"/>
    <w:basedOn w:val="Fuentedeprrafopredeter"/>
    <w:uiPriority w:val="22"/>
    <w:qFormat/>
    <w:rsid w:val="006535AB"/>
    <w:rPr>
      <w:rFonts w:cs="Times New Roman"/>
      <w:b/>
    </w:rPr>
  </w:style>
  <w:style w:type="character" w:styleId="nfasis">
    <w:name w:val="Emphasis"/>
    <w:basedOn w:val="Fuentedeprrafopredeter"/>
    <w:uiPriority w:val="99"/>
    <w:qFormat/>
    <w:rsid w:val="006535AB"/>
    <w:rPr>
      <w:rFonts w:cs="Times New Roman"/>
      <w:i/>
      <w:iCs/>
    </w:rPr>
  </w:style>
  <w:style w:type="paragraph" w:styleId="Cita">
    <w:name w:val="Quote"/>
    <w:basedOn w:val="Normal"/>
    <w:next w:val="Normal"/>
    <w:link w:val="CitaCar"/>
    <w:uiPriority w:val="29"/>
    <w:qFormat/>
    <w:rsid w:val="006535AB"/>
    <w:rPr>
      <w:i/>
      <w:iCs/>
      <w:color w:val="000000" w:themeColor="text1"/>
    </w:rPr>
  </w:style>
  <w:style w:type="character" w:customStyle="1" w:styleId="CitaCar">
    <w:name w:val="Cita Car"/>
    <w:basedOn w:val="Fuentedeprrafopredeter"/>
    <w:link w:val="Cita"/>
    <w:uiPriority w:val="29"/>
    <w:rsid w:val="006535AB"/>
    <w:rPr>
      <w:i/>
      <w:iCs/>
      <w:color w:val="000000" w:themeColor="text1"/>
      <w:lang w:val="es-ES_tradnl" w:eastAsia="en-US"/>
    </w:rPr>
  </w:style>
  <w:style w:type="character" w:styleId="nfasissutil">
    <w:name w:val="Subtle Emphasis"/>
    <w:basedOn w:val="Fuentedeprrafopredeter"/>
    <w:uiPriority w:val="19"/>
    <w:qFormat/>
    <w:rsid w:val="006535AB"/>
    <w:rPr>
      <w:i/>
      <w:iCs/>
      <w:color w:val="808080" w:themeColor="text1" w:themeTint="7F"/>
    </w:rPr>
  </w:style>
  <w:style w:type="character" w:styleId="nfasisintenso">
    <w:name w:val="Intense Emphasis"/>
    <w:basedOn w:val="Fuentedeprrafopredeter"/>
    <w:uiPriority w:val="21"/>
    <w:qFormat/>
    <w:rsid w:val="006535AB"/>
    <w:rPr>
      <w:b/>
      <w:bCs/>
      <w:i/>
      <w:iCs/>
      <w:color w:val="629DD1" w:themeColor="accent1"/>
    </w:rPr>
  </w:style>
  <w:style w:type="character" w:styleId="Referenciasutil">
    <w:name w:val="Subtle Reference"/>
    <w:basedOn w:val="Fuentedeprrafopredeter"/>
    <w:uiPriority w:val="31"/>
    <w:qFormat/>
    <w:rsid w:val="006535AB"/>
    <w:rPr>
      <w:smallCaps/>
      <w:color w:val="297FD5" w:themeColor="accent2"/>
      <w:u w:val="single"/>
    </w:rPr>
  </w:style>
  <w:style w:type="character" w:styleId="Referenciaintensa">
    <w:name w:val="Intense Reference"/>
    <w:basedOn w:val="Fuentedeprrafopredeter"/>
    <w:uiPriority w:val="32"/>
    <w:qFormat/>
    <w:rsid w:val="006535AB"/>
    <w:rPr>
      <w:b/>
      <w:bCs/>
      <w:smallCaps/>
      <w:color w:val="297FD5" w:themeColor="accent2"/>
      <w:spacing w:val="5"/>
      <w:u w:val="single"/>
    </w:rPr>
  </w:style>
  <w:style w:type="character" w:customStyle="1" w:styleId="EncabezadoCar">
    <w:name w:val="Encabezado Car"/>
    <w:basedOn w:val="Fuentedeprrafopredeter"/>
    <w:link w:val="Encabezado"/>
    <w:rsid w:val="00074ECC"/>
    <w:rPr>
      <w:bCs/>
      <w:caps/>
      <w:sz w:val="14"/>
      <w:szCs w:val="12"/>
      <w:lang w:val="es-ES_tradnl" w:eastAsia="en-US"/>
    </w:rPr>
  </w:style>
  <w:style w:type="paragraph" w:styleId="Textoindependiente3">
    <w:name w:val="Body Text 3"/>
    <w:basedOn w:val="Normal"/>
    <w:link w:val="Textoindependiente3Car"/>
    <w:rsid w:val="00FB0A5A"/>
    <w:pPr>
      <w:spacing w:after="120"/>
    </w:pPr>
    <w:rPr>
      <w:sz w:val="16"/>
      <w:szCs w:val="16"/>
    </w:rPr>
  </w:style>
  <w:style w:type="character" w:customStyle="1" w:styleId="Textoindependiente3Car">
    <w:name w:val="Texto independiente 3 Car"/>
    <w:basedOn w:val="Fuentedeprrafopredeter"/>
    <w:link w:val="Textoindependiente3"/>
    <w:rsid w:val="00FB0A5A"/>
    <w:rPr>
      <w:sz w:val="16"/>
      <w:szCs w:val="16"/>
      <w:lang w:val="es-ES_tradnl" w:eastAsia="en-US"/>
    </w:rPr>
  </w:style>
  <w:style w:type="paragraph" w:styleId="Textosinformato">
    <w:name w:val="Plain Text"/>
    <w:basedOn w:val="Normal"/>
    <w:link w:val="TextosinformatoCar"/>
    <w:uiPriority w:val="99"/>
    <w:unhideWhenUsed/>
    <w:rsid w:val="00133BB9"/>
    <w:pPr>
      <w:spacing w:after="0"/>
      <w:ind w:firstLine="0"/>
      <w:jc w:val="left"/>
    </w:pPr>
    <w:rPr>
      <w:rFonts w:ascii="Calibri" w:eastAsiaTheme="minorHAnsi" w:hAnsi="Calibri" w:cstheme="minorBidi"/>
      <w:sz w:val="22"/>
      <w:szCs w:val="21"/>
      <w:lang w:val="es-ES"/>
    </w:rPr>
  </w:style>
  <w:style w:type="character" w:customStyle="1" w:styleId="TextosinformatoCar">
    <w:name w:val="Texto sin formato Car"/>
    <w:basedOn w:val="Fuentedeprrafopredeter"/>
    <w:link w:val="Textosinformato"/>
    <w:uiPriority w:val="99"/>
    <w:rsid w:val="00133BB9"/>
    <w:rPr>
      <w:rFonts w:ascii="Calibri" w:eastAsiaTheme="minorHAnsi" w:hAnsi="Calibri" w:cstheme="minorBidi"/>
      <w:sz w:val="22"/>
      <w:szCs w:val="21"/>
      <w:lang w:eastAsia="en-US"/>
    </w:rPr>
  </w:style>
  <w:style w:type="paragraph" w:customStyle="1" w:styleId="parrafo">
    <w:name w:val="parrafo"/>
    <w:basedOn w:val="Normal"/>
    <w:rsid w:val="00EB383A"/>
    <w:pPr>
      <w:spacing w:before="100" w:beforeAutospacing="1" w:after="100" w:afterAutospacing="1"/>
      <w:ind w:firstLine="0"/>
      <w:jc w:val="left"/>
    </w:pPr>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22"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47BD5"/>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6535A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6535AB"/>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rsid w:val="001D4F09"/>
    <w:rPr>
      <w:spacing w:val="6"/>
      <w:sz w:val="26"/>
      <w:szCs w:val="24"/>
      <w:lang w:val="es-ES_tradnl" w:eastAsia="en-US" w:bidi="ar-SA"/>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character" w:customStyle="1" w:styleId="atitulo2Car">
    <w:name w:val="atitulo2 Car"/>
    <w:link w:val="atitulo2"/>
    <w:uiPriority w:val="99"/>
    <w:rsid w:val="00882BEB"/>
    <w:rPr>
      <w:rFonts w:ascii="Arial" w:hAnsi="Arial"/>
      <w:bCs/>
      <w:iCs/>
      <w:color w:val="000000"/>
      <w:spacing w:val="10"/>
      <w:kern w:val="28"/>
      <w:sz w:val="25"/>
      <w:szCs w:val="26"/>
      <w:lang w:val="es-ES_tradnl" w:eastAsia="en-US" w:bidi="ar-SA"/>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FA7886"/>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54484F"/>
    <w:pPr>
      <w:tabs>
        <w:tab w:val="right" w:leader="dot" w:pos="8930"/>
      </w:tabs>
      <w:spacing w:after="0"/>
      <w:ind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Epgrafe">
    <w:name w:val="caption"/>
    <w:basedOn w:val="Normal"/>
    <w:next w:val="Normal"/>
    <w:uiPriority w:val="99"/>
    <w:qFormat/>
    <w:rsid w:val="00891D73"/>
    <w:rPr>
      <w:b/>
      <w:bCs/>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Estndar">
    <w:name w:val="Estándar"/>
    <w:rsid w:val="00882BEB"/>
    <w:pPr>
      <w:snapToGrid w:val="0"/>
    </w:pPr>
    <w:rPr>
      <w:rFonts w:ascii="CG Omega" w:hAnsi="CG Omega"/>
      <w:color w:val="000000"/>
      <w:sz w:val="22"/>
    </w:rPr>
  </w:style>
  <w:style w:type="paragraph" w:customStyle="1" w:styleId="tabla10">
    <w:name w:val="tabla10"/>
    <w:rsid w:val="00882BEB"/>
    <w:pPr>
      <w:tabs>
        <w:tab w:val="left" w:pos="567"/>
        <w:tab w:val="left" w:pos="1134"/>
      </w:tabs>
      <w:snapToGrid w:val="0"/>
    </w:pPr>
    <w:rPr>
      <w:rFonts w:ascii="CG Times" w:hAnsi="CG Times"/>
      <w:color w:val="000000"/>
    </w:rPr>
  </w:style>
  <w:style w:type="paragraph" w:styleId="NormalWeb">
    <w:name w:val="Normal (Web)"/>
    <w:basedOn w:val="Normal"/>
    <w:uiPriority w:val="99"/>
    <w:rsid w:val="00882BEB"/>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semiHidden/>
    <w:rsid w:val="00882BEB"/>
  </w:style>
  <w:style w:type="character" w:customStyle="1" w:styleId="TextocomentarioCar">
    <w:name w:val="Texto comentario Car"/>
    <w:link w:val="Textocomentario"/>
    <w:semiHidden/>
    <w:rsid w:val="00882BEB"/>
    <w:rPr>
      <w:lang w:val="es-ES_tradnl" w:eastAsia="en-US" w:bidi="ar-SA"/>
    </w:rPr>
  </w:style>
  <w:style w:type="paragraph" w:styleId="Asuntodelcomentario">
    <w:name w:val="annotation subject"/>
    <w:basedOn w:val="Textocomentario"/>
    <w:next w:val="Textocomentario"/>
    <w:semiHidden/>
    <w:rsid w:val="00882BEB"/>
    <w:rPr>
      <w:b/>
      <w:bCs/>
    </w:rPr>
  </w:style>
  <w:style w:type="paragraph" w:styleId="Mapadeldocumento">
    <w:name w:val="Document Map"/>
    <w:basedOn w:val="Normal"/>
    <w:semiHidden/>
    <w:rsid w:val="00882BEB"/>
    <w:pPr>
      <w:shd w:val="clear" w:color="auto" w:fill="000080"/>
    </w:pPr>
    <w:rPr>
      <w:rFonts w:ascii="Tahoma" w:hAnsi="Tahoma" w:cs="Tahoma"/>
    </w:rPr>
  </w:style>
  <w:style w:type="paragraph" w:styleId="Textonotapie">
    <w:name w:val="footnote text"/>
    <w:basedOn w:val="Normal"/>
    <w:link w:val="TextonotapieCar"/>
    <w:rsid w:val="00882BEB"/>
  </w:style>
  <w:style w:type="character" w:customStyle="1" w:styleId="TextonotapieCar">
    <w:name w:val="Texto nota pie Car"/>
    <w:link w:val="Textonotapie"/>
    <w:rsid w:val="00882BEB"/>
    <w:rPr>
      <w:lang w:val="es-ES_tradnl" w:eastAsia="en-US" w:bidi="ar-SA"/>
    </w:rPr>
  </w:style>
  <w:style w:type="character" w:styleId="Refdenotaalpie">
    <w:name w:val="footnote reference"/>
    <w:rsid w:val="00882BEB"/>
    <w:rPr>
      <w:vertAlign w:val="superscript"/>
    </w:rPr>
  </w:style>
  <w:style w:type="paragraph" w:styleId="Prrafodelista">
    <w:name w:val="List Paragraph"/>
    <w:basedOn w:val="Normal"/>
    <w:uiPriority w:val="34"/>
    <w:qFormat/>
    <w:rsid w:val="002E399F"/>
    <w:pPr>
      <w:ind w:left="720"/>
      <w:contextualSpacing/>
    </w:pPr>
  </w:style>
  <w:style w:type="character" w:customStyle="1" w:styleId="PiedepginaCar">
    <w:name w:val="Pie de página Car"/>
    <w:basedOn w:val="Fuentedeprrafopredeter"/>
    <w:link w:val="Piedepgina"/>
    <w:uiPriority w:val="99"/>
    <w:rsid w:val="00667D3D"/>
    <w:rPr>
      <w:spacing w:val="6"/>
      <w:lang w:val="es-ES_tradnl" w:eastAsia="en-US"/>
    </w:rPr>
  </w:style>
  <w:style w:type="character" w:customStyle="1" w:styleId="atitulo1Car">
    <w:name w:val="atitulo1 Car"/>
    <w:link w:val="atitulo1"/>
    <w:uiPriority w:val="99"/>
    <w:rsid w:val="0066012B"/>
    <w:rPr>
      <w:rFonts w:ascii="Arial" w:hAnsi="Arial"/>
      <w:b/>
      <w:color w:val="000000"/>
      <w:kern w:val="28"/>
      <w:sz w:val="25"/>
      <w:szCs w:val="26"/>
      <w:lang w:val="es-ES_tradnl" w:eastAsia="en-US"/>
    </w:rPr>
  </w:style>
  <w:style w:type="paragraph" w:customStyle="1" w:styleId="Default">
    <w:name w:val="Default"/>
    <w:rsid w:val="006C2717"/>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6C2717"/>
    <w:rPr>
      <w:color w:val="auto"/>
    </w:rPr>
  </w:style>
  <w:style w:type="paragraph" w:styleId="Textoindependiente">
    <w:name w:val="Body Text"/>
    <w:basedOn w:val="Normal"/>
    <w:link w:val="TextoindependienteCar"/>
    <w:rsid w:val="00794AA5"/>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794AA5"/>
    <w:rPr>
      <w:rFonts w:ascii="Arial" w:hAnsi="Arial"/>
      <w:sz w:val="24"/>
      <w:lang w:val="es-ES_tradnl"/>
    </w:rPr>
  </w:style>
  <w:style w:type="paragraph" w:customStyle="1" w:styleId="Pa7">
    <w:name w:val="Pa7"/>
    <w:basedOn w:val="Default"/>
    <w:next w:val="Default"/>
    <w:uiPriority w:val="99"/>
    <w:rsid w:val="00B82623"/>
    <w:pPr>
      <w:spacing w:line="201" w:lineRule="atLeast"/>
    </w:pPr>
    <w:rPr>
      <w:color w:val="auto"/>
    </w:rPr>
  </w:style>
  <w:style w:type="character" w:customStyle="1" w:styleId="corchete-llamada1">
    <w:name w:val="corchete-llamada1"/>
    <w:basedOn w:val="Fuentedeprrafopredeter"/>
    <w:rsid w:val="00974DD3"/>
    <w:rPr>
      <w:vanish/>
      <w:webHidden w:val="0"/>
      <w:specVanish w:val="0"/>
    </w:rPr>
  </w:style>
  <w:style w:type="paragraph" w:customStyle="1" w:styleId="xl1">
    <w:name w:val="xl1"/>
    <w:basedOn w:val="Normal"/>
    <w:rsid w:val="00870FA1"/>
    <w:pPr>
      <w:spacing w:after="240"/>
      <w:ind w:left="300" w:right="75" w:hanging="225"/>
    </w:pPr>
    <w:rPr>
      <w:sz w:val="24"/>
      <w:szCs w:val="24"/>
      <w:lang w:val="es-ES" w:eastAsia="es-ES"/>
    </w:rPr>
  </w:style>
  <w:style w:type="paragraph" w:customStyle="1" w:styleId="xl2">
    <w:name w:val="xl2"/>
    <w:basedOn w:val="Normal"/>
    <w:rsid w:val="00E2009D"/>
    <w:pPr>
      <w:spacing w:after="240"/>
      <w:ind w:left="525" w:right="75" w:hanging="225"/>
    </w:pPr>
    <w:rPr>
      <w:sz w:val="24"/>
      <w:szCs w:val="24"/>
      <w:lang w:val="es-ES" w:eastAsia="es-ES"/>
    </w:rPr>
  </w:style>
  <w:style w:type="numbering" w:customStyle="1" w:styleId="Sinlista1">
    <w:name w:val="Sin lista1"/>
    <w:next w:val="Sinlista"/>
    <w:uiPriority w:val="99"/>
    <w:semiHidden/>
    <w:unhideWhenUsed/>
    <w:rsid w:val="00FC2CA4"/>
  </w:style>
  <w:style w:type="table" w:styleId="Sombreadoclaro">
    <w:name w:val="Light Shading"/>
    <w:aliases w:val="tabla informe"/>
    <w:basedOn w:val="Tablanormal"/>
    <w:uiPriority w:val="60"/>
    <w:rsid w:val="00FC2CA4"/>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9197CF" w:themeFill="text2" w:themeFillTint="66"/>
      </w:tcPr>
    </w:tblStylePr>
    <w:tblStylePr w:type="lastRow">
      <w:pPr>
        <w:spacing w:before="0" w:after="0" w:line="240" w:lineRule="auto"/>
        <w:jc w:val="right"/>
      </w:pPr>
      <w:rPr>
        <w:rFonts w:ascii="Arial" w:hAnsi="Arial"/>
        <w:b w:val="0"/>
        <w:bCs/>
        <w:sz w:val="18"/>
      </w:rPr>
      <w:tblPr/>
      <w:tcPr>
        <w:shd w:val="clear" w:color="auto" w:fill="9197CF"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FC2C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FC2CA4"/>
    <w:rPr>
      <w:rFonts w:ascii="Tahoma" w:hAnsi="Tahoma" w:cs="Tahoma"/>
      <w:sz w:val="16"/>
      <w:szCs w:val="16"/>
      <w:lang w:val="es-ES_tradnl" w:eastAsia="en-US"/>
    </w:rPr>
  </w:style>
  <w:style w:type="character" w:customStyle="1" w:styleId="Ttulo4Car">
    <w:name w:val="Título 4 Car"/>
    <w:basedOn w:val="Fuentedeprrafopredeter"/>
    <w:link w:val="Ttulo4"/>
    <w:uiPriority w:val="99"/>
    <w:rsid w:val="006535AB"/>
    <w:rPr>
      <w:b/>
      <w:bCs/>
      <w:sz w:val="28"/>
      <w:szCs w:val="28"/>
      <w:lang w:val="es-ES_tradnl" w:eastAsia="en-US"/>
    </w:rPr>
  </w:style>
  <w:style w:type="character" w:customStyle="1" w:styleId="Ttulo7Car">
    <w:name w:val="Título 7 Car"/>
    <w:basedOn w:val="Fuentedeprrafopredeter"/>
    <w:link w:val="Ttulo7"/>
    <w:uiPriority w:val="99"/>
    <w:rsid w:val="006535AB"/>
    <w:rPr>
      <w:sz w:val="52"/>
    </w:rPr>
  </w:style>
  <w:style w:type="character" w:customStyle="1" w:styleId="Ttulo1Car">
    <w:name w:val="Título 1 Car"/>
    <w:basedOn w:val="Fuentedeprrafopredeter"/>
    <w:link w:val="Ttulo1"/>
    <w:uiPriority w:val="99"/>
    <w:rsid w:val="006535AB"/>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6535AB"/>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6535AB"/>
    <w:rPr>
      <w:rFonts w:ascii="Arial" w:hAnsi="Arial" w:cs="Arial"/>
      <w:b/>
      <w:bCs/>
      <w:szCs w:val="26"/>
      <w:lang w:val="es-ES_tradnl" w:eastAsia="en-US"/>
    </w:rPr>
  </w:style>
  <w:style w:type="character" w:customStyle="1" w:styleId="Ttulo5Car">
    <w:name w:val="Título 5 Car"/>
    <w:basedOn w:val="Fuentedeprrafopredeter"/>
    <w:link w:val="Ttulo5"/>
    <w:uiPriority w:val="99"/>
    <w:rsid w:val="006535AB"/>
    <w:rPr>
      <w:b/>
      <w:sz w:val="28"/>
      <w:lang w:eastAsia="en-US"/>
    </w:rPr>
  </w:style>
  <w:style w:type="paragraph" w:styleId="Ttulo">
    <w:name w:val="Title"/>
    <w:basedOn w:val="Normal"/>
    <w:next w:val="Normal"/>
    <w:link w:val="TtuloCar"/>
    <w:uiPriority w:val="10"/>
    <w:qFormat/>
    <w:rsid w:val="006535AB"/>
    <w:pPr>
      <w:pBdr>
        <w:bottom w:val="single" w:sz="8" w:space="4" w:color="629DD1"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tuloCar">
    <w:name w:val="Título Car"/>
    <w:basedOn w:val="Fuentedeprrafopredeter"/>
    <w:link w:val="Ttulo"/>
    <w:uiPriority w:val="10"/>
    <w:rsid w:val="006535AB"/>
    <w:rPr>
      <w:rFonts w:asciiTheme="majorHAnsi" w:eastAsiaTheme="majorEastAsia" w:hAnsiTheme="majorHAnsi" w:cstheme="majorBidi"/>
      <w:color w:val="1B1D3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6535AB"/>
    <w:pPr>
      <w:numPr>
        <w:ilvl w:val="1"/>
      </w:numPr>
      <w:ind w:firstLine="567"/>
    </w:pPr>
    <w:rPr>
      <w:rFonts w:asciiTheme="majorHAnsi" w:eastAsiaTheme="majorEastAsia" w:hAnsiTheme="majorHAnsi" w:cstheme="majorBidi"/>
      <w:i/>
      <w:iCs/>
      <w:color w:val="629DD1" w:themeColor="accent1"/>
      <w:spacing w:val="15"/>
      <w:sz w:val="24"/>
      <w:szCs w:val="24"/>
    </w:rPr>
  </w:style>
  <w:style w:type="character" w:customStyle="1" w:styleId="SubttuloCar">
    <w:name w:val="Subtítulo Car"/>
    <w:basedOn w:val="Fuentedeprrafopredeter"/>
    <w:link w:val="Subttulo"/>
    <w:uiPriority w:val="11"/>
    <w:rsid w:val="006535AB"/>
    <w:rPr>
      <w:rFonts w:asciiTheme="majorHAnsi" w:eastAsiaTheme="majorEastAsia" w:hAnsiTheme="majorHAnsi" w:cstheme="majorBidi"/>
      <w:i/>
      <w:iCs/>
      <w:color w:val="629DD1" w:themeColor="accent1"/>
      <w:spacing w:val="15"/>
      <w:sz w:val="24"/>
      <w:szCs w:val="24"/>
      <w:lang w:val="es-ES_tradnl" w:eastAsia="en-US"/>
    </w:rPr>
  </w:style>
  <w:style w:type="character" w:styleId="Textoennegrita">
    <w:name w:val="Strong"/>
    <w:basedOn w:val="Fuentedeprrafopredeter"/>
    <w:uiPriority w:val="22"/>
    <w:qFormat/>
    <w:rsid w:val="006535AB"/>
    <w:rPr>
      <w:rFonts w:cs="Times New Roman"/>
      <w:b/>
    </w:rPr>
  </w:style>
  <w:style w:type="character" w:styleId="nfasis">
    <w:name w:val="Emphasis"/>
    <w:basedOn w:val="Fuentedeprrafopredeter"/>
    <w:uiPriority w:val="99"/>
    <w:qFormat/>
    <w:rsid w:val="006535AB"/>
    <w:rPr>
      <w:rFonts w:cs="Times New Roman"/>
      <w:i/>
      <w:iCs/>
    </w:rPr>
  </w:style>
  <w:style w:type="paragraph" w:styleId="Cita">
    <w:name w:val="Quote"/>
    <w:basedOn w:val="Normal"/>
    <w:next w:val="Normal"/>
    <w:link w:val="CitaCar"/>
    <w:uiPriority w:val="29"/>
    <w:qFormat/>
    <w:rsid w:val="006535AB"/>
    <w:rPr>
      <w:i/>
      <w:iCs/>
      <w:color w:val="000000" w:themeColor="text1"/>
    </w:rPr>
  </w:style>
  <w:style w:type="character" w:customStyle="1" w:styleId="CitaCar">
    <w:name w:val="Cita Car"/>
    <w:basedOn w:val="Fuentedeprrafopredeter"/>
    <w:link w:val="Cita"/>
    <w:uiPriority w:val="29"/>
    <w:rsid w:val="006535AB"/>
    <w:rPr>
      <w:i/>
      <w:iCs/>
      <w:color w:val="000000" w:themeColor="text1"/>
      <w:lang w:val="es-ES_tradnl" w:eastAsia="en-US"/>
    </w:rPr>
  </w:style>
  <w:style w:type="character" w:styleId="nfasissutil">
    <w:name w:val="Subtle Emphasis"/>
    <w:basedOn w:val="Fuentedeprrafopredeter"/>
    <w:uiPriority w:val="19"/>
    <w:qFormat/>
    <w:rsid w:val="006535AB"/>
    <w:rPr>
      <w:i/>
      <w:iCs/>
      <w:color w:val="808080" w:themeColor="text1" w:themeTint="7F"/>
    </w:rPr>
  </w:style>
  <w:style w:type="character" w:styleId="nfasisintenso">
    <w:name w:val="Intense Emphasis"/>
    <w:basedOn w:val="Fuentedeprrafopredeter"/>
    <w:uiPriority w:val="21"/>
    <w:qFormat/>
    <w:rsid w:val="006535AB"/>
    <w:rPr>
      <w:b/>
      <w:bCs/>
      <w:i/>
      <w:iCs/>
      <w:color w:val="629DD1" w:themeColor="accent1"/>
    </w:rPr>
  </w:style>
  <w:style w:type="character" w:styleId="Referenciasutil">
    <w:name w:val="Subtle Reference"/>
    <w:basedOn w:val="Fuentedeprrafopredeter"/>
    <w:uiPriority w:val="31"/>
    <w:qFormat/>
    <w:rsid w:val="006535AB"/>
    <w:rPr>
      <w:smallCaps/>
      <w:color w:val="297FD5" w:themeColor="accent2"/>
      <w:u w:val="single"/>
    </w:rPr>
  </w:style>
  <w:style w:type="character" w:styleId="Referenciaintensa">
    <w:name w:val="Intense Reference"/>
    <w:basedOn w:val="Fuentedeprrafopredeter"/>
    <w:uiPriority w:val="32"/>
    <w:qFormat/>
    <w:rsid w:val="006535AB"/>
    <w:rPr>
      <w:b/>
      <w:bCs/>
      <w:smallCaps/>
      <w:color w:val="297FD5" w:themeColor="accent2"/>
      <w:spacing w:val="5"/>
      <w:u w:val="single"/>
    </w:rPr>
  </w:style>
  <w:style w:type="character" w:customStyle="1" w:styleId="EncabezadoCar">
    <w:name w:val="Encabezado Car"/>
    <w:basedOn w:val="Fuentedeprrafopredeter"/>
    <w:link w:val="Encabezado"/>
    <w:rsid w:val="00074ECC"/>
    <w:rPr>
      <w:bCs/>
      <w:caps/>
      <w:sz w:val="14"/>
      <w:szCs w:val="12"/>
      <w:lang w:val="es-ES_tradnl" w:eastAsia="en-US"/>
    </w:rPr>
  </w:style>
  <w:style w:type="paragraph" w:styleId="Textoindependiente3">
    <w:name w:val="Body Text 3"/>
    <w:basedOn w:val="Normal"/>
    <w:link w:val="Textoindependiente3Car"/>
    <w:rsid w:val="00FB0A5A"/>
    <w:pPr>
      <w:spacing w:after="120"/>
    </w:pPr>
    <w:rPr>
      <w:sz w:val="16"/>
      <w:szCs w:val="16"/>
    </w:rPr>
  </w:style>
  <w:style w:type="character" w:customStyle="1" w:styleId="Textoindependiente3Car">
    <w:name w:val="Texto independiente 3 Car"/>
    <w:basedOn w:val="Fuentedeprrafopredeter"/>
    <w:link w:val="Textoindependiente3"/>
    <w:rsid w:val="00FB0A5A"/>
    <w:rPr>
      <w:sz w:val="16"/>
      <w:szCs w:val="16"/>
      <w:lang w:val="es-ES_tradnl" w:eastAsia="en-US"/>
    </w:rPr>
  </w:style>
  <w:style w:type="paragraph" w:styleId="Textosinformato">
    <w:name w:val="Plain Text"/>
    <w:basedOn w:val="Normal"/>
    <w:link w:val="TextosinformatoCar"/>
    <w:uiPriority w:val="99"/>
    <w:unhideWhenUsed/>
    <w:rsid w:val="00133BB9"/>
    <w:pPr>
      <w:spacing w:after="0"/>
      <w:ind w:firstLine="0"/>
      <w:jc w:val="left"/>
    </w:pPr>
    <w:rPr>
      <w:rFonts w:ascii="Calibri" w:eastAsiaTheme="minorHAnsi" w:hAnsi="Calibri" w:cstheme="minorBidi"/>
      <w:sz w:val="22"/>
      <w:szCs w:val="21"/>
      <w:lang w:val="es-ES"/>
    </w:rPr>
  </w:style>
  <w:style w:type="character" w:customStyle="1" w:styleId="TextosinformatoCar">
    <w:name w:val="Texto sin formato Car"/>
    <w:basedOn w:val="Fuentedeprrafopredeter"/>
    <w:link w:val="Textosinformato"/>
    <w:uiPriority w:val="99"/>
    <w:rsid w:val="00133BB9"/>
    <w:rPr>
      <w:rFonts w:ascii="Calibri" w:eastAsiaTheme="minorHAnsi" w:hAnsi="Calibri" w:cstheme="minorBidi"/>
      <w:sz w:val="22"/>
      <w:szCs w:val="21"/>
      <w:lang w:eastAsia="en-US"/>
    </w:rPr>
  </w:style>
  <w:style w:type="paragraph" w:customStyle="1" w:styleId="parrafo">
    <w:name w:val="parrafo"/>
    <w:basedOn w:val="Normal"/>
    <w:rsid w:val="00EB383A"/>
    <w:pPr>
      <w:spacing w:before="100" w:beforeAutospacing="1" w:after="100" w:afterAutospacing="1"/>
      <w:ind w:firstLine="0"/>
      <w:jc w:val="left"/>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4647">
      <w:bodyDiv w:val="1"/>
      <w:marLeft w:val="0"/>
      <w:marRight w:val="0"/>
      <w:marTop w:val="0"/>
      <w:marBottom w:val="0"/>
      <w:divBdr>
        <w:top w:val="none" w:sz="0" w:space="0" w:color="auto"/>
        <w:left w:val="none" w:sz="0" w:space="0" w:color="auto"/>
        <w:bottom w:val="none" w:sz="0" w:space="0" w:color="auto"/>
        <w:right w:val="none" w:sz="0" w:space="0" w:color="auto"/>
      </w:divBdr>
    </w:div>
    <w:div w:id="47460152">
      <w:bodyDiv w:val="1"/>
      <w:marLeft w:val="0"/>
      <w:marRight w:val="0"/>
      <w:marTop w:val="0"/>
      <w:marBottom w:val="0"/>
      <w:divBdr>
        <w:top w:val="none" w:sz="0" w:space="0" w:color="auto"/>
        <w:left w:val="none" w:sz="0" w:space="0" w:color="auto"/>
        <w:bottom w:val="none" w:sz="0" w:space="0" w:color="auto"/>
        <w:right w:val="none" w:sz="0" w:space="0" w:color="auto"/>
      </w:divBdr>
    </w:div>
    <w:div w:id="50621157">
      <w:bodyDiv w:val="1"/>
      <w:marLeft w:val="0"/>
      <w:marRight w:val="0"/>
      <w:marTop w:val="0"/>
      <w:marBottom w:val="0"/>
      <w:divBdr>
        <w:top w:val="none" w:sz="0" w:space="0" w:color="auto"/>
        <w:left w:val="none" w:sz="0" w:space="0" w:color="auto"/>
        <w:bottom w:val="none" w:sz="0" w:space="0" w:color="auto"/>
        <w:right w:val="none" w:sz="0" w:space="0" w:color="auto"/>
      </w:divBdr>
    </w:div>
    <w:div w:id="56435535">
      <w:bodyDiv w:val="1"/>
      <w:marLeft w:val="0"/>
      <w:marRight w:val="0"/>
      <w:marTop w:val="0"/>
      <w:marBottom w:val="0"/>
      <w:divBdr>
        <w:top w:val="none" w:sz="0" w:space="0" w:color="auto"/>
        <w:left w:val="none" w:sz="0" w:space="0" w:color="auto"/>
        <w:bottom w:val="none" w:sz="0" w:space="0" w:color="auto"/>
        <w:right w:val="none" w:sz="0" w:space="0" w:color="auto"/>
      </w:divBdr>
    </w:div>
    <w:div w:id="78065607">
      <w:bodyDiv w:val="1"/>
      <w:marLeft w:val="0"/>
      <w:marRight w:val="0"/>
      <w:marTop w:val="0"/>
      <w:marBottom w:val="0"/>
      <w:divBdr>
        <w:top w:val="none" w:sz="0" w:space="0" w:color="auto"/>
        <w:left w:val="none" w:sz="0" w:space="0" w:color="auto"/>
        <w:bottom w:val="none" w:sz="0" w:space="0" w:color="auto"/>
        <w:right w:val="none" w:sz="0" w:space="0" w:color="auto"/>
      </w:divBdr>
    </w:div>
    <w:div w:id="81921736">
      <w:bodyDiv w:val="1"/>
      <w:marLeft w:val="0"/>
      <w:marRight w:val="0"/>
      <w:marTop w:val="0"/>
      <w:marBottom w:val="0"/>
      <w:divBdr>
        <w:top w:val="none" w:sz="0" w:space="0" w:color="auto"/>
        <w:left w:val="none" w:sz="0" w:space="0" w:color="auto"/>
        <w:bottom w:val="none" w:sz="0" w:space="0" w:color="auto"/>
        <w:right w:val="none" w:sz="0" w:space="0" w:color="auto"/>
      </w:divBdr>
    </w:div>
    <w:div w:id="100532505">
      <w:bodyDiv w:val="1"/>
      <w:marLeft w:val="0"/>
      <w:marRight w:val="0"/>
      <w:marTop w:val="0"/>
      <w:marBottom w:val="0"/>
      <w:divBdr>
        <w:top w:val="none" w:sz="0" w:space="0" w:color="auto"/>
        <w:left w:val="none" w:sz="0" w:space="0" w:color="auto"/>
        <w:bottom w:val="none" w:sz="0" w:space="0" w:color="auto"/>
        <w:right w:val="none" w:sz="0" w:space="0" w:color="auto"/>
      </w:divBdr>
    </w:div>
    <w:div w:id="108664643">
      <w:bodyDiv w:val="1"/>
      <w:marLeft w:val="0"/>
      <w:marRight w:val="0"/>
      <w:marTop w:val="0"/>
      <w:marBottom w:val="0"/>
      <w:divBdr>
        <w:top w:val="none" w:sz="0" w:space="0" w:color="auto"/>
        <w:left w:val="none" w:sz="0" w:space="0" w:color="auto"/>
        <w:bottom w:val="none" w:sz="0" w:space="0" w:color="auto"/>
        <w:right w:val="none" w:sz="0" w:space="0" w:color="auto"/>
      </w:divBdr>
      <w:divsChild>
        <w:div w:id="1847210755">
          <w:marLeft w:val="0"/>
          <w:marRight w:val="0"/>
          <w:marTop w:val="0"/>
          <w:marBottom w:val="240"/>
          <w:divBdr>
            <w:top w:val="none" w:sz="0" w:space="0" w:color="auto"/>
            <w:left w:val="none" w:sz="0" w:space="0" w:color="auto"/>
            <w:bottom w:val="none" w:sz="0" w:space="0" w:color="auto"/>
            <w:right w:val="none" w:sz="0" w:space="0" w:color="auto"/>
          </w:divBdr>
        </w:div>
      </w:divsChild>
    </w:div>
    <w:div w:id="109905202">
      <w:bodyDiv w:val="1"/>
      <w:marLeft w:val="0"/>
      <w:marRight w:val="0"/>
      <w:marTop w:val="0"/>
      <w:marBottom w:val="0"/>
      <w:divBdr>
        <w:top w:val="none" w:sz="0" w:space="0" w:color="auto"/>
        <w:left w:val="none" w:sz="0" w:space="0" w:color="auto"/>
        <w:bottom w:val="none" w:sz="0" w:space="0" w:color="auto"/>
        <w:right w:val="none" w:sz="0" w:space="0" w:color="auto"/>
      </w:divBdr>
    </w:div>
    <w:div w:id="115637371">
      <w:bodyDiv w:val="1"/>
      <w:marLeft w:val="0"/>
      <w:marRight w:val="0"/>
      <w:marTop w:val="0"/>
      <w:marBottom w:val="0"/>
      <w:divBdr>
        <w:top w:val="none" w:sz="0" w:space="0" w:color="auto"/>
        <w:left w:val="none" w:sz="0" w:space="0" w:color="auto"/>
        <w:bottom w:val="none" w:sz="0" w:space="0" w:color="auto"/>
        <w:right w:val="none" w:sz="0" w:space="0" w:color="auto"/>
      </w:divBdr>
    </w:div>
    <w:div w:id="116485916">
      <w:bodyDiv w:val="1"/>
      <w:marLeft w:val="0"/>
      <w:marRight w:val="0"/>
      <w:marTop w:val="0"/>
      <w:marBottom w:val="0"/>
      <w:divBdr>
        <w:top w:val="none" w:sz="0" w:space="0" w:color="auto"/>
        <w:left w:val="none" w:sz="0" w:space="0" w:color="auto"/>
        <w:bottom w:val="none" w:sz="0" w:space="0" w:color="auto"/>
        <w:right w:val="none" w:sz="0" w:space="0" w:color="auto"/>
      </w:divBdr>
    </w:div>
    <w:div w:id="146242524">
      <w:bodyDiv w:val="1"/>
      <w:marLeft w:val="0"/>
      <w:marRight w:val="0"/>
      <w:marTop w:val="0"/>
      <w:marBottom w:val="0"/>
      <w:divBdr>
        <w:top w:val="none" w:sz="0" w:space="0" w:color="auto"/>
        <w:left w:val="none" w:sz="0" w:space="0" w:color="auto"/>
        <w:bottom w:val="none" w:sz="0" w:space="0" w:color="auto"/>
        <w:right w:val="none" w:sz="0" w:space="0" w:color="auto"/>
      </w:divBdr>
    </w:div>
    <w:div w:id="149946855">
      <w:bodyDiv w:val="1"/>
      <w:marLeft w:val="0"/>
      <w:marRight w:val="0"/>
      <w:marTop w:val="0"/>
      <w:marBottom w:val="0"/>
      <w:divBdr>
        <w:top w:val="none" w:sz="0" w:space="0" w:color="auto"/>
        <w:left w:val="none" w:sz="0" w:space="0" w:color="auto"/>
        <w:bottom w:val="none" w:sz="0" w:space="0" w:color="auto"/>
        <w:right w:val="none" w:sz="0" w:space="0" w:color="auto"/>
      </w:divBdr>
    </w:div>
    <w:div w:id="169026708">
      <w:bodyDiv w:val="1"/>
      <w:marLeft w:val="0"/>
      <w:marRight w:val="0"/>
      <w:marTop w:val="0"/>
      <w:marBottom w:val="0"/>
      <w:divBdr>
        <w:top w:val="none" w:sz="0" w:space="0" w:color="auto"/>
        <w:left w:val="none" w:sz="0" w:space="0" w:color="auto"/>
        <w:bottom w:val="none" w:sz="0" w:space="0" w:color="auto"/>
        <w:right w:val="none" w:sz="0" w:space="0" w:color="auto"/>
      </w:divBdr>
    </w:div>
    <w:div w:id="175778368">
      <w:bodyDiv w:val="1"/>
      <w:marLeft w:val="0"/>
      <w:marRight w:val="0"/>
      <w:marTop w:val="0"/>
      <w:marBottom w:val="0"/>
      <w:divBdr>
        <w:top w:val="none" w:sz="0" w:space="0" w:color="auto"/>
        <w:left w:val="none" w:sz="0" w:space="0" w:color="auto"/>
        <w:bottom w:val="none" w:sz="0" w:space="0" w:color="auto"/>
        <w:right w:val="none" w:sz="0" w:space="0" w:color="auto"/>
      </w:divBdr>
    </w:div>
    <w:div w:id="180320233">
      <w:bodyDiv w:val="1"/>
      <w:marLeft w:val="0"/>
      <w:marRight w:val="0"/>
      <w:marTop w:val="0"/>
      <w:marBottom w:val="0"/>
      <w:divBdr>
        <w:top w:val="none" w:sz="0" w:space="0" w:color="auto"/>
        <w:left w:val="none" w:sz="0" w:space="0" w:color="auto"/>
        <w:bottom w:val="none" w:sz="0" w:space="0" w:color="auto"/>
        <w:right w:val="none" w:sz="0" w:space="0" w:color="auto"/>
      </w:divBdr>
    </w:div>
    <w:div w:id="190606820">
      <w:bodyDiv w:val="1"/>
      <w:marLeft w:val="0"/>
      <w:marRight w:val="0"/>
      <w:marTop w:val="0"/>
      <w:marBottom w:val="0"/>
      <w:divBdr>
        <w:top w:val="none" w:sz="0" w:space="0" w:color="auto"/>
        <w:left w:val="none" w:sz="0" w:space="0" w:color="auto"/>
        <w:bottom w:val="none" w:sz="0" w:space="0" w:color="auto"/>
        <w:right w:val="none" w:sz="0" w:space="0" w:color="auto"/>
      </w:divBdr>
    </w:div>
    <w:div w:id="192813352">
      <w:bodyDiv w:val="1"/>
      <w:marLeft w:val="0"/>
      <w:marRight w:val="0"/>
      <w:marTop w:val="0"/>
      <w:marBottom w:val="0"/>
      <w:divBdr>
        <w:top w:val="none" w:sz="0" w:space="0" w:color="auto"/>
        <w:left w:val="none" w:sz="0" w:space="0" w:color="auto"/>
        <w:bottom w:val="none" w:sz="0" w:space="0" w:color="auto"/>
        <w:right w:val="none" w:sz="0" w:space="0" w:color="auto"/>
      </w:divBdr>
    </w:div>
    <w:div w:id="208224849">
      <w:bodyDiv w:val="1"/>
      <w:marLeft w:val="0"/>
      <w:marRight w:val="0"/>
      <w:marTop w:val="0"/>
      <w:marBottom w:val="0"/>
      <w:divBdr>
        <w:top w:val="none" w:sz="0" w:space="0" w:color="auto"/>
        <w:left w:val="none" w:sz="0" w:space="0" w:color="auto"/>
        <w:bottom w:val="none" w:sz="0" w:space="0" w:color="auto"/>
        <w:right w:val="none" w:sz="0" w:space="0" w:color="auto"/>
      </w:divBdr>
    </w:div>
    <w:div w:id="223108067">
      <w:bodyDiv w:val="1"/>
      <w:marLeft w:val="0"/>
      <w:marRight w:val="0"/>
      <w:marTop w:val="0"/>
      <w:marBottom w:val="0"/>
      <w:divBdr>
        <w:top w:val="none" w:sz="0" w:space="0" w:color="auto"/>
        <w:left w:val="none" w:sz="0" w:space="0" w:color="auto"/>
        <w:bottom w:val="none" w:sz="0" w:space="0" w:color="auto"/>
        <w:right w:val="none" w:sz="0" w:space="0" w:color="auto"/>
      </w:divBdr>
    </w:div>
    <w:div w:id="254870220">
      <w:bodyDiv w:val="1"/>
      <w:marLeft w:val="0"/>
      <w:marRight w:val="0"/>
      <w:marTop w:val="0"/>
      <w:marBottom w:val="0"/>
      <w:divBdr>
        <w:top w:val="none" w:sz="0" w:space="0" w:color="auto"/>
        <w:left w:val="none" w:sz="0" w:space="0" w:color="auto"/>
        <w:bottom w:val="none" w:sz="0" w:space="0" w:color="auto"/>
        <w:right w:val="none" w:sz="0" w:space="0" w:color="auto"/>
      </w:divBdr>
    </w:div>
    <w:div w:id="265818071">
      <w:bodyDiv w:val="1"/>
      <w:marLeft w:val="0"/>
      <w:marRight w:val="0"/>
      <w:marTop w:val="0"/>
      <w:marBottom w:val="0"/>
      <w:divBdr>
        <w:top w:val="none" w:sz="0" w:space="0" w:color="auto"/>
        <w:left w:val="none" w:sz="0" w:space="0" w:color="auto"/>
        <w:bottom w:val="none" w:sz="0" w:space="0" w:color="auto"/>
        <w:right w:val="none" w:sz="0" w:space="0" w:color="auto"/>
      </w:divBdr>
    </w:div>
    <w:div w:id="266624709">
      <w:bodyDiv w:val="1"/>
      <w:marLeft w:val="0"/>
      <w:marRight w:val="0"/>
      <w:marTop w:val="0"/>
      <w:marBottom w:val="0"/>
      <w:divBdr>
        <w:top w:val="none" w:sz="0" w:space="0" w:color="auto"/>
        <w:left w:val="none" w:sz="0" w:space="0" w:color="auto"/>
        <w:bottom w:val="none" w:sz="0" w:space="0" w:color="auto"/>
        <w:right w:val="none" w:sz="0" w:space="0" w:color="auto"/>
      </w:divBdr>
    </w:div>
    <w:div w:id="297079566">
      <w:bodyDiv w:val="1"/>
      <w:marLeft w:val="0"/>
      <w:marRight w:val="0"/>
      <w:marTop w:val="0"/>
      <w:marBottom w:val="0"/>
      <w:divBdr>
        <w:top w:val="none" w:sz="0" w:space="0" w:color="auto"/>
        <w:left w:val="none" w:sz="0" w:space="0" w:color="auto"/>
        <w:bottom w:val="none" w:sz="0" w:space="0" w:color="auto"/>
        <w:right w:val="none" w:sz="0" w:space="0" w:color="auto"/>
      </w:divBdr>
    </w:div>
    <w:div w:id="303199653">
      <w:bodyDiv w:val="1"/>
      <w:marLeft w:val="0"/>
      <w:marRight w:val="0"/>
      <w:marTop w:val="0"/>
      <w:marBottom w:val="0"/>
      <w:divBdr>
        <w:top w:val="none" w:sz="0" w:space="0" w:color="auto"/>
        <w:left w:val="none" w:sz="0" w:space="0" w:color="auto"/>
        <w:bottom w:val="none" w:sz="0" w:space="0" w:color="auto"/>
        <w:right w:val="none" w:sz="0" w:space="0" w:color="auto"/>
      </w:divBdr>
    </w:div>
    <w:div w:id="305862455">
      <w:bodyDiv w:val="1"/>
      <w:marLeft w:val="0"/>
      <w:marRight w:val="0"/>
      <w:marTop w:val="0"/>
      <w:marBottom w:val="0"/>
      <w:divBdr>
        <w:top w:val="none" w:sz="0" w:space="0" w:color="auto"/>
        <w:left w:val="none" w:sz="0" w:space="0" w:color="auto"/>
        <w:bottom w:val="none" w:sz="0" w:space="0" w:color="auto"/>
        <w:right w:val="none" w:sz="0" w:space="0" w:color="auto"/>
      </w:divBdr>
    </w:div>
    <w:div w:id="318850806">
      <w:bodyDiv w:val="1"/>
      <w:marLeft w:val="0"/>
      <w:marRight w:val="0"/>
      <w:marTop w:val="0"/>
      <w:marBottom w:val="0"/>
      <w:divBdr>
        <w:top w:val="none" w:sz="0" w:space="0" w:color="auto"/>
        <w:left w:val="none" w:sz="0" w:space="0" w:color="auto"/>
        <w:bottom w:val="none" w:sz="0" w:space="0" w:color="auto"/>
        <w:right w:val="none" w:sz="0" w:space="0" w:color="auto"/>
      </w:divBdr>
    </w:div>
    <w:div w:id="324552876">
      <w:bodyDiv w:val="1"/>
      <w:marLeft w:val="0"/>
      <w:marRight w:val="0"/>
      <w:marTop w:val="0"/>
      <w:marBottom w:val="0"/>
      <w:divBdr>
        <w:top w:val="none" w:sz="0" w:space="0" w:color="auto"/>
        <w:left w:val="none" w:sz="0" w:space="0" w:color="auto"/>
        <w:bottom w:val="none" w:sz="0" w:space="0" w:color="auto"/>
        <w:right w:val="none" w:sz="0" w:space="0" w:color="auto"/>
      </w:divBdr>
    </w:div>
    <w:div w:id="331299447">
      <w:bodyDiv w:val="1"/>
      <w:marLeft w:val="0"/>
      <w:marRight w:val="0"/>
      <w:marTop w:val="0"/>
      <w:marBottom w:val="0"/>
      <w:divBdr>
        <w:top w:val="none" w:sz="0" w:space="0" w:color="auto"/>
        <w:left w:val="none" w:sz="0" w:space="0" w:color="auto"/>
        <w:bottom w:val="none" w:sz="0" w:space="0" w:color="auto"/>
        <w:right w:val="none" w:sz="0" w:space="0" w:color="auto"/>
      </w:divBdr>
    </w:div>
    <w:div w:id="337344758">
      <w:bodyDiv w:val="1"/>
      <w:marLeft w:val="0"/>
      <w:marRight w:val="0"/>
      <w:marTop w:val="0"/>
      <w:marBottom w:val="0"/>
      <w:divBdr>
        <w:top w:val="none" w:sz="0" w:space="0" w:color="auto"/>
        <w:left w:val="none" w:sz="0" w:space="0" w:color="auto"/>
        <w:bottom w:val="none" w:sz="0" w:space="0" w:color="auto"/>
        <w:right w:val="none" w:sz="0" w:space="0" w:color="auto"/>
      </w:divBdr>
    </w:div>
    <w:div w:id="339890930">
      <w:bodyDiv w:val="1"/>
      <w:marLeft w:val="0"/>
      <w:marRight w:val="0"/>
      <w:marTop w:val="0"/>
      <w:marBottom w:val="0"/>
      <w:divBdr>
        <w:top w:val="none" w:sz="0" w:space="0" w:color="auto"/>
        <w:left w:val="none" w:sz="0" w:space="0" w:color="auto"/>
        <w:bottom w:val="none" w:sz="0" w:space="0" w:color="auto"/>
        <w:right w:val="none" w:sz="0" w:space="0" w:color="auto"/>
      </w:divBdr>
    </w:div>
    <w:div w:id="367683364">
      <w:bodyDiv w:val="1"/>
      <w:marLeft w:val="0"/>
      <w:marRight w:val="0"/>
      <w:marTop w:val="0"/>
      <w:marBottom w:val="0"/>
      <w:divBdr>
        <w:top w:val="none" w:sz="0" w:space="0" w:color="auto"/>
        <w:left w:val="none" w:sz="0" w:space="0" w:color="auto"/>
        <w:bottom w:val="none" w:sz="0" w:space="0" w:color="auto"/>
        <w:right w:val="none" w:sz="0" w:space="0" w:color="auto"/>
      </w:divBdr>
    </w:div>
    <w:div w:id="371686433">
      <w:bodyDiv w:val="1"/>
      <w:marLeft w:val="0"/>
      <w:marRight w:val="0"/>
      <w:marTop w:val="0"/>
      <w:marBottom w:val="0"/>
      <w:divBdr>
        <w:top w:val="none" w:sz="0" w:space="0" w:color="auto"/>
        <w:left w:val="none" w:sz="0" w:space="0" w:color="auto"/>
        <w:bottom w:val="none" w:sz="0" w:space="0" w:color="auto"/>
        <w:right w:val="none" w:sz="0" w:space="0" w:color="auto"/>
      </w:divBdr>
    </w:div>
    <w:div w:id="379716502">
      <w:bodyDiv w:val="1"/>
      <w:marLeft w:val="0"/>
      <w:marRight w:val="0"/>
      <w:marTop w:val="0"/>
      <w:marBottom w:val="0"/>
      <w:divBdr>
        <w:top w:val="none" w:sz="0" w:space="0" w:color="auto"/>
        <w:left w:val="none" w:sz="0" w:space="0" w:color="auto"/>
        <w:bottom w:val="none" w:sz="0" w:space="0" w:color="auto"/>
        <w:right w:val="none" w:sz="0" w:space="0" w:color="auto"/>
      </w:divBdr>
    </w:div>
    <w:div w:id="381364720">
      <w:bodyDiv w:val="1"/>
      <w:marLeft w:val="0"/>
      <w:marRight w:val="0"/>
      <w:marTop w:val="0"/>
      <w:marBottom w:val="0"/>
      <w:divBdr>
        <w:top w:val="none" w:sz="0" w:space="0" w:color="auto"/>
        <w:left w:val="none" w:sz="0" w:space="0" w:color="auto"/>
        <w:bottom w:val="none" w:sz="0" w:space="0" w:color="auto"/>
        <w:right w:val="none" w:sz="0" w:space="0" w:color="auto"/>
      </w:divBdr>
    </w:div>
    <w:div w:id="398598552">
      <w:bodyDiv w:val="1"/>
      <w:marLeft w:val="0"/>
      <w:marRight w:val="0"/>
      <w:marTop w:val="0"/>
      <w:marBottom w:val="0"/>
      <w:divBdr>
        <w:top w:val="none" w:sz="0" w:space="0" w:color="auto"/>
        <w:left w:val="none" w:sz="0" w:space="0" w:color="auto"/>
        <w:bottom w:val="none" w:sz="0" w:space="0" w:color="auto"/>
        <w:right w:val="none" w:sz="0" w:space="0" w:color="auto"/>
      </w:divBdr>
    </w:div>
    <w:div w:id="400713784">
      <w:bodyDiv w:val="1"/>
      <w:marLeft w:val="0"/>
      <w:marRight w:val="0"/>
      <w:marTop w:val="0"/>
      <w:marBottom w:val="0"/>
      <w:divBdr>
        <w:top w:val="none" w:sz="0" w:space="0" w:color="auto"/>
        <w:left w:val="none" w:sz="0" w:space="0" w:color="auto"/>
        <w:bottom w:val="none" w:sz="0" w:space="0" w:color="auto"/>
        <w:right w:val="none" w:sz="0" w:space="0" w:color="auto"/>
      </w:divBdr>
    </w:div>
    <w:div w:id="401223216">
      <w:bodyDiv w:val="1"/>
      <w:marLeft w:val="0"/>
      <w:marRight w:val="0"/>
      <w:marTop w:val="0"/>
      <w:marBottom w:val="0"/>
      <w:divBdr>
        <w:top w:val="none" w:sz="0" w:space="0" w:color="auto"/>
        <w:left w:val="none" w:sz="0" w:space="0" w:color="auto"/>
        <w:bottom w:val="none" w:sz="0" w:space="0" w:color="auto"/>
        <w:right w:val="none" w:sz="0" w:space="0" w:color="auto"/>
      </w:divBdr>
    </w:div>
    <w:div w:id="415782385">
      <w:bodyDiv w:val="1"/>
      <w:marLeft w:val="0"/>
      <w:marRight w:val="0"/>
      <w:marTop w:val="0"/>
      <w:marBottom w:val="0"/>
      <w:divBdr>
        <w:top w:val="none" w:sz="0" w:space="0" w:color="auto"/>
        <w:left w:val="none" w:sz="0" w:space="0" w:color="auto"/>
        <w:bottom w:val="none" w:sz="0" w:space="0" w:color="auto"/>
        <w:right w:val="none" w:sz="0" w:space="0" w:color="auto"/>
      </w:divBdr>
    </w:div>
    <w:div w:id="448815961">
      <w:bodyDiv w:val="1"/>
      <w:marLeft w:val="0"/>
      <w:marRight w:val="0"/>
      <w:marTop w:val="0"/>
      <w:marBottom w:val="0"/>
      <w:divBdr>
        <w:top w:val="none" w:sz="0" w:space="0" w:color="auto"/>
        <w:left w:val="none" w:sz="0" w:space="0" w:color="auto"/>
        <w:bottom w:val="none" w:sz="0" w:space="0" w:color="auto"/>
        <w:right w:val="none" w:sz="0" w:space="0" w:color="auto"/>
      </w:divBdr>
    </w:div>
    <w:div w:id="469052685">
      <w:bodyDiv w:val="1"/>
      <w:marLeft w:val="0"/>
      <w:marRight w:val="0"/>
      <w:marTop w:val="0"/>
      <w:marBottom w:val="0"/>
      <w:divBdr>
        <w:top w:val="none" w:sz="0" w:space="0" w:color="auto"/>
        <w:left w:val="none" w:sz="0" w:space="0" w:color="auto"/>
        <w:bottom w:val="none" w:sz="0" w:space="0" w:color="auto"/>
        <w:right w:val="none" w:sz="0" w:space="0" w:color="auto"/>
      </w:divBdr>
    </w:div>
    <w:div w:id="469901144">
      <w:bodyDiv w:val="1"/>
      <w:marLeft w:val="0"/>
      <w:marRight w:val="0"/>
      <w:marTop w:val="0"/>
      <w:marBottom w:val="0"/>
      <w:divBdr>
        <w:top w:val="none" w:sz="0" w:space="0" w:color="auto"/>
        <w:left w:val="none" w:sz="0" w:space="0" w:color="auto"/>
        <w:bottom w:val="none" w:sz="0" w:space="0" w:color="auto"/>
        <w:right w:val="none" w:sz="0" w:space="0" w:color="auto"/>
      </w:divBdr>
    </w:div>
    <w:div w:id="475028092">
      <w:bodyDiv w:val="1"/>
      <w:marLeft w:val="0"/>
      <w:marRight w:val="0"/>
      <w:marTop w:val="0"/>
      <w:marBottom w:val="0"/>
      <w:divBdr>
        <w:top w:val="none" w:sz="0" w:space="0" w:color="auto"/>
        <w:left w:val="none" w:sz="0" w:space="0" w:color="auto"/>
        <w:bottom w:val="none" w:sz="0" w:space="0" w:color="auto"/>
        <w:right w:val="none" w:sz="0" w:space="0" w:color="auto"/>
      </w:divBdr>
    </w:div>
    <w:div w:id="494566633">
      <w:bodyDiv w:val="1"/>
      <w:marLeft w:val="0"/>
      <w:marRight w:val="0"/>
      <w:marTop w:val="0"/>
      <w:marBottom w:val="0"/>
      <w:divBdr>
        <w:top w:val="none" w:sz="0" w:space="0" w:color="auto"/>
        <w:left w:val="none" w:sz="0" w:space="0" w:color="auto"/>
        <w:bottom w:val="none" w:sz="0" w:space="0" w:color="auto"/>
        <w:right w:val="none" w:sz="0" w:space="0" w:color="auto"/>
      </w:divBdr>
    </w:div>
    <w:div w:id="523982022">
      <w:bodyDiv w:val="1"/>
      <w:marLeft w:val="0"/>
      <w:marRight w:val="0"/>
      <w:marTop w:val="0"/>
      <w:marBottom w:val="0"/>
      <w:divBdr>
        <w:top w:val="none" w:sz="0" w:space="0" w:color="auto"/>
        <w:left w:val="none" w:sz="0" w:space="0" w:color="auto"/>
        <w:bottom w:val="none" w:sz="0" w:space="0" w:color="auto"/>
        <w:right w:val="none" w:sz="0" w:space="0" w:color="auto"/>
      </w:divBdr>
    </w:div>
    <w:div w:id="526604116">
      <w:bodyDiv w:val="1"/>
      <w:marLeft w:val="0"/>
      <w:marRight w:val="0"/>
      <w:marTop w:val="0"/>
      <w:marBottom w:val="0"/>
      <w:divBdr>
        <w:top w:val="none" w:sz="0" w:space="0" w:color="auto"/>
        <w:left w:val="none" w:sz="0" w:space="0" w:color="auto"/>
        <w:bottom w:val="none" w:sz="0" w:space="0" w:color="auto"/>
        <w:right w:val="none" w:sz="0" w:space="0" w:color="auto"/>
      </w:divBdr>
    </w:div>
    <w:div w:id="540287566">
      <w:bodyDiv w:val="1"/>
      <w:marLeft w:val="0"/>
      <w:marRight w:val="0"/>
      <w:marTop w:val="0"/>
      <w:marBottom w:val="0"/>
      <w:divBdr>
        <w:top w:val="none" w:sz="0" w:space="0" w:color="auto"/>
        <w:left w:val="none" w:sz="0" w:space="0" w:color="auto"/>
        <w:bottom w:val="none" w:sz="0" w:space="0" w:color="auto"/>
        <w:right w:val="none" w:sz="0" w:space="0" w:color="auto"/>
      </w:divBdr>
    </w:div>
    <w:div w:id="565191777">
      <w:bodyDiv w:val="1"/>
      <w:marLeft w:val="0"/>
      <w:marRight w:val="0"/>
      <w:marTop w:val="0"/>
      <w:marBottom w:val="0"/>
      <w:divBdr>
        <w:top w:val="none" w:sz="0" w:space="0" w:color="auto"/>
        <w:left w:val="none" w:sz="0" w:space="0" w:color="auto"/>
        <w:bottom w:val="none" w:sz="0" w:space="0" w:color="auto"/>
        <w:right w:val="none" w:sz="0" w:space="0" w:color="auto"/>
      </w:divBdr>
    </w:div>
    <w:div w:id="582885015">
      <w:bodyDiv w:val="1"/>
      <w:marLeft w:val="0"/>
      <w:marRight w:val="0"/>
      <w:marTop w:val="0"/>
      <w:marBottom w:val="0"/>
      <w:divBdr>
        <w:top w:val="none" w:sz="0" w:space="0" w:color="auto"/>
        <w:left w:val="none" w:sz="0" w:space="0" w:color="auto"/>
        <w:bottom w:val="none" w:sz="0" w:space="0" w:color="auto"/>
        <w:right w:val="none" w:sz="0" w:space="0" w:color="auto"/>
      </w:divBdr>
    </w:div>
    <w:div w:id="590622568">
      <w:bodyDiv w:val="1"/>
      <w:marLeft w:val="0"/>
      <w:marRight w:val="0"/>
      <w:marTop w:val="0"/>
      <w:marBottom w:val="0"/>
      <w:divBdr>
        <w:top w:val="none" w:sz="0" w:space="0" w:color="auto"/>
        <w:left w:val="none" w:sz="0" w:space="0" w:color="auto"/>
        <w:bottom w:val="none" w:sz="0" w:space="0" w:color="auto"/>
        <w:right w:val="none" w:sz="0" w:space="0" w:color="auto"/>
      </w:divBdr>
    </w:div>
    <w:div w:id="597567787">
      <w:bodyDiv w:val="1"/>
      <w:marLeft w:val="0"/>
      <w:marRight w:val="0"/>
      <w:marTop w:val="0"/>
      <w:marBottom w:val="0"/>
      <w:divBdr>
        <w:top w:val="none" w:sz="0" w:space="0" w:color="auto"/>
        <w:left w:val="none" w:sz="0" w:space="0" w:color="auto"/>
        <w:bottom w:val="none" w:sz="0" w:space="0" w:color="auto"/>
        <w:right w:val="none" w:sz="0" w:space="0" w:color="auto"/>
      </w:divBdr>
    </w:div>
    <w:div w:id="598370329">
      <w:bodyDiv w:val="1"/>
      <w:marLeft w:val="0"/>
      <w:marRight w:val="0"/>
      <w:marTop w:val="0"/>
      <w:marBottom w:val="0"/>
      <w:divBdr>
        <w:top w:val="none" w:sz="0" w:space="0" w:color="auto"/>
        <w:left w:val="none" w:sz="0" w:space="0" w:color="auto"/>
        <w:bottom w:val="none" w:sz="0" w:space="0" w:color="auto"/>
        <w:right w:val="none" w:sz="0" w:space="0" w:color="auto"/>
      </w:divBdr>
    </w:div>
    <w:div w:id="600070073">
      <w:bodyDiv w:val="1"/>
      <w:marLeft w:val="0"/>
      <w:marRight w:val="0"/>
      <w:marTop w:val="0"/>
      <w:marBottom w:val="0"/>
      <w:divBdr>
        <w:top w:val="none" w:sz="0" w:space="0" w:color="auto"/>
        <w:left w:val="none" w:sz="0" w:space="0" w:color="auto"/>
        <w:bottom w:val="none" w:sz="0" w:space="0" w:color="auto"/>
        <w:right w:val="none" w:sz="0" w:space="0" w:color="auto"/>
      </w:divBdr>
    </w:div>
    <w:div w:id="605815932">
      <w:bodyDiv w:val="1"/>
      <w:marLeft w:val="0"/>
      <w:marRight w:val="0"/>
      <w:marTop w:val="0"/>
      <w:marBottom w:val="0"/>
      <w:divBdr>
        <w:top w:val="none" w:sz="0" w:space="0" w:color="auto"/>
        <w:left w:val="none" w:sz="0" w:space="0" w:color="auto"/>
        <w:bottom w:val="none" w:sz="0" w:space="0" w:color="auto"/>
        <w:right w:val="none" w:sz="0" w:space="0" w:color="auto"/>
      </w:divBdr>
    </w:div>
    <w:div w:id="607934664">
      <w:bodyDiv w:val="1"/>
      <w:marLeft w:val="0"/>
      <w:marRight w:val="0"/>
      <w:marTop w:val="0"/>
      <w:marBottom w:val="0"/>
      <w:divBdr>
        <w:top w:val="none" w:sz="0" w:space="0" w:color="auto"/>
        <w:left w:val="none" w:sz="0" w:space="0" w:color="auto"/>
        <w:bottom w:val="none" w:sz="0" w:space="0" w:color="auto"/>
        <w:right w:val="none" w:sz="0" w:space="0" w:color="auto"/>
      </w:divBdr>
    </w:div>
    <w:div w:id="620040470">
      <w:bodyDiv w:val="1"/>
      <w:marLeft w:val="0"/>
      <w:marRight w:val="0"/>
      <w:marTop w:val="0"/>
      <w:marBottom w:val="0"/>
      <w:divBdr>
        <w:top w:val="none" w:sz="0" w:space="0" w:color="auto"/>
        <w:left w:val="none" w:sz="0" w:space="0" w:color="auto"/>
        <w:bottom w:val="none" w:sz="0" w:space="0" w:color="auto"/>
        <w:right w:val="none" w:sz="0" w:space="0" w:color="auto"/>
      </w:divBdr>
    </w:div>
    <w:div w:id="627318138">
      <w:bodyDiv w:val="1"/>
      <w:marLeft w:val="0"/>
      <w:marRight w:val="0"/>
      <w:marTop w:val="0"/>
      <w:marBottom w:val="0"/>
      <w:divBdr>
        <w:top w:val="none" w:sz="0" w:space="0" w:color="auto"/>
        <w:left w:val="none" w:sz="0" w:space="0" w:color="auto"/>
        <w:bottom w:val="none" w:sz="0" w:space="0" w:color="auto"/>
        <w:right w:val="none" w:sz="0" w:space="0" w:color="auto"/>
      </w:divBdr>
    </w:div>
    <w:div w:id="645204361">
      <w:bodyDiv w:val="1"/>
      <w:marLeft w:val="0"/>
      <w:marRight w:val="0"/>
      <w:marTop w:val="0"/>
      <w:marBottom w:val="0"/>
      <w:divBdr>
        <w:top w:val="none" w:sz="0" w:space="0" w:color="auto"/>
        <w:left w:val="none" w:sz="0" w:space="0" w:color="auto"/>
        <w:bottom w:val="none" w:sz="0" w:space="0" w:color="auto"/>
        <w:right w:val="none" w:sz="0" w:space="0" w:color="auto"/>
      </w:divBdr>
    </w:div>
    <w:div w:id="660890494">
      <w:bodyDiv w:val="1"/>
      <w:marLeft w:val="0"/>
      <w:marRight w:val="0"/>
      <w:marTop w:val="0"/>
      <w:marBottom w:val="0"/>
      <w:divBdr>
        <w:top w:val="none" w:sz="0" w:space="0" w:color="auto"/>
        <w:left w:val="none" w:sz="0" w:space="0" w:color="auto"/>
        <w:bottom w:val="none" w:sz="0" w:space="0" w:color="auto"/>
        <w:right w:val="none" w:sz="0" w:space="0" w:color="auto"/>
      </w:divBdr>
    </w:div>
    <w:div w:id="666444994">
      <w:bodyDiv w:val="1"/>
      <w:marLeft w:val="0"/>
      <w:marRight w:val="0"/>
      <w:marTop w:val="0"/>
      <w:marBottom w:val="0"/>
      <w:divBdr>
        <w:top w:val="none" w:sz="0" w:space="0" w:color="auto"/>
        <w:left w:val="none" w:sz="0" w:space="0" w:color="auto"/>
        <w:bottom w:val="none" w:sz="0" w:space="0" w:color="auto"/>
        <w:right w:val="none" w:sz="0" w:space="0" w:color="auto"/>
      </w:divBdr>
    </w:div>
    <w:div w:id="668673822">
      <w:bodyDiv w:val="1"/>
      <w:marLeft w:val="0"/>
      <w:marRight w:val="0"/>
      <w:marTop w:val="0"/>
      <w:marBottom w:val="0"/>
      <w:divBdr>
        <w:top w:val="none" w:sz="0" w:space="0" w:color="auto"/>
        <w:left w:val="none" w:sz="0" w:space="0" w:color="auto"/>
        <w:bottom w:val="none" w:sz="0" w:space="0" w:color="auto"/>
        <w:right w:val="none" w:sz="0" w:space="0" w:color="auto"/>
      </w:divBdr>
    </w:div>
    <w:div w:id="697203049">
      <w:bodyDiv w:val="1"/>
      <w:marLeft w:val="0"/>
      <w:marRight w:val="0"/>
      <w:marTop w:val="0"/>
      <w:marBottom w:val="0"/>
      <w:divBdr>
        <w:top w:val="none" w:sz="0" w:space="0" w:color="auto"/>
        <w:left w:val="none" w:sz="0" w:space="0" w:color="auto"/>
        <w:bottom w:val="none" w:sz="0" w:space="0" w:color="auto"/>
        <w:right w:val="none" w:sz="0" w:space="0" w:color="auto"/>
      </w:divBdr>
    </w:div>
    <w:div w:id="700713730">
      <w:bodyDiv w:val="1"/>
      <w:marLeft w:val="0"/>
      <w:marRight w:val="0"/>
      <w:marTop w:val="0"/>
      <w:marBottom w:val="0"/>
      <w:divBdr>
        <w:top w:val="none" w:sz="0" w:space="0" w:color="auto"/>
        <w:left w:val="none" w:sz="0" w:space="0" w:color="auto"/>
        <w:bottom w:val="none" w:sz="0" w:space="0" w:color="auto"/>
        <w:right w:val="none" w:sz="0" w:space="0" w:color="auto"/>
      </w:divBdr>
    </w:div>
    <w:div w:id="706177027">
      <w:bodyDiv w:val="1"/>
      <w:marLeft w:val="0"/>
      <w:marRight w:val="0"/>
      <w:marTop w:val="0"/>
      <w:marBottom w:val="0"/>
      <w:divBdr>
        <w:top w:val="none" w:sz="0" w:space="0" w:color="auto"/>
        <w:left w:val="none" w:sz="0" w:space="0" w:color="auto"/>
        <w:bottom w:val="none" w:sz="0" w:space="0" w:color="auto"/>
        <w:right w:val="none" w:sz="0" w:space="0" w:color="auto"/>
      </w:divBdr>
    </w:div>
    <w:div w:id="710572213">
      <w:bodyDiv w:val="1"/>
      <w:marLeft w:val="0"/>
      <w:marRight w:val="0"/>
      <w:marTop w:val="0"/>
      <w:marBottom w:val="0"/>
      <w:divBdr>
        <w:top w:val="none" w:sz="0" w:space="0" w:color="auto"/>
        <w:left w:val="none" w:sz="0" w:space="0" w:color="auto"/>
        <w:bottom w:val="none" w:sz="0" w:space="0" w:color="auto"/>
        <w:right w:val="none" w:sz="0" w:space="0" w:color="auto"/>
      </w:divBdr>
    </w:div>
    <w:div w:id="711807926">
      <w:bodyDiv w:val="1"/>
      <w:marLeft w:val="0"/>
      <w:marRight w:val="0"/>
      <w:marTop w:val="0"/>
      <w:marBottom w:val="0"/>
      <w:divBdr>
        <w:top w:val="none" w:sz="0" w:space="0" w:color="auto"/>
        <w:left w:val="none" w:sz="0" w:space="0" w:color="auto"/>
        <w:bottom w:val="none" w:sz="0" w:space="0" w:color="auto"/>
        <w:right w:val="none" w:sz="0" w:space="0" w:color="auto"/>
      </w:divBdr>
    </w:div>
    <w:div w:id="717321961">
      <w:bodyDiv w:val="1"/>
      <w:marLeft w:val="0"/>
      <w:marRight w:val="0"/>
      <w:marTop w:val="0"/>
      <w:marBottom w:val="0"/>
      <w:divBdr>
        <w:top w:val="none" w:sz="0" w:space="0" w:color="auto"/>
        <w:left w:val="none" w:sz="0" w:space="0" w:color="auto"/>
        <w:bottom w:val="none" w:sz="0" w:space="0" w:color="auto"/>
        <w:right w:val="none" w:sz="0" w:space="0" w:color="auto"/>
      </w:divBdr>
    </w:div>
    <w:div w:id="730078408">
      <w:bodyDiv w:val="1"/>
      <w:marLeft w:val="0"/>
      <w:marRight w:val="0"/>
      <w:marTop w:val="0"/>
      <w:marBottom w:val="0"/>
      <w:divBdr>
        <w:top w:val="none" w:sz="0" w:space="0" w:color="auto"/>
        <w:left w:val="none" w:sz="0" w:space="0" w:color="auto"/>
        <w:bottom w:val="none" w:sz="0" w:space="0" w:color="auto"/>
        <w:right w:val="none" w:sz="0" w:space="0" w:color="auto"/>
      </w:divBdr>
    </w:div>
    <w:div w:id="769354939">
      <w:bodyDiv w:val="1"/>
      <w:marLeft w:val="0"/>
      <w:marRight w:val="0"/>
      <w:marTop w:val="0"/>
      <w:marBottom w:val="0"/>
      <w:divBdr>
        <w:top w:val="none" w:sz="0" w:space="0" w:color="auto"/>
        <w:left w:val="none" w:sz="0" w:space="0" w:color="auto"/>
        <w:bottom w:val="none" w:sz="0" w:space="0" w:color="auto"/>
        <w:right w:val="none" w:sz="0" w:space="0" w:color="auto"/>
      </w:divBdr>
    </w:div>
    <w:div w:id="776216884">
      <w:bodyDiv w:val="1"/>
      <w:marLeft w:val="0"/>
      <w:marRight w:val="0"/>
      <w:marTop w:val="0"/>
      <w:marBottom w:val="0"/>
      <w:divBdr>
        <w:top w:val="none" w:sz="0" w:space="0" w:color="auto"/>
        <w:left w:val="none" w:sz="0" w:space="0" w:color="auto"/>
        <w:bottom w:val="none" w:sz="0" w:space="0" w:color="auto"/>
        <w:right w:val="none" w:sz="0" w:space="0" w:color="auto"/>
      </w:divBdr>
      <w:divsChild>
        <w:div w:id="1207597990">
          <w:marLeft w:val="0"/>
          <w:marRight w:val="0"/>
          <w:marTop w:val="0"/>
          <w:marBottom w:val="240"/>
          <w:divBdr>
            <w:top w:val="none" w:sz="0" w:space="0" w:color="auto"/>
            <w:left w:val="none" w:sz="0" w:space="0" w:color="auto"/>
            <w:bottom w:val="none" w:sz="0" w:space="0" w:color="auto"/>
            <w:right w:val="none" w:sz="0" w:space="0" w:color="auto"/>
          </w:divBdr>
        </w:div>
      </w:divsChild>
    </w:div>
    <w:div w:id="778261623">
      <w:bodyDiv w:val="1"/>
      <w:marLeft w:val="0"/>
      <w:marRight w:val="0"/>
      <w:marTop w:val="0"/>
      <w:marBottom w:val="0"/>
      <w:divBdr>
        <w:top w:val="none" w:sz="0" w:space="0" w:color="auto"/>
        <w:left w:val="none" w:sz="0" w:space="0" w:color="auto"/>
        <w:bottom w:val="none" w:sz="0" w:space="0" w:color="auto"/>
        <w:right w:val="none" w:sz="0" w:space="0" w:color="auto"/>
      </w:divBdr>
    </w:div>
    <w:div w:id="779448693">
      <w:bodyDiv w:val="1"/>
      <w:marLeft w:val="0"/>
      <w:marRight w:val="0"/>
      <w:marTop w:val="0"/>
      <w:marBottom w:val="0"/>
      <w:divBdr>
        <w:top w:val="none" w:sz="0" w:space="0" w:color="auto"/>
        <w:left w:val="none" w:sz="0" w:space="0" w:color="auto"/>
        <w:bottom w:val="none" w:sz="0" w:space="0" w:color="auto"/>
        <w:right w:val="none" w:sz="0" w:space="0" w:color="auto"/>
      </w:divBdr>
    </w:div>
    <w:div w:id="819081954">
      <w:bodyDiv w:val="1"/>
      <w:marLeft w:val="0"/>
      <w:marRight w:val="0"/>
      <w:marTop w:val="0"/>
      <w:marBottom w:val="0"/>
      <w:divBdr>
        <w:top w:val="none" w:sz="0" w:space="0" w:color="auto"/>
        <w:left w:val="none" w:sz="0" w:space="0" w:color="auto"/>
        <w:bottom w:val="none" w:sz="0" w:space="0" w:color="auto"/>
        <w:right w:val="none" w:sz="0" w:space="0" w:color="auto"/>
      </w:divBdr>
    </w:div>
    <w:div w:id="819150325">
      <w:bodyDiv w:val="1"/>
      <w:marLeft w:val="0"/>
      <w:marRight w:val="0"/>
      <w:marTop w:val="0"/>
      <w:marBottom w:val="0"/>
      <w:divBdr>
        <w:top w:val="none" w:sz="0" w:space="0" w:color="auto"/>
        <w:left w:val="none" w:sz="0" w:space="0" w:color="auto"/>
        <w:bottom w:val="none" w:sz="0" w:space="0" w:color="auto"/>
        <w:right w:val="none" w:sz="0" w:space="0" w:color="auto"/>
      </w:divBdr>
    </w:div>
    <w:div w:id="822699378">
      <w:bodyDiv w:val="1"/>
      <w:marLeft w:val="0"/>
      <w:marRight w:val="0"/>
      <w:marTop w:val="0"/>
      <w:marBottom w:val="0"/>
      <w:divBdr>
        <w:top w:val="none" w:sz="0" w:space="0" w:color="auto"/>
        <w:left w:val="none" w:sz="0" w:space="0" w:color="auto"/>
        <w:bottom w:val="none" w:sz="0" w:space="0" w:color="auto"/>
        <w:right w:val="none" w:sz="0" w:space="0" w:color="auto"/>
      </w:divBdr>
    </w:div>
    <w:div w:id="824277637">
      <w:bodyDiv w:val="1"/>
      <w:marLeft w:val="0"/>
      <w:marRight w:val="0"/>
      <w:marTop w:val="0"/>
      <w:marBottom w:val="0"/>
      <w:divBdr>
        <w:top w:val="none" w:sz="0" w:space="0" w:color="auto"/>
        <w:left w:val="none" w:sz="0" w:space="0" w:color="auto"/>
        <w:bottom w:val="none" w:sz="0" w:space="0" w:color="auto"/>
        <w:right w:val="none" w:sz="0" w:space="0" w:color="auto"/>
      </w:divBdr>
    </w:div>
    <w:div w:id="828251341">
      <w:bodyDiv w:val="1"/>
      <w:marLeft w:val="0"/>
      <w:marRight w:val="0"/>
      <w:marTop w:val="0"/>
      <w:marBottom w:val="0"/>
      <w:divBdr>
        <w:top w:val="none" w:sz="0" w:space="0" w:color="auto"/>
        <w:left w:val="none" w:sz="0" w:space="0" w:color="auto"/>
        <w:bottom w:val="none" w:sz="0" w:space="0" w:color="auto"/>
        <w:right w:val="none" w:sz="0" w:space="0" w:color="auto"/>
      </w:divBdr>
    </w:div>
    <w:div w:id="837892157">
      <w:bodyDiv w:val="1"/>
      <w:marLeft w:val="0"/>
      <w:marRight w:val="0"/>
      <w:marTop w:val="0"/>
      <w:marBottom w:val="0"/>
      <w:divBdr>
        <w:top w:val="none" w:sz="0" w:space="0" w:color="auto"/>
        <w:left w:val="none" w:sz="0" w:space="0" w:color="auto"/>
        <w:bottom w:val="none" w:sz="0" w:space="0" w:color="auto"/>
        <w:right w:val="none" w:sz="0" w:space="0" w:color="auto"/>
      </w:divBdr>
    </w:div>
    <w:div w:id="842164018">
      <w:bodyDiv w:val="1"/>
      <w:marLeft w:val="0"/>
      <w:marRight w:val="0"/>
      <w:marTop w:val="0"/>
      <w:marBottom w:val="0"/>
      <w:divBdr>
        <w:top w:val="none" w:sz="0" w:space="0" w:color="auto"/>
        <w:left w:val="none" w:sz="0" w:space="0" w:color="auto"/>
        <w:bottom w:val="none" w:sz="0" w:space="0" w:color="auto"/>
        <w:right w:val="none" w:sz="0" w:space="0" w:color="auto"/>
      </w:divBdr>
    </w:div>
    <w:div w:id="844903736">
      <w:bodyDiv w:val="1"/>
      <w:marLeft w:val="0"/>
      <w:marRight w:val="0"/>
      <w:marTop w:val="0"/>
      <w:marBottom w:val="0"/>
      <w:divBdr>
        <w:top w:val="none" w:sz="0" w:space="0" w:color="auto"/>
        <w:left w:val="none" w:sz="0" w:space="0" w:color="auto"/>
        <w:bottom w:val="none" w:sz="0" w:space="0" w:color="auto"/>
        <w:right w:val="none" w:sz="0" w:space="0" w:color="auto"/>
      </w:divBdr>
    </w:div>
    <w:div w:id="848065715">
      <w:bodyDiv w:val="1"/>
      <w:marLeft w:val="0"/>
      <w:marRight w:val="0"/>
      <w:marTop w:val="0"/>
      <w:marBottom w:val="0"/>
      <w:divBdr>
        <w:top w:val="none" w:sz="0" w:space="0" w:color="auto"/>
        <w:left w:val="none" w:sz="0" w:space="0" w:color="auto"/>
        <w:bottom w:val="none" w:sz="0" w:space="0" w:color="auto"/>
        <w:right w:val="none" w:sz="0" w:space="0" w:color="auto"/>
      </w:divBdr>
    </w:div>
    <w:div w:id="867912031">
      <w:bodyDiv w:val="1"/>
      <w:marLeft w:val="0"/>
      <w:marRight w:val="0"/>
      <w:marTop w:val="0"/>
      <w:marBottom w:val="0"/>
      <w:divBdr>
        <w:top w:val="none" w:sz="0" w:space="0" w:color="auto"/>
        <w:left w:val="none" w:sz="0" w:space="0" w:color="auto"/>
        <w:bottom w:val="none" w:sz="0" w:space="0" w:color="auto"/>
        <w:right w:val="none" w:sz="0" w:space="0" w:color="auto"/>
      </w:divBdr>
    </w:div>
    <w:div w:id="871187692">
      <w:bodyDiv w:val="1"/>
      <w:marLeft w:val="0"/>
      <w:marRight w:val="0"/>
      <w:marTop w:val="0"/>
      <w:marBottom w:val="0"/>
      <w:divBdr>
        <w:top w:val="none" w:sz="0" w:space="0" w:color="auto"/>
        <w:left w:val="none" w:sz="0" w:space="0" w:color="auto"/>
        <w:bottom w:val="none" w:sz="0" w:space="0" w:color="auto"/>
        <w:right w:val="none" w:sz="0" w:space="0" w:color="auto"/>
      </w:divBdr>
    </w:div>
    <w:div w:id="871919799">
      <w:bodyDiv w:val="1"/>
      <w:marLeft w:val="0"/>
      <w:marRight w:val="0"/>
      <w:marTop w:val="0"/>
      <w:marBottom w:val="0"/>
      <w:divBdr>
        <w:top w:val="none" w:sz="0" w:space="0" w:color="auto"/>
        <w:left w:val="none" w:sz="0" w:space="0" w:color="auto"/>
        <w:bottom w:val="none" w:sz="0" w:space="0" w:color="auto"/>
        <w:right w:val="none" w:sz="0" w:space="0" w:color="auto"/>
      </w:divBdr>
    </w:div>
    <w:div w:id="890384811">
      <w:bodyDiv w:val="1"/>
      <w:marLeft w:val="0"/>
      <w:marRight w:val="0"/>
      <w:marTop w:val="0"/>
      <w:marBottom w:val="0"/>
      <w:divBdr>
        <w:top w:val="none" w:sz="0" w:space="0" w:color="auto"/>
        <w:left w:val="none" w:sz="0" w:space="0" w:color="auto"/>
        <w:bottom w:val="none" w:sz="0" w:space="0" w:color="auto"/>
        <w:right w:val="none" w:sz="0" w:space="0" w:color="auto"/>
      </w:divBdr>
    </w:div>
    <w:div w:id="900403077">
      <w:bodyDiv w:val="1"/>
      <w:marLeft w:val="0"/>
      <w:marRight w:val="0"/>
      <w:marTop w:val="0"/>
      <w:marBottom w:val="0"/>
      <w:divBdr>
        <w:top w:val="none" w:sz="0" w:space="0" w:color="auto"/>
        <w:left w:val="none" w:sz="0" w:space="0" w:color="auto"/>
        <w:bottom w:val="none" w:sz="0" w:space="0" w:color="auto"/>
        <w:right w:val="none" w:sz="0" w:space="0" w:color="auto"/>
      </w:divBdr>
    </w:div>
    <w:div w:id="931935400">
      <w:bodyDiv w:val="1"/>
      <w:marLeft w:val="0"/>
      <w:marRight w:val="0"/>
      <w:marTop w:val="0"/>
      <w:marBottom w:val="0"/>
      <w:divBdr>
        <w:top w:val="none" w:sz="0" w:space="0" w:color="auto"/>
        <w:left w:val="none" w:sz="0" w:space="0" w:color="auto"/>
        <w:bottom w:val="none" w:sz="0" w:space="0" w:color="auto"/>
        <w:right w:val="none" w:sz="0" w:space="0" w:color="auto"/>
      </w:divBdr>
    </w:div>
    <w:div w:id="935333697">
      <w:bodyDiv w:val="1"/>
      <w:marLeft w:val="0"/>
      <w:marRight w:val="0"/>
      <w:marTop w:val="0"/>
      <w:marBottom w:val="0"/>
      <w:divBdr>
        <w:top w:val="none" w:sz="0" w:space="0" w:color="auto"/>
        <w:left w:val="none" w:sz="0" w:space="0" w:color="auto"/>
        <w:bottom w:val="none" w:sz="0" w:space="0" w:color="auto"/>
        <w:right w:val="none" w:sz="0" w:space="0" w:color="auto"/>
      </w:divBdr>
    </w:div>
    <w:div w:id="935483280">
      <w:bodyDiv w:val="1"/>
      <w:marLeft w:val="0"/>
      <w:marRight w:val="0"/>
      <w:marTop w:val="0"/>
      <w:marBottom w:val="0"/>
      <w:divBdr>
        <w:top w:val="none" w:sz="0" w:space="0" w:color="auto"/>
        <w:left w:val="none" w:sz="0" w:space="0" w:color="auto"/>
        <w:bottom w:val="none" w:sz="0" w:space="0" w:color="auto"/>
        <w:right w:val="none" w:sz="0" w:space="0" w:color="auto"/>
      </w:divBdr>
    </w:div>
    <w:div w:id="947661295">
      <w:bodyDiv w:val="1"/>
      <w:marLeft w:val="0"/>
      <w:marRight w:val="0"/>
      <w:marTop w:val="0"/>
      <w:marBottom w:val="0"/>
      <w:divBdr>
        <w:top w:val="none" w:sz="0" w:space="0" w:color="auto"/>
        <w:left w:val="none" w:sz="0" w:space="0" w:color="auto"/>
        <w:bottom w:val="none" w:sz="0" w:space="0" w:color="auto"/>
        <w:right w:val="none" w:sz="0" w:space="0" w:color="auto"/>
      </w:divBdr>
    </w:div>
    <w:div w:id="957027786">
      <w:bodyDiv w:val="1"/>
      <w:marLeft w:val="0"/>
      <w:marRight w:val="0"/>
      <w:marTop w:val="0"/>
      <w:marBottom w:val="0"/>
      <w:divBdr>
        <w:top w:val="none" w:sz="0" w:space="0" w:color="auto"/>
        <w:left w:val="none" w:sz="0" w:space="0" w:color="auto"/>
        <w:bottom w:val="none" w:sz="0" w:space="0" w:color="auto"/>
        <w:right w:val="none" w:sz="0" w:space="0" w:color="auto"/>
      </w:divBdr>
    </w:div>
    <w:div w:id="957679790">
      <w:bodyDiv w:val="1"/>
      <w:marLeft w:val="0"/>
      <w:marRight w:val="0"/>
      <w:marTop w:val="0"/>
      <w:marBottom w:val="0"/>
      <w:divBdr>
        <w:top w:val="none" w:sz="0" w:space="0" w:color="auto"/>
        <w:left w:val="none" w:sz="0" w:space="0" w:color="auto"/>
        <w:bottom w:val="none" w:sz="0" w:space="0" w:color="auto"/>
        <w:right w:val="none" w:sz="0" w:space="0" w:color="auto"/>
      </w:divBdr>
    </w:div>
    <w:div w:id="961611564">
      <w:bodyDiv w:val="1"/>
      <w:marLeft w:val="0"/>
      <w:marRight w:val="0"/>
      <w:marTop w:val="0"/>
      <w:marBottom w:val="0"/>
      <w:divBdr>
        <w:top w:val="none" w:sz="0" w:space="0" w:color="auto"/>
        <w:left w:val="none" w:sz="0" w:space="0" w:color="auto"/>
        <w:bottom w:val="none" w:sz="0" w:space="0" w:color="auto"/>
        <w:right w:val="none" w:sz="0" w:space="0" w:color="auto"/>
      </w:divBdr>
    </w:div>
    <w:div w:id="976377555">
      <w:bodyDiv w:val="1"/>
      <w:marLeft w:val="0"/>
      <w:marRight w:val="0"/>
      <w:marTop w:val="0"/>
      <w:marBottom w:val="0"/>
      <w:divBdr>
        <w:top w:val="none" w:sz="0" w:space="0" w:color="auto"/>
        <w:left w:val="none" w:sz="0" w:space="0" w:color="auto"/>
        <w:bottom w:val="none" w:sz="0" w:space="0" w:color="auto"/>
        <w:right w:val="none" w:sz="0" w:space="0" w:color="auto"/>
      </w:divBdr>
    </w:div>
    <w:div w:id="999386987">
      <w:bodyDiv w:val="1"/>
      <w:marLeft w:val="0"/>
      <w:marRight w:val="0"/>
      <w:marTop w:val="0"/>
      <w:marBottom w:val="0"/>
      <w:divBdr>
        <w:top w:val="none" w:sz="0" w:space="0" w:color="auto"/>
        <w:left w:val="none" w:sz="0" w:space="0" w:color="auto"/>
        <w:bottom w:val="none" w:sz="0" w:space="0" w:color="auto"/>
        <w:right w:val="none" w:sz="0" w:space="0" w:color="auto"/>
      </w:divBdr>
    </w:div>
    <w:div w:id="1002581968">
      <w:bodyDiv w:val="1"/>
      <w:marLeft w:val="0"/>
      <w:marRight w:val="0"/>
      <w:marTop w:val="0"/>
      <w:marBottom w:val="0"/>
      <w:divBdr>
        <w:top w:val="none" w:sz="0" w:space="0" w:color="auto"/>
        <w:left w:val="none" w:sz="0" w:space="0" w:color="auto"/>
        <w:bottom w:val="none" w:sz="0" w:space="0" w:color="auto"/>
        <w:right w:val="none" w:sz="0" w:space="0" w:color="auto"/>
      </w:divBdr>
    </w:div>
    <w:div w:id="1018585876">
      <w:bodyDiv w:val="1"/>
      <w:marLeft w:val="0"/>
      <w:marRight w:val="0"/>
      <w:marTop w:val="0"/>
      <w:marBottom w:val="0"/>
      <w:divBdr>
        <w:top w:val="none" w:sz="0" w:space="0" w:color="auto"/>
        <w:left w:val="none" w:sz="0" w:space="0" w:color="auto"/>
        <w:bottom w:val="none" w:sz="0" w:space="0" w:color="auto"/>
        <w:right w:val="none" w:sz="0" w:space="0" w:color="auto"/>
      </w:divBdr>
    </w:div>
    <w:div w:id="1038240594">
      <w:bodyDiv w:val="1"/>
      <w:marLeft w:val="0"/>
      <w:marRight w:val="0"/>
      <w:marTop w:val="0"/>
      <w:marBottom w:val="0"/>
      <w:divBdr>
        <w:top w:val="none" w:sz="0" w:space="0" w:color="auto"/>
        <w:left w:val="none" w:sz="0" w:space="0" w:color="auto"/>
        <w:bottom w:val="none" w:sz="0" w:space="0" w:color="auto"/>
        <w:right w:val="none" w:sz="0" w:space="0" w:color="auto"/>
      </w:divBdr>
    </w:div>
    <w:div w:id="1043485954">
      <w:bodyDiv w:val="1"/>
      <w:marLeft w:val="0"/>
      <w:marRight w:val="0"/>
      <w:marTop w:val="0"/>
      <w:marBottom w:val="0"/>
      <w:divBdr>
        <w:top w:val="none" w:sz="0" w:space="0" w:color="auto"/>
        <w:left w:val="none" w:sz="0" w:space="0" w:color="auto"/>
        <w:bottom w:val="none" w:sz="0" w:space="0" w:color="auto"/>
        <w:right w:val="none" w:sz="0" w:space="0" w:color="auto"/>
      </w:divBdr>
    </w:div>
    <w:div w:id="1049719170">
      <w:bodyDiv w:val="1"/>
      <w:marLeft w:val="0"/>
      <w:marRight w:val="0"/>
      <w:marTop w:val="0"/>
      <w:marBottom w:val="0"/>
      <w:divBdr>
        <w:top w:val="none" w:sz="0" w:space="0" w:color="auto"/>
        <w:left w:val="none" w:sz="0" w:space="0" w:color="auto"/>
        <w:bottom w:val="none" w:sz="0" w:space="0" w:color="auto"/>
        <w:right w:val="none" w:sz="0" w:space="0" w:color="auto"/>
      </w:divBdr>
    </w:div>
    <w:div w:id="1059598072">
      <w:bodyDiv w:val="1"/>
      <w:marLeft w:val="0"/>
      <w:marRight w:val="0"/>
      <w:marTop w:val="0"/>
      <w:marBottom w:val="0"/>
      <w:divBdr>
        <w:top w:val="none" w:sz="0" w:space="0" w:color="auto"/>
        <w:left w:val="none" w:sz="0" w:space="0" w:color="auto"/>
        <w:bottom w:val="none" w:sz="0" w:space="0" w:color="auto"/>
        <w:right w:val="none" w:sz="0" w:space="0" w:color="auto"/>
      </w:divBdr>
    </w:div>
    <w:div w:id="1068305425">
      <w:bodyDiv w:val="1"/>
      <w:marLeft w:val="0"/>
      <w:marRight w:val="0"/>
      <w:marTop w:val="0"/>
      <w:marBottom w:val="0"/>
      <w:divBdr>
        <w:top w:val="none" w:sz="0" w:space="0" w:color="auto"/>
        <w:left w:val="none" w:sz="0" w:space="0" w:color="auto"/>
        <w:bottom w:val="none" w:sz="0" w:space="0" w:color="auto"/>
        <w:right w:val="none" w:sz="0" w:space="0" w:color="auto"/>
      </w:divBdr>
    </w:div>
    <w:div w:id="1069503099">
      <w:bodyDiv w:val="1"/>
      <w:marLeft w:val="0"/>
      <w:marRight w:val="0"/>
      <w:marTop w:val="0"/>
      <w:marBottom w:val="0"/>
      <w:divBdr>
        <w:top w:val="none" w:sz="0" w:space="0" w:color="auto"/>
        <w:left w:val="none" w:sz="0" w:space="0" w:color="auto"/>
        <w:bottom w:val="none" w:sz="0" w:space="0" w:color="auto"/>
        <w:right w:val="none" w:sz="0" w:space="0" w:color="auto"/>
      </w:divBdr>
    </w:div>
    <w:div w:id="1083183929">
      <w:bodyDiv w:val="1"/>
      <w:marLeft w:val="0"/>
      <w:marRight w:val="0"/>
      <w:marTop w:val="0"/>
      <w:marBottom w:val="0"/>
      <w:divBdr>
        <w:top w:val="none" w:sz="0" w:space="0" w:color="auto"/>
        <w:left w:val="none" w:sz="0" w:space="0" w:color="auto"/>
        <w:bottom w:val="none" w:sz="0" w:space="0" w:color="auto"/>
        <w:right w:val="none" w:sz="0" w:space="0" w:color="auto"/>
      </w:divBdr>
    </w:div>
    <w:div w:id="1098409011">
      <w:bodyDiv w:val="1"/>
      <w:marLeft w:val="0"/>
      <w:marRight w:val="0"/>
      <w:marTop w:val="0"/>
      <w:marBottom w:val="0"/>
      <w:divBdr>
        <w:top w:val="none" w:sz="0" w:space="0" w:color="auto"/>
        <w:left w:val="none" w:sz="0" w:space="0" w:color="auto"/>
        <w:bottom w:val="none" w:sz="0" w:space="0" w:color="auto"/>
        <w:right w:val="none" w:sz="0" w:space="0" w:color="auto"/>
      </w:divBdr>
    </w:div>
    <w:div w:id="1108544657">
      <w:bodyDiv w:val="1"/>
      <w:marLeft w:val="0"/>
      <w:marRight w:val="0"/>
      <w:marTop w:val="0"/>
      <w:marBottom w:val="0"/>
      <w:divBdr>
        <w:top w:val="none" w:sz="0" w:space="0" w:color="auto"/>
        <w:left w:val="none" w:sz="0" w:space="0" w:color="auto"/>
        <w:bottom w:val="none" w:sz="0" w:space="0" w:color="auto"/>
        <w:right w:val="none" w:sz="0" w:space="0" w:color="auto"/>
      </w:divBdr>
    </w:div>
    <w:div w:id="1115171817">
      <w:bodyDiv w:val="1"/>
      <w:marLeft w:val="0"/>
      <w:marRight w:val="0"/>
      <w:marTop w:val="0"/>
      <w:marBottom w:val="0"/>
      <w:divBdr>
        <w:top w:val="none" w:sz="0" w:space="0" w:color="auto"/>
        <w:left w:val="none" w:sz="0" w:space="0" w:color="auto"/>
        <w:bottom w:val="none" w:sz="0" w:space="0" w:color="auto"/>
        <w:right w:val="none" w:sz="0" w:space="0" w:color="auto"/>
      </w:divBdr>
    </w:div>
    <w:div w:id="1139108057">
      <w:bodyDiv w:val="1"/>
      <w:marLeft w:val="0"/>
      <w:marRight w:val="0"/>
      <w:marTop w:val="0"/>
      <w:marBottom w:val="0"/>
      <w:divBdr>
        <w:top w:val="none" w:sz="0" w:space="0" w:color="auto"/>
        <w:left w:val="none" w:sz="0" w:space="0" w:color="auto"/>
        <w:bottom w:val="none" w:sz="0" w:space="0" w:color="auto"/>
        <w:right w:val="none" w:sz="0" w:space="0" w:color="auto"/>
      </w:divBdr>
    </w:div>
    <w:div w:id="1141995950">
      <w:bodyDiv w:val="1"/>
      <w:marLeft w:val="0"/>
      <w:marRight w:val="0"/>
      <w:marTop w:val="0"/>
      <w:marBottom w:val="0"/>
      <w:divBdr>
        <w:top w:val="none" w:sz="0" w:space="0" w:color="auto"/>
        <w:left w:val="none" w:sz="0" w:space="0" w:color="auto"/>
        <w:bottom w:val="none" w:sz="0" w:space="0" w:color="auto"/>
        <w:right w:val="none" w:sz="0" w:space="0" w:color="auto"/>
      </w:divBdr>
    </w:div>
    <w:div w:id="1143818147">
      <w:bodyDiv w:val="1"/>
      <w:marLeft w:val="0"/>
      <w:marRight w:val="0"/>
      <w:marTop w:val="0"/>
      <w:marBottom w:val="0"/>
      <w:divBdr>
        <w:top w:val="none" w:sz="0" w:space="0" w:color="auto"/>
        <w:left w:val="none" w:sz="0" w:space="0" w:color="auto"/>
        <w:bottom w:val="none" w:sz="0" w:space="0" w:color="auto"/>
        <w:right w:val="none" w:sz="0" w:space="0" w:color="auto"/>
      </w:divBdr>
    </w:div>
    <w:div w:id="1146623496">
      <w:bodyDiv w:val="1"/>
      <w:marLeft w:val="0"/>
      <w:marRight w:val="0"/>
      <w:marTop w:val="0"/>
      <w:marBottom w:val="0"/>
      <w:divBdr>
        <w:top w:val="none" w:sz="0" w:space="0" w:color="auto"/>
        <w:left w:val="none" w:sz="0" w:space="0" w:color="auto"/>
        <w:bottom w:val="none" w:sz="0" w:space="0" w:color="auto"/>
        <w:right w:val="none" w:sz="0" w:space="0" w:color="auto"/>
      </w:divBdr>
    </w:div>
    <w:div w:id="1146775137">
      <w:bodyDiv w:val="1"/>
      <w:marLeft w:val="0"/>
      <w:marRight w:val="0"/>
      <w:marTop w:val="0"/>
      <w:marBottom w:val="0"/>
      <w:divBdr>
        <w:top w:val="none" w:sz="0" w:space="0" w:color="auto"/>
        <w:left w:val="none" w:sz="0" w:space="0" w:color="auto"/>
        <w:bottom w:val="none" w:sz="0" w:space="0" w:color="auto"/>
        <w:right w:val="none" w:sz="0" w:space="0" w:color="auto"/>
      </w:divBdr>
    </w:div>
    <w:div w:id="1159425400">
      <w:bodyDiv w:val="1"/>
      <w:marLeft w:val="0"/>
      <w:marRight w:val="0"/>
      <w:marTop w:val="0"/>
      <w:marBottom w:val="0"/>
      <w:divBdr>
        <w:top w:val="none" w:sz="0" w:space="0" w:color="auto"/>
        <w:left w:val="none" w:sz="0" w:space="0" w:color="auto"/>
        <w:bottom w:val="none" w:sz="0" w:space="0" w:color="auto"/>
        <w:right w:val="none" w:sz="0" w:space="0" w:color="auto"/>
      </w:divBdr>
    </w:div>
    <w:div w:id="1163665689">
      <w:bodyDiv w:val="1"/>
      <w:marLeft w:val="0"/>
      <w:marRight w:val="0"/>
      <w:marTop w:val="0"/>
      <w:marBottom w:val="0"/>
      <w:divBdr>
        <w:top w:val="none" w:sz="0" w:space="0" w:color="auto"/>
        <w:left w:val="none" w:sz="0" w:space="0" w:color="auto"/>
        <w:bottom w:val="none" w:sz="0" w:space="0" w:color="auto"/>
        <w:right w:val="none" w:sz="0" w:space="0" w:color="auto"/>
      </w:divBdr>
    </w:div>
    <w:div w:id="1164665787">
      <w:bodyDiv w:val="1"/>
      <w:marLeft w:val="0"/>
      <w:marRight w:val="0"/>
      <w:marTop w:val="0"/>
      <w:marBottom w:val="0"/>
      <w:divBdr>
        <w:top w:val="none" w:sz="0" w:space="0" w:color="auto"/>
        <w:left w:val="none" w:sz="0" w:space="0" w:color="auto"/>
        <w:bottom w:val="none" w:sz="0" w:space="0" w:color="auto"/>
        <w:right w:val="none" w:sz="0" w:space="0" w:color="auto"/>
      </w:divBdr>
    </w:div>
    <w:div w:id="1187400620">
      <w:bodyDiv w:val="1"/>
      <w:marLeft w:val="0"/>
      <w:marRight w:val="0"/>
      <w:marTop w:val="0"/>
      <w:marBottom w:val="0"/>
      <w:divBdr>
        <w:top w:val="none" w:sz="0" w:space="0" w:color="auto"/>
        <w:left w:val="none" w:sz="0" w:space="0" w:color="auto"/>
        <w:bottom w:val="none" w:sz="0" w:space="0" w:color="auto"/>
        <w:right w:val="none" w:sz="0" w:space="0" w:color="auto"/>
      </w:divBdr>
    </w:div>
    <w:div w:id="1192645707">
      <w:bodyDiv w:val="1"/>
      <w:marLeft w:val="0"/>
      <w:marRight w:val="0"/>
      <w:marTop w:val="0"/>
      <w:marBottom w:val="0"/>
      <w:divBdr>
        <w:top w:val="none" w:sz="0" w:space="0" w:color="auto"/>
        <w:left w:val="none" w:sz="0" w:space="0" w:color="auto"/>
        <w:bottom w:val="none" w:sz="0" w:space="0" w:color="auto"/>
        <w:right w:val="none" w:sz="0" w:space="0" w:color="auto"/>
      </w:divBdr>
    </w:div>
    <w:div w:id="1192765998">
      <w:bodyDiv w:val="1"/>
      <w:marLeft w:val="0"/>
      <w:marRight w:val="0"/>
      <w:marTop w:val="0"/>
      <w:marBottom w:val="0"/>
      <w:divBdr>
        <w:top w:val="none" w:sz="0" w:space="0" w:color="auto"/>
        <w:left w:val="none" w:sz="0" w:space="0" w:color="auto"/>
        <w:bottom w:val="none" w:sz="0" w:space="0" w:color="auto"/>
        <w:right w:val="none" w:sz="0" w:space="0" w:color="auto"/>
      </w:divBdr>
    </w:div>
    <w:div w:id="1208176149">
      <w:bodyDiv w:val="1"/>
      <w:marLeft w:val="0"/>
      <w:marRight w:val="0"/>
      <w:marTop w:val="0"/>
      <w:marBottom w:val="0"/>
      <w:divBdr>
        <w:top w:val="none" w:sz="0" w:space="0" w:color="auto"/>
        <w:left w:val="none" w:sz="0" w:space="0" w:color="auto"/>
        <w:bottom w:val="none" w:sz="0" w:space="0" w:color="auto"/>
        <w:right w:val="none" w:sz="0" w:space="0" w:color="auto"/>
      </w:divBdr>
    </w:div>
    <w:div w:id="1226376476">
      <w:bodyDiv w:val="1"/>
      <w:marLeft w:val="0"/>
      <w:marRight w:val="0"/>
      <w:marTop w:val="0"/>
      <w:marBottom w:val="0"/>
      <w:divBdr>
        <w:top w:val="none" w:sz="0" w:space="0" w:color="auto"/>
        <w:left w:val="none" w:sz="0" w:space="0" w:color="auto"/>
        <w:bottom w:val="none" w:sz="0" w:space="0" w:color="auto"/>
        <w:right w:val="none" w:sz="0" w:space="0" w:color="auto"/>
      </w:divBdr>
    </w:div>
    <w:div w:id="1242252347">
      <w:bodyDiv w:val="1"/>
      <w:marLeft w:val="0"/>
      <w:marRight w:val="0"/>
      <w:marTop w:val="0"/>
      <w:marBottom w:val="0"/>
      <w:divBdr>
        <w:top w:val="none" w:sz="0" w:space="0" w:color="auto"/>
        <w:left w:val="none" w:sz="0" w:space="0" w:color="auto"/>
        <w:bottom w:val="none" w:sz="0" w:space="0" w:color="auto"/>
        <w:right w:val="none" w:sz="0" w:space="0" w:color="auto"/>
      </w:divBdr>
    </w:div>
    <w:div w:id="1260531115">
      <w:bodyDiv w:val="1"/>
      <w:marLeft w:val="0"/>
      <w:marRight w:val="0"/>
      <w:marTop w:val="0"/>
      <w:marBottom w:val="0"/>
      <w:divBdr>
        <w:top w:val="none" w:sz="0" w:space="0" w:color="auto"/>
        <w:left w:val="none" w:sz="0" w:space="0" w:color="auto"/>
        <w:bottom w:val="none" w:sz="0" w:space="0" w:color="auto"/>
        <w:right w:val="none" w:sz="0" w:space="0" w:color="auto"/>
      </w:divBdr>
    </w:div>
    <w:div w:id="1296137893">
      <w:bodyDiv w:val="1"/>
      <w:marLeft w:val="0"/>
      <w:marRight w:val="0"/>
      <w:marTop w:val="0"/>
      <w:marBottom w:val="0"/>
      <w:divBdr>
        <w:top w:val="none" w:sz="0" w:space="0" w:color="auto"/>
        <w:left w:val="none" w:sz="0" w:space="0" w:color="auto"/>
        <w:bottom w:val="none" w:sz="0" w:space="0" w:color="auto"/>
        <w:right w:val="none" w:sz="0" w:space="0" w:color="auto"/>
      </w:divBdr>
      <w:divsChild>
        <w:div w:id="1835074392">
          <w:marLeft w:val="0"/>
          <w:marRight w:val="0"/>
          <w:marTop w:val="0"/>
          <w:marBottom w:val="0"/>
          <w:divBdr>
            <w:top w:val="none" w:sz="0" w:space="0" w:color="auto"/>
            <w:left w:val="none" w:sz="0" w:space="0" w:color="auto"/>
            <w:bottom w:val="none" w:sz="0" w:space="0" w:color="auto"/>
            <w:right w:val="none" w:sz="0" w:space="0" w:color="auto"/>
          </w:divBdr>
          <w:divsChild>
            <w:div w:id="115298536">
              <w:marLeft w:val="0"/>
              <w:marRight w:val="0"/>
              <w:marTop w:val="0"/>
              <w:marBottom w:val="0"/>
              <w:divBdr>
                <w:top w:val="none" w:sz="0" w:space="0" w:color="auto"/>
                <w:left w:val="none" w:sz="0" w:space="0" w:color="auto"/>
                <w:bottom w:val="none" w:sz="0" w:space="0" w:color="auto"/>
                <w:right w:val="none" w:sz="0" w:space="0" w:color="auto"/>
              </w:divBdr>
              <w:divsChild>
                <w:div w:id="69253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71516">
      <w:bodyDiv w:val="1"/>
      <w:marLeft w:val="0"/>
      <w:marRight w:val="0"/>
      <w:marTop w:val="0"/>
      <w:marBottom w:val="0"/>
      <w:divBdr>
        <w:top w:val="none" w:sz="0" w:space="0" w:color="auto"/>
        <w:left w:val="none" w:sz="0" w:space="0" w:color="auto"/>
        <w:bottom w:val="none" w:sz="0" w:space="0" w:color="auto"/>
        <w:right w:val="none" w:sz="0" w:space="0" w:color="auto"/>
      </w:divBdr>
    </w:div>
    <w:div w:id="1301114147">
      <w:bodyDiv w:val="1"/>
      <w:marLeft w:val="0"/>
      <w:marRight w:val="0"/>
      <w:marTop w:val="0"/>
      <w:marBottom w:val="0"/>
      <w:divBdr>
        <w:top w:val="none" w:sz="0" w:space="0" w:color="auto"/>
        <w:left w:val="none" w:sz="0" w:space="0" w:color="auto"/>
        <w:bottom w:val="none" w:sz="0" w:space="0" w:color="auto"/>
        <w:right w:val="none" w:sz="0" w:space="0" w:color="auto"/>
      </w:divBdr>
    </w:div>
    <w:div w:id="1303732674">
      <w:bodyDiv w:val="1"/>
      <w:marLeft w:val="0"/>
      <w:marRight w:val="0"/>
      <w:marTop w:val="0"/>
      <w:marBottom w:val="0"/>
      <w:divBdr>
        <w:top w:val="none" w:sz="0" w:space="0" w:color="auto"/>
        <w:left w:val="none" w:sz="0" w:space="0" w:color="auto"/>
        <w:bottom w:val="none" w:sz="0" w:space="0" w:color="auto"/>
        <w:right w:val="none" w:sz="0" w:space="0" w:color="auto"/>
      </w:divBdr>
    </w:div>
    <w:div w:id="1303849491">
      <w:bodyDiv w:val="1"/>
      <w:marLeft w:val="0"/>
      <w:marRight w:val="0"/>
      <w:marTop w:val="0"/>
      <w:marBottom w:val="0"/>
      <w:divBdr>
        <w:top w:val="none" w:sz="0" w:space="0" w:color="auto"/>
        <w:left w:val="none" w:sz="0" w:space="0" w:color="auto"/>
        <w:bottom w:val="none" w:sz="0" w:space="0" w:color="auto"/>
        <w:right w:val="none" w:sz="0" w:space="0" w:color="auto"/>
      </w:divBdr>
    </w:div>
    <w:div w:id="1339623471">
      <w:bodyDiv w:val="1"/>
      <w:marLeft w:val="0"/>
      <w:marRight w:val="0"/>
      <w:marTop w:val="0"/>
      <w:marBottom w:val="0"/>
      <w:divBdr>
        <w:top w:val="none" w:sz="0" w:space="0" w:color="auto"/>
        <w:left w:val="none" w:sz="0" w:space="0" w:color="auto"/>
        <w:bottom w:val="none" w:sz="0" w:space="0" w:color="auto"/>
        <w:right w:val="none" w:sz="0" w:space="0" w:color="auto"/>
      </w:divBdr>
    </w:div>
    <w:div w:id="1361129855">
      <w:bodyDiv w:val="1"/>
      <w:marLeft w:val="0"/>
      <w:marRight w:val="0"/>
      <w:marTop w:val="0"/>
      <w:marBottom w:val="0"/>
      <w:divBdr>
        <w:top w:val="none" w:sz="0" w:space="0" w:color="auto"/>
        <w:left w:val="none" w:sz="0" w:space="0" w:color="auto"/>
        <w:bottom w:val="none" w:sz="0" w:space="0" w:color="auto"/>
        <w:right w:val="none" w:sz="0" w:space="0" w:color="auto"/>
      </w:divBdr>
    </w:div>
    <w:div w:id="1370227181">
      <w:bodyDiv w:val="1"/>
      <w:marLeft w:val="0"/>
      <w:marRight w:val="0"/>
      <w:marTop w:val="0"/>
      <w:marBottom w:val="0"/>
      <w:divBdr>
        <w:top w:val="none" w:sz="0" w:space="0" w:color="auto"/>
        <w:left w:val="none" w:sz="0" w:space="0" w:color="auto"/>
        <w:bottom w:val="none" w:sz="0" w:space="0" w:color="auto"/>
        <w:right w:val="none" w:sz="0" w:space="0" w:color="auto"/>
      </w:divBdr>
    </w:div>
    <w:div w:id="1391733900">
      <w:bodyDiv w:val="1"/>
      <w:marLeft w:val="0"/>
      <w:marRight w:val="0"/>
      <w:marTop w:val="0"/>
      <w:marBottom w:val="0"/>
      <w:divBdr>
        <w:top w:val="none" w:sz="0" w:space="0" w:color="auto"/>
        <w:left w:val="none" w:sz="0" w:space="0" w:color="auto"/>
        <w:bottom w:val="none" w:sz="0" w:space="0" w:color="auto"/>
        <w:right w:val="none" w:sz="0" w:space="0" w:color="auto"/>
      </w:divBdr>
    </w:div>
    <w:div w:id="1401709780">
      <w:bodyDiv w:val="1"/>
      <w:marLeft w:val="0"/>
      <w:marRight w:val="0"/>
      <w:marTop w:val="0"/>
      <w:marBottom w:val="0"/>
      <w:divBdr>
        <w:top w:val="none" w:sz="0" w:space="0" w:color="auto"/>
        <w:left w:val="none" w:sz="0" w:space="0" w:color="auto"/>
        <w:bottom w:val="none" w:sz="0" w:space="0" w:color="auto"/>
        <w:right w:val="none" w:sz="0" w:space="0" w:color="auto"/>
      </w:divBdr>
    </w:div>
    <w:div w:id="1408069465">
      <w:bodyDiv w:val="1"/>
      <w:marLeft w:val="0"/>
      <w:marRight w:val="0"/>
      <w:marTop w:val="0"/>
      <w:marBottom w:val="0"/>
      <w:divBdr>
        <w:top w:val="none" w:sz="0" w:space="0" w:color="auto"/>
        <w:left w:val="none" w:sz="0" w:space="0" w:color="auto"/>
        <w:bottom w:val="none" w:sz="0" w:space="0" w:color="auto"/>
        <w:right w:val="none" w:sz="0" w:space="0" w:color="auto"/>
      </w:divBdr>
    </w:div>
    <w:div w:id="1418362525">
      <w:bodyDiv w:val="1"/>
      <w:marLeft w:val="0"/>
      <w:marRight w:val="0"/>
      <w:marTop w:val="0"/>
      <w:marBottom w:val="0"/>
      <w:divBdr>
        <w:top w:val="none" w:sz="0" w:space="0" w:color="auto"/>
        <w:left w:val="none" w:sz="0" w:space="0" w:color="auto"/>
        <w:bottom w:val="none" w:sz="0" w:space="0" w:color="auto"/>
        <w:right w:val="none" w:sz="0" w:space="0" w:color="auto"/>
      </w:divBdr>
    </w:div>
    <w:div w:id="1423985203">
      <w:bodyDiv w:val="1"/>
      <w:marLeft w:val="0"/>
      <w:marRight w:val="0"/>
      <w:marTop w:val="0"/>
      <w:marBottom w:val="0"/>
      <w:divBdr>
        <w:top w:val="none" w:sz="0" w:space="0" w:color="auto"/>
        <w:left w:val="none" w:sz="0" w:space="0" w:color="auto"/>
        <w:bottom w:val="none" w:sz="0" w:space="0" w:color="auto"/>
        <w:right w:val="none" w:sz="0" w:space="0" w:color="auto"/>
      </w:divBdr>
    </w:div>
    <w:div w:id="1431438118">
      <w:bodyDiv w:val="1"/>
      <w:marLeft w:val="0"/>
      <w:marRight w:val="0"/>
      <w:marTop w:val="0"/>
      <w:marBottom w:val="0"/>
      <w:divBdr>
        <w:top w:val="none" w:sz="0" w:space="0" w:color="auto"/>
        <w:left w:val="none" w:sz="0" w:space="0" w:color="auto"/>
        <w:bottom w:val="none" w:sz="0" w:space="0" w:color="auto"/>
        <w:right w:val="none" w:sz="0" w:space="0" w:color="auto"/>
      </w:divBdr>
    </w:div>
    <w:div w:id="1432120312">
      <w:bodyDiv w:val="1"/>
      <w:marLeft w:val="0"/>
      <w:marRight w:val="0"/>
      <w:marTop w:val="0"/>
      <w:marBottom w:val="0"/>
      <w:divBdr>
        <w:top w:val="none" w:sz="0" w:space="0" w:color="auto"/>
        <w:left w:val="none" w:sz="0" w:space="0" w:color="auto"/>
        <w:bottom w:val="none" w:sz="0" w:space="0" w:color="auto"/>
        <w:right w:val="none" w:sz="0" w:space="0" w:color="auto"/>
      </w:divBdr>
    </w:div>
    <w:div w:id="1453013121">
      <w:bodyDiv w:val="1"/>
      <w:marLeft w:val="0"/>
      <w:marRight w:val="0"/>
      <w:marTop w:val="0"/>
      <w:marBottom w:val="0"/>
      <w:divBdr>
        <w:top w:val="none" w:sz="0" w:space="0" w:color="auto"/>
        <w:left w:val="none" w:sz="0" w:space="0" w:color="auto"/>
        <w:bottom w:val="none" w:sz="0" w:space="0" w:color="auto"/>
        <w:right w:val="none" w:sz="0" w:space="0" w:color="auto"/>
      </w:divBdr>
    </w:div>
    <w:div w:id="1455909544">
      <w:bodyDiv w:val="1"/>
      <w:marLeft w:val="0"/>
      <w:marRight w:val="0"/>
      <w:marTop w:val="0"/>
      <w:marBottom w:val="0"/>
      <w:divBdr>
        <w:top w:val="none" w:sz="0" w:space="0" w:color="auto"/>
        <w:left w:val="none" w:sz="0" w:space="0" w:color="auto"/>
        <w:bottom w:val="none" w:sz="0" w:space="0" w:color="auto"/>
        <w:right w:val="none" w:sz="0" w:space="0" w:color="auto"/>
      </w:divBdr>
    </w:div>
    <w:div w:id="1482117548">
      <w:bodyDiv w:val="1"/>
      <w:marLeft w:val="0"/>
      <w:marRight w:val="0"/>
      <w:marTop w:val="0"/>
      <w:marBottom w:val="0"/>
      <w:divBdr>
        <w:top w:val="none" w:sz="0" w:space="0" w:color="auto"/>
        <w:left w:val="none" w:sz="0" w:space="0" w:color="auto"/>
        <w:bottom w:val="none" w:sz="0" w:space="0" w:color="auto"/>
        <w:right w:val="none" w:sz="0" w:space="0" w:color="auto"/>
      </w:divBdr>
    </w:div>
    <w:div w:id="1500343810">
      <w:bodyDiv w:val="1"/>
      <w:marLeft w:val="0"/>
      <w:marRight w:val="0"/>
      <w:marTop w:val="0"/>
      <w:marBottom w:val="0"/>
      <w:divBdr>
        <w:top w:val="none" w:sz="0" w:space="0" w:color="auto"/>
        <w:left w:val="none" w:sz="0" w:space="0" w:color="auto"/>
        <w:bottom w:val="none" w:sz="0" w:space="0" w:color="auto"/>
        <w:right w:val="none" w:sz="0" w:space="0" w:color="auto"/>
      </w:divBdr>
    </w:div>
    <w:div w:id="1530803697">
      <w:bodyDiv w:val="1"/>
      <w:marLeft w:val="0"/>
      <w:marRight w:val="0"/>
      <w:marTop w:val="0"/>
      <w:marBottom w:val="0"/>
      <w:divBdr>
        <w:top w:val="none" w:sz="0" w:space="0" w:color="auto"/>
        <w:left w:val="none" w:sz="0" w:space="0" w:color="auto"/>
        <w:bottom w:val="none" w:sz="0" w:space="0" w:color="auto"/>
        <w:right w:val="none" w:sz="0" w:space="0" w:color="auto"/>
      </w:divBdr>
    </w:div>
    <w:div w:id="1557428965">
      <w:bodyDiv w:val="1"/>
      <w:marLeft w:val="0"/>
      <w:marRight w:val="0"/>
      <w:marTop w:val="0"/>
      <w:marBottom w:val="0"/>
      <w:divBdr>
        <w:top w:val="none" w:sz="0" w:space="0" w:color="auto"/>
        <w:left w:val="none" w:sz="0" w:space="0" w:color="auto"/>
        <w:bottom w:val="none" w:sz="0" w:space="0" w:color="auto"/>
        <w:right w:val="none" w:sz="0" w:space="0" w:color="auto"/>
      </w:divBdr>
    </w:div>
    <w:div w:id="1559246521">
      <w:bodyDiv w:val="1"/>
      <w:marLeft w:val="0"/>
      <w:marRight w:val="0"/>
      <w:marTop w:val="0"/>
      <w:marBottom w:val="0"/>
      <w:divBdr>
        <w:top w:val="none" w:sz="0" w:space="0" w:color="auto"/>
        <w:left w:val="none" w:sz="0" w:space="0" w:color="auto"/>
        <w:bottom w:val="none" w:sz="0" w:space="0" w:color="auto"/>
        <w:right w:val="none" w:sz="0" w:space="0" w:color="auto"/>
      </w:divBdr>
    </w:div>
    <w:div w:id="1572083994">
      <w:bodyDiv w:val="1"/>
      <w:marLeft w:val="0"/>
      <w:marRight w:val="0"/>
      <w:marTop w:val="0"/>
      <w:marBottom w:val="0"/>
      <w:divBdr>
        <w:top w:val="none" w:sz="0" w:space="0" w:color="auto"/>
        <w:left w:val="none" w:sz="0" w:space="0" w:color="auto"/>
        <w:bottom w:val="none" w:sz="0" w:space="0" w:color="auto"/>
        <w:right w:val="none" w:sz="0" w:space="0" w:color="auto"/>
      </w:divBdr>
    </w:div>
    <w:div w:id="1575703849">
      <w:bodyDiv w:val="1"/>
      <w:marLeft w:val="0"/>
      <w:marRight w:val="0"/>
      <w:marTop w:val="0"/>
      <w:marBottom w:val="0"/>
      <w:divBdr>
        <w:top w:val="none" w:sz="0" w:space="0" w:color="auto"/>
        <w:left w:val="none" w:sz="0" w:space="0" w:color="auto"/>
        <w:bottom w:val="none" w:sz="0" w:space="0" w:color="auto"/>
        <w:right w:val="none" w:sz="0" w:space="0" w:color="auto"/>
      </w:divBdr>
    </w:div>
    <w:div w:id="1586458948">
      <w:bodyDiv w:val="1"/>
      <w:marLeft w:val="0"/>
      <w:marRight w:val="0"/>
      <w:marTop w:val="0"/>
      <w:marBottom w:val="0"/>
      <w:divBdr>
        <w:top w:val="none" w:sz="0" w:space="0" w:color="auto"/>
        <w:left w:val="none" w:sz="0" w:space="0" w:color="auto"/>
        <w:bottom w:val="none" w:sz="0" w:space="0" w:color="auto"/>
        <w:right w:val="none" w:sz="0" w:space="0" w:color="auto"/>
      </w:divBdr>
    </w:div>
    <w:div w:id="1586648644">
      <w:bodyDiv w:val="1"/>
      <w:marLeft w:val="0"/>
      <w:marRight w:val="0"/>
      <w:marTop w:val="0"/>
      <w:marBottom w:val="0"/>
      <w:divBdr>
        <w:top w:val="none" w:sz="0" w:space="0" w:color="auto"/>
        <w:left w:val="none" w:sz="0" w:space="0" w:color="auto"/>
        <w:bottom w:val="none" w:sz="0" w:space="0" w:color="auto"/>
        <w:right w:val="none" w:sz="0" w:space="0" w:color="auto"/>
      </w:divBdr>
    </w:div>
    <w:div w:id="1593734736">
      <w:bodyDiv w:val="1"/>
      <w:marLeft w:val="0"/>
      <w:marRight w:val="0"/>
      <w:marTop w:val="0"/>
      <w:marBottom w:val="0"/>
      <w:divBdr>
        <w:top w:val="none" w:sz="0" w:space="0" w:color="auto"/>
        <w:left w:val="none" w:sz="0" w:space="0" w:color="auto"/>
        <w:bottom w:val="none" w:sz="0" w:space="0" w:color="auto"/>
        <w:right w:val="none" w:sz="0" w:space="0" w:color="auto"/>
      </w:divBdr>
    </w:div>
    <w:div w:id="1594050815">
      <w:bodyDiv w:val="1"/>
      <w:marLeft w:val="0"/>
      <w:marRight w:val="0"/>
      <w:marTop w:val="0"/>
      <w:marBottom w:val="0"/>
      <w:divBdr>
        <w:top w:val="none" w:sz="0" w:space="0" w:color="auto"/>
        <w:left w:val="none" w:sz="0" w:space="0" w:color="auto"/>
        <w:bottom w:val="none" w:sz="0" w:space="0" w:color="auto"/>
        <w:right w:val="none" w:sz="0" w:space="0" w:color="auto"/>
      </w:divBdr>
    </w:div>
    <w:div w:id="1599829032">
      <w:bodyDiv w:val="1"/>
      <w:marLeft w:val="0"/>
      <w:marRight w:val="0"/>
      <w:marTop w:val="0"/>
      <w:marBottom w:val="0"/>
      <w:divBdr>
        <w:top w:val="none" w:sz="0" w:space="0" w:color="auto"/>
        <w:left w:val="none" w:sz="0" w:space="0" w:color="auto"/>
        <w:bottom w:val="none" w:sz="0" w:space="0" w:color="auto"/>
        <w:right w:val="none" w:sz="0" w:space="0" w:color="auto"/>
      </w:divBdr>
    </w:div>
    <w:div w:id="1609585999">
      <w:bodyDiv w:val="1"/>
      <w:marLeft w:val="0"/>
      <w:marRight w:val="0"/>
      <w:marTop w:val="0"/>
      <w:marBottom w:val="0"/>
      <w:divBdr>
        <w:top w:val="none" w:sz="0" w:space="0" w:color="auto"/>
        <w:left w:val="none" w:sz="0" w:space="0" w:color="auto"/>
        <w:bottom w:val="none" w:sz="0" w:space="0" w:color="auto"/>
        <w:right w:val="none" w:sz="0" w:space="0" w:color="auto"/>
      </w:divBdr>
    </w:div>
    <w:div w:id="1611663652">
      <w:bodyDiv w:val="1"/>
      <w:marLeft w:val="0"/>
      <w:marRight w:val="0"/>
      <w:marTop w:val="0"/>
      <w:marBottom w:val="0"/>
      <w:divBdr>
        <w:top w:val="none" w:sz="0" w:space="0" w:color="auto"/>
        <w:left w:val="none" w:sz="0" w:space="0" w:color="auto"/>
        <w:bottom w:val="none" w:sz="0" w:space="0" w:color="auto"/>
        <w:right w:val="none" w:sz="0" w:space="0" w:color="auto"/>
      </w:divBdr>
    </w:div>
    <w:div w:id="1638101508">
      <w:bodyDiv w:val="1"/>
      <w:marLeft w:val="0"/>
      <w:marRight w:val="0"/>
      <w:marTop w:val="0"/>
      <w:marBottom w:val="0"/>
      <w:divBdr>
        <w:top w:val="none" w:sz="0" w:space="0" w:color="auto"/>
        <w:left w:val="none" w:sz="0" w:space="0" w:color="auto"/>
        <w:bottom w:val="none" w:sz="0" w:space="0" w:color="auto"/>
        <w:right w:val="none" w:sz="0" w:space="0" w:color="auto"/>
      </w:divBdr>
      <w:divsChild>
        <w:div w:id="1373844823">
          <w:marLeft w:val="0"/>
          <w:marRight w:val="0"/>
          <w:marTop w:val="0"/>
          <w:marBottom w:val="0"/>
          <w:divBdr>
            <w:top w:val="none" w:sz="0" w:space="0" w:color="auto"/>
            <w:left w:val="none" w:sz="0" w:space="0" w:color="auto"/>
            <w:bottom w:val="none" w:sz="0" w:space="0" w:color="auto"/>
            <w:right w:val="none" w:sz="0" w:space="0" w:color="auto"/>
          </w:divBdr>
        </w:div>
        <w:div w:id="1410811761">
          <w:marLeft w:val="0"/>
          <w:marRight w:val="0"/>
          <w:marTop w:val="0"/>
          <w:marBottom w:val="0"/>
          <w:divBdr>
            <w:top w:val="none" w:sz="0" w:space="0" w:color="auto"/>
            <w:left w:val="none" w:sz="0" w:space="0" w:color="auto"/>
            <w:bottom w:val="none" w:sz="0" w:space="0" w:color="auto"/>
            <w:right w:val="none" w:sz="0" w:space="0" w:color="auto"/>
          </w:divBdr>
        </w:div>
      </w:divsChild>
    </w:div>
    <w:div w:id="1656910041">
      <w:bodyDiv w:val="1"/>
      <w:marLeft w:val="0"/>
      <w:marRight w:val="0"/>
      <w:marTop w:val="0"/>
      <w:marBottom w:val="0"/>
      <w:divBdr>
        <w:top w:val="none" w:sz="0" w:space="0" w:color="auto"/>
        <w:left w:val="none" w:sz="0" w:space="0" w:color="auto"/>
        <w:bottom w:val="none" w:sz="0" w:space="0" w:color="auto"/>
        <w:right w:val="none" w:sz="0" w:space="0" w:color="auto"/>
      </w:divBdr>
    </w:div>
    <w:div w:id="1657300635">
      <w:bodyDiv w:val="1"/>
      <w:marLeft w:val="0"/>
      <w:marRight w:val="0"/>
      <w:marTop w:val="0"/>
      <w:marBottom w:val="0"/>
      <w:divBdr>
        <w:top w:val="none" w:sz="0" w:space="0" w:color="auto"/>
        <w:left w:val="none" w:sz="0" w:space="0" w:color="auto"/>
        <w:bottom w:val="none" w:sz="0" w:space="0" w:color="auto"/>
        <w:right w:val="none" w:sz="0" w:space="0" w:color="auto"/>
      </w:divBdr>
    </w:div>
    <w:div w:id="1695809592">
      <w:bodyDiv w:val="1"/>
      <w:marLeft w:val="0"/>
      <w:marRight w:val="0"/>
      <w:marTop w:val="0"/>
      <w:marBottom w:val="0"/>
      <w:divBdr>
        <w:top w:val="none" w:sz="0" w:space="0" w:color="auto"/>
        <w:left w:val="none" w:sz="0" w:space="0" w:color="auto"/>
        <w:bottom w:val="none" w:sz="0" w:space="0" w:color="auto"/>
        <w:right w:val="none" w:sz="0" w:space="0" w:color="auto"/>
      </w:divBdr>
    </w:div>
    <w:div w:id="1699429644">
      <w:bodyDiv w:val="1"/>
      <w:marLeft w:val="0"/>
      <w:marRight w:val="0"/>
      <w:marTop w:val="0"/>
      <w:marBottom w:val="0"/>
      <w:divBdr>
        <w:top w:val="none" w:sz="0" w:space="0" w:color="auto"/>
        <w:left w:val="none" w:sz="0" w:space="0" w:color="auto"/>
        <w:bottom w:val="none" w:sz="0" w:space="0" w:color="auto"/>
        <w:right w:val="none" w:sz="0" w:space="0" w:color="auto"/>
      </w:divBdr>
    </w:div>
    <w:div w:id="1707173959">
      <w:bodyDiv w:val="1"/>
      <w:marLeft w:val="0"/>
      <w:marRight w:val="0"/>
      <w:marTop w:val="0"/>
      <w:marBottom w:val="0"/>
      <w:divBdr>
        <w:top w:val="none" w:sz="0" w:space="0" w:color="auto"/>
        <w:left w:val="none" w:sz="0" w:space="0" w:color="auto"/>
        <w:bottom w:val="none" w:sz="0" w:space="0" w:color="auto"/>
        <w:right w:val="none" w:sz="0" w:space="0" w:color="auto"/>
      </w:divBdr>
    </w:div>
    <w:div w:id="1708335229">
      <w:bodyDiv w:val="1"/>
      <w:marLeft w:val="0"/>
      <w:marRight w:val="0"/>
      <w:marTop w:val="0"/>
      <w:marBottom w:val="0"/>
      <w:divBdr>
        <w:top w:val="none" w:sz="0" w:space="0" w:color="auto"/>
        <w:left w:val="none" w:sz="0" w:space="0" w:color="auto"/>
        <w:bottom w:val="none" w:sz="0" w:space="0" w:color="auto"/>
        <w:right w:val="none" w:sz="0" w:space="0" w:color="auto"/>
      </w:divBdr>
    </w:div>
    <w:div w:id="1727952817">
      <w:bodyDiv w:val="1"/>
      <w:marLeft w:val="0"/>
      <w:marRight w:val="0"/>
      <w:marTop w:val="0"/>
      <w:marBottom w:val="0"/>
      <w:divBdr>
        <w:top w:val="none" w:sz="0" w:space="0" w:color="auto"/>
        <w:left w:val="none" w:sz="0" w:space="0" w:color="auto"/>
        <w:bottom w:val="none" w:sz="0" w:space="0" w:color="auto"/>
        <w:right w:val="none" w:sz="0" w:space="0" w:color="auto"/>
      </w:divBdr>
    </w:div>
    <w:div w:id="1737320880">
      <w:bodyDiv w:val="1"/>
      <w:marLeft w:val="0"/>
      <w:marRight w:val="0"/>
      <w:marTop w:val="0"/>
      <w:marBottom w:val="0"/>
      <w:divBdr>
        <w:top w:val="none" w:sz="0" w:space="0" w:color="auto"/>
        <w:left w:val="none" w:sz="0" w:space="0" w:color="auto"/>
        <w:bottom w:val="none" w:sz="0" w:space="0" w:color="auto"/>
        <w:right w:val="none" w:sz="0" w:space="0" w:color="auto"/>
      </w:divBdr>
    </w:div>
    <w:div w:id="1738238718">
      <w:bodyDiv w:val="1"/>
      <w:marLeft w:val="0"/>
      <w:marRight w:val="0"/>
      <w:marTop w:val="0"/>
      <w:marBottom w:val="0"/>
      <w:divBdr>
        <w:top w:val="none" w:sz="0" w:space="0" w:color="auto"/>
        <w:left w:val="none" w:sz="0" w:space="0" w:color="auto"/>
        <w:bottom w:val="none" w:sz="0" w:space="0" w:color="auto"/>
        <w:right w:val="none" w:sz="0" w:space="0" w:color="auto"/>
      </w:divBdr>
    </w:div>
    <w:div w:id="1746493336">
      <w:bodyDiv w:val="1"/>
      <w:marLeft w:val="0"/>
      <w:marRight w:val="0"/>
      <w:marTop w:val="0"/>
      <w:marBottom w:val="0"/>
      <w:divBdr>
        <w:top w:val="none" w:sz="0" w:space="0" w:color="auto"/>
        <w:left w:val="none" w:sz="0" w:space="0" w:color="auto"/>
        <w:bottom w:val="none" w:sz="0" w:space="0" w:color="auto"/>
        <w:right w:val="none" w:sz="0" w:space="0" w:color="auto"/>
      </w:divBdr>
    </w:div>
    <w:div w:id="1751124097">
      <w:bodyDiv w:val="1"/>
      <w:marLeft w:val="0"/>
      <w:marRight w:val="0"/>
      <w:marTop w:val="0"/>
      <w:marBottom w:val="0"/>
      <w:divBdr>
        <w:top w:val="none" w:sz="0" w:space="0" w:color="auto"/>
        <w:left w:val="none" w:sz="0" w:space="0" w:color="auto"/>
        <w:bottom w:val="none" w:sz="0" w:space="0" w:color="auto"/>
        <w:right w:val="none" w:sz="0" w:space="0" w:color="auto"/>
      </w:divBdr>
    </w:div>
    <w:div w:id="1760329350">
      <w:bodyDiv w:val="1"/>
      <w:marLeft w:val="0"/>
      <w:marRight w:val="0"/>
      <w:marTop w:val="0"/>
      <w:marBottom w:val="0"/>
      <w:divBdr>
        <w:top w:val="none" w:sz="0" w:space="0" w:color="auto"/>
        <w:left w:val="none" w:sz="0" w:space="0" w:color="auto"/>
        <w:bottom w:val="none" w:sz="0" w:space="0" w:color="auto"/>
        <w:right w:val="none" w:sz="0" w:space="0" w:color="auto"/>
      </w:divBdr>
    </w:div>
    <w:div w:id="1769886999">
      <w:bodyDiv w:val="1"/>
      <w:marLeft w:val="0"/>
      <w:marRight w:val="0"/>
      <w:marTop w:val="0"/>
      <w:marBottom w:val="0"/>
      <w:divBdr>
        <w:top w:val="none" w:sz="0" w:space="0" w:color="auto"/>
        <w:left w:val="none" w:sz="0" w:space="0" w:color="auto"/>
        <w:bottom w:val="none" w:sz="0" w:space="0" w:color="auto"/>
        <w:right w:val="none" w:sz="0" w:space="0" w:color="auto"/>
      </w:divBdr>
    </w:div>
    <w:div w:id="1777017183">
      <w:bodyDiv w:val="1"/>
      <w:marLeft w:val="0"/>
      <w:marRight w:val="0"/>
      <w:marTop w:val="0"/>
      <w:marBottom w:val="0"/>
      <w:divBdr>
        <w:top w:val="none" w:sz="0" w:space="0" w:color="auto"/>
        <w:left w:val="none" w:sz="0" w:space="0" w:color="auto"/>
        <w:bottom w:val="none" w:sz="0" w:space="0" w:color="auto"/>
        <w:right w:val="none" w:sz="0" w:space="0" w:color="auto"/>
      </w:divBdr>
    </w:div>
    <w:div w:id="1778599195">
      <w:bodyDiv w:val="1"/>
      <w:marLeft w:val="0"/>
      <w:marRight w:val="0"/>
      <w:marTop w:val="0"/>
      <w:marBottom w:val="0"/>
      <w:divBdr>
        <w:top w:val="none" w:sz="0" w:space="0" w:color="auto"/>
        <w:left w:val="none" w:sz="0" w:space="0" w:color="auto"/>
        <w:bottom w:val="none" w:sz="0" w:space="0" w:color="auto"/>
        <w:right w:val="none" w:sz="0" w:space="0" w:color="auto"/>
      </w:divBdr>
    </w:div>
    <w:div w:id="1783647679">
      <w:bodyDiv w:val="1"/>
      <w:marLeft w:val="0"/>
      <w:marRight w:val="0"/>
      <w:marTop w:val="0"/>
      <w:marBottom w:val="0"/>
      <w:divBdr>
        <w:top w:val="none" w:sz="0" w:space="0" w:color="auto"/>
        <w:left w:val="none" w:sz="0" w:space="0" w:color="auto"/>
        <w:bottom w:val="none" w:sz="0" w:space="0" w:color="auto"/>
        <w:right w:val="none" w:sz="0" w:space="0" w:color="auto"/>
      </w:divBdr>
    </w:div>
    <w:div w:id="1824659471">
      <w:bodyDiv w:val="1"/>
      <w:marLeft w:val="0"/>
      <w:marRight w:val="0"/>
      <w:marTop w:val="0"/>
      <w:marBottom w:val="0"/>
      <w:divBdr>
        <w:top w:val="none" w:sz="0" w:space="0" w:color="auto"/>
        <w:left w:val="none" w:sz="0" w:space="0" w:color="auto"/>
        <w:bottom w:val="none" w:sz="0" w:space="0" w:color="auto"/>
        <w:right w:val="none" w:sz="0" w:space="0" w:color="auto"/>
      </w:divBdr>
    </w:div>
    <w:div w:id="1829246563">
      <w:bodyDiv w:val="1"/>
      <w:marLeft w:val="0"/>
      <w:marRight w:val="0"/>
      <w:marTop w:val="0"/>
      <w:marBottom w:val="0"/>
      <w:divBdr>
        <w:top w:val="none" w:sz="0" w:space="0" w:color="auto"/>
        <w:left w:val="none" w:sz="0" w:space="0" w:color="auto"/>
        <w:bottom w:val="none" w:sz="0" w:space="0" w:color="auto"/>
        <w:right w:val="none" w:sz="0" w:space="0" w:color="auto"/>
      </w:divBdr>
    </w:div>
    <w:div w:id="1830631922">
      <w:bodyDiv w:val="1"/>
      <w:marLeft w:val="0"/>
      <w:marRight w:val="0"/>
      <w:marTop w:val="0"/>
      <w:marBottom w:val="0"/>
      <w:divBdr>
        <w:top w:val="none" w:sz="0" w:space="0" w:color="auto"/>
        <w:left w:val="none" w:sz="0" w:space="0" w:color="auto"/>
        <w:bottom w:val="none" w:sz="0" w:space="0" w:color="auto"/>
        <w:right w:val="none" w:sz="0" w:space="0" w:color="auto"/>
      </w:divBdr>
    </w:div>
    <w:div w:id="1859004929">
      <w:bodyDiv w:val="1"/>
      <w:marLeft w:val="0"/>
      <w:marRight w:val="0"/>
      <w:marTop w:val="0"/>
      <w:marBottom w:val="0"/>
      <w:divBdr>
        <w:top w:val="none" w:sz="0" w:space="0" w:color="auto"/>
        <w:left w:val="none" w:sz="0" w:space="0" w:color="auto"/>
        <w:bottom w:val="none" w:sz="0" w:space="0" w:color="auto"/>
        <w:right w:val="none" w:sz="0" w:space="0" w:color="auto"/>
      </w:divBdr>
    </w:div>
    <w:div w:id="1867282249">
      <w:bodyDiv w:val="1"/>
      <w:marLeft w:val="0"/>
      <w:marRight w:val="0"/>
      <w:marTop w:val="0"/>
      <w:marBottom w:val="0"/>
      <w:divBdr>
        <w:top w:val="none" w:sz="0" w:space="0" w:color="auto"/>
        <w:left w:val="none" w:sz="0" w:space="0" w:color="auto"/>
        <w:bottom w:val="none" w:sz="0" w:space="0" w:color="auto"/>
        <w:right w:val="none" w:sz="0" w:space="0" w:color="auto"/>
      </w:divBdr>
    </w:div>
    <w:div w:id="1888566352">
      <w:bodyDiv w:val="1"/>
      <w:marLeft w:val="0"/>
      <w:marRight w:val="0"/>
      <w:marTop w:val="0"/>
      <w:marBottom w:val="0"/>
      <w:divBdr>
        <w:top w:val="none" w:sz="0" w:space="0" w:color="auto"/>
        <w:left w:val="none" w:sz="0" w:space="0" w:color="auto"/>
        <w:bottom w:val="none" w:sz="0" w:space="0" w:color="auto"/>
        <w:right w:val="none" w:sz="0" w:space="0" w:color="auto"/>
      </w:divBdr>
    </w:div>
    <w:div w:id="1902136069">
      <w:bodyDiv w:val="1"/>
      <w:marLeft w:val="0"/>
      <w:marRight w:val="0"/>
      <w:marTop w:val="0"/>
      <w:marBottom w:val="0"/>
      <w:divBdr>
        <w:top w:val="none" w:sz="0" w:space="0" w:color="auto"/>
        <w:left w:val="none" w:sz="0" w:space="0" w:color="auto"/>
        <w:bottom w:val="none" w:sz="0" w:space="0" w:color="auto"/>
        <w:right w:val="none" w:sz="0" w:space="0" w:color="auto"/>
      </w:divBdr>
    </w:div>
    <w:div w:id="1902597845">
      <w:bodyDiv w:val="1"/>
      <w:marLeft w:val="0"/>
      <w:marRight w:val="0"/>
      <w:marTop w:val="0"/>
      <w:marBottom w:val="0"/>
      <w:divBdr>
        <w:top w:val="none" w:sz="0" w:space="0" w:color="auto"/>
        <w:left w:val="none" w:sz="0" w:space="0" w:color="auto"/>
        <w:bottom w:val="none" w:sz="0" w:space="0" w:color="auto"/>
        <w:right w:val="none" w:sz="0" w:space="0" w:color="auto"/>
      </w:divBdr>
    </w:div>
    <w:div w:id="1921527296">
      <w:bodyDiv w:val="1"/>
      <w:marLeft w:val="0"/>
      <w:marRight w:val="0"/>
      <w:marTop w:val="0"/>
      <w:marBottom w:val="0"/>
      <w:divBdr>
        <w:top w:val="none" w:sz="0" w:space="0" w:color="auto"/>
        <w:left w:val="none" w:sz="0" w:space="0" w:color="auto"/>
        <w:bottom w:val="none" w:sz="0" w:space="0" w:color="auto"/>
        <w:right w:val="none" w:sz="0" w:space="0" w:color="auto"/>
      </w:divBdr>
    </w:div>
    <w:div w:id="1945646653">
      <w:bodyDiv w:val="1"/>
      <w:marLeft w:val="0"/>
      <w:marRight w:val="0"/>
      <w:marTop w:val="0"/>
      <w:marBottom w:val="0"/>
      <w:divBdr>
        <w:top w:val="none" w:sz="0" w:space="0" w:color="auto"/>
        <w:left w:val="none" w:sz="0" w:space="0" w:color="auto"/>
        <w:bottom w:val="none" w:sz="0" w:space="0" w:color="auto"/>
        <w:right w:val="none" w:sz="0" w:space="0" w:color="auto"/>
      </w:divBdr>
    </w:div>
    <w:div w:id="1949002225">
      <w:bodyDiv w:val="1"/>
      <w:marLeft w:val="0"/>
      <w:marRight w:val="0"/>
      <w:marTop w:val="0"/>
      <w:marBottom w:val="0"/>
      <w:divBdr>
        <w:top w:val="none" w:sz="0" w:space="0" w:color="auto"/>
        <w:left w:val="none" w:sz="0" w:space="0" w:color="auto"/>
        <w:bottom w:val="none" w:sz="0" w:space="0" w:color="auto"/>
        <w:right w:val="none" w:sz="0" w:space="0" w:color="auto"/>
      </w:divBdr>
    </w:div>
    <w:div w:id="1966422854">
      <w:bodyDiv w:val="1"/>
      <w:marLeft w:val="0"/>
      <w:marRight w:val="0"/>
      <w:marTop w:val="0"/>
      <w:marBottom w:val="0"/>
      <w:divBdr>
        <w:top w:val="none" w:sz="0" w:space="0" w:color="auto"/>
        <w:left w:val="none" w:sz="0" w:space="0" w:color="auto"/>
        <w:bottom w:val="none" w:sz="0" w:space="0" w:color="auto"/>
        <w:right w:val="none" w:sz="0" w:space="0" w:color="auto"/>
      </w:divBdr>
    </w:div>
    <w:div w:id="2010324888">
      <w:bodyDiv w:val="1"/>
      <w:marLeft w:val="0"/>
      <w:marRight w:val="0"/>
      <w:marTop w:val="0"/>
      <w:marBottom w:val="0"/>
      <w:divBdr>
        <w:top w:val="none" w:sz="0" w:space="0" w:color="auto"/>
        <w:left w:val="none" w:sz="0" w:space="0" w:color="auto"/>
        <w:bottom w:val="none" w:sz="0" w:space="0" w:color="auto"/>
        <w:right w:val="none" w:sz="0" w:space="0" w:color="auto"/>
      </w:divBdr>
    </w:div>
    <w:div w:id="2028408643">
      <w:bodyDiv w:val="1"/>
      <w:marLeft w:val="0"/>
      <w:marRight w:val="0"/>
      <w:marTop w:val="0"/>
      <w:marBottom w:val="0"/>
      <w:divBdr>
        <w:top w:val="none" w:sz="0" w:space="0" w:color="auto"/>
        <w:left w:val="none" w:sz="0" w:space="0" w:color="auto"/>
        <w:bottom w:val="none" w:sz="0" w:space="0" w:color="auto"/>
        <w:right w:val="none" w:sz="0" w:space="0" w:color="auto"/>
      </w:divBdr>
    </w:div>
    <w:div w:id="2030792319">
      <w:bodyDiv w:val="1"/>
      <w:marLeft w:val="0"/>
      <w:marRight w:val="0"/>
      <w:marTop w:val="0"/>
      <w:marBottom w:val="0"/>
      <w:divBdr>
        <w:top w:val="none" w:sz="0" w:space="0" w:color="auto"/>
        <w:left w:val="none" w:sz="0" w:space="0" w:color="auto"/>
        <w:bottom w:val="none" w:sz="0" w:space="0" w:color="auto"/>
        <w:right w:val="none" w:sz="0" w:space="0" w:color="auto"/>
      </w:divBdr>
    </w:div>
    <w:div w:id="2032367995">
      <w:bodyDiv w:val="1"/>
      <w:marLeft w:val="0"/>
      <w:marRight w:val="0"/>
      <w:marTop w:val="0"/>
      <w:marBottom w:val="0"/>
      <w:divBdr>
        <w:top w:val="none" w:sz="0" w:space="0" w:color="auto"/>
        <w:left w:val="none" w:sz="0" w:space="0" w:color="auto"/>
        <w:bottom w:val="none" w:sz="0" w:space="0" w:color="auto"/>
        <w:right w:val="none" w:sz="0" w:space="0" w:color="auto"/>
      </w:divBdr>
    </w:div>
    <w:div w:id="2038849671">
      <w:bodyDiv w:val="1"/>
      <w:marLeft w:val="0"/>
      <w:marRight w:val="0"/>
      <w:marTop w:val="0"/>
      <w:marBottom w:val="0"/>
      <w:divBdr>
        <w:top w:val="none" w:sz="0" w:space="0" w:color="auto"/>
        <w:left w:val="none" w:sz="0" w:space="0" w:color="auto"/>
        <w:bottom w:val="none" w:sz="0" w:space="0" w:color="auto"/>
        <w:right w:val="none" w:sz="0" w:space="0" w:color="auto"/>
      </w:divBdr>
    </w:div>
    <w:div w:id="2045059869">
      <w:bodyDiv w:val="1"/>
      <w:marLeft w:val="0"/>
      <w:marRight w:val="0"/>
      <w:marTop w:val="0"/>
      <w:marBottom w:val="0"/>
      <w:divBdr>
        <w:top w:val="none" w:sz="0" w:space="0" w:color="auto"/>
        <w:left w:val="none" w:sz="0" w:space="0" w:color="auto"/>
        <w:bottom w:val="none" w:sz="0" w:space="0" w:color="auto"/>
        <w:right w:val="none" w:sz="0" w:space="0" w:color="auto"/>
      </w:divBdr>
    </w:div>
    <w:div w:id="2063551575">
      <w:bodyDiv w:val="1"/>
      <w:marLeft w:val="0"/>
      <w:marRight w:val="0"/>
      <w:marTop w:val="0"/>
      <w:marBottom w:val="0"/>
      <w:divBdr>
        <w:top w:val="none" w:sz="0" w:space="0" w:color="auto"/>
        <w:left w:val="none" w:sz="0" w:space="0" w:color="auto"/>
        <w:bottom w:val="none" w:sz="0" w:space="0" w:color="auto"/>
        <w:right w:val="none" w:sz="0" w:space="0" w:color="auto"/>
      </w:divBdr>
    </w:div>
    <w:div w:id="2067102070">
      <w:bodyDiv w:val="1"/>
      <w:marLeft w:val="0"/>
      <w:marRight w:val="0"/>
      <w:marTop w:val="0"/>
      <w:marBottom w:val="0"/>
      <w:divBdr>
        <w:top w:val="none" w:sz="0" w:space="0" w:color="auto"/>
        <w:left w:val="none" w:sz="0" w:space="0" w:color="auto"/>
        <w:bottom w:val="none" w:sz="0" w:space="0" w:color="auto"/>
        <w:right w:val="none" w:sz="0" w:space="0" w:color="auto"/>
      </w:divBdr>
    </w:div>
    <w:div w:id="2092852875">
      <w:bodyDiv w:val="1"/>
      <w:marLeft w:val="0"/>
      <w:marRight w:val="0"/>
      <w:marTop w:val="0"/>
      <w:marBottom w:val="0"/>
      <w:divBdr>
        <w:top w:val="none" w:sz="0" w:space="0" w:color="auto"/>
        <w:left w:val="none" w:sz="0" w:space="0" w:color="auto"/>
        <w:bottom w:val="none" w:sz="0" w:space="0" w:color="auto"/>
        <w:right w:val="none" w:sz="0" w:space="0" w:color="auto"/>
      </w:divBdr>
    </w:div>
    <w:div w:id="2094475282">
      <w:bodyDiv w:val="1"/>
      <w:marLeft w:val="0"/>
      <w:marRight w:val="0"/>
      <w:marTop w:val="0"/>
      <w:marBottom w:val="0"/>
      <w:divBdr>
        <w:top w:val="none" w:sz="0" w:space="0" w:color="auto"/>
        <w:left w:val="none" w:sz="0" w:space="0" w:color="auto"/>
        <w:bottom w:val="none" w:sz="0" w:space="0" w:color="auto"/>
        <w:right w:val="none" w:sz="0" w:space="0" w:color="auto"/>
      </w:divBdr>
      <w:divsChild>
        <w:div w:id="166678597">
          <w:marLeft w:val="0"/>
          <w:marRight w:val="0"/>
          <w:marTop w:val="0"/>
          <w:marBottom w:val="240"/>
          <w:divBdr>
            <w:top w:val="none" w:sz="0" w:space="0" w:color="auto"/>
            <w:left w:val="none" w:sz="0" w:space="0" w:color="auto"/>
            <w:bottom w:val="none" w:sz="0" w:space="0" w:color="auto"/>
            <w:right w:val="none" w:sz="0" w:space="0" w:color="auto"/>
          </w:divBdr>
          <w:divsChild>
            <w:div w:id="9648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2838">
      <w:bodyDiv w:val="1"/>
      <w:marLeft w:val="0"/>
      <w:marRight w:val="0"/>
      <w:marTop w:val="0"/>
      <w:marBottom w:val="0"/>
      <w:divBdr>
        <w:top w:val="none" w:sz="0" w:space="0" w:color="auto"/>
        <w:left w:val="none" w:sz="0" w:space="0" w:color="auto"/>
        <w:bottom w:val="none" w:sz="0" w:space="0" w:color="auto"/>
        <w:right w:val="none" w:sz="0" w:space="0" w:color="auto"/>
      </w:divBdr>
    </w:div>
    <w:div w:id="211150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noticias.universia.es/cultura/noticia/2017/07/28/1154633/universidades-espanolas-investigadores-citados-goog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2595D-7C69-4BEF-A8B7-BBD6C2B36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15139</Words>
  <Characters>83266</Characters>
  <Application>Microsoft Office Word</Application>
  <DocSecurity>4</DocSecurity>
  <Lines>693</Lines>
  <Paragraphs>196</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98209</CharactersWithSpaces>
  <SharedDoc>false</SharedDoc>
  <HLinks>
    <vt:vector size="132" baseType="variant">
      <vt:variant>
        <vt:i4>1769526</vt:i4>
      </vt:variant>
      <vt:variant>
        <vt:i4>128</vt:i4>
      </vt:variant>
      <vt:variant>
        <vt:i4>0</vt:i4>
      </vt:variant>
      <vt:variant>
        <vt:i4>5</vt:i4>
      </vt:variant>
      <vt:variant>
        <vt:lpwstr/>
      </vt:variant>
      <vt:variant>
        <vt:lpwstr>_Toc395686859</vt:lpwstr>
      </vt:variant>
      <vt:variant>
        <vt:i4>1769526</vt:i4>
      </vt:variant>
      <vt:variant>
        <vt:i4>122</vt:i4>
      </vt:variant>
      <vt:variant>
        <vt:i4>0</vt:i4>
      </vt:variant>
      <vt:variant>
        <vt:i4>5</vt:i4>
      </vt:variant>
      <vt:variant>
        <vt:lpwstr/>
      </vt:variant>
      <vt:variant>
        <vt:lpwstr>_Toc395686858</vt:lpwstr>
      </vt:variant>
      <vt:variant>
        <vt:i4>1769526</vt:i4>
      </vt:variant>
      <vt:variant>
        <vt:i4>116</vt:i4>
      </vt:variant>
      <vt:variant>
        <vt:i4>0</vt:i4>
      </vt:variant>
      <vt:variant>
        <vt:i4>5</vt:i4>
      </vt:variant>
      <vt:variant>
        <vt:lpwstr/>
      </vt:variant>
      <vt:variant>
        <vt:lpwstr>_Toc395686857</vt:lpwstr>
      </vt:variant>
      <vt:variant>
        <vt:i4>1769526</vt:i4>
      </vt:variant>
      <vt:variant>
        <vt:i4>110</vt:i4>
      </vt:variant>
      <vt:variant>
        <vt:i4>0</vt:i4>
      </vt:variant>
      <vt:variant>
        <vt:i4>5</vt:i4>
      </vt:variant>
      <vt:variant>
        <vt:lpwstr/>
      </vt:variant>
      <vt:variant>
        <vt:lpwstr>_Toc395686856</vt:lpwstr>
      </vt:variant>
      <vt:variant>
        <vt:i4>1769526</vt:i4>
      </vt:variant>
      <vt:variant>
        <vt:i4>104</vt:i4>
      </vt:variant>
      <vt:variant>
        <vt:i4>0</vt:i4>
      </vt:variant>
      <vt:variant>
        <vt:i4>5</vt:i4>
      </vt:variant>
      <vt:variant>
        <vt:lpwstr/>
      </vt:variant>
      <vt:variant>
        <vt:lpwstr>_Toc395686855</vt:lpwstr>
      </vt:variant>
      <vt:variant>
        <vt:i4>1769526</vt:i4>
      </vt:variant>
      <vt:variant>
        <vt:i4>98</vt:i4>
      </vt:variant>
      <vt:variant>
        <vt:i4>0</vt:i4>
      </vt:variant>
      <vt:variant>
        <vt:i4>5</vt:i4>
      </vt:variant>
      <vt:variant>
        <vt:lpwstr/>
      </vt:variant>
      <vt:variant>
        <vt:lpwstr>_Toc395686854</vt:lpwstr>
      </vt:variant>
      <vt:variant>
        <vt:i4>1769526</vt:i4>
      </vt:variant>
      <vt:variant>
        <vt:i4>92</vt:i4>
      </vt:variant>
      <vt:variant>
        <vt:i4>0</vt:i4>
      </vt:variant>
      <vt:variant>
        <vt:i4>5</vt:i4>
      </vt:variant>
      <vt:variant>
        <vt:lpwstr/>
      </vt:variant>
      <vt:variant>
        <vt:lpwstr>_Toc395686853</vt:lpwstr>
      </vt:variant>
      <vt:variant>
        <vt:i4>1769526</vt:i4>
      </vt:variant>
      <vt:variant>
        <vt:i4>86</vt:i4>
      </vt:variant>
      <vt:variant>
        <vt:i4>0</vt:i4>
      </vt:variant>
      <vt:variant>
        <vt:i4>5</vt:i4>
      </vt:variant>
      <vt:variant>
        <vt:lpwstr/>
      </vt:variant>
      <vt:variant>
        <vt:lpwstr>_Toc395686852</vt:lpwstr>
      </vt:variant>
      <vt:variant>
        <vt:i4>1769526</vt:i4>
      </vt:variant>
      <vt:variant>
        <vt:i4>80</vt:i4>
      </vt:variant>
      <vt:variant>
        <vt:i4>0</vt:i4>
      </vt:variant>
      <vt:variant>
        <vt:i4>5</vt:i4>
      </vt:variant>
      <vt:variant>
        <vt:lpwstr/>
      </vt:variant>
      <vt:variant>
        <vt:lpwstr>_Toc395686851</vt:lpwstr>
      </vt:variant>
      <vt:variant>
        <vt:i4>1769526</vt:i4>
      </vt:variant>
      <vt:variant>
        <vt:i4>74</vt:i4>
      </vt:variant>
      <vt:variant>
        <vt:i4>0</vt:i4>
      </vt:variant>
      <vt:variant>
        <vt:i4>5</vt:i4>
      </vt:variant>
      <vt:variant>
        <vt:lpwstr/>
      </vt:variant>
      <vt:variant>
        <vt:lpwstr>_Toc395686850</vt:lpwstr>
      </vt:variant>
      <vt:variant>
        <vt:i4>1703990</vt:i4>
      </vt:variant>
      <vt:variant>
        <vt:i4>68</vt:i4>
      </vt:variant>
      <vt:variant>
        <vt:i4>0</vt:i4>
      </vt:variant>
      <vt:variant>
        <vt:i4>5</vt:i4>
      </vt:variant>
      <vt:variant>
        <vt:lpwstr/>
      </vt:variant>
      <vt:variant>
        <vt:lpwstr>_Toc395686849</vt:lpwstr>
      </vt:variant>
      <vt:variant>
        <vt:i4>1703990</vt:i4>
      </vt:variant>
      <vt:variant>
        <vt:i4>62</vt:i4>
      </vt:variant>
      <vt:variant>
        <vt:i4>0</vt:i4>
      </vt:variant>
      <vt:variant>
        <vt:i4>5</vt:i4>
      </vt:variant>
      <vt:variant>
        <vt:lpwstr/>
      </vt:variant>
      <vt:variant>
        <vt:lpwstr>_Toc395686848</vt:lpwstr>
      </vt:variant>
      <vt:variant>
        <vt:i4>1703990</vt:i4>
      </vt:variant>
      <vt:variant>
        <vt:i4>56</vt:i4>
      </vt:variant>
      <vt:variant>
        <vt:i4>0</vt:i4>
      </vt:variant>
      <vt:variant>
        <vt:i4>5</vt:i4>
      </vt:variant>
      <vt:variant>
        <vt:lpwstr/>
      </vt:variant>
      <vt:variant>
        <vt:lpwstr>_Toc395686847</vt:lpwstr>
      </vt:variant>
      <vt:variant>
        <vt:i4>1703990</vt:i4>
      </vt:variant>
      <vt:variant>
        <vt:i4>50</vt:i4>
      </vt:variant>
      <vt:variant>
        <vt:i4>0</vt:i4>
      </vt:variant>
      <vt:variant>
        <vt:i4>5</vt:i4>
      </vt:variant>
      <vt:variant>
        <vt:lpwstr/>
      </vt:variant>
      <vt:variant>
        <vt:lpwstr>_Toc395686846</vt:lpwstr>
      </vt:variant>
      <vt:variant>
        <vt:i4>1703990</vt:i4>
      </vt:variant>
      <vt:variant>
        <vt:i4>44</vt:i4>
      </vt:variant>
      <vt:variant>
        <vt:i4>0</vt:i4>
      </vt:variant>
      <vt:variant>
        <vt:i4>5</vt:i4>
      </vt:variant>
      <vt:variant>
        <vt:lpwstr/>
      </vt:variant>
      <vt:variant>
        <vt:lpwstr>_Toc395686845</vt:lpwstr>
      </vt:variant>
      <vt:variant>
        <vt:i4>1703990</vt:i4>
      </vt:variant>
      <vt:variant>
        <vt:i4>38</vt:i4>
      </vt:variant>
      <vt:variant>
        <vt:i4>0</vt:i4>
      </vt:variant>
      <vt:variant>
        <vt:i4>5</vt:i4>
      </vt:variant>
      <vt:variant>
        <vt:lpwstr/>
      </vt:variant>
      <vt:variant>
        <vt:lpwstr>_Toc395686844</vt:lpwstr>
      </vt:variant>
      <vt:variant>
        <vt:i4>1703990</vt:i4>
      </vt:variant>
      <vt:variant>
        <vt:i4>32</vt:i4>
      </vt:variant>
      <vt:variant>
        <vt:i4>0</vt:i4>
      </vt:variant>
      <vt:variant>
        <vt:i4>5</vt:i4>
      </vt:variant>
      <vt:variant>
        <vt:lpwstr/>
      </vt:variant>
      <vt:variant>
        <vt:lpwstr>_Toc395686843</vt:lpwstr>
      </vt:variant>
      <vt:variant>
        <vt:i4>1703990</vt:i4>
      </vt:variant>
      <vt:variant>
        <vt:i4>26</vt:i4>
      </vt:variant>
      <vt:variant>
        <vt:i4>0</vt:i4>
      </vt:variant>
      <vt:variant>
        <vt:i4>5</vt:i4>
      </vt:variant>
      <vt:variant>
        <vt:lpwstr/>
      </vt:variant>
      <vt:variant>
        <vt:lpwstr>_Toc395686842</vt:lpwstr>
      </vt:variant>
      <vt:variant>
        <vt:i4>1703990</vt:i4>
      </vt:variant>
      <vt:variant>
        <vt:i4>20</vt:i4>
      </vt:variant>
      <vt:variant>
        <vt:i4>0</vt:i4>
      </vt:variant>
      <vt:variant>
        <vt:i4>5</vt:i4>
      </vt:variant>
      <vt:variant>
        <vt:lpwstr/>
      </vt:variant>
      <vt:variant>
        <vt:lpwstr>_Toc395686841</vt:lpwstr>
      </vt:variant>
      <vt:variant>
        <vt:i4>1703990</vt:i4>
      </vt:variant>
      <vt:variant>
        <vt:i4>14</vt:i4>
      </vt:variant>
      <vt:variant>
        <vt:i4>0</vt:i4>
      </vt:variant>
      <vt:variant>
        <vt:i4>5</vt:i4>
      </vt:variant>
      <vt:variant>
        <vt:lpwstr/>
      </vt:variant>
      <vt:variant>
        <vt:lpwstr>_Toc395686840</vt:lpwstr>
      </vt:variant>
      <vt:variant>
        <vt:i4>1900598</vt:i4>
      </vt:variant>
      <vt:variant>
        <vt:i4>8</vt:i4>
      </vt:variant>
      <vt:variant>
        <vt:i4>0</vt:i4>
      </vt:variant>
      <vt:variant>
        <vt:i4>5</vt:i4>
      </vt:variant>
      <vt:variant>
        <vt:lpwstr/>
      </vt:variant>
      <vt:variant>
        <vt:lpwstr>_Toc395686839</vt:lpwstr>
      </vt:variant>
      <vt:variant>
        <vt:i4>1900598</vt:i4>
      </vt:variant>
      <vt:variant>
        <vt:i4>2</vt:i4>
      </vt:variant>
      <vt:variant>
        <vt:i4>0</vt:i4>
      </vt:variant>
      <vt:variant>
        <vt:i4>5</vt:i4>
      </vt:variant>
      <vt:variant>
        <vt:lpwstr/>
      </vt:variant>
      <vt:variant>
        <vt:lpwstr>_Toc395686838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D801319</dc:creator>
  <cp:lastModifiedBy>Aranaz, Carlota</cp:lastModifiedBy>
  <cp:revision>2</cp:revision>
  <cp:lastPrinted>2019-03-25T11:30:00Z</cp:lastPrinted>
  <dcterms:created xsi:type="dcterms:W3CDTF">2019-03-28T12:35:00Z</dcterms:created>
  <dcterms:modified xsi:type="dcterms:W3CDTF">2019-03-28T12:35:00Z</dcterms:modified>
</cp:coreProperties>
</file>