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situación del expediente 15/19, derivado de la Resolución 560/2019, de 23 de abril, del Director General de Administración Local,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30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Mediante Resolución 560/2019, de 23 de abril, del Director General de Administración Local, se acordó:</w:t>
      </w:r>
    </w:p>
    <w:p>
      <w:pPr>
        <w:pStyle w:val="0"/>
        <w:suppressAutoHyphens w:val="false"/>
        <w:rPr>
          <w:rStyle w:val="1"/>
        </w:rPr>
      </w:pPr>
      <w:r>
        <w:rPr>
          <w:rStyle w:val="1"/>
        </w:rPr>
        <w:t xml:space="preserve">“Requerir al Ayuntamiento de Ayegui para que inicie el procedimiento de revisión de oficio del contrato de adjudicación del servicio energético con garantía total del alumbrado público de la localidad, por concurrir causas de nulidad de pleno Derecho, en el plazo de veinte días hábiles a contar a partir de la notificación de la presente Resolución”</w:t>
      </w:r>
    </w:p>
    <w:p>
      <w:pPr>
        <w:pStyle w:val="0"/>
        <w:suppressAutoHyphens w:val="false"/>
        <w:rPr>
          <w:rStyle w:val="1"/>
        </w:rPr>
      </w:pPr>
      <w:r>
        <w:rPr>
          <w:rStyle w:val="1"/>
        </w:rPr>
        <w:t xml:space="preserve">A la vista de ello se formulan las siguientes preguntas:</w:t>
      </w:r>
    </w:p>
    <w:p>
      <w:pPr>
        <w:pStyle w:val="0"/>
        <w:suppressAutoHyphens w:val="false"/>
        <w:rPr>
          <w:rStyle w:val="1"/>
        </w:rPr>
      </w:pPr>
      <w:r>
        <w:rPr>
          <w:rStyle w:val="1"/>
        </w:rPr>
        <w:t xml:space="preserve">¿En qué situación procedimental se encuentra el Expediente 15/19, derivado de la Resolución 560/2019, de 23 de abril, en la que se requiere al ayuntamiento de Aiegi que se inicie el proceso de revisión de oficio del contrato de adjudicación del servicio energético con garantía total del alumbrado público de la localidad por concurrir causas de nulidad de pleno derecho?</w:t>
      </w:r>
    </w:p>
    <w:p>
      <w:pPr>
        <w:pStyle w:val="0"/>
        <w:suppressAutoHyphens w:val="false"/>
        <w:rPr>
          <w:rStyle w:val="1"/>
        </w:rPr>
      </w:pPr>
      <w:r>
        <w:rPr>
          <w:rStyle w:val="1"/>
        </w:rPr>
        <w:t xml:space="preserve">¿Tiene conocimiento la Dirección General de Administración Local de acuerdo alguno adoptado por el Ayuntamiento de Aiegi para iniciar la revisión de oficio que se requería en la Resolución 560/2019 citada?</w:t>
      </w:r>
    </w:p>
    <w:p>
      <w:pPr>
        <w:pStyle w:val="0"/>
        <w:suppressAutoHyphens w:val="false"/>
        <w:rPr>
          <w:rStyle w:val="1"/>
        </w:rPr>
      </w:pPr>
      <w:r>
        <w:rPr>
          <w:rStyle w:val="1"/>
        </w:rPr>
        <w:t xml:space="preserve">En caso de que no se hubiera adoptado acuerdo alguno de inicio del procedimiento de revisión de oficio por el ayuntamiento de Aiegi y dado que han transcurrido en exceso los veinte días otorgados, ¿tiene prevista la Dirección General el inicio de acciones judiciales ante el silencio administrativo adoptado por la entidad local?</w:t>
      </w:r>
    </w:p>
    <w:p>
      <w:pPr>
        <w:pStyle w:val="0"/>
        <w:suppressAutoHyphens w:val="false"/>
        <w:rPr>
          <w:rStyle w:val="1"/>
        </w:rPr>
      </w:pPr>
      <w:r>
        <w:rPr>
          <w:rStyle w:val="1"/>
        </w:rPr>
        <w:t xml:space="preserve">Pamplona-Iruña, a 26 de septiembre de 2019</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