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aurkezturiko galdera, “Carried interest” delakoaren zergapetzea dela-eta zerga pizgarriak ezartzeko aukerari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Legebiltzarraren Erregelamenduko 188. artikuluan eta hurrengoetan ezarritakoaren babesean, galdera hau aurkezten du, idatziz erantzun dakion:</w:t>
      </w:r>
    </w:p>
    <w:p>
      <w:pPr>
        <w:pStyle w:val="0"/>
        <w:suppressAutoHyphens w:val="false"/>
        <w:rPr>
          <w:rStyle w:val="1"/>
        </w:rPr>
      </w:pPr>
      <w:r>
        <w:rPr>
          <w:rStyle w:val="1"/>
        </w:rPr>
        <w:t xml:space="preserve">Oraintsu jakin dugu Gipuzkoako Foru Aldundiak, bere eskumenak baliatuz zerga-pizgarri berritzaile bat onetsi duela, arrisku-kapitaleko funtsak erakartzera bideratua. Aldaketa fiskal horrek PFEZari nahiz sozietateen gaineko zergari buruzko araudiari eragiten die.</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Gipuzkoako lurralde mugakidean onetsitako zerga-pizgarriak ikusita, Nafarroako Gobernuak aztertu al du carried interest izeneko tributazioarekin lotutako zerga-pizgarririk sartzeko aukera?</w:t>
      </w:r>
    </w:p>
    <w:p>
      <w:pPr>
        <w:pStyle w:val="0"/>
        <w:suppressAutoHyphens w:val="false"/>
        <w:rPr>
          <w:rStyle w:val="1"/>
        </w:rPr>
      </w:pPr>
      <w:r>
        <w:rPr>
          <w:rStyle w:val="1"/>
        </w:rPr>
        <w:t xml:space="preserve">Baiezkoan, zeintzuk izan dira ondorioak eta ondorio horien zioa?</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