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proyecto para incorporar la atención de urgencias en el Centro de Salud de Buztintxuri,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Suma, al amparo de lo dispuesto en los artículos 188 y siguientes del Reglamento de la Cámara, ante la preocupación por el incremento a lo largo de los últimos años de los índices de accidentabilidad laboral en Navarra,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coste del proyecto del Centro de Salud de Buztintxuri para la adecuación tras la decisión de incorporar en dicho centro la atención a urgencias?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Detalle del plan funcional, trámites administrativos y cronograma previsto de acciones.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octubre de 2019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