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noviembre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muestra, una vez más, su repulsa ante todo tipo de violencia machista producto de las múltiples discriminaciones que sufren las mujeres en cualquier ámbito y contexto.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manifiesta su compromiso a seguir trabajando activamente contra todas las desigualdades que generan situaciones de vulnerabilidad y violencias contra las mujeres y niñas.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muestra su solidaridad con las mujeres y niñas agredidas y asesinadas, víctimas de la violencia machista más extrema, transmitiendo todo nuestro apoyo a ellas y a sus familiares.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El Parlamento de Navarra manifiesta la necesidad de que todos los hombres, de todas las edades, asuman compromisos y posiciones activas frente a todo tipo de violencia hacia las mujeres.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El Parlamento de Navarra invita a toda la ciudadanía a seguir mostrando su rechazo y su compromiso con la erradicación de la violencia contra las mujeres, la denuncia de todas las manifestaciones de control patriarcal y de limitaciones y condicionamientos del ejercicio de la libertad y la autonomía de las mujeres, y a participar en todas las actividades que se organicen entorno al 25 de noviembre.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El Parlamento de Navarra se suma a la celebración del Día Internacional de la Eliminación de la Violencia Contra la Mujer y para ello se realizará una concentración en el atrio del Parlamento donde se leerá esta declaración y se colocará un lazo violeta en fachada del Parlamento” (10-19/DEC-00077).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noviembre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