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Nafarroako Hondakinei buruzko Foru Legea indarrean sartzeari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Alberto Bonilla Zafra jaunak honako galdera hau aurkezten du, Nafarroako Gobernuko Lurralde Kohesiorako kontseilari Bernardo Ciriza jaunak Osoko Bilkuran ahoz erantzun dezan:</w:t>
      </w:r>
    </w:p>
    <w:p>
      <w:pPr>
        <w:pStyle w:val="0"/>
        <w:suppressAutoHyphens w:val="false"/>
        <w:rPr>
          <w:rStyle w:val="1"/>
        </w:rPr>
      </w:pPr>
      <w:r>
        <w:rPr>
          <w:rStyle w:val="1"/>
        </w:rPr>
        <w:t xml:space="preserve">Nafarroako Gobernuak zer jarduketa abiaraziko du laster indarrean sartuko den Nafarroako Hondakinei buruzko Foru Legeak Nafarroako merkataritzan eragin dezakeen egoerari aurre egiteko?</w:t>
      </w:r>
    </w:p>
    <w:p>
      <w:pPr>
        <w:pStyle w:val="0"/>
        <w:suppressAutoHyphens w:val="false"/>
        <w:rPr>
          <w:rStyle w:val="1"/>
        </w:rPr>
      </w:pPr>
      <w:r>
        <w:rPr>
          <w:rStyle w:val="1"/>
        </w:rPr>
        <w:t xml:space="preserve">Iruñean, 2019ko azaroaren 28an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