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AB659D">
      <w:pPr>
        <w:pStyle w:val="EstiloPortada"/>
        <w:ind w:right="-58"/>
      </w:pPr>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F435B" w:rsidRPr="003A7956" w:rsidRDefault="00FF435B" w:rsidP="004C3423">
                            <w:pPr>
                              <w:spacing w:after="0"/>
                              <w:ind w:firstLine="0"/>
                              <w:jc w:val="center"/>
                              <w:rPr>
                                <w:sz w:val="18"/>
                                <w:szCs w:val="18"/>
                              </w:rPr>
                            </w:pPr>
                            <w:r>
                              <w:rPr>
                                <w:sz w:val="18"/>
                                <w:szCs w:val="18"/>
                              </w:rPr>
                              <w:t>CAMARA DE</w:t>
                            </w:r>
                          </w:p>
                          <w:p w:rsidR="00FF435B" w:rsidRPr="003A7956" w:rsidRDefault="00FF435B" w:rsidP="004C3423">
                            <w:pPr>
                              <w:spacing w:after="0"/>
                              <w:ind w:firstLine="0"/>
                              <w:jc w:val="center"/>
                              <w:rPr>
                                <w:sz w:val="18"/>
                                <w:szCs w:val="18"/>
                              </w:rPr>
                            </w:pPr>
                            <w:r>
                              <w:rPr>
                                <w:sz w:val="18"/>
                                <w:szCs w:val="18"/>
                              </w:rPr>
                              <w:t>COMPTOS</w:t>
                            </w:r>
                          </w:p>
                          <w:p w:rsidR="00FF435B" w:rsidRPr="003A7956" w:rsidRDefault="00FF435B" w:rsidP="004C3423">
                            <w:pPr>
                              <w:spacing w:after="0"/>
                              <w:ind w:firstLine="0"/>
                              <w:jc w:val="center"/>
                              <w:rPr>
                                <w:sz w:val="18"/>
                                <w:szCs w:val="18"/>
                              </w:rPr>
                            </w:pPr>
                            <w:r>
                              <w:rPr>
                                <w:sz w:val="18"/>
                                <w:szCs w:val="18"/>
                              </w:rPr>
                              <w:t>DE NAVARRA</w:t>
                            </w:r>
                          </w:p>
                          <w:p w:rsidR="00FF435B" w:rsidRPr="003A7956" w:rsidRDefault="00FF435B" w:rsidP="004C3423">
                            <w:pPr>
                              <w:spacing w:after="0"/>
                              <w:ind w:firstLine="0"/>
                              <w:jc w:val="center"/>
                              <w:rPr>
                                <w:color w:val="808080"/>
                                <w:sz w:val="18"/>
                                <w:szCs w:val="18"/>
                              </w:rPr>
                            </w:pPr>
                            <w:r>
                              <w:rPr>
                                <w:color w:val="808080"/>
                                <w:sz w:val="18"/>
                                <w:szCs w:val="18"/>
                              </w:rPr>
                              <w:t>NAFARROAKO</w:t>
                            </w:r>
                          </w:p>
                          <w:p w:rsidR="00FF435B" w:rsidRPr="003A7956" w:rsidRDefault="00FF435B" w:rsidP="004C3423">
                            <w:pPr>
                              <w:spacing w:after="0"/>
                              <w:ind w:firstLine="0"/>
                              <w:jc w:val="center"/>
                              <w:rPr>
                                <w:color w:val="808080"/>
                                <w:sz w:val="18"/>
                                <w:szCs w:val="18"/>
                              </w:rPr>
                            </w:pPr>
                            <w:r>
                              <w:rPr>
                                <w:color w:val="808080"/>
                                <w:sz w:val="18"/>
                                <w:szCs w:val="18"/>
                              </w:rPr>
                              <w:t>KONTUEN</w:t>
                            </w:r>
                          </w:p>
                          <w:p w:rsidR="00FF435B" w:rsidRPr="003A7956" w:rsidRDefault="00FF435B" w:rsidP="004C3423">
                            <w:pPr>
                              <w:spacing w:after="0"/>
                              <w:ind w:firstLine="0"/>
                              <w:jc w:val="center"/>
                              <w:rPr>
                                <w:color w:val="808080"/>
                                <w:sz w:val="18"/>
                                <w:szCs w:val="18"/>
                              </w:rPr>
                            </w:pPr>
                            <w:r>
                              <w:rPr>
                                <w:color w:val="808080"/>
                                <w:sz w:val="18"/>
                                <w:szCs w:val="18"/>
                              </w:rPr>
                              <w:t>GANBERA</w:t>
                            </w:r>
                          </w:p>
                          <w:p w:rsidR="00FF435B" w:rsidRPr="002C7026" w:rsidRDefault="00FF435B"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FF435B" w:rsidRPr="003A7956" w:rsidRDefault="00FF435B" w:rsidP="004C3423">
                      <w:pPr>
                        <w:spacing w:after="0"/>
                        <w:ind w:firstLine="0"/>
                        <w:jc w:val="center"/>
                        <w:rPr>
                          <w:sz w:val="18"/>
                          <w:szCs w:val="18"/>
                        </w:rPr>
                      </w:pPr>
                      <w:r>
                        <w:rPr>
                          <w:sz w:val="18"/>
                          <w:szCs w:val="18"/>
                        </w:rPr>
                        <w:t>CAMARA DE</w:t>
                      </w:r>
                    </w:p>
                    <w:p w:rsidR="00FF435B" w:rsidRPr="003A7956" w:rsidRDefault="00FF435B" w:rsidP="004C3423">
                      <w:pPr>
                        <w:spacing w:after="0"/>
                        <w:ind w:firstLine="0"/>
                        <w:jc w:val="center"/>
                        <w:rPr>
                          <w:sz w:val="18"/>
                          <w:szCs w:val="18"/>
                        </w:rPr>
                      </w:pPr>
                      <w:r>
                        <w:rPr>
                          <w:sz w:val="18"/>
                          <w:szCs w:val="18"/>
                        </w:rPr>
                        <w:t>COMPTOS</w:t>
                      </w:r>
                    </w:p>
                    <w:p w:rsidR="00FF435B" w:rsidRPr="003A7956" w:rsidRDefault="00FF435B" w:rsidP="004C3423">
                      <w:pPr>
                        <w:spacing w:after="0"/>
                        <w:ind w:firstLine="0"/>
                        <w:jc w:val="center"/>
                        <w:rPr>
                          <w:sz w:val="18"/>
                          <w:szCs w:val="18"/>
                        </w:rPr>
                      </w:pPr>
                      <w:r>
                        <w:rPr>
                          <w:sz w:val="18"/>
                          <w:szCs w:val="18"/>
                        </w:rPr>
                        <w:t>DE NAVARRA</w:t>
                      </w:r>
                    </w:p>
                    <w:p w:rsidR="00FF435B" w:rsidRPr="003A7956" w:rsidRDefault="00FF435B" w:rsidP="004C3423">
                      <w:pPr>
                        <w:spacing w:after="0"/>
                        <w:ind w:firstLine="0"/>
                        <w:jc w:val="center"/>
                        <w:rPr>
                          <w:color w:val="808080"/>
                          <w:sz w:val="18"/>
                          <w:szCs w:val="18"/>
                        </w:rPr>
                      </w:pPr>
                      <w:r>
                        <w:rPr>
                          <w:color w:val="808080"/>
                          <w:sz w:val="18"/>
                          <w:szCs w:val="18"/>
                        </w:rPr>
                        <w:t>NAFARROAKO</w:t>
                      </w:r>
                    </w:p>
                    <w:p w:rsidR="00FF435B" w:rsidRPr="003A7956" w:rsidRDefault="00FF435B" w:rsidP="004C3423">
                      <w:pPr>
                        <w:spacing w:after="0"/>
                        <w:ind w:firstLine="0"/>
                        <w:jc w:val="center"/>
                        <w:rPr>
                          <w:color w:val="808080"/>
                          <w:sz w:val="18"/>
                          <w:szCs w:val="18"/>
                        </w:rPr>
                      </w:pPr>
                      <w:r>
                        <w:rPr>
                          <w:color w:val="808080"/>
                          <w:sz w:val="18"/>
                          <w:szCs w:val="18"/>
                        </w:rPr>
                        <w:t>KONTUEN</w:t>
                      </w:r>
                    </w:p>
                    <w:p w:rsidR="00FF435B" w:rsidRPr="003A7956" w:rsidRDefault="00FF435B" w:rsidP="004C3423">
                      <w:pPr>
                        <w:spacing w:after="0"/>
                        <w:ind w:firstLine="0"/>
                        <w:jc w:val="center"/>
                        <w:rPr>
                          <w:color w:val="808080"/>
                          <w:sz w:val="18"/>
                          <w:szCs w:val="18"/>
                        </w:rPr>
                      </w:pPr>
                      <w:r>
                        <w:rPr>
                          <w:color w:val="808080"/>
                          <w:sz w:val="18"/>
                          <w:szCs w:val="18"/>
                        </w:rPr>
                        <w:t>GANBERA</w:t>
                      </w:r>
                    </w:p>
                    <w:p w:rsidR="00FF435B" w:rsidRPr="002C7026" w:rsidRDefault="00FF435B" w:rsidP="002C7026">
                      <w:pPr>
                        <w:spacing w:after="0"/>
                        <w:ind w:firstLine="0"/>
                        <w:jc w:val="center"/>
                        <w:rPr>
                          <w:rFonts w:ascii="Trajan" w:hAnsi="Trajan"/>
                          <w:color w:val="808080"/>
                          <w:sz w:val="18"/>
                          <w:szCs w:val="18"/>
                          <w:lang w:val="es-ES"/>
                        </w:rPr>
                      </w:pPr>
                    </w:p>
                  </w:txbxContent>
                </v:textbox>
              </v:shape>
            </w:pict>
          </mc:Fallback>
        </mc:AlternateContent>
      </w:r>
    </w:p>
    <w:p w:rsidR="008E7EF5" w:rsidRDefault="008E7EF5" w:rsidP="00BA1018">
      <w:pPr>
        <w:pStyle w:val="EstiloPortada"/>
        <w:ind w:left="3544" w:right="-283"/>
        <w:jc w:val="right"/>
      </w:pPr>
    </w:p>
    <w:p w:rsidR="008E7EF5" w:rsidRDefault="008E7EF5" w:rsidP="00BA1018">
      <w:pPr>
        <w:pStyle w:val="EstiloPortada"/>
        <w:ind w:left="3544" w:right="-283"/>
        <w:jc w:val="right"/>
      </w:pPr>
    </w:p>
    <w:p w:rsidR="001C3A32" w:rsidRPr="001D4F09" w:rsidRDefault="00BA1018" w:rsidP="00BA1018">
      <w:pPr>
        <w:pStyle w:val="EstiloPortada"/>
        <w:ind w:left="3544" w:right="-283"/>
        <w:jc w:val="right"/>
      </w:pPr>
      <w:r>
        <w:t>Nafarroako toki se</w:t>
      </w:r>
      <w:r>
        <w:t>k</w:t>
      </w:r>
      <w:r>
        <w:t>tore publikoa, 2017</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BA1018" w:rsidP="009936FC">
      <w:pPr>
        <w:pStyle w:val="Fechaportada"/>
      </w:pPr>
      <w:r>
        <w:t>2019ko azaroa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14728F" w:rsidRPr="005A1124" w:rsidRDefault="005A1124" w:rsidP="005A1124">
      <w:pPr>
        <w:pStyle w:val="texto"/>
        <w:ind w:right="-142"/>
        <w:jc w:val="right"/>
        <w:rPr>
          <w:smallCaps/>
          <w:sz w:val="16"/>
        </w:rPr>
      </w:pPr>
      <w:r>
        <w:rPr>
          <w:smallCaps/>
          <w:sz w:val="16"/>
        </w:rPr>
        <w:t>Orrialdea</w:t>
      </w:r>
    </w:p>
    <w:p w:rsidR="00F544E8"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27986309" w:history="1">
        <w:r w:rsidR="00F544E8" w:rsidRPr="00643243">
          <w:rPr>
            <w:rStyle w:val="Hipervnculo"/>
            <w:noProof/>
          </w:rPr>
          <w:t>I. Sarrera</w:t>
        </w:r>
        <w:r w:rsidR="00F544E8">
          <w:rPr>
            <w:noProof/>
            <w:webHidden/>
          </w:rPr>
          <w:tab/>
        </w:r>
        <w:r w:rsidR="00F544E8">
          <w:rPr>
            <w:noProof/>
            <w:webHidden/>
          </w:rPr>
          <w:fldChar w:fldCharType="begin"/>
        </w:r>
        <w:r w:rsidR="00F544E8">
          <w:rPr>
            <w:noProof/>
            <w:webHidden/>
          </w:rPr>
          <w:instrText xml:space="preserve"> PAGEREF _Toc27986309 \h </w:instrText>
        </w:r>
        <w:r w:rsidR="00F544E8">
          <w:rPr>
            <w:noProof/>
            <w:webHidden/>
          </w:rPr>
        </w:r>
        <w:r w:rsidR="00F544E8">
          <w:rPr>
            <w:noProof/>
            <w:webHidden/>
          </w:rPr>
          <w:fldChar w:fldCharType="separate"/>
        </w:r>
        <w:r w:rsidR="00F544E8">
          <w:rPr>
            <w:noProof/>
            <w:webHidden/>
          </w:rPr>
          <w:t>3</w:t>
        </w:r>
        <w:r w:rsidR="00F544E8">
          <w:rPr>
            <w:noProof/>
            <w:webHidden/>
          </w:rPr>
          <w:fldChar w:fldCharType="end"/>
        </w:r>
      </w:hyperlink>
    </w:p>
    <w:p w:rsidR="00F544E8" w:rsidRDefault="00FF435B">
      <w:pPr>
        <w:pStyle w:val="TDC1"/>
        <w:rPr>
          <w:rFonts w:asciiTheme="minorHAnsi" w:eastAsiaTheme="minorEastAsia" w:hAnsiTheme="minorHAnsi" w:cstheme="minorBidi"/>
          <w:smallCaps w:val="0"/>
          <w:noProof/>
          <w:szCs w:val="22"/>
          <w:lang w:val="es-ES" w:eastAsia="es-ES"/>
        </w:rPr>
      </w:pPr>
      <w:hyperlink w:anchor="_Toc27986310" w:history="1">
        <w:r w:rsidR="00F544E8" w:rsidRPr="00643243">
          <w:rPr>
            <w:rStyle w:val="Hipervnculo"/>
            <w:noProof/>
          </w:rPr>
          <w:t>II. Toki sektore publikoaren antolaketa-egitura eta araudia</w:t>
        </w:r>
        <w:r w:rsidR="00F544E8">
          <w:rPr>
            <w:noProof/>
            <w:webHidden/>
          </w:rPr>
          <w:tab/>
        </w:r>
        <w:r w:rsidR="00F544E8">
          <w:rPr>
            <w:noProof/>
            <w:webHidden/>
          </w:rPr>
          <w:fldChar w:fldCharType="begin"/>
        </w:r>
        <w:r w:rsidR="00F544E8">
          <w:rPr>
            <w:noProof/>
            <w:webHidden/>
          </w:rPr>
          <w:instrText xml:space="preserve"> PAGEREF _Toc27986310 \h </w:instrText>
        </w:r>
        <w:r w:rsidR="00F544E8">
          <w:rPr>
            <w:noProof/>
            <w:webHidden/>
          </w:rPr>
        </w:r>
        <w:r w:rsidR="00F544E8">
          <w:rPr>
            <w:noProof/>
            <w:webHidden/>
          </w:rPr>
          <w:fldChar w:fldCharType="separate"/>
        </w:r>
        <w:r w:rsidR="00F544E8">
          <w:rPr>
            <w:noProof/>
            <w:webHidden/>
          </w:rPr>
          <w:t>4</w:t>
        </w:r>
        <w:r w:rsidR="00F544E8">
          <w:rPr>
            <w:noProof/>
            <w:webHidden/>
          </w:rPr>
          <w:fldChar w:fldCharType="end"/>
        </w:r>
      </w:hyperlink>
    </w:p>
    <w:p w:rsidR="00F544E8" w:rsidRDefault="00FF435B">
      <w:pPr>
        <w:pStyle w:val="TDC2"/>
        <w:rPr>
          <w:rFonts w:asciiTheme="minorHAnsi" w:eastAsiaTheme="minorEastAsia" w:hAnsiTheme="minorHAnsi" w:cstheme="minorBidi"/>
          <w:noProof/>
          <w:szCs w:val="22"/>
          <w:lang w:val="es-ES" w:eastAsia="es-ES"/>
        </w:rPr>
      </w:pPr>
      <w:hyperlink w:anchor="_Toc27986311" w:history="1">
        <w:r w:rsidR="00F544E8" w:rsidRPr="00643243">
          <w:rPr>
            <w:rStyle w:val="Hipervnculo"/>
            <w:noProof/>
          </w:rPr>
          <w:t>II.1. Antolamenduzko egitura</w:t>
        </w:r>
        <w:r w:rsidR="00F544E8">
          <w:rPr>
            <w:noProof/>
            <w:webHidden/>
          </w:rPr>
          <w:tab/>
        </w:r>
        <w:r w:rsidR="00F544E8">
          <w:rPr>
            <w:noProof/>
            <w:webHidden/>
          </w:rPr>
          <w:fldChar w:fldCharType="begin"/>
        </w:r>
        <w:r w:rsidR="00F544E8">
          <w:rPr>
            <w:noProof/>
            <w:webHidden/>
          </w:rPr>
          <w:instrText xml:space="preserve"> PAGEREF _Toc27986311 \h </w:instrText>
        </w:r>
        <w:r w:rsidR="00F544E8">
          <w:rPr>
            <w:noProof/>
            <w:webHidden/>
          </w:rPr>
        </w:r>
        <w:r w:rsidR="00F544E8">
          <w:rPr>
            <w:noProof/>
            <w:webHidden/>
          </w:rPr>
          <w:fldChar w:fldCharType="separate"/>
        </w:r>
        <w:r w:rsidR="00F544E8">
          <w:rPr>
            <w:noProof/>
            <w:webHidden/>
          </w:rPr>
          <w:t>4</w:t>
        </w:r>
        <w:r w:rsidR="00F544E8">
          <w:rPr>
            <w:noProof/>
            <w:webHidden/>
          </w:rPr>
          <w:fldChar w:fldCharType="end"/>
        </w:r>
      </w:hyperlink>
    </w:p>
    <w:p w:rsidR="00F544E8" w:rsidRDefault="00FF435B">
      <w:pPr>
        <w:pStyle w:val="TDC2"/>
        <w:rPr>
          <w:rFonts w:asciiTheme="minorHAnsi" w:eastAsiaTheme="minorEastAsia" w:hAnsiTheme="minorHAnsi" w:cstheme="minorBidi"/>
          <w:noProof/>
          <w:szCs w:val="22"/>
          <w:lang w:val="es-ES" w:eastAsia="es-ES"/>
        </w:rPr>
      </w:pPr>
      <w:hyperlink w:anchor="_Toc27986312" w:history="1">
        <w:r w:rsidR="00F544E8" w:rsidRPr="00643243">
          <w:rPr>
            <w:rStyle w:val="Hipervnculo"/>
            <w:noProof/>
          </w:rPr>
          <w:t>II.2. Toki sektore publikoa arrazionalizatzeko planteatu diren lege-neurriak</w:t>
        </w:r>
        <w:r w:rsidR="00F544E8">
          <w:rPr>
            <w:noProof/>
            <w:webHidden/>
          </w:rPr>
          <w:tab/>
        </w:r>
        <w:r w:rsidR="00F544E8">
          <w:rPr>
            <w:noProof/>
            <w:webHidden/>
          </w:rPr>
          <w:fldChar w:fldCharType="begin"/>
        </w:r>
        <w:r w:rsidR="00F544E8">
          <w:rPr>
            <w:noProof/>
            <w:webHidden/>
          </w:rPr>
          <w:instrText xml:space="preserve"> PAGEREF _Toc27986312 \h </w:instrText>
        </w:r>
        <w:r w:rsidR="00F544E8">
          <w:rPr>
            <w:noProof/>
            <w:webHidden/>
          </w:rPr>
        </w:r>
        <w:r w:rsidR="00F544E8">
          <w:rPr>
            <w:noProof/>
            <w:webHidden/>
          </w:rPr>
          <w:fldChar w:fldCharType="separate"/>
        </w:r>
        <w:r w:rsidR="00F544E8">
          <w:rPr>
            <w:noProof/>
            <w:webHidden/>
          </w:rPr>
          <w:t>7</w:t>
        </w:r>
        <w:r w:rsidR="00F544E8">
          <w:rPr>
            <w:noProof/>
            <w:webHidden/>
          </w:rPr>
          <w:fldChar w:fldCharType="end"/>
        </w:r>
      </w:hyperlink>
    </w:p>
    <w:p w:rsidR="00F544E8" w:rsidRDefault="00FF435B">
      <w:pPr>
        <w:pStyle w:val="TDC2"/>
        <w:rPr>
          <w:rFonts w:asciiTheme="minorHAnsi" w:eastAsiaTheme="minorEastAsia" w:hAnsiTheme="minorHAnsi" w:cstheme="minorBidi"/>
          <w:noProof/>
          <w:szCs w:val="22"/>
          <w:lang w:val="es-ES" w:eastAsia="es-ES"/>
        </w:rPr>
      </w:pPr>
      <w:hyperlink w:anchor="_Toc27986313" w:history="1">
        <w:r w:rsidR="00F544E8" w:rsidRPr="00643243">
          <w:rPr>
            <w:rStyle w:val="Hipervnculo"/>
            <w:noProof/>
          </w:rPr>
          <w:t>II.3. 2017an onetsitako araudia</w:t>
        </w:r>
        <w:r w:rsidR="00F544E8">
          <w:rPr>
            <w:noProof/>
            <w:webHidden/>
          </w:rPr>
          <w:tab/>
        </w:r>
        <w:r w:rsidR="00F544E8">
          <w:rPr>
            <w:noProof/>
            <w:webHidden/>
          </w:rPr>
          <w:fldChar w:fldCharType="begin"/>
        </w:r>
        <w:r w:rsidR="00F544E8">
          <w:rPr>
            <w:noProof/>
            <w:webHidden/>
          </w:rPr>
          <w:instrText xml:space="preserve"> PAGEREF _Toc27986313 \h </w:instrText>
        </w:r>
        <w:r w:rsidR="00F544E8">
          <w:rPr>
            <w:noProof/>
            <w:webHidden/>
          </w:rPr>
        </w:r>
        <w:r w:rsidR="00F544E8">
          <w:rPr>
            <w:noProof/>
            <w:webHidden/>
          </w:rPr>
          <w:fldChar w:fldCharType="separate"/>
        </w:r>
        <w:r w:rsidR="00F544E8">
          <w:rPr>
            <w:noProof/>
            <w:webHidden/>
          </w:rPr>
          <w:t>8</w:t>
        </w:r>
        <w:r w:rsidR="00F544E8">
          <w:rPr>
            <w:noProof/>
            <w:webHidden/>
          </w:rPr>
          <w:fldChar w:fldCharType="end"/>
        </w:r>
      </w:hyperlink>
    </w:p>
    <w:p w:rsidR="00F544E8" w:rsidRDefault="00FF435B">
      <w:pPr>
        <w:pStyle w:val="TDC1"/>
        <w:rPr>
          <w:rFonts w:asciiTheme="minorHAnsi" w:eastAsiaTheme="minorEastAsia" w:hAnsiTheme="minorHAnsi" w:cstheme="minorBidi"/>
          <w:smallCaps w:val="0"/>
          <w:noProof/>
          <w:szCs w:val="22"/>
          <w:lang w:val="es-ES" w:eastAsia="es-ES"/>
        </w:rPr>
      </w:pPr>
      <w:hyperlink w:anchor="_Toc27986314" w:history="1">
        <w:r w:rsidR="00F544E8" w:rsidRPr="00643243">
          <w:rPr>
            <w:rStyle w:val="Hipervnculo"/>
            <w:noProof/>
          </w:rPr>
          <w:t>III. Helburua, norainokoa eta mugak</w:t>
        </w:r>
        <w:r w:rsidR="00F544E8">
          <w:rPr>
            <w:noProof/>
            <w:webHidden/>
          </w:rPr>
          <w:tab/>
        </w:r>
        <w:r w:rsidR="00F544E8">
          <w:rPr>
            <w:noProof/>
            <w:webHidden/>
          </w:rPr>
          <w:fldChar w:fldCharType="begin"/>
        </w:r>
        <w:r w:rsidR="00F544E8">
          <w:rPr>
            <w:noProof/>
            <w:webHidden/>
          </w:rPr>
          <w:instrText xml:space="preserve"> PAGEREF _Toc27986314 \h </w:instrText>
        </w:r>
        <w:r w:rsidR="00F544E8">
          <w:rPr>
            <w:noProof/>
            <w:webHidden/>
          </w:rPr>
        </w:r>
        <w:r w:rsidR="00F544E8">
          <w:rPr>
            <w:noProof/>
            <w:webHidden/>
          </w:rPr>
          <w:fldChar w:fldCharType="separate"/>
        </w:r>
        <w:r w:rsidR="00F544E8">
          <w:rPr>
            <w:noProof/>
            <w:webHidden/>
          </w:rPr>
          <w:t>9</w:t>
        </w:r>
        <w:r w:rsidR="00F544E8">
          <w:rPr>
            <w:noProof/>
            <w:webHidden/>
          </w:rPr>
          <w:fldChar w:fldCharType="end"/>
        </w:r>
      </w:hyperlink>
    </w:p>
    <w:p w:rsidR="00F544E8" w:rsidRDefault="00FF435B">
      <w:pPr>
        <w:pStyle w:val="TDC1"/>
        <w:rPr>
          <w:rFonts w:asciiTheme="minorHAnsi" w:eastAsiaTheme="minorEastAsia" w:hAnsiTheme="minorHAnsi" w:cstheme="minorBidi"/>
          <w:smallCaps w:val="0"/>
          <w:noProof/>
          <w:szCs w:val="22"/>
          <w:lang w:val="es-ES" w:eastAsia="es-ES"/>
        </w:rPr>
      </w:pPr>
      <w:hyperlink w:anchor="_Toc27986315" w:history="1">
        <w:r w:rsidR="00F544E8" w:rsidRPr="00643243">
          <w:rPr>
            <w:rStyle w:val="Hipervnculo"/>
            <w:noProof/>
          </w:rPr>
          <w:t>IV. Toki entitateen fiskalizazio-jardueren laburpen-oroitidazkia</w:t>
        </w:r>
        <w:r w:rsidR="00F544E8">
          <w:rPr>
            <w:noProof/>
            <w:webHidden/>
          </w:rPr>
          <w:tab/>
        </w:r>
        <w:r w:rsidR="00F544E8">
          <w:rPr>
            <w:noProof/>
            <w:webHidden/>
          </w:rPr>
          <w:fldChar w:fldCharType="begin"/>
        </w:r>
        <w:r w:rsidR="00F544E8">
          <w:rPr>
            <w:noProof/>
            <w:webHidden/>
          </w:rPr>
          <w:instrText xml:space="preserve"> PAGEREF _Toc27986315 \h </w:instrText>
        </w:r>
        <w:r w:rsidR="00F544E8">
          <w:rPr>
            <w:noProof/>
            <w:webHidden/>
          </w:rPr>
        </w:r>
        <w:r w:rsidR="00F544E8">
          <w:rPr>
            <w:noProof/>
            <w:webHidden/>
          </w:rPr>
          <w:fldChar w:fldCharType="separate"/>
        </w:r>
        <w:r w:rsidR="00F544E8">
          <w:rPr>
            <w:noProof/>
            <w:webHidden/>
          </w:rPr>
          <w:t>11</w:t>
        </w:r>
        <w:r w:rsidR="00F544E8">
          <w:rPr>
            <w:noProof/>
            <w:webHidden/>
          </w:rPr>
          <w:fldChar w:fldCharType="end"/>
        </w:r>
      </w:hyperlink>
    </w:p>
    <w:p w:rsidR="00F544E8" w:rsidRDefault="00FF435B">
      <w:pPr>
        <w:pStyle w:val="TDC1"/>
        <w:rPr>
          <w:rFonts w:asciiTheme="minorHAnsi" w:eastAsiaTheme="minorEastAsia" w:hAnsiTheme="minorHAnsi" w:cstheme="minorBidi"/>
          <w:smallCaps w:val="0"/>
          <w:noProof/>
          <w:szCs w:val="22"/>
          <w:lang w:val="es-ES" w:eastAsia="es-ES"/>
        </w:rPr>
      </w:pPr>
      <w:hyperlink w:anchor="_Toc27986316" w:history="1">
        <w:r w:rsidR="00F544E8" w:rsidRPr="00643243">
          <w:rPr>
            <w:rStyle w:val="Hipervnculo"/>
            <w:noProof/>
          </w:rPr>
          <w:t>V. Toki sektore publikoaren finantza-egoera</w:t>
        </w:r>
        <w:r w:rsidR="00F544E8">
          <w:rPr>
            <w:noProof/>
            <w:webHidden/>
          </w:rPr>
          <w:tab/>
        </w:r>
        <w:r w:rsidR="00F544E8">
          <w:rPr>
            <w:noProof/>
            <w:webHidden/>
          </w:rPr>
          <w:fldChar w:fldCharType="begin"/>
        </w:r>
        <w:r w:rsidR="00F544E8">
          <w:rPr>
            <w:noProof/>
            <w:webHidden/>
          </w:rPr>
          <w:instrText xml:space="preserve"> PAGEREF _Toc27986316 \h </w:instrText>
        </w:r>
        <w:r w:rsidR="00F544E8">
          <w:rPr>
            <w:noProof/>
            <w:webHidden/>
          </w:rPr>
        </w:r>
        <w:r w:rsidR="00F544E8">
          <w:rPr>
            <w:noProof/>
            <w:webHidden/>
          </w:rPr>
          <w:fldChar w:fldCharType="separate"/>
        </w:r>
        <w:r w:rsidR="00F544E8">
          <w:rPr>
            <w:noProof/>
            <w:webHidden/>
          </w:rPr>
          <w:t>15</w:t>
        </w:r>
        <w:r w:rsidR="00F544E8">
          <w:rPr>
            <w:noProof/>
            <w:webHidden/>
          </w:rPr>
          <w:fldChar w:fldCharType="end"/>
        </w:r>
      </w:hyperlink>
    </w:p>
    <w:p w:rsidR="00F544E8" w:rsidRDefault="00FF435B">
      <w:pPr>
        <w:pStyle w:val="TDC2"/>
        <w:rPr>
          <w:rFonts w:asciiTheme="minorHAnsi" w:eastAsiaTheme="minorEastAsia" w:hAnsiTheme="minorHAnsi" w:cstheme="minorBidi"/>
          <w:noProof/>
          <w:szCs w:val="22"/>
          <w:lang w:val="es-ES" w:eastAsia="es-ES"/>
        </w:rPr>
      </w:pPr>
      <w:hyperlink w:anchor="_Toc27986317" w:history="1">
        <w:r w:rsidR="00F544E8" w:rsidRPr="00643243">
          <w:rPr>
            <w:rStyle w:val="Hipervnculo"/>
            <w:noProof/>
          </w:rPr>
          <w:t>V.1. Diru-sarrerak</w:t>
        </w:r>
        <w:r w:rsidR="00F544E8">
          <w:rPr>
            <w:noProof/>
            <w:webHidden/>
          </w:rPr>
          <w:tab/>
        </w:r>
        <w:r w:rsidR="00F544E8">
          <w:rPr>
            <w:noProof/>
            <w:webHidden/>
          </w:rPr>
          <w:fldChar w:fldCharType="begin"/>
        </w:r>
        <w:r w:rsidR="00F544E8">
          <w:rPr>
            <w:noProof/>
            <w:webHidden/>
          </w:rPr>
          <w:instrText xml:space="preserve"> PAGEREF _Toc27986317 \h </w:instrText>
        </w:r>
        <w:r w:rsidR="00F544E8">
          <w:rPr>
            <w:noProof/>
            <w:webHidden/>
          </w:rPr>
        </w:r>
        <w:r w:rsidR="00F544E8">
          <w:rPr>
            <w:noProof/>
            <w:webHidden/>
          </w:rPr>
          <w:fldChar w:fldCharType="separate"/>
        </w:r>
        <w:r w:rsidR="00F544E8">
          <w:rPr>
            <w:noProof/>
            <w:webHidden/>
          </w:rPr>
          <w:t>15</w:t>
        </w:r>
        <w:r w:rsidR="00F544E8">
          <w:rPr>
            <w:noProof/>
            <w:webHidden/>
          </w:rPr>
          <w:fldChar w:fldCharType="end"/>
        </w:r>
      </w:hyperlink>
    </w:p>
    <w:p w:rsidR="00F544E8" w:rsidRDefault="00FF435B">
      <w:pPr>
        <w:pStyle w:val="TDC2"/>
        <w:rPr>
          <w:rFonts w:asciiTheme="minorHAnsi" w:eastAsiaTheme="minorEastAsia" w:hAnsiTheme="minorHAnsi" w:cstheme="minorBidi"/>
          <w:noProof/>
          <w:szCs w:val="22"/>
          <w:lang w:val="es-ES" w:eastAsia="es-ES"/>
        </w:rPr>
      </w:pPr>
      <w:hyperlink w:anchor="_Toc27986318" w:history="1">
        <w:r w:rsidR="00F544E8" w:rsidRPr="00643243">
          <w:rPr>
            <w:rStyle w:val="Hipervnculo"/>
            <w:noProof/>
          </w:rPr>
          <w:t>V.2. Gastuak</w:t>
        </w:r>
        <w:r w:rsidR="00F544E8">
          <w:rPr>
            <w:noProof/>
            <w:webHidden/>
          </w:rPr>
          <w:tab/>
        </w:r>
        <w:r w:rsidR="00F544E8">
          <w:rPr>
            <w:noProof/>
            <w:webHidden/>
          </w:rPr>
          <w:fldChar w:fldCharType="begin"/>
        </w:r>
        <w:r w:rsidR="00F544E8">
          <w:rPr>
            <w:noProof/>
            <w:webHidden/>
          </w:rPr>
          <w:instrText xml:space="preserve"> PAGEREF _Toc27986318 \h </w:instrText>
        </w:r>
        <w:r w:rsidR="00F544E8">
          <w:rPr>
            <w:noProof/>
            <w:webHidden/>
          </w:rPr>
        </w:r>
        <w:r w:rsidR="00F544E8">
          <w:rPr>
            <w:noProof/>
            <w:webHidden/>
          </w:rPr>
          <w:fldChar w:fldCharType="separate"/>
        </w:r>
        <w:r w:rsidR="00F544E8">
          <w:rPr>
            <w:noProof/>
            <w:webHidden/>
          </w:rPr>
          <w:t>16</w:t>
        </w:r>
        <w:r w:rsidR="00F544E8">
          <w:rPr>
            <w:noProof/>
            <w:webHidden/>
          </w:rPr>
          <w:fldChar w:fldCharType="end"/>
        </w:r>
      </w:hyperlink>
    </w:p>
    <w:p w:rsidR="00F544E8" w:rsidRDefault="00FF435B">
      <w:pPr>
        <w:pStyle w:val="TDC2"/>
        <w:rPr>
          <w:rFonts w:asciiTheme="minorHAnsi" w:eastAsiaTheme="minorEastAsia" w:hAnsiTheme="minorHAnsi" w:cstheme="minorBidi"/>
          <w:noProof/>
          <w:szCs w:val="22"/>
          <w:lang w:val="es-ES" w:eastAsia="es-ES"/>
        </w:rPr>
      </w:pPr>
      <w:hyperlink w:anchor="_Toc27986319" w:history="1">
        <w:r w:rsidR="00F544E8" w:rsidRPr="00643243">
          <w:rPr>
            <w:rStyle w:val="Hipervnculo"/>
            <w:noProof/>
          </w:rPr>
          <w:t>V.3. Adierazleak eta magnitudeak</w:t>
        </w:r>
        <w:r w:rsidR="00F544E8">
          <w:rPr>
            <w:noProof/>
            <w:webHidden/>
          </w:rPr>
          <w:tab/>
        </w:r>
        <w:r w:rsidR="00F544E8">
          <w:rPr>
            <w:noProof/>
            <w:webHidden/>
          </w:rPr>
          <w:fldChar w:fldCharType="begin"/>
        </w:r>
        <w:r w:rsidR="00F544E8">
          <w:rPr>
            <w:noProof/>
            <w:webHidden/>
          </w:rPr>
          <w:instrText xml:space="preserve"> PAGEREF _Toc27986319 \h </w:instrText>
        </w:r>
        <w:r w:rsidR="00F544E8">
          <w:rPr>
            <w:noProof/>
            <w:webHidden/>
          </w:rPr>
        </w:r>
        <w:r w:rsidR="00F544E8">
          <w:rPr>
            <w:noProof/>
            <w:webHidden/>
          </w:rPr>
          <w:fldChar w:fldCharType="separate"/>
        </w:r>
        <w:r w:rsidR="00F544E8">
          <w:rPr>
            <w:noProof/>
            <w:webHidden/>
          </w:rPr>
          <w:t>17</w:t>
        </w:r>
        <w:r w:rsidR="00F544E8">
          <w:rPr>
            <w:noProof/>
            <w:webHidden/>
          </w:rPr>
          <w:fldChar w:fldCharType="end"/>
        </w:r>
      </w:hyperlink>
    </w:p>
    <w:p w:rsidR="00F544E8" w:rsidRDefault="00FF435B">
      <w:pPr>
        <w:pStyle w:val="TDC2"/>
        <w:rPr>
          <w:rFonts w:asciiTheme="minorHAnsi" w:eastAsiaTheme="minorEastAsia" w:hAnsiTheme="minorHAnsi" w:cstheme="minorBidi"/>
          <w:noProof/>
          <w:szCs w:val="22"/>
          <w:lang w:val="es-ES" w:eastAsia="es-ES"/>
        </w:rPr>
      </w:pPr>
      <w:hyperlink w:anchor="_Toc27986320" w:history="1">
        <w:r w:rsidR="00F544E8" w:rsidRPr="00643243">
          <w:rPr>
            <w:rStyle w:val="Hipervnculo"/>
            <w:noProof/>
          </w:rPr>
          <w:t>V.4. Aurrekontu-egonkortasuneko eta finantza-iraunkortasunaren helburuak</w:t>
        </w:r>
        <w:r w:rsidR="00F544E8">
          <w:rPr>
            <w:noProof/>
            <w:webHidden/>
          </w:rPr>
          <w:tab/>
        </w:r>
        <w:r w:rsidR="00F544E8">
          <w:rPr>
            <w:noProof/>
            <w:webHidden/>
          </w:rPr>
          <w:fldChar w:fldCharType="begin"/>
        </w:r>
        <w:r w:rsidR="00F544E8">
          <w:rPr>
            <w:noProof/>
            <w:webHidden/>
          </w:rPr>
          <w:instrText xml:space="preserve"> PAGEREF _Toc27986320 \h </w:instrText>
        </w:r>
        <w:r w:rsidR="00F544E8">
          <w:rPr>
            <w:noProof/>
            <w:webHidden/>
          </w:rPr>
        </w:r>
        <w:r w:rsidR="00F544E8">
          <w:rPr>
            <w:noProof/>
            <w:webHidden/>
          </w:rPr>
          <w:fldChar w:fldCharType="separate"/>
        </w:r>
        <w:r w:rsidR="00F544E8">
          <w:rPr>
            <w:noProof/>
            <w:webHidden/>
          </w:rPr>
          <w:t>19</w:t>
        </w:r>
        <w:r w:rsidR="00F544E8">
          <w:rPr>
            <w:noProof/>
            <w:webHidden/>
          </w:rPr>
          <w:fldChar w:fldCharType="end"/>
        </w:r>
      </w:hyperlink>
    </w:p>
    <w:p w:rsidR="00F544E8" w:rsidRDefault="00FF435B">
      <w:pPr>
        <w:pStyle w:val="TDC1"/>
        <w:rPr>
          <w:rFonts w:asciiTheme="minorHAnsi" w:eastAsiaTheme="minorEastAsia" w:hAnsiTheme="minorHAnsi" w:cstheme="minorBidi"/>
          <w:smallCaps w:val="0"/>
          <w:noProof/>
          <w:szCs w:val="22"/>
          <w:lang w:val="es-ES" w:eastAsia="es-ES"/>
        </w:rPr>
      </w:pPr>
      <w:hyperlink w:anchor="_Toc27986321" w:history="1">
        <w:r w:rsidR="00F544E8" w:rsidRPr="00643243">
          <w:rPr>
            <w:rStyle w:val="Hipervnculo"/>
            <w:noProof/>
          </w:rPr>
          <w:t>VI. Kontratazio administratiboa</w:t>
        </w:r>
        <w:r w:rsidR="00F544E8">
          <w:rPr>
            <w:noProof/>
            <w:webHidden/>
          </w:rPr>
          <w:tab/>
        </w:r>
        <w:r w:rsidR="00F544E8">
          <w:rPr>
            <w:noProof/>
            <w:webHidden/>
          </w:rPr>
          <w:fldChar w:fldCharType="begin"/>
        </w:r>
        <w:r w:rsidR="00F544E8">
          <w:rPr>
            <w:noProof/>
            <w:webHidden/>
          </w:rPr>
          <w:instrText xml:space="preserve"> PAGEREF _Toc27986321 \h </w:instrText>
        </w:r>
        <w:r w:rsidR="00F544E8">
          <w:rPr>
            <w:noProof/>
            <w:webHidden/>
          </w:rPr>
        </w:r>
        <w:r w:rsidR="00F544E8">
          <w:rPr>
            <w:noProof/>
            <w:webHidden/>
          </w:rPr>
          <w:fldChar w:fldCharType="separate"/>
        </w:r>
        <w:r w:rsidR="00F544E8">
          <w:rPr>
            <w:noProof/>
            <w:webHidden/>
          </w:rPr>
          <w:t>21</w:t>
        </w:r>
        <w:r w:rsidR="00F544E8">
          <w:rPr>
            <w:noProof/>
            <w:webHidden/>
          </w:rPr>
          <w:fldChar w:fldCharType="end"/>
        </w:r>
      </w:hyperlink>
    </w:p>
    <w:p w:rsidR="00F544E8" w:rsidRDefault="00FF435B">
      <w:pPr>
        <w:pStyle w:val="TDC1"/>
        <w:rPr>
          <w:rFonts w:asciiTheme="minorHAnsi" w:eastAsiaTheme="minorEastAsia" w:hAnsiTheme="minorHAnsi" w:cstheme="minorBidi"/>
          <w:smallCaps w:val="0"/>
          <w:noProof/>
          <w:szCs w:val="22"/>
          <w:lang w:val="es-ES" w:eastAsia="es-ES"/>
        </w:rPr>
      </w:pPr>
      <w:hyperlink w:anchor="_Toc27986322" w:history="1">
        <w:r w:rsidR="00F544E8" w:rsidRPr="00643243">
          <w:rPr>
            <w:rStyle w:val="Hipervnculo"/>
            <w:noProof/>
          </w:rPr>
          <w:t>VII. 9.000 biztanletik gorako udalen egoera ekonomiko finantzarioaren analisia</w:t>
        </w:r>
        <w:r w:rsidR="00F544E8">
          <w:rPr>
            <w:noProof/>
            <w:webHidden/>
          </w:rPr>
          <w:tab/>
        </w:r>
        <w:r w:rsidR="00F544E8">
          <w:rPr>
            <w:noProof/>
            <w:webHidden/>
          </w:rPr>
          <w:fldChar w:fldCharType="begin"/>
        </w:r>
        <w:r w:rsidR="00F544E8">
          <w:rPr>
            <w:noProof/>
            <w:webHidden/>
          </w:rPr>
          <w:instrText xml:space="preserve"> PAGEREF _Toc27986322 \h </w:instrText>
        </w:r>
        <w:r w:rsidR="00F544E8">
          <w:rPr>
            <w:noProof/>
            <w:webHidden/>
          </w:rPr>
        </w:r>
        <w:r w:rsidR="00F544E8">
          <w:rPr>
            <w:noProof/>
            <w:webHidden/>
          </w:rPr>
          <w:fldChar w:fldCharType="separate"/>
        </w:r>
        <w:r w:rsidR="00F544E8">
          <w:rPr>
            <w:noProof/>
            <w:webHidden/>
          </w:rPr>
          <w:t>24</w:t>
        </w:r>
        <w:r w:rsidR="00F544E8">
          <w:rPr>
            <w:noProof/>
            <w:webHidden/>
          </w:rPr>
          <w:fldChar w:fldCharType="end"/>
        </w:r>
      </w:hyperlink>
    </w:p>
    <w:p w:rsidR="00F544E8" w:rsidRDefault="00FF435B">
      <w:pPr>
        <w:pStyle w:val="TDC1"/>
        <w:rPr>
          <w:rFonts w:asciiTheme="minorHAnsi" w:eastAsiaTheme="minorEastAsia" w:hAnsiTheme="minorHAnsi" w:cstheme="minorBidi"/>
          <w:smallCaps w:val="0"/>
          <w:noProof/>
          <w:szCs w:val="22"/>
          <w:lang w:val="es-ES" w:eastAsia="es-ES"/>
        </w:rPr>
      </w:pPr>
      <w:hyperlink w:anchor="_Toc27986323" w:history="1">
        <w:r w:rsidR="00F544E8" w:rsidRPr="00643243">
          <w:rPr>
            <w:rStyle w:val="Hipervnculo"/>
            <w:noProof/>
          </w:rPr>
          <w:t>VIII. Konklusioak eta gomendioak</w:t>
        </w:r>
        <w:r w:rsidR="00F544E8">
          <w:rPr>
            <w:noProof/>
            <w:webHidden/>
          </w:rPr>
          <w:tab/>
        </w:r>
        <w:r w:rsidR="00F544E8">
          <w:rPr>
            <w:noProof/>
            <w:webHidden/>
          </w:rPr>
          <w:fldChar w:fldCharType="begin"/>
        </w:r>
        <w:r w:rsidR="00F544E8">
          <w:rPr>
            <w:noProof/>
            <w:webHidden/>
          </w:rPr>
          <w:instrText xml:space="preserve"> PAGEREF _Toc27986323 \h </w:instrText>
        </w:r>
        <w:r w:rsidR="00F544E8">
          <w:rPr>
            <w:noProof/>
            <w:webHidden/>
          </w:rPr>
        </w:r>
        <w:r w:rsidR="00F544E8">
          <w:rPr>
            <w:noProof/>
            <w:webHidden/>
          </w:rPr>
          <w:fldChar w:fldCharType="separate"/>
        </w:r>
        <w:r w:rsidR="00F544E8">
          <w:rPr>
            <w:noProof/>
            <w:webHidden/>
          </w:rPr>
          <w:t>27</w:t>
        </w:r>
        <w:r w:rsidR="00F544E8">
          <w:rPr>
            <w:noProof/>
            <w:webHidden/>
          </w:rPr>
          <w:fldChar w:fldCharType="end"/>
        </w:r>
      </w:hyperlink>
    </w:p>
    <w:p w:rsidR="00F544E8" w:rsidRDefault="00FF435B">
      <w:pPr>
        <w:pStyle w:val="TDC1"/>
        <w:rPr>
          <w:rFonts w:asciiTheme="minorHAnsi" w:eastAsiaTheme="minorEastAsia" w:hAnsiTheme="minorHAnsi" w:cstheme="minorBidi"/>
          <w:smallCaps w:val="0"/>
          <w:noProof/>
          <w:szCs w:val="22"/>
          <w:lang w:val="es-ES" w:eastAsia="es-ES"/>
        </w:rPr>
      </w:pPr>
      <w:hyperlink w:anchor="_Toc27986324" w:history="1">
        <w:r w:rsidR="00F544E8" w:rsidRPr="00643243">
          <w:rPr>
            <w:rStyle w:val="Hipervnculo"/>
            <w:noProof/>
          </w:rPr>
          <w:t>1. eranskina Toki entitateei 2017ko ekitaldian aplikatzekoa zaien araudia</w:t>
        </w:r>
        <w:r w:rsidR="00F544E8">
          <w:rPr>
            <w:noProof/>
            <w:webHidden/>
          </w:rPr>
          <w:tab/>
        </w:r>
        <w:r w:rsidR="00F544E8">
          <w:rPr>
            <w:noProof/>
            <w:webHidden/>
          </w:rPr>
          <w:fldChar w:fldCharType="begin"/>
        </w:r>
        <w:r w:rsidR="00F544E8">
          <w:rPr>
            <w:noProof/>
            <w:webHidden/>
          </w:rPr>
          <w:instrText xml:space="preserve"> PAGEREF _Toc27986324 \h </w:instrText>
        </w:r>
        <w:r w:rsidR="00F544E8">
          <w:rPr>
            <w:noProof/>
            <w:webHidden/>
          </w:rPr>
        </w:r>
        <w:r w:rsidR="00F544E8">
          <w:rPr>
            <w:noProof/>
            <w:webHidden/>
          </w:rPr>
          <w:fldChar w:fldCharType="separate"/>
        </w:r>
        <w:r w:rsidR="00F544E8">
          <w:rPr>
            <w:noProof/>
            <w:webHidden/>
          </w:rPr>
          <w:t>30</w:t>
        </w:r>
        <w:r w:rsidR="00F544E8">
          <w:rPr>
            <w:noProof/>
            <w:webHidden/>
          </w:rPr>
          <w:fldChar w:fldCharType="end"/>
        </w:r>
      </w:hyperlink>
    </w:p>
    <w:p w:rsidR="00F544E8" w:rsidRDefault="00FF435B">
      <w:pPr>
        <w:pStyle w:val="TDC1"/>
        <w:rPr>
          <w:rFonts w:asciiTheme="minorHAnsi" w:eastAsiaTheme="minorEastAsia" w:hAnsiTheme="minorHAnsi" w:cstheme="minorBidi"/>
          <w:smallCaps w:val="0"/>
          <w:noProof/>
          <w:szCs w:val="22"/>
          <w:lang w:val="es-ES" w:eastAsia="es-ES"/>
        </w:rPr>
      </w:pPr>
      <w:hyperlink w:anchor="_Toc27986325" w:history="1">
        <w:r w:rsidR="00F544E8" w:rsidRPr="00643243">
          <w:rPr>
            <w:rStyle w:val="Hipervnculo"/>
            <w:noProof/>
          </w:rPr>
          <w:t>2. eranskina Nafarroako toki sektore publikoaren egoera finantzarioa 2017an</w:t>
        </w:r>
        <w:r w:rsidR="00F544E8">
          <w:rPr>
            <w:noProof/>
            <w:webHidden/>
          </w:rPr>
          <w:tab/>
        </w:r>
        <w:r w:rsidR="00F544E8">
          <w:rPr>
            <w:noProof/>
            <w:webHidden/>
          </w:rPr>
          <w:fldChar w:fldCharType="begin"/>
        </w:r>
        <w:r w:rsidR="00F544E8">
          <w:rPr>
            <w:noProof/>
            <w:webHidden/>
          </w:rPr>
          <w:instrText xml:space="preserve"> PAGEREF _Toc27986325 \h </w:instrText>
        </w:r>
        <w:r w:rsidR="00F544E8">
          <w:rPr>
            <w:noProof/>
            <w:webHidden/>
          </w:rPr>
        </w:r>
        <w:r w:rsidR="00F544E8">
          <w:rPr>
            <w:noProof/>
            <w:webHidden/>
          </w:rPr>
          <w:fldChar w:fldCharType="separate"/>
        </w:r>
        <w:r w:rsidR="00F544E8">
          <w:rPr>
            <w:noProof/>
            <w:webHidden/>
          </w:rPr>
          <w:t>35</w:t>
        </w:r>
        <w:r w:rsidR="00F544E8">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C4F97" w:rsidRPr="00B4430A" w:rsidRDefault="00EC4F97" w:rsidP="00EC4F97">
      <w:pPr>
        <w:pStyle w:val="atitulo1"/>
      </w:pPr>
      <w:bookmarkStart w:id="0" w:name="_Toc291067874"/>
      <w:bookmarkStart w:id="1" w:name="_Toc121293081"/>
      <w:bookmarkStart w:id="2" w:name="_Toc121292758"/>
      <w:bookmarkStart w:id="3" w:name="_Toc399916257"/>
      <w:bookmarkStart w:id="4" w:name="_Toc465686680"/>
      <w:bookmarkStart w:id="5" w:name="_Toc529773874"/>
      <w:bookmarkStart w:id="6" w:name="_Toc24100135"/>
      <w:bookmarkStart w:id="7" w:name="_Toc27986309"/>
      <w:r>
        <w:lastRenderedPageBreak/>
        <w:t>I. Sarrera</w:t>
      </w:r>
      <w:bookmarkEnd w:id="0"/>
      <w:bookmarkEnd w:id="1"/>
      <w:bookmarkEnd w:id="2"/>
      <w:bookmarkEnd w:id="3"/>
      <w:bookmarkEnd w:id="4"/>
      <w:bookmarkEnd w:id="5"/>
      <w:bookmarkEnd w:id="6"/>
      <w:bookmarkEnd w:id="7"/>
    </w:p>
    <w:p w:rsidR="00EC4F97" w:rsidRPr="00B4430A" w:rsidRDefault="00EC4F97" w:rsidP="00EC4F97">
      <w:pPr>
        <w:pStyle w:val="texto"/>
      </w:pPr>
      <w:r>
        <w:t>Nafarroako toki sektore publikoari buruzko txostena egin da Kontuen Ga</w:t>
      </w:r>
      <w:r>
        <w:t>n</w:t>
      </w:r>
      <w:r>
        <w:t>berari buruzko abenduaren 20ko 19/1984 Foru Legearekin bat, eta Nafarroako Toki Administrazioari buruzko uztailaren 2ko 6/1990 Foru Legea betez. Izan ere, lege horretako 350.2 artikuluak ezartzen duenez, Kontuen Ganberak urtero igorriko die laburpen-oroitidazki bat Nafarroako Parlamentuari eta Nafarroako Gobernuari, Nafarroako toki entitateen arloan Kontuen Ganberak egindako fi</w:t>
      </w:r>
      <w:r>
        <w:t>s</w:t>
      </w:r>
      <w:r>
        <w:t>kalizazio- eta kontrol-jarduerei buruzkoa.</w:t>
      </w:r>
    </w:p>
    <w:p w:rsidR="00EC4F97" w:rsidRDefault="00EC4F97" w:rsidP="00EC4F97">
      <w:pPr>
        <w:pStyle w:val="texto"/>
      </w:pPr>
      <w:r>
        <w:t>2017ko ekitaldiari buruzko txostena ezin izan da lehenago egin, Toki Ogas</w:t>
      </w:r>
      <w:r>
        <w:t>u</w:t>
      </w:r>
      <w:r>
        <w:t>nei buruzko Foru Legeak toki entitateek ekitaldi bakoitzeko kontu orokorra onetsi eta Gobernuari igortzeko ezarritako epeak eta informazio horren trat</w:t>
      </w:r>
      <w:r>
        <w:t>a</w:t>
      </w:r>
      <w:r>
        <w:t>menduaren konplexutasuna direla-eta.</w:t>
      </w:r>
    </w:p>
    <w:p w:rsidR="00EC4F97" w:rsidRDefault="00EC4F97" w:rsidP="00EC4F97">
      <w:pPr>
        <w:pStyle w:val="texto"/>
      </w:pPr>
      <w:r>
        <w:t>Txostenak zortzi atal ditu, sarrera hau barne. Bigarrenean, toki sektore p</w:t>
      </w:r>
      <w:r>
        <w:t>u</w:t>
      </w:r>
      <w:r>
        <w:t>blikoaren antolamendu-egitura eta 2017an onetsitako arau nagusiak erakusten ditugu.  Hirugarrenean, egindako lanaren helburuak, norainokoa eta mugak erakusten ditugu. Laugarren ataletik zortzigarren atalera 2017. urteari buruzko honako alderdi hauek jaso dira: Kontuen Ganberak toki sektore publikoari b</w:t>
      </w:r>
      <w:r>
        <w:t>u</w:t>
      </w:r>
      <w:r>
        <w:t>ruz egindako fiskalizazio-jarduketen oroitidazkia, haren egoera finantzarioa, toki entitateen kontratazio administratiboa, eta 9.000 biztanletik gorako udal</w:t>
      </w:r>
      <w:r>
        <w:t>e</w:t>
      </w:r>
      <w:r>
        <w:t>tako zenbait alderdiri buruzko analisia. Azken epigrafeak egindako lanetik at</w:t>
      </w:r>
      <w:r>
        <w:t>e</w:t>
      </w:r>
      <w:r>
        <w:t>ratako konklusio eta gomendioak jasotzen ditu. Txostenarekin batera, gainera, bi eranskin badaude, honako hauek biltzen dituztenak: Nafarroako toki entit</w:t>
      </w:r>
      <w:r>
        <w:t>a</w:t>
      </w:r>
      <w:r>
        <w:t>teei 2017an aplikatzekoa zaion araudia eta toki sektore publikoaren 2017ko egoera finantzarioari buruz Nafarroako Gobernuko Toki Administrazioaren eta Despopulazioaren Zuzendaritza Nagusiak egindako txostena.</w:t>
      </w:r>
    </w:p>
    <w:p w:rsidR="00EC4F97" w:rsidRPr="00B4430A" w:rsidRDefault="00EC4F97" w:rsidP="00EC4F97">
      <w:pPr>
        <w:pStyle w:val="texto"/>
      </w:pPr>
      <w:r>
        <w:t>Lana 2019ko urrian egin zuen auditoretzako teknikari batek eta auditore b</w:t>
      </w:r>
      <w:r>
        <w:t>a</w:t>
      </w:r>
      <w:r>
        <w:t>tek osatutako lantaldeak, Kontuen Ganberaren zerbitzu juridikoekin, informat</w:t>
      </w:r>
      <w:r>
        <w:t>i</w:t>
      </w:r>
      <w:r>
        <w:t>koekin eta administratiboekin lankidetzan.</w:t>
      </w:r>
    </w:p>
    <w:p w:rsidR="00EC4F97" w:rsidRPr="00B4430A" w:rsidRDefault="00EC4F97" w:rsidP="00EC4F97">
      <w:pPr>
        <w:pStyle w:val="texto"/>
      </w:pPr>
      <w:r>
        <w:t>Eskerrak eman nahi dizkiegu Nafarroako toki entitateetako, Toki Admini</w:t>
      </w:r>
      <w:r>
        <w:t>s</w:t>
      </w:r>
      <w:r>
        <w:t xml:space="preserve">trazioaren eta Despopulazioaren Zuzendaritza Nagusiko eta Nafarroako Udal eta Kontzejuen Federazioko langileei, </w:t>
      </w:r>
      <w:proofErr w:type="spellStart"/>
      <w:r>
        <w:t>lan</w:t>
      </w:r>
      <w:proofErr w:type="spellEnd"/>
      <w:r>
        <w:t xml:space="preserve"> hau egiteko emandako laguntzare</w:t>
      </w:r>
      <w:r>
        <w:t>n</w:t>
      </w:r>
      <w:r>
        <w:t>gatik.</w:t>
      </w:r>
    </w:p>
    <w:p w:rsidR="00EC4F97" w:rsidRPr="0029563D" w:rsidRDefault="00EC4F97" w:rsidP="00EC4F97">
      <w:pPr>
        <w:pStyle w:val="texto"/>
        <w:rPr>
          <w:color w:val="FF0000"/>
        </w:rPr>
      </w:pPr>
      <w:r>
        <w:br w:type="page"/>
      </w:r>
    </w:p>
    <w:p w:rsidR="00EC4F97" w:rsidRPr="00F57538" w:rsidRDefault="00EC4F97" w:rsidP="00EC4F97">
      <w:pPr>
        <w:pStyle w:val="atitulo1"/>
      </w:pPr>
      <w:bookmarkStart w:id="8" w:name="_Toc311633164"/>
      <w:bookmarkStart w:id="9" w:name="_Toc311633173"/>
      <w:bookmarkStart w:id="10" w:name="_Toc399916259"/>
      <w:bookmarkStart w:id="11" w:name="_Toc465686682"/>
      <w:bookmarkStart w:id="12" w:name="_Toc529773876"/>
      <w:bookmarkStart w:id="13" w:name="_Toc24100136"/>
      <w:bookmarkStart w:id="14" w:name="_Toc27986310"/>
      <w:r>
        <w:t>II. Toki sektore publikoaren antolaketa-egitura eta araudia</w:t>
      </w:r>
      <w:bookmarkEnd w:id="8"/>
      <w:bookmarkEnd w:id="9"/>
      <w:bookmarkEnd w:id="10"/>
      <w:bookmarkEnd w:id="11"/>
      <w:bookmarkEnd w:id="12"/>
      <w:bookmarkEnd w:id="13"/>
      <w:bookmarkEnd w:id="14"/>
    </w:p>
    <w:p w:rsidR="00EC4F97" w:rsidRPr="00F57538" w:rsidRDefault="00EC4F97" w:rsidP="00EC4F97">
      <w:pPr>
        <w:pStyle w:val="atitulo2"/>
        <w:spacing w:before="240"/>
      </w:pPr>
      <w:bookmarkStart w:id="15" w:name="_Toc291067877"/>
      <w:bookmarkStart w:id="16" w:name="_Toc399916260"/>
      <w:bookmarkStart w:id="17" w:name="_Toc465686683"/>
      <w:bookmarkStart w:id="18" w:name="_Toc529773877"/>
      <w:bookmarkStart w:id="19" w:name="_Toc531088343"/>
      <w:bookmarkStart w:id="20" w:name="_Toc24100137"/>
      <w:bookmarkStart w:id="21" w:name="_Toc27986311"/>
      <w:r>
        <w:t>II.1. Antolamenduzko egitura</w:t>
      </w:r>
      <w:bookmarkEnd w:id="15"/>
      <w:bookmarkEnd w:id="16"/>
      <w:bookmarkEnd w:id="17"/>
      <w:bookmarkEnd w:id="18"/>
      <w:bookmarkEnd w:id="19"/>
      <w:bookmarkEnd w:id="20"/>
      <w:bookmarkEnd w:id="21"/>
    </w:p>
    <w:p w:rsidR="00EC4F97" w:rsidRPr="00B122DA" w:rsidRDefault="00EC4F97" w:rsidP="00EC4F97">
      <w:pPr>
        <w:pStyle w:val="texto"/>
      </w:pPr>
      <w:r>
        <w:t>Nafarroako Toki Administrazioari buruzko uztailaren 2ko 6/1990 Foru L</w:t>
      </w:r>
      <w:r>
        <w:t>e</w:t>
      </w:r>
      <w:r>
        <w:t>gean ezarritakoarekin bat antolatzen da toki sektore publikoa.</w:t>
      </w:r>
    </w:p>
    <w:p w:rsidR="00EC4F97" w:rsidRPr="00B122DA" w:rsidRDefault="00EC4F97" w:rsidP="00EC4F97">
      <w:pPr>
        <w:pStyle w:val="texto"/>
      </w:pPr>
      <w:r>
        <w:t>Udalak dira lurralde-antolamenduaren oinarrizko toki entitateak. Toki entit</w:t>
      </w:r>
      <w:r>
        <w:t>a</w:t>
      </w:r>
      <w:r>
        <w:t>tearen mailakoak dira, halaber:</w:t>
      </w:r>
    </w:p>
    <w:p w:rsidR="00EC4F97" w:rsidRPr="00685FA2"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Kontzejuak: udalaren dermioaren barrenean kokaturiko toki entitateak dira, hark baino populazio eta lurralde esparru txikiagoa dutenak.</w:t>
      </w:r>
    </w:p>
    <w:p w:rsidR="00EC4F97" w:rsidRPr="00685FA2"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Herri-ondasunen titular edo administratzaile diren korporazio tradizion</w:t>
      </w:r>
      <w:r>
        <w:t>a</w:t>
      </w:r>
      <w:r>
        <w:t>lak. Bardeako Elkartea, Aezkoako Elkartea, Erronkaribarko Mankomunitatea eta Zaraitzuko Unibertsitatea eta gainerako udalbatzak.</w:t>
      </w:r>
    </w:p>
    <w:p w:rsidR="00EC4F97" w:rsidRPr="00685FA2"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Mankomunitate edo zenbait udalen elkarteak, obrak elkarrekin egin eta haien eskumenekoak diren zerbitzu jakin batzuk emateko.</w:t>
      </w:r>
    </w:p>
    <w:p w:rsidR="00EC4F97" w:rsidRPr="00685FA2"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Udal-batasunak, zerbitzu komunak ematea eskatzen dutenak, dauzkaten ezaugarriengatik.</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Administrazio-barrutiak, 5.000 biztanlera iristen ez diren landa inguruneko udalek borondatez osatutakoak.</w:t>
      </w:r>
    </w:p>
    <w:p w:rsidR="00EC4F97" w:rsidRPr="00173388" w:rsidRDefault="00EC4F97" w:rsidP="00EC4F97">
      <w:pPr>
        <w:numPr>
          <w:ilvl w:val="0"/>
          <w:numId w:val="2"/>
        </w:numPr>
        <w:tabs>
          <w:tab w:val="clear" w:pos="1948"/>
          <w:tab w:val="left" w:pos="480"/>
          <w:tab w:val="num" w:pos="600"/>
          <w:tab w:val="num" w:pos="644"/>
          <w:tab w:val="num" w:pos="720"/>
          <w:tab w:val="num" w:pos="5040"/>
        </w:tabs>
        <w:ind w:left="0" w:firstLine="290"/>
        <w:rPr>
          <w:rFonts w:cs="Arial"/>
          <w:spacing w:val="6"/>
          <w:sz w:val="26"/>
          <w:szCs w:val="24"/>
        </w:rPr>
      </w:pPr>
      <w:r>
        <w:rPr>
          <w:sz w:val="26"/>
          <w:szCs w:val="24"/>
        </w:rPr>
        <w:t>Toki partzuergoa:</w:t>
      </w:r>
      <w:r>
        <w:t xml:space="preserve"> </w:t>
      </w:r>
      <w:r>
        <w:rPr>
          <w:sz w:val="26"/>
          <w:szCs w:val="24"/>
        </w:rPr>
        <w:t>2014ko abendutik, Toki Administrazioari buruzko Foru L</w:t>
      </w:r>
      <w:r>
        <w:rPr>
          <w:sz w:val="26"/>
          <w:szCs w:val="24"/>
        </w:rPr>
        <w:t>e</w:t>
      </w:r>
      <w:r>
        <w:rPr>
          <w:sz w:val="26"/>
          <w:szCs w:val="24"/>
        </w:rPr>
        <w:t>gea aldatzen duen 23/2014 Foru Legearen bitartez, partzuergoak sartu ziren toki e</w:t>
      </w:r>
      <w:r>
        <w:rPr>
          <w:sz w:val="26"/>
          <w:szCs w:val="24"/>
        </w:rPr>
        <w:t>n</w:t>
      </w:r>
      <w:r>
        <w:rPr>
          <w:sz w:val="26"/>
          <w:szCs w:val="24"/>
        </w:rPr>
        <w:t>titate gisa. Halere, toki entitatetzat jotze horrek Estatuarekiko gatazka bat sortu zuen; geroztik “Estatuko Administrazio Orokorraren eta Nafarroako Foru Komun</w:t>
      </w:r>
      <w:r>
        <w:rPr>
          <w:sz w:val="26"/>
          <w:szCs w:val="24"/>
        </w:rPr>
        <w:t>i</w:t>
      </w:r>
      <w:r>
        <w:rPr>
          <w:sz w:val="26"/>
          <w:szCs w:val="24"/>
        </w:rPr>
        <w:t>tatearen arteko Lankidetza Batzordeak” honako erabaki hau hartu zuen 2015eko irailaren 9an:</w:t>
      </w:r>
    </w:p>
    <w:p w:rsidR="00EC4F97" w:rsidRDefault="00EC4F97" w:rsidP="00EC4F97">
      <w:pPr>
        <w:pStyle w:val="texto"/>
        <w:spacing w:after="240"/>
        <w:rPr>
          <w:i/>
          <w:sz w:val="22"/>
          <w:szCs w:val="22"/>
        </w:rPr>
      </w:pPr>
      <w:r>
        <w:rPr>
          <w:i/>
          <w:sz w:val="22"/>
          <w:szCs w:val="22"/>
        </w:rPr>
        <w:t>“a) 23/2014 Foru Legearen 3.1.f; 212.4 eta 5. artikuluek toki entitatearen izaera aito</w:t>
      </w:r>
      <w:r>
        <w:rPr>
          <w:i/>
          <w:sz w:val="22"/>
          <w:szCs w:val="22"/>
        </w:rPr>
        <w:t>r</w:t>
      </w:r>
      <w:r>
        <w:rPr>
          <w:i/>
          <w:sz w:val="22"/>
          <w:szCs w:val="22"/>
        </w:rPr>
        <w:t>tzen diete toki partzuergoei. Nafarroako Foru Komunitateak konpromisoa hartzen du leg</w:t>
      </w:r>
      <w:r>
        <w:rPr>
          <w:i/>
          <w:sz w:val="22"/>
          <w:szCs w:val="22"/>
        </w:rPr>
        <w:t>e</w:t>
      </w:r>
      <w:r>
        <w:rPr>
          <w:i/>
          <w:sz w:val="22"/>
          <w:szCs w:val="22"/>
        </w:rPr>
        <w:t>gintzaldi honetan lege hori aldatzeko, halako moduz non araua egokituko zaion Toki Adm</w:t>
      </w:r>
      <w:r>
        <w:rPr>
          <w:i/>
          <w:sz w:val="22"/>
          <w:szCs w:val="22"/>
        </w:rPr>
        <w:t>i</w:t>
      </w:r>
      <w:r>
        <w:rPr>
          <w:i/>
          <w:sz w:val="22"/>
          <w:szCs w:val="22"/>
        </w:rPr>
        <w:t xml:space="preserve">nistrazioaren Arrazionalizazioari eta Iraunkortasunari buruzko abenduaren 27ko 27/2013 Legearen azken xedapenetatik bigarrenean xedatutakoari </w:t>
      </w:r>
      <w:proofErr w:type="spellStart"/>
      <w:r>
        <w:rPr>
          <w:i/>
          <w:sz w:val="22"/>
          <w:szCs w:val="22"/>
        </w:rPr>
        <w:t>—hartan</w:t>
      </w:r>
      <w:proofErr w:type="spellEnd"/>
      <w:r>
        <w:rPr>
          <w:i/>
          <w:sz w:val="22"/>
          <w:szCs w:val="22"/>
        </w:rPr>
        <w:t xml:space="preserve"> zehazten da partzuergo bakoitza administrazio publiko bati atxikiko </w:t>
      </w:r>
      <w:proofErr w:type="spellStart"/>
      <w:r>
        <w:rPr>
          <w:i/>
          <w:sz w:val="22"/>
          <w:szCs w:val="22"/>
        </w:rPr>
        <w:t>zaiola—</w:t>
      </w:r>
      <w:proofErr w:type="spellEnd"/>
      <w:r>
        <w:rPr>
          <w:i/>
          <w:sz w:val="22"/>
          <w:szCs w:val="22"/>
        </w:rPr>
        <w:t xml:space="preserve"> bai eta estatuko oinarrizko legeriaren gainerakoari ere, halako moduz non toki partzuergoak ez diren Nafarroako toki entitate gisa aitortuko.”</w:t>
      </w:r>
    </w:p>
    <w:p w:rsidR="00EC4F97" w:rsidRDefault="00EC4F97" w:rsidP="00EC4F97">
      <w:pPr>
        <w:pStyle w:val="texto"/>
        <w:tabs>
          <w:tab w:val="clear" w:pos="2835"/>
          <w:tab w:val="center" w:pos="0"/>
        </w:tabs>
        <w:ind w:firstLine="426"/>
      </w:pPr>
      <w:r>
        <w:t>Nafarroako Toki Administrazioaren Erreformarako otsailaren 4ko 4/2019 Foru Legea onetsi izanak berekin ekarri du partzuergoak toki entitate gisa d</w:t>
      </w:r>
      <w:r>
        <w:t>e</w:t>
      </w:r>
      <w:r>
        <w:t>sagertzea, eta horrekin bete egin da Nafarroako Foru Komunitatearekin hart</w:t>
      </w:r>
      <w:r>
        <w:t>u</w:t>
      </w:r>
      <w:r>
        <w:t>tako konpromisoa, arestian aipatutakoa.</w:t>
      </w:r>
    </w:p>
    <w:p w:rsidR="00EC4F97" w:rsidRDefault="00EC4F97" w:rsidP="00EC4F97">
      <w:pPr>
        <w:pStyle w:val="texto"/>
        <w:spacing w:after="240"/>
      </w:pPr>
    </w:p>
    <w:p w:rsidR="00EC4F97" w:rsidRDefault="00EC4F97" w:rsidP="00EC4F97">
      <w:pPr>
        <w:pStyle w:val="texto"/>
        <w:spacing w:after="240"/>
      </w:pPr>
      <w:r>
        <w:t>Honako hau da toki entitateen kopurua, 2017ko abenduaren 31n, aurreko u</w:t>
      </w:r>
      <w:r>
        <w:t>r</w:t>
      </w:r>
      <w:r>
        <w:t>teetako toki entitateen kopuruarekin alderatuta:</w:t>
      </w:r>
    </w:p>
    <w:tbl>
      <w:tblPr>
        <w:tblW w:w="5012" w:type="pct"/>
        <w:jc w:val="center"/>
        <w:tblInd w:w="162" w:type="dxa"/>
        <w:tblCellMar>
          <w:left w:w="70" w:type="dxa"/>
          <w:right w:w="70" w:type="dxa"/>
        </w:tblCellMar>
        <w:tblLook w:val="0000" w:firstRow="0" w:lastRow="0" w:firstColumn="0" w:lastColumn="0" w:noHBand="0" w:noVBand="0"/>
      </w:tblPr>
      <w:tblGrid>
        <w:gridCol w:w="2204"/>
        <w:gridCol w:w="1221"/>
        <w:gridCol w:w="1393"/>
        <w:gridCol w:w="1391"/>
        <w:gridCol w:w="1391"/>
        <w:gridCol w:w="1350"/>
      </w:tblGrid>
      <w:tr w:rsidR="00741F9A" w:rsidRPr="00365D06" w:rsidTr="00741F9A">
        <w:trPr>
          <w:jc w:val="center"/>
        </w:trPr>
        <w:tc>
          <w:tcPr>
            <w:tcW w:w="1232"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18" w:firstLine="0"/>
              <w:rPr>
                <w:rFonts w:ascii="Arial" w:hAnsi="Arial" w:cs="Arial"/>
                <w:iCs/>
                <w:sz w:val="18"/>
                <w:szCs w:val="18"/>
              </w:rPr>
            </w:pPr>
            <w:r>
              <w:rPr>
                <w:rFonts w:ascii="Arial" w:hAnsi="Arial"/>
                <w:iCs/>
                <w:sz w:val="18"/>
                <w:szCs w:val="18"/>
              </w:rPr>
              <w:t>Toki entitatea</w:t>
            </w:r>
          </w:p>
        </w:tc>
        <w:tc>
          <w:tcPr>
            <w:tcW w:w="682"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875" w:firstLine="893"/>
              <w:jc w:val="right"/>
              <w:rPr>
                <w:rFonts w:ascii="Arial" w:hAnsi="Arial" w:cs="Arial"/>
                <w:iCs/>
                <w:sz w:val="18"/>
                <w:szCs w:val="18"/>
              </w:rPr>
            </w:pPr>
            <w:r>
              <w:rPr>
                <w:rFonts w:ascii="Arial" w:hAnsi="Arial"/>
                <w:iCs/>
                <w:sz w:val="18"/>
                <w:szCs w:val="18"/>
              </w:rPr>
              <w:t>2013</w:t>
            </w:r>
          </w:p>
        </w:tc>
        <w:tc>
          <w:tcPr>
            <w:tcW w:w="778"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iCs/>
                <w:sz w:val="18"/>
                <w:szCs w:val="18"/>
              </w:rPr>
              <w:t>2014</w:t>
            </w:r>
          </w:p>
        </w:tc>
        <w:tc>
          <w:tcPr>
            <w:tcW w:w="777"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iCs/>
                <w:sz w:val="18"/>
                <w:szCs w:val="18"/>
              </w:rPr>
              <w:t>2015</w:t>
            </w:r>
          </w:p>
        </w:tc>
        <w:tc>
          <w:tcPr>
            <w:tcW w:w="777"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iCs/>
                <w:sz w:val="18"/>
                <w:szCs w:val="18"/>
              </w:rPr>
              <w:t>2016</w:t>
            </w:r>
          </w:p>
        </w:tc>
        <w:tc>
          <w:tcPr>
            <w:tcW w:w="754"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iCs/>
                <w:sz w:val="18"/>
                <w:szCs w:val="18"/>
              </w:rPr>
              <w:t>2017</w:t>
            </w:r>
          </w:p>
        </w:tc>
      </w:tr>
      <w:tr w:rsidR="00741F9A" w:rsidRPr="00741F9A" w:rsidTr="00741F9A">
        <w:trPr>
          <w:jc w:val="center"/>
        </w:trPr>
        <w:tc>
          <w:tcPr>
            <w:tcW w:w="1232" w:type="pct"/>
            <w:tcBorders>
              <w:top w:val="single" w:sz="4"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rPr>
                <w:rFonts w:ascii="Arial Narrow" w:hAnsi="Arial Narrow" w:cs="Arial"/>
                <w:iCs/>
                <w:sz w:val="18"/>
                <w:szCs w:val="18"/>
              </w:rPr>
            </w:pPr>
            <w:r>
              <w:rPr>
                <w:rFonts w:ascii="Arial Narrow" w:hAnsi="Arial Narrow"/>
                <w:iCs/>
                <w:sz w:val="18"/>
                <w:szCs w:val="18"/>
              </w:rPr>
              <w:t xml:space="preserve">Udalak </w:t>
            </w:r>
            <w:r>
              <w:rPr>
                <w:rFonts w:ascii="Arial Narrow" w:hAnsi="Arial Narrow"/>
                <w:iCs/>
                <w:sz w:val="18"/>
                <w:szCs w:val="18"/>
                <w:vertAlign w:val="subscript"/>
              </w:rPr>
              <w:t>(1)</w:t>
            </w:r>
          </w:p>
        </w:tc>
        <w:tc>
          <w:tcPr>
            <w:tcW w:w="682" w:type="pct"/>
            <w:tcBorders>
              <w:top w:val="single" w:sz="4"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272</w:t>
            </w:r>
          </w:p>
        </w:tc>
        <w:tc>
          <w:tcPr>
            <w:tcW w:w="778" w:type="pct"/>
            <w:tcBorders>
              <w:top w:val="single" w:sz="4"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272</w:t>
            </w:r>
          </w:p>
        </w:tc>
        <w:tc>
          <w:tcPr>
            <w:tcW w:w="777" w:type="pct"/>
            <w:tcBorders>
              <w:top w:val="single" w:sz="4"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272</w:t>
            </w:r>
          </w:p>
        </w:tc>
        <w:tc>
          <w:tcPr>
            <w:tcW w:w="777" w:type="pct"/>
            <w:tcBorders>
              <w:top w:val="single" w:sz="4"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272</w:t>
            </w:r>
          </w:p>
        </w:tc>
        <w:tc>
          <w:tcPr>
            <w:tcW w:w="754" w:type="pct"/>
            <w:tcBorders>
              <w:top w:val="single" w:sz="4"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272</w:t>
            </w:r>
          </w:p>
        </w:tc>
      </w:tr>
      <w:tr w:rsidR="00741F9A" w:rsidRPr="00741F9A" w:rsidTr="00741F9A">
        <w:trPr>
          <w:jc w:val="center"/>
        </w:trPr>
        <w:tc>
          <w:tcPr>
            <w:tcW w:w="1232"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rPr>
                <w:rFonts w:ascii="Arial Narrow" w:hAnsi="Arial Narrow" w:cs="Arial"/>
                <w:iCs/>
                <w:sz w:val="18"/>
                <w:szCs w:val="18"/>
              </w:rPr>
            </w:pPr>
            <w:r>
              <w:rPr>
                <w:rFonts w:ascii="Arial Narrow" w:hAnsi="Arial Narrow"/>
                <w:iCs/>
                <w:sz w:val="18"/>
                <w:szCs w:val="18"/>
              </w:rPr>
              <w:t>Kontzejuak</w:t>
            </w:r>
          </w:p>
        </w:tc>
        <w:tc>
          <w:tcPr>
            <w:tcW w:w="682"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348</w:t>
            </w:r>
          </w:p>
        </w:tc>
        <w:tc>
          <w:tcPr>
            <w:tcW w:w="778"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347</w:t>
            </w:r>
          </w:p>
        </w:tc>
        <w:tc>
          <w:tcPr>
            <w:tcW w:w="777"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347</w:t>
            </w:r>
          </w:p>
        </w:tc>
        <w:tc>
          <w:tcPr>
            <w:tcW w:w="777"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346</w:t>
            </w:r>
          </w:p>
        </w:tc>
        <w:tc>
          <w:tcPr>
            <w:tcW w:w="754"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346</w:t>
            </w:r>
          </w:p>
        </w:tc>
      </w:tr>
      <w:tr w:rsidR="00741F9A" w:rsidRPr="00741F9A" w:rsidTr="00741F9A">
        <w:trPr>
          <w:trHeight w:val="243"/>
          <w:jc w:val="center"/>
        </w:trPr>
        <w:tc>
          <w:tcPr>
            <w:tcW w:w="1232"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rPr>
                <w:rFonts w:ascii="Arial Narrow" w:hAnsi="Arial Narrow" w:cs="Arial"/>
                <w:iCs/>
                <w:sz w:val="18"/>
                <w:szCs w:val="18"/>
              </w:rPr>
            </w:pPr>
            <w:r>
              <w:rPr>
                <w:rFonts w:ascii="Arial Narrow" w:hAnsi="Arial Narrow"/>
                <w:iCs/>
                <w:sz w:val="18"/>
                <w:szCs w:val="18"/>
              </w:rPr>
              <w:t>Mankomunitateak</w:t>
            </w:r>
          </w:p>
        </w:tc>
        <w:tc>
          <w:tcPr>
            <w:tcW w:w="682"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65</w:t>
            </w:r>
          </w:p>
        </w:tc>
        <w:tc>
          <w:tcPr>
            <w:tcW w:w="778"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65</w:t>
            </w:r>
          </w:p>
        </w:tc>
        <w:tc>
          <w:tcPr>
            <w:tcW w:w="777"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63</w:t>
            </w:r>
          </w:p>
        </w:tc>
        <w:tc>
          <w:tcPr>
            <w:tcW w:w="777"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63</w:t>
            </w:r>
          </w:p>
        </w:tc>
        <w:tc>
          <w:tcPr>
            <w:tcW w:w="754" w:type="pct"/>
            <w:tcBorders>
              <w:top w:val="single" w:sz="2" w:space="0" w:color="auto"/>
              <w:bottom w:val="single" w:sz="2"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 xml:space="preserve">62 </w:t>
            </w:r>
            <w:r>
              <w:rPr>
                <w:rFonts w:ascii="Arial Narrow" w:hAnsi="Arial Narrow"/>
                <w:iCs/>
                <w:sz w:val="18"/>
                <w:szCs w:val="18"/>
                <w:vertAlign w:val="subscript"/>
              </w:rPr>
              <w:t>(2)</w:t>
            </w:r>
          </w:p>
        </w:tc>
      </w:tr>
      <w:tr w:rsidR="00741F9A" w:rsidRPr="00741F9A" w:rsidTr="007E3594">
        <w:trPr>
          <w:trHeight w:val="121"/>
          <w:jc w:val="center"/>
        </w:trPr>
        <w:tc>
          <w:tcPr>
            <w:tcW w:w="1232" w:type="pct"/>
            <w:tcBorders>
              <w:top w:val="single" w:sz="2" w:space="0" w:color="auto"/>
              <w:bottom w:val="single" w:sz="4" w:space="0" w:color="auto"/>
            </w:tcBorders>
            <w:vAlign w:val="center"/>
          </w:tcPr>
          <w:p w:rsidR="00741F9A" w:rsidRPr="00741F9A" w:rsidRDefault="00741F9A" w:rsidP="00FF435B">
            <w:pPr>
              <w:autoSpaceDE w:val="0"/>
              <w:autoSpaceDN w:val="0"/>
              <w:adjustRightInd w:val="0"/>
              <w:spacing w:beforeLines="20" w:before="48" w:afterLines="20" w:after="48"/>
              <w:ind w:left="18" w:firstLine="0"/>
              <w:rPr>
                <w:rFonts w:ascii="Arial Narrow" w:hAnsi="Arial Narrow" w:cs="Arial"/>
                <w:iCs/>
                <w:sz w:val="18"/>
                <w:szCs w:val="18"/>
              </w:rPr>
            </w:pPr>
            <w:r>
              <w:rPr>
                <w:rFonts w:ascii="Arial Narrow" w:hAnsi="Arial Narrow"/>
                <w:iCs/>
                <w:sz w:val="18"/>
                <w:szCs w:val="18"/>
              </w:rPr>
              <w:t>Udal-batasunak</w:t>
            </w:r>
          </w:p>
        </w:tc>
        <w:tc>
          <w:tcPr>
            <w:tcW w:w="682" w:type="pct"/>
            <w:tcBorders>
              <w:top w:val="single" w:sz="2" w:space="0" w:color="auto"/>
              <w:bottom w:val="single" w:sz="4"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18</w:t>
            </w:r>
          </w:p>
        </w:tc>
        <w:tc>
          <w:tcPr>
            <w:tcW w:w="778" w:type="pct"/>
            <w:tcBorders>
              <w:top w:val="single" w:sz="2" w:space="0" w:color="auto"/>
              <w:bottom w:val="single" w:sz="4"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19</w:t>
            </w:r>
          </w:p>
        </w:tc>
        <w:tc>
          <w:tcPr>
            <w:tcW w:w="777" w:type="pct"/>
            <w:tcBorders>
              <w:top w:val="single" w:sz="2" w:space="0" w:color="auto"/>
              <w:bottom w:val="single" w:sz="4"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19</w:t>
            </w:r>
          </w:p>
        </w:tc>
        <w:tc>
          <w:tcPr>
            <w:tcW w:w="777" w:type="pct"/>
            <w:tcBorders>
              <w:top w:val="single" w:sz="2" w:space="0" w:color="auto"/>
              <w:bottom w:val="single" w:sz="4"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20</w:t>
            </w:r>
          </w:p>
        </w:tc>
        <w:tc>
          <w:tcPr>
            <w:tcW w:w="754" w:type="pct"/>
            <w:tcBorders>
              <w:top w:val="single" w:sz="2" w:space="0" w:color="auto"/>
              <w:bottom w:val="single" w:sz="4" w:space="0" w:color="auto"/>
            </w:tcBorders>
            <w:vAlign w:val="center"/>
          </w:tcPr>
          <w:p w:rsidR="00741F9A" w:rsidRPr="00741F9A" w:rsidRDefault="00741F9A" w:rsidP="00FF435B">
            <w:pPr>
              <w:autoSpaceDE w:val="0"/>
              <w:autoSpaceDN w:val="0"/>
              <w:adjustRightInd w:val="0"/>
              <w:spacing w:beforeLines="20" w:before="48" w:afterLines="20" w:after="48"/>
              <w:ind w:left="18" w:firstLine="0"/>
              <w:jc w:val="right"/>
              <w:rPr>
                <w:rFonts w:ascii="Arial Narrow" w:hAnsi="Arial Narrow" w:cs="Arial"/>
                <w:iCs/>
                <w:sz w:val="18"/>
                <w:szCs w:val="18"/>
              </w:rPr>
            </w:pPr>
            <w:r>
              <w:rPr>
                <w:rFonts w:ascii="Arial Narrow" w:hAnsi="Arial Narrow"/>
                <w:iCs/>
                <w:sz w:val="18"/>
                <w:szCs w:val="18"/>
              </w:rPr>
              <w:t>23</w:t>
            </w:r>
          </w:p>
        </w:tc>
      </w:tr>
      <w:tr w:rsidR="00741F9A" w:rsidRPr="00365D06" w:rsidTr="00741F9A">
        <w:trPr>
          <w:jc w:val="center"/>
        </w:trPr>
        <w:tc>
          <w:tcPr>
            <w:tcW w:w="1232"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18" w:firstLine="0"/>
              <w:rPr>
                <w:rFonts w:ascii="Arial" w:hAnsi="Arial" w:cs="Arial"/>
                <w:iCs/>
                <w:sz w:val="18"/>
                <w:szCs w:val="18"/>
              </w:rPr>
            </w:pPr>
            <w:r>
              <w:rPr>
                <w:rFonts w:ascii="Arial" w:hAnsi="Arial"/>
                <w:iCs/>
                <w:sz w:val="18"/>
                <w:szCs w:val="18"/>
              </w:rPr>
              <w:t>Guztira</w:t>
            </w:r>
          </w:p>
        </w:tc>
        <w:tc>
          <w:tcPr>
            <w:tcW w:w="682"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iCs/>
                <w:sz w:val="18"/>
                <w:szCs w:val="18"/>
              </w:rPr>
              <w:t>703</w:t>
            </w:r>
          </w:p>
        </w:tc>
        <w:tc>
          <w:tcPr>
            <w:tcW w:w="778"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iCs/>
                <w:sz w:val="18"/>
                <w:szCs w:val="18"/>
              </w:rPr>
              <w:t>703</w:t>
            </w:r>
          </w:p>
        </w:tc>
        <w:tc>
          <w:tcPr>
            <w:tcW w:w="777"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iCs/>
                <w:sz w:val="18"/>
                <w:szCs w:val="18"/>
              </w:rPr>
              <w:t>701</w:t>
            </w:r>
          </w:p>
        </w:tc>
        <w:tc>
          <w:tcPr>
            <w:tcW w:w="777"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iCs/>
                <w:sz w:val="18"/>
                <w:szCs w:val="18"/>
              </w:rPr>
              <w:t>701</w:t>
            </w:r>
          </w:p>
        </w:tc>
        <w:tc>
          <w:tcPr>
            <w:tcW w:w="754" w:type="pct"/>
            <w:tcBorders>
              <w:top w:val="single" w:sz="4" w:space="0" w:color="auto"/>
              <w:bottom w:val="single" w:sz="4" w:space="0" w:color="auto"/>
            </w:tcBorders>
            <w:shd w:val="clear" w:color="auto" w:fill="FBD4B4"/>
            <w:vAlign w:val="center"/>
          </w:tcPr>
          <w:p w:rsidR="00741F9A" w:rsidRPr="00365D06" w:rsidRDefault="00741F9A" w:rsidP="00FF435B">
            <w:pPr>
              <w:autoSpaceDE w:val="0"/>
              <w:autoSpaceDN w:val="0"/>
              <w:adjustRightInd w:val="0"/>
              <w:spacing w:beforeLines="20" w:before="48" w:afterLines="20" w:after="48"/>
              <w:ind w:left="18" w:firstLine="0"/>
              <w:jc w:val="right"/>
              <w:rPr>
                <w:rFonts w:ascii="Arial" w:hAnsi="Arial" w:cs="Arial"/>
                <w:iCs/>
                <w:sz w:val="18"/>
                <w:szCs w:val="18"/>
              </w:rPr>
            </w:pPr>
            <w:r>
              <w:rPr>
                <w:rFonts w:ascii="Arial" w:hAnsi="Arial"/>
                <w:iCs/>
                <w:sz w:val="18"/>
                <w:szCs w:val="18"/>
              </w:rPr>
              <w:t>703</w:t>
            </w:r>
          </w:p>
        </w:tc>
      </w:tr>
    </w:tbl>
    <w:p w:rsidR="00EC4F97" w:rsidRPr="0082767F" w:rsidRDefault="00EC4F97" w:rsidP="00EC4F97">
      <w:pPr>
        <w:pStyle w:val="recomen"/>
        <w:numPr>
          <w:ilvl w:val="0"/>
          <w:numId w:val="19"/>
        </w:numPr>
        <w:tabs>
          <w:tab w:val="clear" w:pos="885"/>
        </w:tabs>
        <w:spacing w:before="60" w:after="20"/>
        <w:ind w:left="284" w:hanging="284"/>
        <w:rPr>
          <w:i w:val="0"/>
          <w:sz w:val="16"/>
          <w:szCs w:val="16"/>
        </w:rPr>
      </w:pPr>
      <w:r>
        <w:rPr>
          <w:i w:val="0"/>
          <w:sz w:val="16"/>
          <w:szCs w:val="16"/>
        </w:rPr>
        <w:t>60 udal konposatuak dira</w:t>
      </w:r>
    </w:p>
    <w:p w:rsidR="00EC4F97" w:rsidRPr="0082767F" w:rsidRDefault="00EC4F97" w:rsidP="00EC4F97">
      <w:pPr>
        <w:pStyle w:val="recomen"/>
        <w:numPr>
          <w:ilvl w:val="0"/>
          <w:numId w:val="19"/>
        </w:numPr>
        <w:tabs>
          <w:tab w:val="clear" w:pos="885"/>
        </w:tabs>
        <w:ind w:left="284" w:hanging="284"/>
        <w:rPr>
          <w:i w:val="0"/>
          <w:color w:val="000000"/>
          <w:sz w:val="16"/>
          <w:szCs w:val="16"/>
        </w:rPr>
      </w:pPr>
      <w:r>
        <w:rPr>
          <w:i w:val="0"/>
          <w:color w:val="000000"/>
          <w:sz w:val="16"/>
          <w:szCs w:val="16"/>
        </w:rPr>
        <w:t>3 mankomunitatek ez dute jarduerarik</w:t>
      </w:r>
    </w:p>
    <w:p w:rsidR="00EC4F97" w:rsidRPr="00B122DA" w:rsidRDefault="00EC4F97" w:rsidP="00EC4F97">
      <w:pPr>
        <w:pStyle w:val="texto"/>
        <w:spacing w:after="240"/>
      </w:pPr>
      <w:r>
        <w:t>2016. urtearekin alderatuta, baja eman du Nafarroako Erdialdeko Kirol Ma</w:t>
      </w:r>
      <w:r>
        <w:t>n</w:t>
      </w:r>
      <w:r>
        <w:t>komunitateak. Udalen batasunetatik, berriz, honako hauek eman dute alta: Burgi, Bidankoze eta Gardeko Udalen Batasunak; Doneztebeko eta Elgorri</w:t>
      </w:r>
      <w:r>
        <w:t>a</w:t>
      </w:r>
      <w:r>
        <w:t>gako Udalen Batasunak, eta Auritz, Orreaga eta Erroibarko Udalen Batasunak; horiek guztiak idazkaritza-zerbitzurako batasunak dira.</w:t>
      </w:r>
    </w:p>
    <w:p w:rsidR="00EC4F97" w:rsidRDefault="00EC4F97" w:rsidP="00EC4F97">
      <w:pPr>
        <w:pStyle w:val="texto"/>
        <w:spacing w:before="240" w:after="240"/>
      </w:pPr>
      <w:r>
        <w:t>2013tik 2017ra doan aldian, honako hau da erakunde autonomoen, tokiko enpresa publikoen, tokiko fundazio publikoen eta partzuergoen kopurua:</w:t>
      </w:r>
    </w:p>
    <w:tbl>
      <w:tblPr>
        <w:tblW w:w="8824" w:type="dxa"/>
        <w:jc w:val="center"/>
        <w:tblInd w:w="-650" w:type="dxa"/>
        <w:tblLayout w:type="fixed"/>
        <w:tblCellMar>
          <w:left w:w="70" w:type="dxa"/>
          <w:right w:w="70" w:type="dxa"/>
        </w:tblCellMar>
        <w:tblLook w:val="0000" w:firstRow="0" w:lastRow="0" w:firstColumn="0" w:lastColumn="0" w:noHBand="0" w:noVBand="0"/>
      </w:tblPr>
      <w:tblGrid>
        <w:gridCol w:w="4172"/>
        <w:gridCol w:w="1001"/>
        <w:gridCol w:w="976"/>
        <w:gridCol w:w="850"/>
        <w:gridCol w:w="993"/>
        <w:gridCol w:w="767"/>
        <w:gridCol w:w="65"/>
      </w:tblGrid>
      <w:tr w:rsidR="00EC4F97" w:rsidRPr="00365D06" w:rsidTr="00422AD9">
        <w:trPr>
          <w:trHeight w:val="255"/>
          <w:jc w:val="center"/>
        </w:trPr>
        <w:tc>
          <w:tcPr>
            <w:tcW w:w="4172"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Entitatea</w:t>
            </w:r>
          </w:p>
        </w:tc>
        <w:tc>
          <w:tcPr>
            <w:tcW w:w="1001"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2013</w:t>
            </w:r>
          </w:p>
        </w:tc>
        <w:tc>
          <w:tcPr>
            <w:tcW w:w="976"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2014</w:t>
            </w:r>
          </w:p>
        </w:tc>
        <w:tc>
          <w:tcPr>
            <w:tcW w:w="850"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2015</w:t>
            </w:r>
          </w:p>
        </w:tc>
        <w:tc>
          <w:tcPr>
            <w:tcW w:w="993"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w:t>
            </w:r>
          </w:p>
        </w:tc>
        <w:tc>
          <w:tcPr>
            <w:tcW w:w="832" w:type="dxa"/>
            <w:gridSpan w:val="2"/>
            <w:tcBorders>
              <w:top w:val="single" w:sz="4" w:space="0" w:color="auto"/>
              <w:bottom w:val="single" w:sz="4" w:space="0" w:color="auto"/>
            </w:tcBorders>
            <w:shd w:val="clear" w:color="auto" w:fill="FBD4B4" w:themeFill="accent6" w:themeFillTint="66"/>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Pr>
                <w:rFonts w:ascii="Arial" w:hAnsi="Arial"/>
                <w:sz w:val="18"/>
                <w:szCs w:val="24"/>
              </w:rPr>
              <w:t>2017</w:t>
            </w:r>
          </w:p>
        </w:tc>
      </w:tr>
      <w:tr w:rsidR="00EC4F97" w:rsidRPr="00365D06" w:rsidTr="00422AD9">
        <w:trPr>
          <w:trHeight w:val="255"/>
          <w:jc w:val="center"/>
        </w:trPr>
        <w:tc>
          <w:tcPr>
            <w:tcW w:w="4172"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Erakunde autonomoak </w:t>
            </w:r>
          </w:p>
        </w:tc>
        <w:tc>
          <w:tcPr>
            <w:tcW w:w="1001"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66</w:t>
            </w:r>
          </w:p>
        </w:tc>
        <w:tc>
          <w:tcPr>
            <w:tcW w:w="976"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65</w:t>
            </w:r>
          </w:p>
        </w:tc>
        <w:tc>
          <w:tcPr>
            <w:tcW w:w="850"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65</w:t>
            </w:r>
          </w:p>
        </w:tc>
        <w:tc>
          <w:tcPr>
            <w:tcW w:w="993"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64</w:t>
            </w:r>
          </w:p>
        </w:tc>
        <w:tc>
          <w:tcPr>
            <w:tcW w:w="832" w:type="dxa"/>
            <w:gridSpan w:val="2"/>
            <w:tcBorders>
              <w:top w:val="single" w:sz="4" w:space="0" w:color="auto"/>
              <w:bottom w:val="single" w:sz="4" w:space="0" w:color="auto"/>
            </w:tcBorders>
            <w:shd w:val="clear" w:color="auto" w:fill="FFFFFF"/>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Pr>
                <w:rFonts w:ascii="Arial" w:hAnsi="Arial"/>
                <w:sz w:val="18"/>
                <w:szCs w:val="24"/>
              </w:rPr>
              <w:t>63</w:t>
            </w:r>
          </w:p>
        </w:tc>
      </w:tr>
      <w:tr w:rsidR="00EC4F97" w:rsidRPr="00365D06" w:rsidTr="00422AD9">
        <w:trPr>
          <w:trHeight w:val="255"/>
          <w:jc w:val="center"/>
        </w:trPr>
        <w:tc>
          <w:tcPr>
            <w:tcW w:w="4172"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Enpresa publikoak</w:t>
            </w:r>
          </w:p>
        </w:tc>
        <w:tc>
          <w:tcPr>
            <w:tcW w:w="1001"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50</w:t>
            </w:r>
          </w:p>
        </w:tc>
        <w:tc>
          <w:tcPr>
            <w:tcW w:w="976"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54</w:t>
            </w:r>
          </w:p>
        </w:tc>
        <w:tc>
          <w:tcPr>
            <w:tcW w:w="850"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55</w:t>
            </w:r>
          </w:p>
        </w:tc>
        <w:tc>
          <w:tcPr>
            <w:tcW w:w="993"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54</w:t>
            </w:r>
          </w:p>
        </w:tc>
        <w:tc>
          <w:tcPr>
            <w:tcW w:w="832" w:type="dxa"/>
            <w:gridSpan w:val="2"/>
            <w:tcBorders>
              <w:top w:val="single" w:sz="4" w:space="0" w:color="auto"/>
              <w:bottom w:val="single" w:sz="4" w:space="0" w:color="auto"/>
            </w:tcBorders>
            <w:shd w:val="clear" w:color="auto" w:fill="FFFFFF"/>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Pr>
                <w:rFonts w:ascii="Arial" w:hAnsi="Arial"/>
                <w:sz w:val="18"/>
                <w:szCs w:val="24"/>
              </w:rPr>
              <w:t>53</w:t>
            </w:r>
          </w:p>
        </w:tc>
      </w:tr>
      <w:tr w:rsidR="00EC4F97" w:rsidRPr="00365D06" w:rsidTr="00422AD9">
        <w:trPr>
          <w:trHeight w:val="255"/>
          <w:jc w:val="center"/>
        </w:trPr>
        <w:tc>
          <w:tcPr>
            <w:tcW w:w="4172"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Fundazio publikoak</w:t>
            </w:r>
          </w:p>
        </w:tc>
        <w:tc>
          <w:tcPr>
            <w:tcW w:w="1001"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9</w:t>
            </w:r>
          </w:p>
        </w:tc>
        <w:tc>
          <w:tcPr>
            <w:tcW w:w="976"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9</w:t>
            </w:r>
          </w:p>
        </w:tc>
        <w:tc>
          <w:tcPr>
            <w:tcW w:w="850"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9</w:t>
            </w:r>
          </w:p>
        </w:tc>
        <w:tc>
          <w:tcPr>
            <w:tcW w:w="993"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9</w:t>
            </w:r>
          </w:p>
        </w:tc>
        <w:tc>
          <w:tcPr>
            <w:tcW w:w="832" w:type="dxa"/>
            <w:gridSpan w:val="2"/>
            <w:tcBorders>
              <w:top w:val="single" w:sz="4" w:space="0" w:color="auto"/>
              <w:bottom w:val="single" w:sz="4" w:space="0" w:color="auto"/>
            </w:tcBorders>
            <w:shd w:val="clear" w:color="auto" w:fill="FFFFFF"/>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Pr>
                <w:rFonts w:ascii="Arial" w:hAnsi="Arial"/>
                <w:sz w:val="18"/>
                <w:szCs w:val="24"/>
              </w:rPr>
              <w:t>8</w:t>
            </w:r>
          </w:p>
        </w:tc>
      </w:tr>
      <w:tr w:rsidR="00EC4F97" w:rsidRPr="00365D06" w:rsidTr="00422AD9">
        <w:trPr>
          <w:trHeight w:val="255"/>
          <w:jc w:val="center"/>
        </w:trPr>
        <w:tc>
          <w:tcPr>
            <w:tcW w:w="4172"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Partzuergoak*</w:t>
            </w:r>
          </w:p>
        </w:tc>
        <w:tc>
          <w:tcPr>
            <w:tcW w:w="1001"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16</w:t>
            </w:r>
          </w:p>
        </w:tc>
        <w:tc>
          <w:tcPr>
            <w:tcW w:w="976"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15</w:t>
            </w:r>
          </w:p>
        </w:tc>
        <w:tc>
          <w:tcPr>
            <w:tcW w:w="850"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15</w:t>
            </w:r>
          </w:p>
        </w:tc>
        <w:tc>
          <w:tcPr>
            <w:tcW w:w="993" w:type="dxa"/>
            <w:tcBorders>
              <w:top w:val="single" w:sz="4" w:space="0" w:color="auto"/>
              <w:bottom w:val="single" w:sz="4" w:space="0" w:color="auto"/>
            </w:tcBorders>
            <w:shd w:val="clear" w:color="auto" w:fill="FFFFFF"/>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15</w:t>
            </w:r>
          </w:p>
        </w:tc>
        <w:tc>
          <w:tcPr>
            <w:tcW w:w="832" w:type="dxa"/>
            <w:gridSpan w:val="2"/>
            <w:tcBorders>
              <w:top w:val="single" w:sz="4" w:space="0" w:color="auto"/>
              <w:bottom w:val="single" w:sz="4" w:space="0" w:color="auto"/>
            </w:tcBorders>
            <w:shd w:val="clear" w:color="auto" w:fill="FFFFFF"/>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Pr>
                <w:rFonts w:ascii="Arial" w:hAnsi="Arial"/>
                <w:sz w:val="18"/>
                <w:szCs w:val="24"/>
              </w:rPr>
              <w:t>17</w:t>
            </w:r>
          </w:p>
        </w:tc>
      </w:tr>
      <w:tr w:rsidR="00EC4F97" w:rsidRPr="00365D06" w:rsidTr="00422AD9">
        <w:trPr>
          <w:trHeight w:val="255"/>
          <w:jc w:val="center"/>
        </w:trPr>
        <w:tc>
          <w:tcPr>
            <w:tcW w:w="4172"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Guztira</w:t>
            </w:r>
          </w:p>
        </w:tc>
        <w:tc>
          <w:tcPr>
            <w:tcW w:w="1001"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141</w:t>
            </w:r>
          </w:p>
        </w:tc>
        <w:tc>
          <w:tcPr>
            <w:tcW w:w="976"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143</w:t>
            </w:r>
          </w:p>
        </w:tc>
        <w:tc>
          <w:tcPr>
            <w:tcW w:w="850"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Pr>
                <w:rFonts w:ascii="Arial" w:hAnsi="Arial"/>
                <w:sz w:val="18"/>
                <w:szCs w:val="24"/>
              </w:rPr>
              <w:t>144</w:t>
            </w:r>
          </w:p>
        </w:tc>
        <w:tc>
          <w:tcPr>
            <w:tcW w:w="993" w:type="dxa"/>
            <w:tcBorders>
              <w:top w:val="single" w:sz="4" w:space="0" w:color="auto"/>
              <w:bottom w:val="single" w:sz="4" w:space="0" w:color="auto"/>
            </w:tcBorders>
            <w:shd w:val="clear" w:color="auto" w:fill="FBD4B4" w:themeFill="accent6" w:themeFillTint="66"/>
            <w:vAlign w:val="center"/>
          </w:tcPr>
          <w:p w:rsidR="00EC4F97" w:rsidRPr="00CB39B5" w:rsidRDefault="00EC4F97" w:rsidP="00422AD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142</w:t>
            </w:r>
          </w:p>
        </w:tc>
        <w:tc>
          <w:tcPr>
            <w:tcW w:w="832" w:type="dxa"/>
            <w:gridSpan w:val="2"/>
            <w:tcBorders>
              <w:top w:val="single" w:sz="4" w:space="0" w:color="auto"/>
              <w:bottom w:val="single" w:sz="4" w:space="0" w:color="auto"/>
            </w:tcBorders>
            <w:shd w:val="clear" w:color="auto" w:fill="FBD4B4" w:themeFill="accent6" w:themeFillTint="66"/>
            <w:vAlign w:val="center"/>
          </w:tcPr>
          <w:p w:rsidR="00EC4F97" w:rsidRPr="00CB39B5" w:rsidRDefault="00EC4F97" w:rsidP="00DC0A57">
            <w:pPr>
              <w:keepLines/>
              <w:tabs>
                <w:tab w:val="right" w:pos="2835"/>
                <w:tab w:val="right" w:pos="3969"/>
                <w:tab w:val="right" w:pos="5103"/>
                <w:tab w:val="right" w:pos="6237"/>
                <w:tab w:val="right" w:pos="7371"/>
              </w:tabs>
              <w:spacing w:after="0"/>
              <w:ind w:left="-189" w:right="-53" w:firstLine="0"/>
              <w:jc w:val="right"/>
              <w:rPr>
                <w:rFonts w:ascii="Arial" w:hAnsi="Arial"/>
                <w:spacing w:val="6"/>
                <w:sz w:val="18"/>
                <w:szCs w:val="24"/>
              </w:rPr>
            </w:pPr>
            <w:r>
              <w:rPr>
                <w:rFonts w:ascii="Arial" w:hAnsi="Arial"/>
                <w:sz w:val="18"/>
                <w:szCs w:val="24"/>
              </w:rPr>
              <w:t>139</w:t>
            </w:r>
          </w:p>
        </w:tc>
      </w:tr>
      <w:tr w:rsidR="00EC4F97" w:rsidRPr="00365D06" w:rsidTr="00422AD9">
        <w:trPr>
          <w:gridAfter w:val="1"/>
          <w:wAfter w:w="65" w:type="dxa"/>
          <w:trHeight w:val="121"/>
          <w:jc w:val="center"/>
        </w:trPr>
        <w:tc>
          <w:tcPr>
            <w:tcW w:w="8759" w:type="dxa"/>
            <w:gridSpan w:val="6"/>
            <w:tcBorders>
              <w:top w:val="single" w:sz="2" w:space="0" w:color="auto"/>
            </w:tcBorders>
          </w:tcPr>
          <w:p w:rsidR="00EC4F97" w:rsidRPr="00365D06" w:rsidRDefault="00EC4F97" w:rsidP="00422AD9">
            <w:pPr>
              <w:autoSpaceDE w:val="0"/>
              <w:autoSpaceDN w:val="0"/>
              <w:adjustRightInd w:val="0"/>
              <w:spacing w:beforeLines="20" w:before="48" w:afterLines="20" w:after="48"/>
              <w:ind w:left="18" w:firstLine="0"/>
              <w:rPr>
                <w:iCs/>
                <w:sz w:val="16"/>
                <w:szCs w:val="16"/>
              </w:rPr>
            </w:pPr>
            <w:r>
              <w:rPr>
                <w:iCs/>
                <w:sz w:val="16"/>
                <w:szCs w:val="16"/>
              </w:rPr>
              <w:t xml:space="preserve">* Dauden partzuergo guztiak sartu ditugu </w:t>
            </w:r>
          </w:p>
        </w:tc>
      </w:tr>
    </w:tbl>
    <w:p w:rsidR="00EC4F97" w:rsidRDefault="00EC4F97" w:rsidP="00EC4F97">
      <w:pPr>
        <w:pStyle w:val="texto"/>
        <w:spacing w:before="280"/>
        <w:rPr>
          <w:szCs w:val="26"/>
        </w:rPr>
      </w:pPr>
      <w:r>
        <w:t>2016. urtearekin alderatuta, eta erakunde autonomoei dagokienez, honako hauek eman dute alta: Zaraitzu Ibarreko Musika Eskola eta Malerrekako Ma</w:t>
      </w:r>
      <w:r>
        <w:t>n</w:t>
      </w:r>
      <w:r>
        <w:t xml:space="preserve">komunitatearen menpeko ura kudeatzeko erakunde autonomoa. Honako hauek, berriz, baja eman dute: Uharteko Kirol Patronatua, Valtierrako </w:t>
      </w:r>
      <w:proofErr w:type="spellStart"/>
      <w:r>
        <w:t>Centro</w:t>
      </w:r>
      <w:proofErr w:type="spellEnd"/>
      <w:r>
        <w:t xml:space="preserve"> </w:t>
      </w:r>
      <w:proofErr w:type="spellStart"/>
      <w:r>
        <w:t>Cívico</w:t>
      </w:r>
      <w:proofErr w:type="spellEnd"/>
      <w:r>
        <w:t xml:space="preserve"> La Esperanza eta Vianako </w:t>
      </w:r>
      <w:proofErr w:type="spellStart"/>
      <w:r>
        <w:t>Nuestra</w:t>
      </w:r>
      <w:proofErr w:type="spellEnd"/>
      <w:r>
        <w:t xml:space="preserve"> Señora de la Gracia. Azken horri dagoki</w:t>
      </w:r>
      <w:r>
        <w:t>o</w:t>
      </w:r>
      <w:r>
        <w:t>nez, argitu beharra dago gaizki sailkatuta zegoela erakunde autonomo gisa, z</w:t>
      </w:r>
      <w:r>
        <w:t>e</w:t>
      </w:r>
      <w:r>
        <w:t>ren eta fundazio bat baita.</w:t>
      </w:r>
    </w:p>
    <w:p w:rsidR="00EC4F97" w:rsidRDefault="00EC4F97" w:rsidP="00EC4F97">
      <w:pPr>
        <w:pStyle w:val="texto"/>
        <w:spacing w:before="280"/>
        <w:rPr>
          <w:szCs w:val="26"/>
        </w:rPr>
      </w:pPr>
      <w:r>
        <w:t xml:space="preserve">Enpresa publikoei dagokienez, 2016. urtearekin alderatuta, beste hiru gehitu dira: Esteribarko </w:t>
      </w:r>
      <w:proofErr w:type="spellStart"/>
      <w:r>
        <w:t>Zubilan</w:t>
      </w:r>
      <w:proofErr w:type="spellEnd"/>
      <w:r>
        <w:t xml:space="preserve"> </w:t>
      </w:r>
      <w:proofErr w:type="spellStart"/>
      <w:r>
        <w:t>Servicios</w:t>
      </w:r>
      <w:proofErr w:type="spellEnd"/>
      <w:r>
        <w:t xml:space="preserve"> </w:t>
      </w:r>
      <w:proofErr w:type="spellStart"/>
      <w:r>
        <w:t>Varios</w:t>
      </w:r>
      <w:proofErr w:type="spellEnd"/>
      <w:r>
        <w:t xml:space="preserve"> SL, Antsoaingo </w:t>
      </w:r>
      <w:proofErr w:type="spellStart"/>
      <w:r>
        <w:t>Idakirolak</w:t>
      </w:r>
      <w:proofErr w:type="spellEnd"/>
      <w:r>
        <w:t xml:space="preserve"> SL eta </w:t>
      </w:r>
      <w:proofErr w:type="spellStart"/>
      <w:r>
        <w:t>Bizkarmendia</w:t>
      </w:r>
      <w:proofErr w:type="spellEnd"/>
      <w:r>
        <w:t xml:space="preserve"> SLU. Horretaz gainera, lau baja izan ditugu: </w:t>
      </w:r>
      <w:proofErr w:type="spellStart"/>
      <w:r>
        <w:t>Sociedad</w:t>
      </w:r>
      <w:proofErr w:type="spellEnd"/>
      <w:r>
        <w:t xml:space="preserve"> </w:t>
      </w:r>
      <w:proofErr w:type="spellStart"/>
      <w:r>
        <w:t>Urbaní</w:t>
      </w:r>
      <w:r>
        <w:t>s</w:t>
      </w:r>
      <w:r>
        <w:t>tica</w:t>
      </w:r>
      <w:proofErr w:type="spellEnd"/>
      <w:r>
        <w:t xml:space="preserve"> </w:t>
      </w:r>
      <w:proofErr w:type="spellStart"/>
      <w:r>
        <w:t>Municipal</w:t>
      </w:r>
      <w:proofErr w:type="spellEnd"/>
      <w:r>
        <w:t xml:space="preserve"> de </w:t>
      </w:r>
      <w:proofErr w:type="spellStart"/>
      <w:r>
        <w:t>Burguete</w:t>
      </w:r>
      <w:proofErr w:type="spellEnd"/>
      <w:r>
        <w:t xml:space="preserve"> SL, Huarte </w:t>
      </w:r>
      <w:proofErr w:type="spellStart"/>
      <w:r>
        <w:t>Mokarte</w:t>
      </w:r>
      <w:proofErr w:type="spellEnd"/>
      <w:r>
        <w:t xml:space="preserve"> </w:t>
      </w:r>
      <w:proofErr w:type="spellStart"/>
      <w:r>
        <w:t>Subterráneos</w:t>
      </w:r>
      <w:proofErr w:type="spellEnd"/>
      <w:r>
        <w:t xml:space="preserve"> SL, Urarte </w:t>
      </w:r>
      <w:proofErr w:type="spellStart"/>
      <w:r>
        <w:t>Des</w:t>
      </w:r>
      <w:r>
        <w:t>a</w:t>
      </w:r>
      <w:r>
        <w:t>rrollo</w:t>
      </w:r>
      <w:proofErr w:type="spellEnd"/>
      <w:r>
        <w:t xml:space="preserve"> Urbano SA eta </w:t>
      </w:r>
      <w:proofErr w:type="spellStart"/>
      <w:r>
        <w:t>Sociedad</w:t>
      </w:r>
      <w:proofErr w:type="spellEnd"/>
      <w:r>
        <w:t xml:space="preserve"> </w:t>
      </w:r>
      <w:proofErr w:type="spellStart"/>
      <w:r>
        <w:t>Municipal</w:t>
      </w:r>
      <w:proofErr w:type="spellEnd"/>
      <w:r>
        <w:t xml:space="preserve"> de </w:t>
      </w:r>
      <w:proofErr w:type="spellStart"/>
      <w:r>
        <w:t>servicios</w:t>
      </w:r>
      <w:proofErr w:type="spellEnd"/>
      <w:r>
        <w:t xml:space="preserve"> Puente la </w:t>
      </w:r>
      <w:proofErr w:type="spellStart"/>
      <w:r>
        <w:t>Reina</w:t>
      </w:r>
      <w:proofErr w:type="spellEnd"/>
      <w:r>
        <w:t xml:space="preserve"> </w:t>
      </w:r>
      <w:proofErr w:type="spellStart"/>
      <w:r>
        <w:t>Garés</w:t>
      </w:r>
      <w:proofErr w:type="spellEnd"/>
      <w:r>
        <w:t xml:space="preserve"> SA.</w:t>
      </w:r>
    </w:p>
    <w:p w:rsidR="00EC4F97" w:rsidRDefault="00EC4F97" w:rsidP="00EC4F97">
      <w:pPr>
        <w:pStyle w:val="texto"/>
        <w:spacing w:before="140"/>
        <w:rPr>
          <w:szCs w:val="26"/>
        </w:rPr>
      </w:pPr>
      <w:r>
        <w:t>Partzuergoei dagokienez, bi alta egon dira 2016. urtearekin alderatuta: Orreagako Musika Eskolaren Partzuergoa eta Sunbillako Antzinako trenbidea udal mugapean kudeatzeko Partzuergoa.</w:t>
      </w:r>
    </w:p>
    <w:p w:rsidR="00EC4F97" w:rsidRDefault="00EC4F97" w:rsidP="00EC4F97">
      <w:pPr>
        <w:pStyle w:val="texto"/>
        <w:spacing w:before="200"/>
        <w:rPr>
          <w:szCs w:val="26"/>
        </w:rPr>
      </w:pPr>
      <w:r>
        <w:t xml:space="preserve">Azkenik, fundazioetan izan diren aldaketei dagokienez, </w:t>
      </w:r>
      <w:proofErr w:type="spellStart"/>
      <w:r>
        <w:t>Buldain</w:t>
      </w:r>
      <w:proofErr w:type="spellEnd"/>
      <w:r>
        <w:t xml:space="preserve"> Fundazio</w:t>
      </w:r>
      <w:r>
        <w:t>a</w:t>
      </w:r>
      <w:r>
        <w:t>ren baja ageri da.</w:t>
      </w:r>
    </w:p>
    <w:p w:rsidR="00EC4F97" w:rsidRPr="00B122DA" w:rsidRDefault="00EC4F97" w:rsidP="00EC4F97">
      <w:pPr>
        <w:pStyle w:val="texto"/>
        <w:spacing w:after="240"/>
      </w:pPr>
      <w:r>
        <w:t>Aurreko datuak kontuan hartuta, hona hemen Nafarroako toki sektore publ</w:t>
      </w:r>
      <w:r>
        <w:t>i</w:t>
      </w:r>
      <w:r>
        <w:t>koaren egitura 2017ko abenduaren 31n:</w:t>
      </w:r>
    </w:p>
    <w:p w:rsidR="00EC4F97" w:rsidRPr="001E6B7A" w:rsidRDefault="00EC4F97" w:rsidP="00EC4F97">
      <w:pPr>
        <w:tabs>
          <w:tab w:val="center" w:pos="2835"/>
          <w:tab w:val="center" w:pos="3969"/>
          <w:tab w:val="center" w:pos="5103"/>
          <w:tab w:val="center" w:pos="6237"/>
          <w:tab w:val="center" w:pos="7371"/>
        </w:tabs>
        <w:suppressAutoHyphens/>
        <w:spacing w:after="0"/>
        <w:ind w:left="-378" w:firstLine="284"/>
        <w:rPr>
          <w:rFonts w:ascii="Gill Sans MT" w:hAnsi="Gill Sans MT"/>
          <w:b/>
          <w:bCs/>
          <w:color w:val="000000"/>
          <w:spacing w:val="6"/>
          <w:sz w:val="26"/>
          <w:szCs w:val="24"/>
          <w:highlight w:val="yellow"/>
        </w:rPr>
      </w:pPr>
      <w:r>
        <w:rPr>
          <w:noProof/>
          <w:lang w:val="es-ES" w:eastAsia="es-ES"/>
        </w:rPr>
        <mc:AlternateContent>
          <mc:Choice Requires="wps">
            <w:drawing>
              <wp:anchor distT="0" distB="0" distL="114300" distR="114300" simplePos="0" relativeHeight="251665920" behindDoc="0" locked="0" layoutInCell="1" allowOverlap="1" wp14:anchorId="3A8E95C9" wp14:editId="0B150089">
                <wp:simplePos x="0" y="0"/>
                <wp:positionH relativeFrom="column">
                  <wp:posOffset>2169160</wp:posOffset>
                </wp:positionH>
                <wp:positionV relativeFrom="paragraph">
                  <wp:posOffset>59055</wp:posOffset>
                </wp:positionV>
                <wp:extent cx="1656080" cy="457200"/>
                <wp:effectExtent l="0" t="0" r="2032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57200"/>
                        </a:xfrm>
                        <a:prstGeom prst="rect">
                          <a:avLst/>
                        </a:prstGeom>
                        <a:solidFill>
                          <a:srgbClr val="FFFFFF"/>
                        </a:solidFill>
                        <a:ln w="3175">
                          <a:solidFill>
                            <a:srgbClr val="000000"/>
                          </a:solidFill>
                          <a:miter lim="800000"/>
                          <a:headEnd/>
                          <a:tailEnd/>
                        </a:ln>
                      </wps:spPr>
                      <wps:txbx>
                        <w:txbxContent>
                          <w:p w:rsidR="00FF435B" w:rsidRPr="00D05EAF" w:rsidRDefault="00FF435B" w:rsidP="00F22134">
                            <w:pPr>
                              <w:spacing w:before="100" w:after="0"/>
                              <w:ind w:firstLine="0"/>
                              <w:jc w:val="center"/>
                              <w:rPr>
                                <w:rFonts w:ascii="Arial" w:hAnsi="Arial" w:cs="Arial"/>
                              </w:rPr>
                            </w:pPr>
                            <w:r>
                              <w:rPr>
                                <w:rFonts w:ascii="Arial" w:hAnsi="Arial"/>
                              </w:rPr>
                              <w:t>Nafarroako Toki Sektore Publikoa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70.8pt;margin-top:4.65pt;width:130.4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" strokeweight=".25pt">
                <v:textbox inset="1pt,1pt,1pt,1pt">
                  <w:txbxContent>
                    <w:p w:rsidR="00FF435B" w:rsidRPr="00D05EAF" w:rsidRDefault="00FF435B" w:rsidP="00F22134">
                      <w:pPr>
                        <w:spacing w:before="100" w:after="0"/>
                        <w:ind w:firstLine="0"/>
                        <w:jc w:val="center"/>
                        <w:rPr>
                          <w:rFonts w:ascii="Arial" w:hAnsi="Arial" w:cs="Arial"/>
                        </w:rPr>
                      </w:pPr>
                      <w:r>
                        <w:rPr>
                          <w:rFonts w:ascii="Arial" w:hAnsi="Arial"/>
                        </w:rPr>
                        <w:t>Nafarroako Toki Sektore Publikoa</w:t>
                      </w:r>
                    </w:p>
                  </w:txbxContent>
                </v:textbox>
              </v:rect>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noProof/>
          <w:lang w:val="es-ES" w:eastAsia="es-ES"/>
        </w:rPr>
        <mc:AlternateContent>
          <mc:Choice Requires="wps">
            <w:drawing>
              <wp:anchor distT="0" distB="0" distL="114300" distR="114300" simplePos="0" relativeHeight="251660800" behindDoc="0" locked="0" layoutInCell="1" allowOverlap="1" wp14:anchorId="3FC24A4E" wp14:editId="1BA97791">
                <wp:simplePos x="0" y="0"/>
                <wp:positionH relativeFrom="column">
                  <wp:posOffset>3058160</wp:posOffset>
                </wp:positionH>
                <wp:positionV relativeFrom="paragraph">
                  <wp:posOffset>222250</wp:posOffset>
                </wp:positionV>
                <wp:extent cx="8255" cy="1061085"/>
                <wp:effectExtent l="0" t="0" r="29845" b="2476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06108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8pt,17.5pt" to="241.4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" strokeweight=".25pt">
                <v:stroke startarrowwidth="narrow" startarrowlength="short" endarrowwidth="narrow" endarrowlength="short"/>
              </v:line>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noProof/>
          <w:lang w:val="es-ES" w:eastAsia="es-ES"/>
        </w:rPr>
        <mc:AlternateContent>
          <mc:Choice Requires="wps">
            <w:drawing>
              <wp:anchor distT="0" distB="0" distL="114299" distR="114299" simplePos="0" relativeHeight="251662848" behindDoc="0" locked="0" layoutInCell="1" allowOverlap="1" wp14:anchorId="4F5CB85D" wp14:editId="33199496">
                <wp:simplePos x="0" y="0"/>
                <wp:positionH relativeFrom="column">
                  <wp:posOffset>768350</wp:posOffset>
                </wp:positionH>
                <wp:positionV relativeFrom="paragraph">
                  <wp:posOffset>242570</wp:posOffset>
                </wp:positionV>
                <wp:extent cx="3810" cy="1000760"/>
                <wp:effectExtent l="0" t="0" r="34290" b="2794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00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pt,19.1pt" to="60.8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" strokeweight=".25pt"/>
            </w:pict>
          </mc:Fallback>
        </mc:AlternateContent>
      </w:r>
      <w:r>
        <w:rPr>
          <w:noProof/>
          <w:lang w:val="es-ES" w:eastAsia="es-ES"/>
        </w:rPr>
        <mc:AlternateContent>
          <mc:Choice Requires="wps">
            <w:drawing>
              <wp:anchor distT="0" distB="0" distL="114300" distR="114300" simplePos="0" relativeHeight="251663872" behindDoc="0" locked="0" layoutInCell="1" allowOverlap="1" wp14:anchorId="77661F4C" wp14:editId="23CB9A87">
                <wp:simplePos x="0" y="0"/>
                <wp:positionH relativeFrom="column">
                  <wp:posOffset>5198745</wp:posOffset>
                </wp:positionH>
                <wp:positionV relativeFrom="paragraph">
                  <wp:posOffset>240030</wp:posOffset>
                </wp:positionV>
                <wp:extent cx="6985" cy="388620"/>
                <wp:effectExtent l="0" t="0" r="31115" b="1143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86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18.9pt" to="40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" strokeweight=".25pt">
                <v:stroke startarrowwidth="narrow" startarrowlength="short" endarrowwidth="narrow" endarrowlength="short"/>
              </v:line>
            </w:pict>
          </mc:Fallback>
        </mc:AlternateContent>
      </w:r>
      <w:r>
        <w:rPr>
          <w:noProof/>
          <w:lang w:val="es-ES" w:eastAsia="es-ES"/>
        </w:rPr>
        <mc:AlternateContent>
          <mc:Choice Requires="wps">
            <w:drawing>
              <wp:anchor distT="4294967295" distB="4294967295" distL="114300" distR="114300" simplePos="0" relativeHeight="251661824" behindDoc="0" locked="0" layoutInCell="1" allowOverlap="1" wp14:anchorId="54F3E085" wp14:editId="2AF91FFD">
                <wp:simplePos x="0" y="0"/>
                <wp:positionH relativeFrom="column">
                  <wp:posOffset>772160</wp:posOffset>
                </wp:positionH>
                <wp:positionV relativeFrom="paragraph">
                  <wp:posOffset>244474</wp:posOffset>
                </wp:positionV>
                <wp:extent cx="4426585" cy="0"/>
                <wp:effectExtent l="0" t="0" r="1206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658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19.25pt" to="40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0JwIAAGEEAAAOAAAAZHJzL2Uyb0RvYy54bWysVMGO2jAQvVfqP1i+QxI2U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" strokeweight=".25pt">
                <v:stroke startarrowwidth="narrow" startarrowlength="short" endarrowwidth="narrow" endarrowlength="short"/>
              </v:line>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noProof/>
          <w:lang w:val="es-ES" w:eastAsia="es-ES"/>
        </w:rPr>
        <mc:AlternateContent>
          <mc:Choice Requires="wps">
            <w:drawing>
              <wp:anchor distT="0" distB="0" distL="114300" distR="114300" simplePos="0" relativeHeight="251668992" behindDoc="0" locked="0" layoutInCell="1" allowOverlap="1" wp14:anchorId="324D064D" wp14:editId="4FF78632">
                <wp:simplePos x="0" y="0"/>
                <wp:positionH relativeFrom="column">
                  <wp:posOffset>342881</wp:posOffset>
                </wp:positionH>
                <wp:positionV relativeFrom="paragraph">
                  <wp:posOffset>273685</wp:posOffset>
                </wp:positionV>
                <wp:extent cx="841375" cy="370840"/>
                <wp:effectExtent l="0" t="0" r="1587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70840"/>
                        </a:xfrm>
                        <a:prstGeom prst="rect">
                          <a:avLst/>
                        </a:prstGeom>
                        <a:solidFill>
                          <a:srgbClr val="FFFFFF"/>
                        </a:solidFill>
                        <a:ln w="3175">
                          <a:solidFill>
                            <a:srgbClr val="000000"/>
                          </a:solidFill>
                          <a:miter lim="800000"/>
                          <a:headEnd/>
                          <a:tailEnd/>
                        </a:ln>
                      </wps:spPr>
                      <wps:txbx>
                        <w:txbxContent>
                          <w:p w:rsidR="00FF435B" w:rsidRPr="00D05EAF" w:rsidRDefault="00FF435B" w:rsidP="00EC4F97">
                            <w:pPr>
                              <w:spacing w:before="140" w:after="100"/>
                              <w:ind w:firstLine="0"/>
                              <w:jc w:val="center"/>
                              <w:rPr>
                                <w:rFonts w:ascii="Arial Narrow" w:hAnsi="Arial Narrow" w:cs="GillSans"/>
                                <w:sz w:val="18"/>
                                <w:szCs w:val="18"/>
                              </w:rPr>
                            </w:pPr>
                            <w:r>
                              <w:rPr>
                                <w:rFonts w:ascii="Arial Narrow" w:hAnsi="Arial Narrow"/>
                                <w:sz w:val="18"/>
                                <w:szCs w:val="18"/>
                              </w:rPr>
                              <w:t>Udalak: 272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7pt;margin-top:21.55pt;width:66.25pt;height:2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" strokeweight=".25pt">
                <v:textbox inset="1pt,1pt,1pt,1pt">
                  <w:txbxContent>
                    <w:p w:rsidR="00FF435B" w:rsidRPr="00D05EAF" w:rsidRDefault="00FF435B" w:rsidP="00EC4F97">
                      <w:pPr>
                        <w:spacing w:before="140" w:after="100"/>
                        <w:ind w:firstLine="0"/>
                        <w:jc w:val="center"/>
                        <w:rPr>
                          <w:rFonts w:ascii="Arial Narrow" w:hAnsi="Arial Narrow" w:cs="GillSans"/>
                          <w:sz w:val="18"/>
                          <w:szCs w:val="18"/>
                        </w:rPr>
                      </w:pPr>
                      <w:r>
                        <w:rPr>
                          <w:rFonts w:ascii="Arial Narrow" w:hAnsi="Arial Narrow"/>
                          <w:sz w:val="18"/>
                          <w:szCs w:val="18"/>
                        </w:rPr>
                        <w:t>Udalak: 272</w:t>
                      </w:r>
                    </w:p>
                  </w:txbxContent>
                </v:textbox>
              </v:rect>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10"/>
          <w:szCs w:val="10"/>
          <w:highlight w:val="yellow"/>
        </w:rPr>
      </w:pPr>
      <w:r>
        <w:rPr>
          <w:noProof/>
          <w:lang w:val="es-ES" w:eastAsia="es-ES"/>
        </w:rPr>
        <mc:AlternateContent>
          <mc:Choice Requires="wps">
            <w:drawing>
              <wp:anchor distT="0" distB="0" distL="114300" distR="114300" simplePos="0" relativeHeight="251667968" behindDoc="0" locked="0" layoutInCell="1" allowOverlap="1" wp14:anchorId="65E41E47" wp14:editId="7B6A7C21">
                <wp:simplePos x="0" y="0"/>
                <wp:positionH relativeFrom="column">
                  <wp:posOffset>2566035</wp:posOffset>
                </wp:positionH>
                <wp:positionV relativeFrom="paragraph">
                  <wp:posOffset>12700</wp:posOffset>
                </wp:positionV>
                <wp:extent cx="1019175" cy="370205"/>
                <wp:effectExtent l="0" t="0" r="2857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0205"/>
                        </a:xfrm>
                        <a:prstGeom prst="rect">
                          <a:avLst/>
                        </a:prstGeom>
                        <a:solidFill>
                          <a:srgbClr val="FFFFFF"/>
                        </a:solidFill>
                        <a:ln w="3175">
                          <a:solidFill>
                            <a:srgbClr val="000000"/>
                          </a:solidFill>
                          <a:miter lim="800000"/>
                          <a:headEnd/>
                          <a:tailEnd/>
                        </a:ln>
                      </wps:spPr>
                      <wps:txbx>
                        <w:txbxContent>
                          <w:p w:rsidR="00FF435B" w:rsidRPr="00D05EAF" w:rsidRDefault="00FF435B" w:rsidP="003C6858">
                            <w:pPr>
                              <w:spacing w:before="60" w:after="0"/>
                              <w:ind w:firstLine="0"/>
                              <w:jc w:val="center"/>
                              <w:rPr>
                                <w:rFonts w:ascii="Arial Narrow" w:hAnsi="Arial Narrow" w:cs="GillSans"/>
                                <w:sz w:val="18"/>
                                <w:szCs w:val="18"/>
                              </w:rPr>
                            </w:pPr>
                            <w:r>
                              <w:rPr>
                                <w:rFonts w:ascii="Arial Narrow" w:hAnsi="Arial Narrow"/>
                                <w:sz w:val="18"/>
                                <w:szCs w:val="18"/>
                              </w:rPr>
                              <w:t>Udalez gaindiko</w:t>
                            </w:r>
                            <w:r>
                              <w:rPr>
                                <w:rFonts w:ascii="Arial Narrow" w:hAnsi="Arial Narrow"/>
                                <w:sz w:val="18"/>
                                <w:szCs w:val="18"/>
                              </w:rPr>
                              <w:br/>
                              <w:t>entitateak: 85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02.05pt;margin-top:1pt;width:80.25pt;height:29.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" strokeweight=".25pt">
                <v:textbox inset="1pt,1pt,1pt,1pt">
                  <w:txbxContent>
                    <w:p w:rsidR="00FF435B" w:rsidRPr="00D05EAF" w:rsidRDefault="00FF435B" w:rsidP="003C6858">
                      <w:pPr>
                        <w:spacing w:before="60" w:after="0"/>
                        <w:ind w:firstLine="0"/>
                        <w:jc w:val="center"/>
                        <w:rPr>
                          <w:rFonts w:ascii="Arial Narrow" w:hAnsi="Arial Narrow" w:cs="GillSans"/>
                          <w:sz w:val="18"/>
                          <w:szCs w:val="18"/>
                        </w:rPr>
                      </w:pPr>
                      <w:r>
                        <w:rPr>
                          <w:rFonts w:ascii="Arial Narrow" w:hAnsi="Arial Narrow"/>
                          <w:sz w:val="18"/>
                          <w:szCs w:val="18"/>
                        </w:rPr>
                        <w:t>Udalez gaindiko</w:t>
                      </w:r>
                      <w:r>
                        <w:rPr>
                          <w:rFonts w:ascii="Arial Narrow" w:hAnsi="Arial Narrow"/>
                          <w:sz w:val="18"/>
                          <w:szCs w:val="18"/>
                        </w:rPr>
                        <w:br/>
                        <w:t>entitateak: 85</w:t>
                      </w:r>
                    </w:p>
                  </w:txbxContent>
                </v:textbox>
              </v:rect>
            </w:pict>
          </mc:Fallback>
        </mc:AlternateContent>
      </w:r>
      <w:r>
        <w:rPr>
          <w:noProof/>
          <w:lang w:val="es-ES" w:eastAsia="es-ES"/>
        </w:rPr>
        <mc:AlternateContent>
          <mc:Choice Requires="wps">
            <w:drawing>
              <wp:anchor distT="0" distB="0" distL="114300" distR="114300" simplePos="0" relativeHeight="251666944" behindDoc="0" locked="0" layoutInCell="1" allowOverlap="1" wp14:anchorId="3F29053C" wp14:editId="23BAA365">
                <wp:simplePos x="0" y="0"/>
                <wp:positionH relativeFrom="column">
                  <wp:posOffset>4740910</wp:posOffset>
                </wp:positionH>
                <wp:positionV relativeFrom="paragraph">
                  <wp:posOffset>8890</wp:posOffset>
                </wp:positionV>
                <wp:extent cx="842010" cy="369570"/>
                <wp:effectExtent l="0" t="0" r="15240" b="1143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69570"/>
                        </a:xfrm>
                        <a:prstGeom prst="rect">
                          <a:avLst/>
                        </a:prstGeom>
                        <a:solidFill>
                          <a:srgbClr val="FFFFFF"/>
                        </a:solidFill>
                        <a:ln w="3175">
                          <a:solidFill>
                            <a:srgbClr val="000000"/>
                          </a:solidFill>
                          <a:miter lim="800000"/>
                          <a:headEnd/>
                          <a:tailEnd/>
                        </a:ln>
                      </wps:spPr>
                      <wps:txbx>
                        <w:txbxContent>
                          <w:p w:rsidR="00FF435B" w:rsidRPr="00D05EAF" w:rsidRDefault="00FF435B" w:rsidP="00EC4F97">
                            <w:pPr>
                              <w:spacing w:before="140" w:after="100"/>
                              <w:ind w:firstLine="0"/>
                              <w:jc w:val="center"/>
                              <w:rPr>
                                <w:rFonts w:ascii="Arial Narrow" w:hAnsi="Arial Narrow" w:cs="GillSans"/>
                                <w:sz w:val="18"/>
                                <w:szCs w:val="18"/>
                              </w:rPr>
                            </w:pPr>
                            <w:r>
                              <w:rPr>
                                <w:rFonts w:ascii="Arial Narrow" w:hAnsi="Arial Narrow"/>
                                <w:sz w:val="18"/>
                                <w:szCs w:val="18"/>
                              </w:rPr>
                              <w:t>Kontzejuak: 346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373.3pt;margin-top:.7pt;width:66.3pt;height:2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" strokeweight=".25pt">
                <v:textbox inset="1pt,1pt,1pt,1pt">
                  <w:txbxContent>
                    <w:p w:rsidR="00FF435B" w:rsidRPr="00D05EAF" w:rsidRDefault="00FF435B" w:rsidP="00EC4F97">
                      <w:pPr>
                        <w:spacing w:before="140" w:after="100"/>
                        <w:ind w:firstLine="0"/>
                        <w:jc w:val="center"/>
                        <w:rPr>
                          <w:rFonts w:ascii="Arial Narrow" w:hAnsi="Arial Narrow" w:cs="GillSans"/>
                          <w:sz w:val="18"/>
                          <w:szCs w:val="18"/>
                        </w:rPr>
                      </w:pPr>
                      <w:r>
                        <w:rPr>
                          <w:rFonts w:ascii="Arial Narrow" w:hAnsi="Arial Narrow"/>
                          <w:sz w:val="18"/>
                          <w:szCs w:val="18"/>
                        </w:rPr>
                        <w:t>Kontzejuak: 346</w:t>
                      </w:r>
                    </w:p>
                  </w:txbxContent>
                </v:textbox>
              </v:rect>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rFonts w:ascii="Gill Sans MT" w:hAnsi="Gill Sans MT"/>
          <w:noProof/>
          <w:color w:val="000000"/>
          <w:sz w:val="26"/>
          <w:szCs w:val="24"/>
          <w:lang w:val="es-ES" w:eastAsia="es-ES"/>
        </w:rPr>
        <mc:AlternateContent>
          <mc:Choice Requires="wps">
            <w:drawing>
              <wp:anchor distT="0" distB="0" distL="114300" distR="114300" simplePos="0" relativeHeight="251675136" behindDoc="0" locked="0" layoutInCell="1" allowOverlap="1" wp14:anchorId="4A1B0FF0" wp14:editId="0B3F5783">
                <wp:simplePos x="0" y="0"/>
                <wp:positionH relativeFrom="column">
                  <wp:posOffset>3064820</wp:posOffset>
                </wp:positionH>
                <wp:positionV relativeFrom="paragraph">
                  <wp:posOffset>208205</wp:posOffset>
                </wp:positionV>
                <wp:extent cx="0" cy="109752"/>
                <wp:effectExtent l="0" t="0" r="19050" b="24130"/>
                <wp:wrapNone/>
                <wp:docPr id="7" name="7 Conector recto"/>
                <wp:cNvGraphicFramePr/>
                <a:graphic xmlns:a="http://schemas.openxmlformats.org/drawingml/2006/main">
                  <a:graphicData uri="http://schemas.microsoft.com/office/word/2010/wordprocessingShape">
                    <wps:wsp>
                      <wps:cNvCnPr/>
                      <wps:spPr>
                        <a:xfrm>
                          <a:off x="0" y="0"/>
                          <a:ext cx="0" cy="1097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41.3pt,16.4pt" to="241.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" strokecolor="#4579b8 [3044]"/>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noProof/>
          <w:lang w:val="es-ES" w:eastAsia="es-ES"/>
        </w:rPr>
        <mc:AlternateContent>
          <mc:Choice Requires="wps">
            <w:drawing>
              <wp:anchor distT="0" distB="0" distL="114300" distR="114300" simplePos="0" relativeHeight="251670016" behindDoc="0" locked="0" layoutInCell="1" allowOverlap="1" wp14:anchorId="180CF098" wp14:editId="4376ACF1">
                <wp:simplePos x="0" y="0"/>
                <wp:positionH relativeFrom="column">
                  <wp:posOffset>61595</wp:posOffset>
                </wp:positionH>
                <wp:positionV relativeFrom="paragraph">
                  <wp:posOffset>144780</wp:posOffset>
                </wp:positionV>
                <wp:extent cx="1433195" cy="623570"/>
                <wp:effectExtent l="0" t="0" r="14605" b="2413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623570"/>
                        </a:xfrm>
                        <a:prstGeom prst="rect">
                          <a:avLst/>
                        </a:prstGeom>
                        <a:solidFill>
                          <a:srgbClr val="FFFFFF"/>
                        </a:solidFill>
                        <a:ln w="3175">
                          <a:solidFill>
                            <a:srgbClr val="000000"/>
                          </a:solidFill>
                          <a:miter lim="800000"/>
                          <a:headEnd/>
                          <a:tailEnd/>
                        </a:ln>
                      </wps:spPr>
                      <wps:txbx>
                        <w:txbxContent>
                          <w:p w:rsidR="00FF435B" w:rsidRPr="00D05EAF" w:rsidRDefault="00FF435B" w:rsidP="00EC4F97">
                            <w:pPr>
                              <w:spacing w:before="20" w:after="0"/>
                              <w:ind w:left="14" w:firstLine="0"/>
                              <w:jc w:val="center"/>
                              <w:rPr>
                                <w:rFonts w:ascii="Arial Narrow" w:hAnsi="Arial Narrow" w:cs="GillSans Light"/>
                                <w:sz w:val="18"/>
                                <w:szCs w:val="18"/>
                                <w:highlight w:val="yellow"/>
                              </w:rPr>
                            </w:pPr>
                            <w:r>
                              <w:rPr>
                                <w:rFonts w:ascii="Arial Narrow" w:hAnsi="Arial Narrow"/>
                                <w:sz w:val="18"/>
                                <w:szCs w:val="18"/>
                              </w:rPr>
                              <w:t>Erakunde autonomoak: 60</w:t>
                            </w:r>
                          </w:p>
                          <w:p w:rsidR="00FF435B" w:rsidRPr="00D05EAF" w:rsidRDefault="00FF435B" w:rsidP="00EC4F97">
                            <w:pPr>
                              <w:spacing w:before="20" w:after="0"/>
                              <w:ind w:left="14" w:firstLine="0"/>
                              <w:jc w:val="center"/>
                              <w:rPr>
                                <w:rFonts w:ascii="Arial Narrow" w:hAnsi="Arial Narrow" w:cs="GillSans Light"/>
                                <w:sz w:val="18"/>
                                <w:szCs w:val="18"/>
                              </w:rPr>
                            </w:pPr>
                            <w:r>
                              <w:rPr>
                                <w:rFonts w:ascii="Arial Narrow" w:hAnsi="Arial Narrow"/>
                                <w:sz w:val="18"/>
                                <w:szCs w:val="18"/>
                              </w:rPr>
                              <w:t>Merkataritza-sozietateak: 46</w:t>
                            </w:r>
                          </w:p>
                          <w:p w:rsidR="00FF435B" w:rsidRDefault="00FF435B" w:rsidP="00EC4F97">
                            <w:pPr>
                              <w:spacing w:after="0"/>
                              <w:ind w:left="14" w:firstLine="0"/>
                              <w:jc w:val="center"/>
                              <w:rPr>
                                <w:rFonts w:ascii="Arial Narrow" w:hAnsi="Arial Narrow" w:cs="GillSans Light"/>
                                <w:sz w:val="18"/>
                                <w:szCs w:val="18"/>
                              </w:rPr>
                            </w:pPr>
                            <w:r>
                              <w:rPr>
                                <w:rFonts w:ascii="Arial Narrow" w:hAnsi="Arial Narrow"/>
                                <w:sz w:val="18"/>
                                <w:szCs w:val="18"/>
                              </w:rPr>
                              <w:t>Fundazioak: 8</w:t>
                            </w:r>
                          </w:p>
                          <w:p w:rsidR="00FF435B" w:rsidRPr="00D05EAF" w:rsidRDefault="00FF435B" w:rsidP="00EC4F97">
                            <w:pPr>
                              <w:spacing w:after="0"/>
                              <w:ind w:left="14" w:firstLine="0"/>
                              <w:jc w:val="center"/>
                              <w:rPr>
                                <w:rFonts w:ascii="Arial Narrow" w:hAnsi="Arial Narrow" w:cs="GillSans Light"/>
                                <w:sz w:val="18"/>
                                <w:szCs w:val="18"/>
                              </w:rPr>
                            </w:pPr>
                            <w:r>
                              <w:rPr>
                                <w:rFonts w:ascii="Arial Narrow" w:hAnsi="Arial Narrow"/>
                                <w:sz w:val="18"/>
                                <w:szCs w:val="18"/>
                              </w:rPr>
                              <w:t>Partzuergoak 17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1" style="position:absolute;left:0;text-align:left;margin-left:4.85pt;margin-top:11.4pt;width:112.85pt;height:4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FgJwIAAFAEAAAOAAAAZHJzL2Uyb0RvYy54bWysVMGO0zAQvSPxD5bvNElL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" strokeweight=".25pt">
                <v:textbox inset="1pt,1pt,1pt,1pt">
                  <w:txbxContent>
                    <w:p w:rsidR="00FF435B" w:rsidRPr="00D05EAF" w:rsidRDefault="00FF435B" w:rsidP="00EC4F97">
                      <w:pPr>
                        <w:spacing w:before="20" w:after="0"/>
                        <w:ind w:left="14" w:firstLine="0"/>
                        <w:jc w:val="center"/>
                        <w:rPr>
                          <w:rFonts w:ascii="Arial Narrow" w:hAnsi="Arial Narrow" w:cs="GillSans Light"/>
                          <w:sz w:val="18"/>
                          <w:szCs w:val="18"/>
                          <w:highlight w:val="yellow"/>
                        </w:rPr>
                      </w:pPr>
                      <w:r>
                        <w:rPr>
                          <w:rFonts w:ascii="Arial Narrow" w:hAnsi="Arial Narrow"/>
                          <w:sz w:val="18"/>
                          <w:szCs w:val="18"/>
                        </w:rPr>
                        <w:t>Erakunde autonomoak: 60</w:t>
                      </w:r>
                    </w:p>
                    <w:p w:rsidR="00FF435B" w:rsidRPr="00D05EAF" w:rsidRDefault="00FF435B" w:rsidP="00EC4F97">
                      <w:pPr>
                        <w:spacing w:before="20" w:after="0"/>
                        <w:ind w:left="14" w:firstLine="0"/>
                        <w:jc w:val="center"/>
                        <w:rPr>
                          <w:rFonts w:ascii="Arial Narrow" w:hAnsi="Arial Narrow" w:cs="GillSans Light"/>
                          <w:sz w:val="18"/>
                          <w:szCs w:val="18"/>
                        </w:rPr>
                      </w:pPr>
                      <w:r>
                        <w:rPr>
                          <w:rFonts w:ascii="Arial Narrow" w:hAnsi="Arial Narrow"/>
                          <w:sz w:val="18"/>
                          <w:szCs w:val="18"/>
                        </w:rPr>
                        <w:t>Merkataritza-sozietateak: 46</w:t>
                      </w:r>
                    </w:p>
                    <w:p w:rsidR="00FF435B" w:rsidRDefault="00FF435B" w:rsidP="00EC4F97">
                      <w:pPr>
                        <w:spacing w:after="0"/>
                        <w:ind w:left="14" w:firstLine="0"/>
                        <w:jc w:val="center"/>
                        <w:rPr>
                          <w:rFonts w:ascii="Arial Narrow" w:hAnsi="Arial Narrow" w:cs="GillSans Light"/>
                          <w:sz w:val="18"/>
                          <w:szCs w:val="18"/>
                        </w:rPr>
                      </w:pPr>
                      <w:r>
                        <w:rPr>
                          <w:rFonts w:ascii="Arial Narrow" w:hAnsi="Arial Narrow"/>
                          <w:sz w:val="18"/>
                          <w:szCs w:val="18"/>
                        </w:rPr>
                        <w:t>Fundazioak: 8</w:t>
                      </w:r>
                    </w:p>
                    <w:p w:rsidR="00FF435B" w:rsidRPr="00D05EAF" w:rsidRDefault="00FF435B" w:rsidP="00EC4F97">
                      <w:pPr>
                        <w:spacing w:after="0"/>
                        <w:ind w:left="14" w:firstLine="0"/>
                        <w:jc w:val="center"/>
                        <w:rPr>
                          <w:rFonts w:ascii="Arial Narrow" w:hAnsi="Arial Narrow" w:cs="GillSans Light"/>
                          <w:sz w:val="18"/>
                          <w:szCs w:val="18"/>
                        </w:rPr>
                      </w:pPr>
                      <w:r>
                        <w:rPr>
                          <w:rFonts w:ascii="Arial Narrow" w:hAnsi="Arial Narrow"/>
                          <w:sz w:val="18"/>
                          <w:szCs w:val="18"/>
                        </w:rPr>
                        <w:t>Partzuergoak 17</w:t>
                      </w:r>
                    </w:p>
                  </w:txbxContent>
                </v:textbox>
              </v:rect>
            </w:pict>
          </mc:Fallback>
        </mc:AlternateContent>
      </w:r>
      <w:r>
        <w:rPr>
          <w:noProof/>
          <w:lang w:val="es-ES" w:eastAsia="es-ES"/>
        </w:rPr>
        <mc:AlternateContent>
          <mc:Choice Requires="wps">
            <w:drawing>
              <wp:anchor distT="4294967295" distB="4294967295" distL="114300" distR="114300" simplePos="0" relativeHeight="251664896" behindDoc="0" locked="0" layoutInCell="1" allowOverlap="1" wp14:anchorId="3AD57C75" wp14:editId="2B14655A">
                <wp:simplePos x="0" y="0"/>
                <wp:positionH relativeFrom="column">
                  <wp:posOffset>2292350</wp:posOffset>
                </wp:positionH>
                <wp:positionV relativeFrom="paragraph">
                  <wp:posOffset>2540</wp:posOffset>
                </wp:positionV>
                <wp:extent cx="1560830" cy="5080"/>
                <wp:effectExtent l="0" t="0" r="20320" b="3302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508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2pt" to="30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" strokeweight=".2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59776" behindDoc="0" locked="0" layoutInCell="1" allowOverlap="1" wp14:anchorId="48810729" wp14:editId="18FC8517">
                <wp:simplePos x="0" y="0"/>
                <wp:positionH relativeFrom="column">
                  <wp:posOffset>2290445</wp:posOffset>
                </wp:positionH>
                <wp:positionV relativeFrom="paragraph">
                  <wp:posOffset>7620</wp:posOffset>
                </wp:positionV>
                <wp:extent cx="0" cy="859790"/>
                <wp:effectExtent l="0" t="0" r="19050" b="1651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5979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6pt" to="180.3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" strokeweight=".2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2064" behindDoc="0" locked="0" layoutInCell="1" allowOverlap="1" wp14:anchorId="2A8A8AFD" wp14:editId="2002D844">
                <wp:simplePos x="0" y="0"/>
                <wp:positionH relativeFrom="column">
                  <wp:posOffset>3848735</wp:posOffset>
                </wp:positionH>
                <wp:positionV relativeFrom="paragraph">
                  <wp:posOffset>4445</wp:posOffset>
                </wp:positionV>
                <wp:extent cx="6350" cy="409575"/>
                <wp:effectExtent l="0" t="0" r="31750" b="2857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957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35pt" to="303.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" strokeweight=".2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4112" behindDoc="0" locked="0" layoutInCell="1" allowOverlap="1" wp14:anchorId="282F5FB4" wp14:editId="3C773C4E">
                <wp:simplePos x="0" y="0"/>
                <wp:positionH relativeFrom="column">
                  <wp:posOffset>3266440</wp:posOffset>
                </wp:positionH>
                <wp:positionV relativeFrom="paragraph">
                  <wp:posOffset>167005</wp:posOffset>
                </wp:positionV>
                <wp:extent cx="1229995" cy="368935"/>
                <wp:effectExtent l="0" t="0" r="27305" b="1206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68935"/>
                        </a:xfrm>
                        <a:prstGeom prst="rect">
                          <a:avLst/>
                        </a:prstGeom>
                        <a:solidFill>
                          <a:srgbClr val="FFFFFF"/>
                        </a:solidFill>
                        <a:ln w="3175">
                          <a:solidFill>
                            <a:srgbClr val="000000"/>
                          </a:solidFill>
                          <a:miter lim="800000"/>
                          <a:headEnd/>
                          <a:tailEnd/>
                        </a:ln>
                      </wps:spPr>
                      <wps:txbx>
                        <w:txbxContent>
                          <w:p w:rsidR="00FF435B" w:rsidRPr="006B60F8" w:rsidRDefault="00FF435B" w:rsidP="00EC4F97">
                            <w:pPr>
                              <w:spacing w:before="140" w:after="100"/>
                              <w:ind w:firstLine="0"/>
                              <w:jc w:val="center"/>
                              <w:rPr>
                                <w:rFonts w:ascii="Arial Narrow" w:hAnsi="Arial Narrow" w:cs="GillSans"/>
                                <w:sz w:val="18"/>
                                <w:szCs w:val="18"/>
                              </w:rPr>
                            </w:pPr>
                            <w:r>
                              <w:rPr>
                                <w:rFonts w:ascii="Arial Narrow" w:hAnsi="Arial Narrow"/>
                                <w:sz w:val="18"/>
                                <w:szCs w:val="18"/>
                              </w:rPr>
                              <w:t>Udal-batasunak: 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left:0;text-align:left;margin-left:257.2pt;margin-top:13.15pt;width:96.85pt;height:2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" strokeweight=".25pt">
                <v:textbox inset="1pt,1pt,1pt,1pt">
                  <w:txbxContent>
                    <w:p w:rsidR="00FF435B" w:rsidRPr="006B60F8" w:rsidRDefault="00FF435B" w:rsidP="00EC4F97">
                      <w:pPr>
                        <w:spacing w:before="140" w:after="100"/>
                        <w:ind w:firstLine="0"/>
                        <w:jc w:val="center"/>
                        <w:rPr>
                          <w:rFonts w:ascii="Arial Narrow" w:hAnsi="Arial Narrow" w:cs="GillSans"/>
                          <w:sz w:val="18"/>
                          <w:szCs w:val="18"/>
                        </w:rPr>
                      </w:pPr>
                      <w:r>
                        <w:rPr>
                          <w:rFonts w:ascii="Arial Narrow" w:hAnsi="Arial Narrow"/>
                          <w:sz w:val="18"/>
                          <w:szCs w:val="18"/>
                        </w:rPr>
                        <w:t>Udal-batasunak: 23</w:t>
                      </w:r>
                    </w:p>
                  </w:txbxContent>
                </v:textbox>
              </v:rect>
            </w:pict>
          </mc:Fallback>
        </mc:AlternateContent>
      </w:r>
      <w:r>
        <w:rPr>
          <w:noProof/>
          <w:lang w:val="es-ES" w:eastAsia="es-ES"/>
        </w:rPr>
        <mc:AlternateContent>
          <mc:Choice Requires="wps">
            <w:drawing>
              <wp:anchor distT="0" distB="0" distL="114300" distR="114300" simplePos="0" relativeHeight="251673088" behindDoc="0" locked="0" layoutInCell="1" allowOverlap="1" wp14:anchorId="455153DA" wp14:editId="5C0AB207">
                <wp:simplePos x="0" y="0"/>
                <wp:positionH relativeFrom="column">
                  <wp:posOffset>1784350</wp:posOffset>
                </wp:positionH>
                <wp:positionV relativeFrom="paragraph">
                  <wp:posOffset>165100</wp:posOffset>
                </wp:positionV>
                <wp:extent cx="1192530" cy="368935"/>
                <wp:effectExtent l="0" t="0" r="2667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8935"/>
                        </a:xfrm>
                        <a:prstGeom prst="rect">
                          <a:avLst/>
                        </a:prstGeom>
                        <a:solidFill>
                          <a:srgbClr val="FFFFFF"/>
                        </a:solidFill>
                        <a:ln w="3175">
                          <a:solidFill>
                            <a:srgbClr val="000000"/>
                          </a:solidFill>
                          <a:miter lim="800000"/>
                          <a:headEnd/>
                          <a:tailEnd/>
                        </a:ln>
                      </wps:spPr>
                      <wps:txbx>
                        <w:txbxContent>
                          <w:p w:rsidR="00FF435B" w:rsidRPr="006B60F8" w:rsidRDefault="00FF435B" w:rsidP="00EC4F97">
                            <w:pPr>
                              <w:spacing w:before="140" w:after="100"/>
                              <w:ind w:firstLine="0"/>
                              <w:jc w:val="center"/>
                              <w:rPr>
                                <w:rFonts w:ascii="Arial Narrow" w:hAnsi="Arial Narrow" w:cs="GillSans"/>
                                <w:sz w:val="18"/>
                                <w:szCs w:val="18"/>
                              </w:rPr>
                            </w:pPr>
                            <w:r>
                              <w:rPr>
                                <w:rFonts w:ascii="Arial Narrow" w:hAnsi="Arial Narrow"/>
                                <w:sz w:val="18"/>
                                <w:szCs w:val="18"/>
                              </w:rPr>
                              <w:t>Mankomunitateak: 62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left:0;text-align:left;margin-left:140.5pt;margin-top:13pt;width:93.9pt;height:29.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" strokeweight=".25pt">
                <v:textbox inset="1pt,1pt,1pt,1pt">
                  <w:txbxContent>
                    <w:p w:rsidR="00FF435B" w:rsidRPr="006B60F8" w:rsidRDefault="00FF435B" w:rsidP="00EC4F97">
                      <w:pPr>
                        <w:spacing w:before="140" w:after="100"/>
                        <w:ind w:firstLine="0"/>
                        <w:jc w:val="center"/>
                        <w:rPr>
                          <w:rFonts w:ascii="Arial Narrow" w:hAnsi="Arial Narrow" w:cs="GillSans"/>
                          <w:sz w:val="18"/>
                          <w:szCs w:val="18"/>
                        </w:rPr>
                      </w:pPr>
                      <w:r>
                        <w:rPr>
                          <w:rFonts w:ascii="Arial Narrow" w:hAnsi="Arial Narrow"/>
                          <w:sz w:val="18"/>
                          <w:szCs w:val="18"/>
                        </w:rPr>
                        <w:t>Mankomunitateak: 62</w:t>
                      </w:r>
                    </w:p>
                  </w:txbxContent>
                </v:textbox>
              </v:rect>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Pr>
          <w:noProof/>
          <w:lang w:val="es-ES" w:eastAsia="es-ES"/>
        </w:rPr>
        <mc:AlternateContent>
          <mc:Choice Requires="wps">
            <w:drawing>
              <wp:anchor distT="0" distB="0" distL="114300" distR="114300" simplePos="0" relativeHeight="251671040" behindDoc="0" locked="0" layoutInCell="1" allowOverlap="1" wp14:anchorId="215C9C99" wp14:editId="78F05C31">
                <wp:simplePos x="0" y="0"/>
                <wp:positionH relativeFrom="column">
                  <wp:posOffset>1657702</wp:posOffset>
                </wp:positionH>
                <wp:positionV relativeFrom="paragraph">
                  <wp:posOffset>247242</wp:posOffset>
                </wp:positionV>
                <wp:extent cx="1413974" cy="345440"/>
                <wp:effectExtent l="0" t="0" r="15240" b="1651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974" cy="345440"/>
                        </a:xfrm>
                        <a:prstGeom prst="rect">
                          <a:avLst/>
                        </a:prstGeom>
                        <a:solidFill>
                          <a:srgbClr val="FFFFFF"/>
                        </a:solidFill>
                        <a:ln w="3175">
                          <a:solidFill>
                            <a:srgbClr val="000000"/>
                          </a:solidFill>
                          <a:miter lim="800000"/>
                          <a:headEnd/>
                          <a:tailEnd/>
                        </a:ln>
                      </wps:spPr>
                      <wps:txbx>
                        <w:txbxContent>
                          <w:p w:rsidR="00FF435B" w:rsidRPr="00D05EAF" w:rsidRDefault="00FF435B" w:rsidP="00EC4F97">
                            <w:pPr>
                              <w:spacing w:before="60" w:after="0"/>
                              <w:ind w:firstLine="0"/>
                              <w:jc w:val="center"/>
                              <w:rPr>
                                <w:rFonts w:ascii="Arial Narrow" w:hAnsi="Arial Narrow" w:cs="GillSans Light"/>
                                <w:sz w:val="18"/>
                                <w:szCs w:val="18"/>
                              </w:rPr>
                            </w:pPr>
                            <w:r>
                              <w:rPr>
                                <w:rFonts w:ascii="Arial Narrow" w:hAnsi="Arial Narrow"/>
                                <w:sz w:val="18"/>
                                <w:szCs w:val="18"/>
                              </w:rPr>
                              <w:t>Erakunde autonomoak: 3</w:t>
                            </w:r>
                          </w:p>
                          <w:p w:rsidR="00FF435B" w:rsidRPr="00D05EAF" w:rsidRDefault="00FF435B" w:rsidP="00EC4F97">
                            <w:pPr>
                              <w:spacing w:after="0"/>
                              <w:ind w:firstLine="0"/>
                              <w:jc w:val="center"/>
                              <w:rPr>
                                <w:rFonts w:ascii="Arial Narrow" w:hAnsi="Arial Narrow" w:cs="GillSans Light"/>
                                <w:sz w:val="18"/>
                                <w:szCs w:val="18"/>
                              </w:rPr>
                            </w:pPr>
                            <w:r>
                              <w:rPr>
                                <w:rFonts w:ascii="Arial Narrow" w:hAnsi="Arial Narrow"/>
                                <w:sz w:val="18"/>
                                <w:szCs w:val="18"/>
                              </w:rPr>
                              <w:t>Merkataritza-sozietateak: 7</w:t>
                            </w:r>
                          </w:p>
                          <w:p w:rsidR="00FF435B" w:rsidRPr="00D05EAF" w:rsidRDefault="00FF435B" w:rsidP="00EC4F97">
                            <w:pPr>
                              <w:spacing w:before="140" w:after="100"/>
                              <w:jc w:val="center"/>
                              <w:rPr>
                                <w:rFonts w:ascii="Gill Sans MT" w:hAnsi="Gill Sans MT" w:cs="GillSans"/>
                                <w:sz w:val="18"/>
                                <w:szCs w:val="18"/>
                              </w:rPr>
                            </w:pPr>
                          </w:p>
                          <w:p w:rsidR="00FF435B" w:rsidRPr="00725B83" w:rsidRDefault="00FF435B" w:rsidP="00EC4F97">
                            <w:pPr>
                              <w:spacing w:before="140" w:after="100"/>
                              <w:jc w:val="center"/>
                              <w:rPr>
                                <w:rFonts w:ascii="Gill Sans MT" w:hAnsi="Gill Sans MT" w:cs="GillSans"/>
                                <w:sz w:val="16"/>
                                <w:szCs w:val="16"/>
                              </w:rPr>
                            </w:pPr>
                            <w:r>
                              <w:rPr>
                                <w:rFonts w:ascii="Gill Sans MT" w:hAnsi="Gill Sans MT"/>
                                <w:sz w:val="14"/>
                                <w:szCs w:val="14"/>
                              </w:rPr>
                              <w:t>Merkataritza-sozietateak: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130.55pt;margin-top:19.45pt;width:111.35pt;height:2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" strokeweight=".25pt">
                <v:textbox inset="1pt,1pt,1pt,1pt">
                  <w:txbxContent>
                    <w:p w:rsidR="00FF435B" w:rsidRPr="00D05EAF" w:rsidRDefault="00FF435B" w:rsidP="00EC4F97">
                      <w:pPr>
                        <w:spacing w:before="60" w:after="0"/>
                        <w:ind w:firstLine="0"/>
                        <w:jc w:val="center"/>
                        <w:rPr>
                          <w:rFonts w:ascii="Arial Narrow" w:hAnsi="Arial Narrow" w:cs="GillSans Light"/>
                          <w:sz w:val="18"/>
                          <w:szCs w:val="18"/>
                        </w:rPr>
                      </w:pPr>
                      <w:r>
                        <w:rPr>
                          <w:rFonts w:ascii="Arial Narrow" w:hAnsi="Arial Narrow"/>
                          <w:sz w:val="18"/>
                          <w:szCs w:val="18"/>
                        </w:rPr>
                        <w:t>Erakunde autonomoak: 3</w:t>
                      </w:r>
                    </w:p>
                    <w:p w:rsidR="00FF435B" w:rsidRPr="00D05EAF" w:rsidRDefault="00FF435B" w:rsidP="00EC4F97">
                      <w:pPr>
                        <w:spacing w:after="0"/>
                        <w:ind w:firstLine="0"/>
                        <w:jc w:val="center"/>
                        <w:rPr>
                          <w:rFonts w:ascii="Arial Narrow" w:hAnsi="Arial Narrow" w:cs="GillSans Light"/>
                          <w:sz w:val="18"/>
                          <w:szCs w:val="18"/>
                        </w:rPr>
                      </w:pPr>
                      <w:r>
                        <w:rPr>
                          <w:rFonts w:ascii="Arial Narrow" w:hAnsi="Arial Narrow"/>
                          <w:sz w:val="18"/>
                          <w:szCs w:val="18"/>
                        </w:rPr>
                        <w:t>Merkataritza-sozietateak: 7</w:t>
                      </w:r>
                    </w:p>
                    <w:p w:rsidR="00FF435B" w:rsidRPr="00D05EAF" w:rsidRDefault="00FF435B" w:rsidP="00EC4F97">
                      <w:pPr>
                        <w:spacing w:before="140" w:after="100"/>
                        <w:jc w:val="center"/>
                        <w:rPr>
                          <w:rFonts w:ascii="Gill Sans MT" w:hAnsi="Gill Sans MT" w:cs="GillSans"/>
                          <w:sz w:val="18"/>
                          <w:szCs w:val="18"/>
                        </w:rPr>
                      </w:pPr>
                    </w:p>
                    <w:p w:rsidR="00FF435B" w:rsidRPr="00725B83" w:rsidRDefault="00FF435B" w:rsidP="00EC4F97">
                      <w:pPr>
                        <w:spacing w:before="140" w:after="100"/>
                        <w:jc w:val="center"/>
                        <w:rPr>
                          <w:rFonts w:ascii="Gill Sans MT" w:hAnsi="Gill Sans MT" w:cs="GillSans"/>
                          <w:sz w:val="16"/>
                          <w:szCs w:val="16"/>
                        </w:rPr>
                      </w:pPr>
                      <w:r>
                        <w:rPr>
                          <w:rFonts w:ascii="Gill Sans MT" w:hAnsi="Gill Sans MT"/>
                          <w:sz w:val="14"/>
                          <w:szCs w:val="14"/>
                        </w:rPr>
                        <w:t>Merkataritza-sozietateak: 5</w:t>
                      </w:r>
                    </w:p>
                  </w:txbxContent>
                </v:textbox>
              </v:rect>
            </w:pict>
          </mc:Fallback>
        </mc:AlternateContent>
      </w:r>
    </w:p>
    <w:p w:rsidR="00EC4F97" w:rsidRPr="001E6B7A" w:rsidRDefault="00EC4F97" w:rsidP="00EC4F97">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p>
    <w:p w:rsidR="00EC4F97" w:rsidRPr="001E6B7A" w:rsidRDefault="00EC4F97" w:rsidP="00EC4F97">
      <w:pPr>
        <w:tabs>
          <w:tab w:val="center" w:pos="2835"/>
          <w:tab w:val="center" w:pos="3969"/>
          <w:tab w:val="center" w:pos="5103"/>
          <w:tab w:val="center" w:pos="6237"/>
          <w:tab w:val="center" w:pos="7371"/>
        </w:tabs>
        <w:suppressAutoHyphens/>
        <w:spacing w:after="100"/>
        <w:ind w:left="-378" w:firstLine="284"/>
        <w:rPr>
          <w:rFonts w:ascii="Gill Sans MT" w:hAnsi="Gill Sans MT"/>
          <w:spacing w:val="6"/>
          <w:sz w:val="16"/>
          <w:szCs w:val="16"/>
          <w:highlight w:val="yellow"/>
        </w:rPr>
      </w:pPr>
    </w:p>
    <w:p w:rsidR="00EC4F97" w:rsidRDefault="00EC4F97" w:rsidP="00EC4F97">
      <w:pPr>
        <w:spacing w:after="0"/>
        <w:ind w:firstLine="0"/>
        <w:jc w:val="left"/>
        <w:rPr>
          <w:spacing w:val="6"/>
          <w:sz w:val="26"/>
          <w:szCs w:val="24"/>
        </w:rPr>
      </w:pPr>
    </w:p>
    <w:p w:rsidR="00EC4F97" w:rsidRDefault="00EC4F97" w:rsidP="00EC4F97">
      <w:pPr>
        <w:pStyle w:val="texto"/>
        <w:spacing w:after="240"/>
      </w:pPr>
      <w:r>
        <w:t xml:space="preserve">2017ko urtarrilaren 1ean, Nafarroako 272 udalerrien biztanleria </w:t>
      </w:r>
      <w:proofErr w:type="spellStart"/>
      <w:r>
        <w:t>—errolda</w:t>
      </w:r>
      <w:proofErr w:type="spellEnd"/>
      <w:r>
        <w:t xml:space="preserve"> ofizialeko datuen arabera, 643.234 </w:t>
      </w:r>
      <w:proofErr w:type="spellStart"/>
      <w:r>
        <w:t>biztanlekoa—</w:t>
      </w:r>
      <w:proofErr w:type="spellEnd"/>
      <w:r>
        <w:t xml:space="preserve"> honela zegoen banatuta:</w:t>
      </w:r>
    </w:p>
    <w:tbl>
      <w:tblPr>
        <w:tblW w:w="8735" w:type="dxa"/>
        <w:jc w:val="center"/>
        <w:tblInd w:w="-1655" w:type="dxa"/>
        <w:tblCellMar>
          <w:left w:w="70" w:type="dxa"/>
          <w:right w:w="70" w:type="dxa"/>
        </w:tblCellMar>
        <w:tblLook w:val="00A0" w:firstRow="1" w:lastRow="0" w:firstColumn="1" w:lastColumn="0" w:noHBand="0" w:noVBand="0"/>
      </w:tblPr>
      <w:tblGrid>
        <w:gridCol w:w="3555"/>
        <w:gridCol w:w="1420"/>
        <w:gridCol w:w="1360"/>
        <w:gridCol w:w="1200"/>
        <w:gridCol w:w="1200"/>
      </w:tblGrid>
      <w:tr w:rsidR="00EC4F97" w:rsidRPr="007A66D2" w:rsidTr="00422AD9">
        <w:trPr>
          <w:trHeight w:val="635"/>
          <w:jc w:val="center"/>
        </w:trPr>
        <w:tc>
          <w:tcPr>
            <w:tcW w:w="3555"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left"/>
              <w:rPr>
                <w:rFonts w:ascii="Arial" w:hAnsi="Arial" w:cs="Arial"/>
                <w:color w:val="000000"/>
                <w:sz w:val="18"/>
                <w:szCs w:val="18"/>
              </w:rPr>
            </w:pPr>
            <w:r>
              <w:rPr>
                <w:rFonts w:ascii="Arial" w:hAnsi="Arial"/>
                <w:color w:val="000000"/>
                <w:sz w:val="18"/>
                <w:szCs w:val="18"/>
              </w:rPr>
              <w:t>Biztanleria-tartea</w:t>
            </w:r>
          </w:p>
        </w:tc>
        <w:tc>
          <w:tcPr>
            <w:tcW w:w="142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center"/>
              <w:rPr>
                <w:rFonts w:ascii="Arial" w:hAnsi="Arial" w:cs="Arial"/>
                <w:color w:val="000000"/>
                <w:sz w:val="18"/>
                <w:szCs w:val="18"/>
              </w:rPr>
            </w:pPr>
            <w:r>
              <w:rPr>
                <w:rFonts w:ascii="Arial" w:hAnsi="Arial"/>
                <w:color w:val="000000"/>
                <w:sz w:val="18"/>
                <w:szCs w:val="18"/>
              </w:rPr>
              <w:t>Udalerrien k</w:t>
            </w:r>
            <w:r>
              <w:rPr>
                <w:rFonts w:ascii="Arial" w:hAnsi="Arial"/>
                <w:color w:val="000000"/>
                <w:sz w:val="18"/>
                <w:szCs w:val="18"/>
              </w:rPr>
              <w:t>o</w:t>
            </w:r>
            <w:r>
              <w:rPr>
                <w:rFonts w:ascii="Arial" w:hAnsi="Arial"/>
                <w:color w:val="000000"/>
                <w:sz w:val="18"/>
                <w:szCs w:val="18"/>
              </w:rPr>
              <w:t>purua</w:t>
            </w:r>
          </w:p>
        </w:tc>
        <w:tc>
          <w:tcPr>
            <w:tcW w:w="136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rPr>
            </w:pPr>
            <w:r>
              <w:rPr>
                <w:rFonts w:ascii="Arial" w:hAnsi="Arial"/>
                <w:color w:val="000000"/>
                <w:sz w:val="18"/>
                <w:szCs w:val="18"/>
              </w:rPr>
              <w:t>Udalerriak, guztizkoaren gainean (%)</w:t>
            </w:r>
          </w:p>
        </w:tc>
        <w:tc>
          <w:tcPr>
            <w:tcW w:w="120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rPr>
            </w:pPr>
            <w:r>
              <w:rPr>
                <w:rFonts w:ascii="Arial" w:hAnsi="Arial"/>
                <w:color w:val="000000"/>
                <w:sz w:val="18"/>
                <w:szCs w:val="18"/>
              </w:rPr>
              <w:t>Biztanleria</w:t>
            </w:r>
          </w:p>
        </w:tc>
        <w:tc>
          <w:tcPr>
            <w:tcW w:w="120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rPr>
            </w:pPr>
            <w:r>
              <w:rPr>
                <w:rFonts w:ascii="Arial" w:hAnsi="Arial"/>
                <w:color w:val="000000"/>
                <w:sz w:val="18"/>
                <w:szCs w:val="18"/>
              </w:rPr>
              <w:t>Biztanleria, guztizkoaren gainean (%)</w:t>
            </w:r>
          </w:p>
        </w:tc>
      </w:tr>
      <w:tr w:rsidR="00EC4F97" w:rsidRPr="007A66D2" w:rsidTr="00422AD9">
        <w:trPr>
          <w:trHeight w:val="315"/>
          <w:jc w:val="center"/>
        </w:trPr>
        <w:tc>
          <w:tcPr>
            <w:tcW w:w="3555" w:type="dxa"/>
            <w:tcBorders>
              <w:top w:val="single" w:sz="4"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&lt;100</w:t>
            </w:r>
          </w:p>
        </w:tc>
        <w:tc>
          <w:tcPr>
            <w:tcW w:w="1420" w:type="dxa"/>
            <w:tcBorders>
              <w:top w:val="single" w:sz="4"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42</w:t>
            </w:r>
          </w:p>
        </w:tc>
        <w:tc>
          <w:tcPr>
            <w:tcW w:w="1360" w:type="dxa"/>
            <w:tcBorders>
              <w:top w:val="single" w:sz="4"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15</w:t>
            </w:r>
          </w:p>
        </w:tc>
        <w:tc>
          <w:tcPr>
            <w:tcW w:w="1200" w:type="dxa"/>
            <w:tcBorders>
              <w:top w:val="single" w:sz="4"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2.542</w:t>
            </w:r>
          </w:p>
        </w:tc>
        <w:tc>
          <w:tcPr>
            <w:tcW w:w="1200" w:type="dxa"/>
            <w:tcBorders>
              <w:top w:val="single" w:sz="4"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0,4</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100-200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54</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20</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7.658</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1,2</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201-500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57</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21</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18.654</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2,9</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501-1.000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36</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13</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26.226</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4,1</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1.001-2.000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22</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8</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30.117</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4,7</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2.001-3.000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24</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9</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59.194</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9,2</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3.001-5.000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15</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6</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57.580</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9,0</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5.001-10.000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11</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4</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79.456</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12,4</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10.001-20.000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7</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3</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88.830</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13,8</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20.001-30.000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2</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1</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40.541</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6,3</w:t>
            </w:r>
          </w:p>
        </w:tc>
      </w:tr>
      <w:tr w:rsidR="00EC4F97" w:rsidRPr="007A66D2" w:rsidTr="00422AD9">
        <w:trPr>
          <w:trHeight w:val="315"/>
          <w:jc w:val="center"/>
        </w:trPr>
        <w:tc>
          <w:tcPr>
            <w:tcW w:w="3555"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30.001-50.000</w:t>
            </w:r>
          </w:p>
        </w:tc>
        <w:tc>
          <w:tcPr>
            <w:tcW w:w="142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1</w:t>
            </w:r>
          </w:p>
        </w:tc>
        <w:tc>
          <w:tcPr>
            <w:tcW w:w="136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0,4</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35.298</w:t>
            </w:r>
          </w:p>
        </w:tc>
        <w:tc>
          <w:tcPr>
            <w:tcW w:w="1200" w:type="dxa"/>
            <w:tcBorders>
              <w:top w:val="single" w:sz="2" w:space="0" w:color="auto"/>
              <w:left w:val="nil"/>
              <w:bottom w:val="single" w:sz="2"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5,5</w:t>
            </w:r>
          </w:p>
        </w:tc>
      </w:tr>
      <w:tr w:rsidR="00EC4F97" w:rsidRPr="007A66D2" w:rsidTr="00422AD9">
        <w:trPr>
          <w:trHeight w:val="315"/>
          <w:jc w:val="center"/>
        </w:trPr>
        <w:tc>
          <w:tcPr>
            <w:tcW w:w="3555" w:type="dxa"/>
            <w:tcBorders>
              <w:top w:val="single" w:sz="2" w:space="0" w:color="auto"/>
              <w:left w:val="nil"/>
              <w:bottom w:val="single" w:sz="4" w:space="0" w:color="auto"/>
              <w:right w:val="nil"/>
            </w:tcBorders>
            <w:shd w:val="clear" w:color="000000" w:fill="FFFFFF"/>
            <w:vAlign w:val="center"/>
          </w:tcPr>
          <w:p w:rsidR="00EC4F97" w:rsidRPr="007A66D2" w:rsidRDefault="00EC4F97" w:rsidP="00422AD9">
            <w:pPr>
              <w:spacing w:after="0"/>
              <w:ind w:firstLine="0"/>
              <w:jc w:val="left"/>
              <w:rPr>
                <w:rFonts w:ascii="Arial Narrow" w:hAnsi="Arial Narrow"/>
                <w:color w:val="000000"/>
              </w:rPr>
            </w:pPr>
            <w:r>
              <w:rPr>
                <w:rFonts w:ascii="Arial Narrow" w:hAnsi="Arial Narrow"/>
                <w:color w:val="000000"/>
              </w:rPr>
              <w:t>50.000 baino gehiago</w:t>
            </w:r>
          </w:p>
        </w:tc>
        <w:tc>
          <w:tcPr>
            <w:tcW w:w="1420" w:type="dxa"/>
            <w:tcBorders>
              <w:top w:val="single" w:sz="2" w:space="0" w:color="auto"/>
              <w:left w:val="nil"/>
              <w:bottom w:val="single" w:sz="4" w:space="0" w:color="auto"/>
              <w:right w:val="nil"/>
            </w:tcBorders>
            <w:shd w:val="clear" w:color="000000" w:fill="FFFFFF"/>
            <w:vAlign w:val="center"/>
          </w:tcPr>
          <w:p w:rsidR="00EC4F97" w:rsidRPr="007A66D2" w:rsidRDefault="00EC4F97" w:rsidP="00422AD9">
            <w:pPr>
              <w:spacing w:after="0"/>
              <w:ind w:right="418" w:firstLine="0"/>
              <w:jc w:val="right"/>
              <w:rPr>
                <w:rFonts w:ascii="Arial Narrow" w:hAnsi="Arial Narrow"/>
                <w:color w:val="000000"/>
              </w:rPr>
            </w:pPr>
            <w:r>
              <w:rPr>
                <w:rFonts w:ascii="Arial Narrow" w:hAnsi="Arial Narrow"/>
                <w:color w:val="000000"/>
              </w:rPr>
              <w:t>1</w:t>
            </w:r>
          </w:p>
        </w:tc>
        <w:tc>
          <w:tcPr>
            <w:tcW w:w="1360" w:type="dxa"/>
            <w:tcBorders>
              <w:top w:val="single" w:sz="2" w:space="0" w:color="auto"/>
              <w:left w:val="nil"/>
              <w:bottom w:val="single" w:sz="4"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0,4</w:t>
            </w:r>
          </w:p>
        </w:tc>
        <w:tc>
          <w:tcPr>
            <w:tcW w:w="1200" w:type="dxa"/>
            <w:tcBorders>
              <w:top w:val="single" w:sz="2" w:space="0" w:color="auto"/>
              <w:left w:val="nil"/>
              <w:bottom w:val="single" w:sz="4"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197.138</w:t>
            </w:r>
          </w:p>
        </w:tc>
        <w:tc>
          <w:tcPr>
            <w:tcW w:w="1200" w:type="dxa"/>
            <w:tcBorders>
              <w:top w:val="single" w:sz="2" w:space="0" w:color="auto"/>
              <w:left w:val="nil"/>
              <w:bottom w:val="single" w:sz="4" w:space="0" w:color="auto"/>
              <w:right w:val="nil"/>
            </w:tcBorders>
            <w:shd w:val="clear" w:color="000000" w:fill="FFFFFF"/>
            <w:vAlign w:val="center"/>
          </w:tcPr>
          <w:p w:rsidR="00EC4F97" w:rsidRPr="007A66D2" w:rsidRDefault="00EC4F97" w:rsidP="00422AD9">
            <w:pPr>
              <w:spacing w:after="0"/>
              <w:ind w:firstLine="0"/>
              <w:jc w:val="right"/>
              <w:rPr>
                <w:rFonts w:ascii="Arial Narrow" w:hAnsi="Arial Narrow"/>
                <w:color w:val="000000"/>
              </w:rPr>
            </w:pPr>
            <w:r>
              <w:rPr>
                <w:rFonts w:ascii="Arial Narrow" w:hAnsi="Arial Narrow"/>
                <w:color w:val="000000"/>
              </w:rPr>
              <w:t>30,6</w:t>
            </w:r>
          </w:p>
        </w:tc>
      </w:tr>
      <w:tr w:rsidR="00EC4F97" w:rsidRPr="007A66D2" w:rsidTr="00422AD9">
        <w:trPr>
          <w:trHeight w:val="315"/>
          <w:jc w:val="center"/>
        </w:trPr>
        <w:tc>
          <w:tcPr>
            <w:tcW w:w="3555"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left"/>
              <w:rPr>
                <w:rFonts w:ascii="Arial" w:hAnsi="Arial" w:cs="Arial"/>
                <w:color w:val="000000"/>
                <w:sz w:val="18"/>
                <w:szCs w:val="18"/>
              </w:rPr>
            </w:pPr>
            <w:r>
              <w:rPr>
                <w:rFonts w:ascii="Arial" w:hAnsi="Arial"/>
                <w:color w:val="000000"/>
                <w:sz w:val="18"/>
                <w:szCs w:val="18"/>
              </w:rPr>
              <w:t>Guztira</w:t>
            </w:r>
          </w:p>
        </w:tc>
        <w:tc>
          <w:tcPr>
            <w:tcW w:w="142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right="418" w:firstLine="0"/>
              <w:jc w:val="right"/>
              <w:rPr>
                <w:rFonts w:ascii="Arial" w:hAnsi="Arial" w:cs="Arial"/>
                <w:color w:val="000000"/>
                <w:sz w:val="18"/>
                <w:szCs w:val="18"/>
              </w:rPr>
            </w:pPr>
            <w:r>
              <w:rPr>
                <w:rFonts w:ascii="Arial" w:hAnsi="Arial"/>
                <w:color w:val="000000"/>
                <w:sz w:val="18"/>
                <w:szCs w:val="18"/>
              </w:rPr>
              <w:t>272</w:t>
            </w:r>
          </w:p>
        </w:tc>
        <w:tc>
          <w:tcPr>
            <w:tcW w:w="136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rPr>
            </w:pPr>
            <w:r>
              <w:rPr>
                <w:rFonts w:ascii="Arial" w:hAnsi="Arial"/>
                <w:color w:val="000000"/>
                <w:sz w:val="18"/>
                <w:szCs w:val="18"/>
              </w:rPr>
              <w:t>100</w:t>
            </w:r>
          </w:p>
        </w:tc>
        <w:tc>
          <w:tcPr>
            <w:tcW w:w="120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rPr>
            </w:pPr>
            <w:r>
              <w:rPr>
                <w:rFonts w:ascii="Arial" w:hAnsi="Arial"/>
                <w:color w:val="000000"/>
                <w:sz w:val="18"/>
                <w:szCs w:val="18"/>
              </w:rPr>
              <w:t>643.234</w:t>
            </w:r>
          </w:p>
        </w:tc>
        <w:tc>
          <w:tcPr>
            <w:tcW w:w="1200" w:type="dxa"/>
            <w:tcBorders>
              <w:top w:val="single" w:sz="4" w:space="0" w:color="auto"/>
              <w:left w:val="nil"/>
              <w:bottom w:val="single" w:sz="4" w:space="0" w:color="auto"/>
              <w:right w:val="nil"/>
            </w:tcBorders>
            <w:shd w:val="clear" w:color="000000" w:fill="FBD4B4" w:themeFill="accent6" w:themeFillTint="66"/>
            <w:vAlign w:val="center"/>
          </w:tcPr>
          <w:p w:rsidR="00EC4F97" w:rsidRPr="007A66D2" w:rsidRDefault="00EC4F97" w:rsidP="00422AD9">
            <w:pPr>
              <w:spacing w:after="0"/>
              <w:ind w:firstLine="0"/>
              <w:jc w:val="right"/>
              <w:rPr>
                <w:rFonts w:ascii="Arial" w:hAnsi="Arial" w:cs="Arial"/>
                <w:color w:val="000000"/>
                <w:sz w:val="18"/>
                <w:szCs w:val="18"/>
              </w:rPr>
            </w:pPr>
            <w:r>
              <w:rPr>
                <w:rFonts w:ascii="Arial" w:hAnsi="Arial"/>
                <w:color w:val="000000"/>
                <w:sz w:val="18"/>
                <w:szCs w:val="18"/>
              </w:rPr>
              <w:t>100</w:t>
            </w:r>
          </w:p>
        </w:tc>
      </w:tr>
    </w:tbl>
    <w:p w:rsidR="00EC4F97" w:rsidRPr="001E6B7A" w:rsidRDefault="00EC4F97" w:rsidP="00EC4F97">
      <w:pPr>
        <w:pStyle w:val="texto"/>
        <w:spacing w:before="240"/>
      </w:pPr>
      <w:r>
        <w:t>Aurreko datuetatik, nabarmendu behar dugu Nafarroako udalen ehuneko 69k (189 udal) 1.000 biztanle baino gutxiago dituztela, eta biztanle guztien ehuneko 30,6 Iruñean bizi direla.</w:t>
      </w:r>
    </w:p>
    <w:p w:rsidR="00EC4F97" w:rsidRPr="001E6B7A" w:rsidRDefault="00EC4F97" w:rsidP="00EC4F97">
      <w:pPr>
        <w:pStyle w:val="texto"/>
      </w:pPr>
      <w:r>
        <w:t>Ganbera honek bere txostenetan behin eta berriro adierazi bezala, biztanle-kopuru txikiak dituztenez giza baliabide eta finantza-baliabide mugatuak d</w:t>
      </w:r>
      <w:r>
        <w:t>i</w:t>
      </w:r>
      <w:r>
        <w:t>tuzte, eta ez dute administrazio-egitura egokia eta nahikoa beren eskumenak kudeatzeko, eta horrek zaildu egiten du zerbitzuak efizientziaz, ekonomiaz, eraginkortasunez eta kalitatez ematea.</w:t>
      </w:r>
    </w:p>
    <w:p w:rsidR="00EC4F97" w:rsidRPr="00F35BDD" w:rsidRDefault="00EC4F97" w:rsidP="00EC4F97">
      <w:pPr>
        <w:pStyle w:val="atitulo2"/>
        <w:spacing w:before="240"/>
        <w:rPr>
          <w:bCs w:val="0"/>
          <w:iCs w:val="0"/>
        </w:rPr>
      </w:pPr>
      <w:bookmarkStart w:id="22" w:name="_Toc399916261"/>
      <w:bookmarkStart w:id="23" w:name="_Toc465686684"/>
      <w:bookmarkStart w:id="24" w:name="_Toc529773878"/>
      <w:bookmarkStart w:id="25" w:name="_Toc24100138"/>
      <w:bookmarkStart w:id="26" w:name="_Toc27986312"/>
      <w:r>
        <w:t>II.2. Toki sektore publikoa arrazionalizatzeko planteatu diren lege-neurriak</w:t>
      </w:r>
      <w:bookmarkEnd w:id="22"/>
      <w:bookmarkEnd w:id="23"/>
      <w:bookmarkEnd w:id="24"/>
      <w:bookmarkEnd w:id="25"/>
      <w:bookmarkEnd w:id="26"/>
      <w:r>
        <w:t xml:space="preserve"> </w:t>
      </w:r>
    </w:p>
    <w:p w:rsidR="00EC4F97" w:rsidRDefault="00EC4F97" w:rsidP="00EC4F97">
      <w:pPr>
        <w:pStyle w:val="texto"/>
        <w:rPr>
          <w:szCs w:val="26"/>
        </w:rPr>
      </w:pPr>
      <w:bookmarkStart w:id="27" w:name="_Toc291067878"/>
      <w:bookmarkStart w:id="28" w:name="_Toc399916262"/>
      <w:bookmarkStart w:id="29" w:name="_Toc465686685"/>
      <w:r>
        <w:t>Ganbera honek Toki Sektore Publikoari buruzko 2016ko txostenean gai honi buruz aipatutako aurrekariek indarrean jarraitzen dute. Txosten horretara jotzea gomendatzen dugu.</w:t>
      </w:r>
    </w:p>
    <w:p w:rsidR="00EC4F97" w:rsidRDefault="00EC4F97" w:rsidP="00EC4F97">
      <w:pPr>
        <w:pStyle w:val="texto"/>
        <w:rPr>
          <w:szCs w:val="26"/>
        </w:rPr>
      </w:pPr>
      <w:r>
        <w:t>2016ko otsailean, Nafarroako Gobernuak parte-hartze prozesu bat abiatu zuen Nafarroako Toki Administrazioaren antolaketa berria definitzeko. Prozesu horretan, parte hartu zuten Toki Administrazioaren Zuzendaritza nagusiak, toki entitateek (Nafarroako Udal eta Kontzejuen Federazioarekin), talde parlament</w:t>
      </w:r>
      <w:r>
        <w:t>a</w:t>
      </w:r>
      <w:r>
        <w:t>rioek eta arloko hainbat aditu eta aholkularik.</w:t>
      </w:r>
    </w:p>
    <w:p w:rsidR="00EC4F97" w:rsidRDefault="00EC4F97" w:rsidP="00EC4F97">
      <w:pPr>
        <w:pStyle w:val="texto"/>
        <w:tabs>
          <w:tab w:val="clear" w:pos="2835"/>
          <w:tab w:val="clear" w:pos="3969"/>
          <w:tab w:val="clear" w:pos="5103"/>
          <w:tab w:val="clear" w:pos="6237"/>
          <w:tab w:val="clear" w:pos="7371"/>
        </w:tabs>
        <w:rPr>
          <w:szCs w:val="26"/>
        </w:rPr>
      </w:pPr>
      <w:r>
        <w:t>Aurreko prozesuaren emaitza gisa, Landa Garapeneko, Ingurumeneko eta Toki Administrazioko kontseilariaren urriaren 24ko 406/2017 Foru Aginduak Nafarroako Toki Administrazioaren Erreformarako Foru Legearen aurreproie</w:t>
      </w:r>
      <w:r>
        <w:t>k</w:t>
      </w:r>
      <w:r>
        <w:t>tua egiteko prozedura abiatu zuen, eta azkenik, 2018ko uztailaren 4an kasuko foru lege proiektua igorri zitzaion Parlamentuari.</w:t>
      </w:r>
    </w:p>
    <w:p w:rsidR="00EC4F97" w:rsidRDefault="00EC4F97" w:rsidP="00EC4F97">
      <w:pPr>
        <w:pStyle w:val="texto"/>
        <w:rPr>
          <w:szCs w:val="26"/>
        </w:rPr>
      </w:pPr>
      <w:r>
        <w:t>Prozesu horrek berekin ekarri du 2019ko otsailean Nafarroako Toki Adm</w:t>
      </w:r>
      <w:r>
        <w:t>i</w:t>
      </w:r>
      <w:r>
        <w:t>nistrazioaren Erreformarako 4/2019 Foru Legea onestea.</w:t>
      </w:r>
    </w:p>
    <w:p w:rsidR="00EC4F97" w:rsidRDefault="00EC4F97" w:rsidP="00EC4F97">
      <w:pPr>
        <w:pStyle w:val="texto"/>
        <w:rPr>
          <w:szCs w:val="26"/>
        </w:rPr>
      </w:pPr>
      <w:r>
        <w:t>Lege horrek toki antolaketa berria zehazten du, zeinean toki entitateen mota berriak agertzen diren eta gaur arte egon diren beste batzuk desagertzen diren. Berritasunik aipagarriena da eskualdeak sortzen direla, udalez gaindiko toki e</w:t>
      </w:r>
      <w:r>
        <w:t>n</w:t>
      </w:r>
      <w:r>
        <w:t>titate gisa, eta eskualde horiek beren gain hartuko dituztela gaur egun mank</w:t>
      </w:r>
      <w:r>
        <w:t>o</w:t>
      </w:r>
      <w:r>
        <w:t>munitateek dauzkaten eskumen batzuk. Haiek sortzeko izapideak hasteko epea 2020ko abuztuaren 6an hasiko da.</w:t>
      </w:r>
    </w:p>
    <w:p w:rsidR="00EC4F97" w:rsidRDefault="00EC4F97" w:rsidP="00EC4F97">
      <w:pPr>
        <w:pStyle w:val="texto"/>
        <w:rPr>
          <w:szCs w:val="26"/>
        </w:rPr>
      </w:pPr>
      <w:r>
        <w:t>Erreformaren ondorioz, zerbitzu administratiboen batasunak, barruti adm</w:t>
      </w:r>
      <w:r>
        <w:t>i</w:t>
      </w:r>
      <w:r>
        <w:t>nistratiboak eta tokiko partzuergoak desagertzen dira; azken horiek entitate p</w:t>
      </w:r>
      <w:r>
        <w:t>u</w:t>
      </w:r>
      <w:r>
        <w:t>blikoak izanen dira.</w:t>
      </w:r>
    </w:p>
    <w:p w:rsidR="00EC4F97" w:rsidRDefault="00EC4F97" w:rsidP="00EC4F97">
      <w:pPr>
        <w:pStyle w:val="texto"/>
        <w:rPr>
          <w:szCs w:val="26"/>
        </w:rPr>
      </w:pPr>
      <w:r>
        <w:t>Nolanahi ere, arau hori onetsi izanak aldaketa normatiboak egiteko epe bat zabaltzen du, eta aldaketa horiek toki erreformaren behin betiko forma zehazten joango dira.</w:t>
      </w:r>
    </w:p>
    <w:p w:rsidR="00EC4F97" w:rsidRDefault="00EC4F97" w:rsidP="00EC4F97">
      <w:pPr>
        <w:pStyle w:val="atitulo2"/>
        <w:spacing w:before="240"/>
        <w:rPr>
          <w:bCs w:val="0"/>
          <w:iCs w:val="0"/>
        </w:rPr>
      </w:pPr>
      <w:bookmarkStart w:id="30" w:name="_Toc24100139"/>
      <w:bookmarkStart w:id="31" w:name="_Toc27986313"/>
      <w:r>
        <w:t>II.3. 2017an onetsitako araudia</w:t>
      </w:r>
      <w:bookmarkEnd w:id="30"/>
      <w:bookmarkEnd w:id="31"/>
    </w:p>
    <w:p w:rsidR="00EC4F97" w:rsidRPr="006A7B61" w:rsidRDefault="00EC4F97" w:rsidP="00EC4F97">
      <w:pPr>
        <w:pStyle w:val="texto"/>
        <w:rPr>
          <w:szCs w:val="26"/>
        </w:rPr>
      </w:pPr>
      <w:r>
        <w:t>Nafarroako toki sektore publikoa osatzen duten entitateei aplikatzekoa zaien araudia txosten honekin batera doan 1. eranskinean ageri da. Ondoren, sektore honi aplikatzekoak zaizkion eta 2017an onetsi diren arau garrantzitsuenak z</w:t>
      </w:r>
      <w:r>
        <w:t>e</w:t>
      </w:r>
      <w:r>
        <w:t>hazten ditugu:</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1/2017 Legegintzako Foru Dekretua, uztailaren 26koa, Lurraldearen Ant</w:t>
      </w:r>
      <w:r>
        <w:t>o</w:t>
      </w:r>
      <w:r>
        <w:t xml:space="preserve">lamenduari eta Hirigintzari buruzko Foru Legearen testu </w:t>
      </w:r>
      <w:proofErr w:type="spellStart"/>
      <w:r>
        <w:t>bategina</w:t>
      </w:r>
      <w:proofErr w:type="spellEnd"/>
      <w:r>
        <w:t xml:space="preserve"> onesten d</w:t>
      </w:r>
      <w:r>
        <w:t>u</w:t>
      </w:r>
      <w:r>
        <w:t>ena.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20/2017 Foru Legea, abenduaren 28koa, 2018rako Nafarroako Aurrekontu Orokorrei buruzkoa.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18/2017 Foru Legea, abenduaren 27koa, Toki ogasunek transferentzia arrunten bidez Nafarroako tributuetan parte hartzeko duten funtsaren zenbat</w:t>
      </w:r>
      <w:r>
        <w:t>e</w:t>
      </w:r>
      <w:r>
        <w:t>koa eta banaketa ezartzen dituena 2018. eta 2019. urteetarako.</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19/2017 Foru Legea, abenduaren 27koa, Nafarroako Toki Ogasunei b</w:t>
      </w:r>
      <w:r>
        <w:t>u</w:t>
      </w:r>
      <w:r>
        <w:t>ruzko martxoaren 10eko 2/1995 Foru Legea aldatzen duena.</w:t>
      </w:r>
    </w:p>
    <w:p w:rsidR="00EC4F97" w:rsidRPr="007D240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21/2017 Foru Dekretua, martxoaren 29koa Nafarroako Administrazio P</w:t>
      </w:r>
      <w:r>
        <w:t>u</w:t>
      </w:r>
      <w:r>
        <w:t>blikoen zerbitzuko Langileen Ordainsariei buruzko Behin-behineko Erregel</w:t>
      </w:r>
      <w:r>
        <w:t>a</w:t>
      </w:r>
      <w:r>
        <w:t>mendua onetsi zuen uztailaren 4ko 158/1984 Errege Dekretua aldatzen duena.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29/2017 Foru Dekretua, maiatzaren 17koa, azaroaren 6ko 215/1985 Foru Dekretua aldatzen duena. Foru dekretu horren bidez, Nafarroako Administrazio Publikoetako lanpostuak betetzeko erregelamendua onetsi zen.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84/2017 Foru Agindua, otsailaren 16koa, Landa Garapeneko, Ingurum</w:t>
      </w:r>
      <w:r>
        <w:t>e</w:t>
      </w:r>
      <w:r>
        <w:t>neko eta Toki Administrazioko kontseilariak emana, 2017-2019 aldirako Toki Inbertsioen Plana arautzen duen abenduaren 13ko 18/2016 Foru Legearen 20. artikuluan aurreikusitako klausula soziala aplikatzeko modua arautzen duena.</w:t>
      </w:r>
    </w:p>
    <w:p w:rsidR="00EC4F97" w:rsidRPr="008B251C"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2017ko uztailaren 4ko Ebazpena, Altxorraren eta Finantza Politikaren Idazkaritza Nagusiarena, zeinaren bidez definitzen baita zorpetze-eragiketei eta autonomia erkidegoetatik eta toki entitateetatik heldutakoei aplikatzekoa zaien zuhurtasun finantzarioa.</w:t>
      </w:r>
    </w:p>
    <w:p w:rsidR="00EC4F97" w:rsidRDefault="00EC4F97" w:rsidP="00EC4F97">
      <w:pPr>
        <w:spacing w:after="0"/>
        <w:ind w:firstLine="0"/>
        <w:jc w:val="left"/>
        <w:rPr>
          <w:spacing w:val="6"/>
          <w:sz w:val="26"/>
          <w:szCs w:val="26"/>
        </w:rPr>
      </w:pPr>
      <w:r>
        <w:br w:type="page"/>
      </w:r>
    </w:p>
    <w:p w:rsidR="00EC4F97" w:rsidRDefault="00EC4F97" w:rsidP="00EC4F97">
      <w:pPr>
        <w:pStyle w:val="atitulo1"/>
      </w:pPr>
      <w:bookmarkStart w:id="32" w:name="_Toc527634608"/>
      <w:bookmarkStart w:id="33" w:name="_Toc529773875"/>
      <w:bookmarkStart w:id="34" w:name="_Toc531088341"/>
      <w:bookmarkStart w:id="35" w:name="_Toc24100140"/>
      <w:bookmarkStart w:id="36" w:name="_Toc27986314"/>
      <w:bookmarkStart w:id="37" w:name="_Toc121292759"/>
      <w:bookmarkStart w:id="38" w:name="_Toc121293082"/>
      <w:bookmarkStart w:id="39" w:name="_Toc291067875"/>
      <w:bookmarkStart w:id="40" w:name="_Toc399916258"/>
      <w:bookmarkStart w:id="41" w:name="_Toc465686681"/>
      <w:r>
        <w:t xml:space="preserve">III. </w:t>
      </w:r>
      <w:bookmarkStart w:id="42" w:name="_Toc217455261"/>
      <w:r>
        <w:t>Helburua</w:t>
      </w:r>
      <w:bookmarkEnd w:id="42"/>
      <w:r>
        <w:t>, norainokoa eta mugak</w:t>
      </w:r>
      <w:bookmarkEnd w:id="32"/>
      <w:bookmarkEnd w:id="33"/>
      <w:bookmarkEnd w:id="34"/>
      <w:bookmarkEnd w:id="35"/>
      <w:bookmarkEnd w:id="36"/>
      <w:r>
        <w:t xml:space="preserve"> </w:t>
      </w:r>
    </w:p>
    <w:p w:rsidR="00EC4F97" w:rsidRPr="00E95961" w:rsidRDefault="00EC4F97" w:rsidP="00EC4F97">
      <w:pPr>
        <w:pStyle w:val="texto"/>
        <w:rPr>
          <w:szCs w:val="26"/>
        </w:rPr>
      </w:pPr>
      <w:r>
        <w:t>Lanaren helburuak hauexek dira: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Nafarroako toki entitateen esparruan Ganbera honek egindako fiskalizazio jardueren 2017ko ekitaldiko laburpena egitea.</w:t>
      </w:r>
    </w:p>
    <w:p w:rsidR="00EC4F97" w:rsidRPr="00E95961"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Nafarroako toki entitateen 2017ko kontratazioa aztertzea.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Nafarroako toki entitateen 2017ko finantza egoeraren eta antolamenduaren ikuspegi bat ematea Parlamentuari, administrazio publikoei eta Nafarroako g</w:t>
      </w:r>
      <w:r>
        <w:t>i</w:t>
      </w:r>
      <w:r>
        <w:t>zarteari.</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9.000 biztanletik gorako udalen 2017ko egoera ekonomiko finantzarioa a</w:t>
      </w:r>
      <w:r>
        <w:t>z</w:t>
      </w:r>
      <w:r>
        <w:t>tertzea.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Toki entitateen kudeaketa hobetzeko gomendioak proposatzea Nafarroako Parlamentuari, Gobernuari eta toki entitateei.</w:t>
      </w:r>
    </w:p>
    <w:p w:rsidR="00EC4F97" w:rsidRPr="00E95961"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Lanaren norainokoak toki entitateen 2017ko ekitaldiko kontu orokorra ha</w:t>
      </w:r>
      <w:r>
        <w:t>r</w:t>
      </w:r>
      <w:r>
        <w:t>tzen du; honako hauek osatzen dute kontu hori:</w:t>
      </w:r>
    </w:p>
    <w:p w:rsidR="00EC4F97" w:rsidRPr="00E95961" w:rsidRDefault="00EC4F97" w:rsidP="00EC4F97">
      <w:pPr>
        <w:pStyle w:val="texto"/>
        <w:numPr>
          <w:ilvl w:val="0"/>
          <w:numId w:val="23"/>
        </w:numPr>
        <w:tabs>
          <w:tab w:val="clear" w:pos="2835"/>
          <w:tab w:val="clear" w:pos="3969"/>
          <w:tab w:val="clear" w:pos="5103"/>
          <w:tab w:val="clear" w:pos="6237"/>
          <w:tab w:val="clear" w:pos="7371"/>
          <w:tab w:val="left" w:pos="480"/>
        </w:tabs>
        <w:ind w:left="709" w:hanging="388"/>
        <w:rPr>
          <w:szCs w:val="26"/>
        </w:rPr>
      </w:pPr>
      <w:r>
        <w:t>Entitatearen beraren (udala, kontzejua nahiz mankomunitatea izan) kontu orokorra, bai eta haren erakunde autonomoena ere.</w:t>
      </w:r>
    </w:p>
    <w:p w:rsidR="00EC4F97" w:rsidRPr="00E95961" w:rsidRDefault="00EC4F97" w:rsidP="00EC4F97">
      <w:pPr>
        <w:pStyle w:val="texto"/>
        <w:numPr>
          <w:ilvl w:val="0"/>
          <w:numId w:val="23"/>
        </w:numPr>
        <w:tabs>
          <w:tab w:val="clear" w:pos="2835"/>
          <w:tab w:val="clear" w:pos="3969"/>
          <w:tab w:val="clear" w:pos="5103"/>
          <w:tab w:val="clear" w:pos="6237"/>
          <w:tab w:val="clear" w:pos="7371"/>
          <w:tab w:val="left" w:pos="480"/>
        </w:tabs>
        <w:ind w:left="709" w:hanging="388"/>
        <w:rPr>
          <w:szCs w:val="26"/>
        </w:rPr>
      </w:pPr>
      <w:r>
        <w:t>Merkataritzako elkarteenak, horien kapitala oso-osorik kasuko toki ent</w:t>
      </w:r>
      <w:r>
        <w:t>i</w:t>
      </w:r>
      <w:r>
        <w:t>tatearena bada.</w:t>
      </w:r>
    </w:p>
    <w:p w:rsidR="00EC4F97" w:rsidRPr="00E95961" w:rsidRDefault="00EC4F97" w:rsidP="00EC4F97">
      <w:pPr>
        <w:pStyle w:val="texto"/>
        <w:numPr>
          <w:ilvl w:val="0"/>
          <w:numId w:val="23"/>
        </w:numPr>
        <w:tabs>
          <w:tab w:val="clear" w:pos="2835"/>
          <w:tab w:val="clear" w:pos="3969"/>
          <w:tab w:val="clear" w:pos="5103"/>
          <w:tab w:val="clear" w:pos="6237"/>
          <w:tab w:val="clear" w:pos="7371"/>
          <w:tab w:val="left" w:pos="480"/>
        </w:tabs>
        <w:ind w:left="709" w:hanging="388"/>
        <w:rPr>
          <w:szCs w:val="26"/>
        </w:rPr>
      </w:pPr>
      <w:r>
        <w:t>Eranskinak.</w:t>
      </w:r>
    </w:p>
    <w:p w:rsidR="00EC4F97" w:rsidRPr="00E95961" w:rsidRDefault="00EC4F97" w:rsidP="00EC4F97">
      <w:pPr>
        <w:pStyle w:val="texto"/>
        <w:tabs>
          <w:tab w:val="clear" w:pos="2835"/>
          <w:tab w:val="clear" w:pos="3969"/>
          <w:tab w:val="clear" w:pos="5103"/>
          <w:tab w:val="clear" w:pos="6237"/>
          <w:tab w:val="clear" w:pos="7371"/>
          <w:tab w:val="left" w:pos="851"/>
        </w:tabs>
        <w:spacing w:before="120" w:after="120"/>
        <w:rPr>
          <w:szCs w:val="26"/>
        </w:rPr>
      </w:pPr>
      <w:r>
        <w:t>Halaber, Lurralde Kohesiorako Departamentuak finantza-egoerari buruz egindako txostena berrikusi dugu</w:t>
      </w:r>
      <w:r>
        <w:rPr>
          <w:rStyle w:val="Refdenotaalpie"/>
          <w:szCs w:val="26"/>
        </w:rPr>
        <w:footnoteReference w:id="1"/>
      </w:r>
      <w:r>
        <w:t>.</w:t>
      </w:r>
    </w:p>
    <w:p w:rsidR="00EC4F97" w:rsidRPr="002B5395" w:rsidRDefault="00EC4F97" w:rsidP="00EC4F97">
      <w:pPr>
        <w:pStyle w:val="texto"/>
      </w:pPr>
      <w:r>
        <w:t xml:space="preserve">Toki sektore publikoaren egoera finantzarioaren analisia egiterakoan, gure lanerako muga bat izan da informazio </w:t>
      </w:r>
      <w:proofErr w:type="spellStart"/>
      <w:r>
        <w:t>ekonomiko-finantzariorik</w:t>
      </w:r>
      <w:proofErr w:type="spellEnd"/>
      <w:r>
        <w:t xml:space="preserve"> eta aurreko</w:t>
      </w:r>
      <w:r>
        <w:t>n</w:t>
      </w:r>
      <w:r>
        <w:t>tukorik ez edukitzea 2017ko ekitaldiko beren kontu orokorra Toki Administr</w:t>
      </w:r>
      <w:r>
        <w:t>a</w:t>
      </w:r>
      <w:r>
        <w:t>zioaren eta Despopulazioaren Zuzendaritza Nagusiari 2019ko ekainaren amai</w:t>
      </w:r>
      <w:r>
        <w:t>e</w:t>
      </w:r>
      <w:r>
        <w:t>ran bidali gabe zeuden toki entitateei buruz; honako hauek dira, hain zuzen:</w:t>
      </w:r>
    </w:p>
    <w:p w:rsidR="00EC4F97" w:rsidRPr="00B4430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272 udaletatik, lau: Beintza-Labaien, Imotz, Orkoien eta Urzainki. Udal horiek 4.657 biztanle dituzte guztira; horrek populazio osoaren ehuneko 0,72 egiten du. </w:t>
      </w:r>
    </w:p>
    <w:p w:rsidR="00EC4F97" w:rsidRPr="00B4430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2017an zeuden 346 kontzejuetatik 24: Anotz, Aos, Arlegi, Azterain, Bi</w:t>
      </w:r>
      <w:r>
        <w:t>o</w:t>
      </w:r>
      <w:r>
        <w:t>tzari, Zenborain, Zizur Txikia, Etxaleku, Etxarri, Gazolatz, Goldaratz, Jaunts</w:t>
      </w:r>
      <w:r>
        <w:t>a</w:t>
      </w:r>
      <w:r>
        <w:t xml:space="preserve">rats, </w:t>
      </w:r>
      <w:proofErr w:type="spellStart"/>
      <w:r>
        <w:t>Lapoblación</w:t>
      </w:r>
      <w:proofErr w:type="spellEnd"/>
      <w:r>
        <w:t xml:space="preserve">, Larraiotz, Muskitz, Olaz, Oloritz, Oskotz, </w:t>
      </w:r>
      <w:proofErr w:type="spellStart"/>
      <w:r>
        <w:t>Paternain</w:t>
      </w:r>
      <w:proofErr w:type="spellEnd"/>
      <w:r>
        <w:t>, Undio, Untzu, Zarikiegi, Zarrantz eta Zubiri. Kontzeju horien populazioa 5.498 perts</w:t>
      </w:r>
      <w:r>
        <w:t>o</w:t>
      </w:r>
      <w:r>
        <w:t>nakoa da, eta Nafarroako guztizko populazioaren ehuneko bat egiten du.</w:t>
      </w:r>
    </w:p>
    <w:p w:rsidR="00EC4F97" w:rsidRPr="00033EB2"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85 mankomunitate eta batasunetatik, bost entitate; honako hauek, hain z</w:t>
      </w:r>
      <w:r>
        <w:t>u</w:t>
      </w:r>
      <w:r>
        <w:t xml:space="preserve">zen: </w:t>
      </w:r>
      <w:proofErr w:type="spellStart"/>
      <w:r>
        <w:t>Ezkabarte-Olaibarko</w:t>
      </w:r>
      <w:proofErr w:type="spellEnd"/>
      <w:r>
        <w:t xml:space="preserve"> Udalen Batasuna; Malerrekako Zerbitzu Orokorren Mankomunitatea; </w:t>
      </w:r>
      <w:proofErr w:type="spellStart"/>
      <w:r>
        <w:t>Los</w:t>
      </w:r>
      <w:proofErr w:type="spellEnd"/>
      <w:r>
        <w:t xml:space="preserve"> </w:t>
      </w:r>
      <w:proofErr w:type="spellStart"/>
      <w:r>
        <w:t>Arcosko</w:t>
      </w:r>
      <w:proofErr w:type="spellEnd"/>
      <w:r>
        <w:t xml:space="preserve"> Eskualdeko Oinarrizko Gizarte Zerbitzuen Mankomunitatea; Araitz, Areso, Betelu, Larraun eta Lekunberriko Kirol Ma</w:t>
      </w:r>
      <w:r>
        <w:t>n</w:t>
      </w:r>
      <w:r>
        <w:t>komunitatea, eta Orreaga Kirol Mankomunitatea.</w:t>
      </w:r>
    </w:p>
    <w:p w:rsidR="00EC4F97" w:rsidRPr="00C420C2" w:rsidRDefault="00EC4F97" w:rsidP="00EC4F97">
      <w:pPr>
        <w:pStyle w:val="texto"/>
      </w:pPr>
      <w:r>
        <w:t>Bestetik, zehaztu beharra dago finantza-egoerari buruzko aipatutako azte</w:t>
      </w:r>
      <w:r>
        <w:t>r</w:t>
      </w:r>
      <w:r>
        <w:t>keta egiten dela toki entitateen eta haien erakunde autonomoen aurrekontu-datu bateratuekin. Ez da informaziorik jasotzen sozietate publikoei, fundazio publ</w:t>
      </w:r>
      <w:r>
        <w:t>i</w:t>
      </w:r>
      <w:r>
        <w:t>koei eta partzuergoei buruz, salbu eta zorpetzeari buruzko analisian, horretan udalen eta mankomunitateen menpeko sozietateei dagozkien datuak jasotzen baitira.</w:t>
      </w:r>
    </w:p>
    <w:p w:rsidR="00EC4F97" w:rsidRPr="002B5395" w:rsidRDefault="00EC4F97" w:rsidP="00EC4F97">
      <w:pPr>
        <w:pStyle w:val="texto"/>
      </w:pPr>
      <w:r>
        <w:t>Norainokoak muga hau izan badu ere, informazio faltaren ondorioz, uste dugu gure lanean lortutako konklusioak, datu horiek eduki izan bagenitu ere, ez zirela oso desberdinak izanen.</w:t>
      </w:r>
    </w:p>
    <w:p w:rsidR="00EC4F97" w:rsidRDefault="00EC4F97" w:rsidP="00EC4F97">
      <w:pPr>
        <w:spacing w:after="0"/>
        <w:ind w:firstLine="0"/>
        <w:jc w:val="left"/>
        <w:rPr>
          <w:rFonts w:cs="Arial"/>
          <w:spacing w:val="6"/>
          <w:sz w:val="26"/>
          <w:szCs w:val="24"/>
        </w:rPr>
      </w:pPr>
      <w:r>
        <w:br w:type="page"/>
      </w:r>
      <w:bookmarkEnd w:id="37"/>
      <w:bookmarkEnd w:id="38"/>
      <w:bookmarkEnd w:id="39"/>
      <w:bookmarkEnd w:id="40"/>
      <w:bookmarkEnd w:id="41"/>
    </w:p>
    <w:p w:rsidR="00EC4F97" w:rsidRPr="007E3BFE" w:rsidRDefault="00EC4F97" w:rsidP="00EC4F97">
      <w:pPr>
        <w:pStyle w:val="atitulo1"/>
      </w:pPr>
      <w:bookmarkStart w:id="43" w:name="_Toc399916263"/>
      <w:bookmarkStart w:id="44" w:name="_Toc465686686"/>
      <w:bookmarkStart w:id="45" w:name="_Toc529773880"/>
      <w:bookmarkStart w:id="46" w:name="_Toc24100141"/>
      <w:bookmarkStart w:id="47" w:name="_Toc27986315"/>
      <w:bookmarkEnd w:id="27"/>
      <w:bookmarkEnd w:id="28"/>
      <w:bookmarkEnd w:id="29"/>
      <w:r>
        <w:t>IV. Toki entitateen fiskalizazio-jardueren laburpen-oroitidazkia</w:t>
      </w:r>
      <w:bookmarkEnd w:id="43"/>
      <w:bookmarkEnd w:id="44"/>
      <w:bookmarkEnd w:id="45"/>
      <w:bookmarkEnd w:id="46"/>
      <w:bookmarkEnd w:id="47"/>
    </w:p>
    <w:p w:rsidR="00EC4F97" w:rsidRPr="007E3BFE" w:rsidRDefault="00EC4F97" w:rsidP="00EC4F97">
      <w:pPr>
        <w:pStyle w:val="texto"/>
      </w:pPr>
      <w:r>
        <w:t>Kontuen Ganberak ondoko hiru udalen 2017ko kontu orokorraren erregula</w:t>
      </w:r>
      <w:r>
        <w:t>r</w:t>
      </w:r>
      <w:r>
        <w:t>tasuna (finantzena eta legezkotasunarena) fiskalizatu zuen: Iruña, Barañain eta Fitero.</w:t>
      </w:r>
    </w:p>
    <w:p w:rsidR="00EC4F97" w:rsidRDefault="00EC4F97" w:rsidP="00EC4F97">
      <w:pPr>
        <w:pStyle w:val="texto"/>
        <w:spacing w:after="240"/>
      </w:pPr>
      <w:r>
        <w:t>Ondoren, toki entitate horiei buruzko datu batzuk emanen ditugu:</w:t>
      </w:r>
    </w:p>
    <w:tbl>
      <w:tblPr>
        <w:tblW w:w="9498" w:type="dxa"/>
        <w:tblInd w:w="70" w:type="dxa"/>
        <w:tblCellMar>
          <w:left w:w="70" w:type="dxa"/>
          <w:right w:w="70" w:type="dxa"/>
        </w:tblCellMar>
        <w:tblLook w:val="00A0" w:firstRow="1" w:lastRow="0" w:firstColumn="1" w:lastColumn="0" w:noHBand="0" w:noVBand="0"/>
      </w:tblPr>
      <w:tblGrid>
        <w:gridCol w:w="848"/>
        <w:gridCol w:w="919"/>
        <w:gridCol w:w="959"/>
        <w:gridCol w:w="1129"/>
        <w:gridCol w:w="998"/>
        <w:gridCol w:w="976"/>
        <w:gridCol w:w="969"/>
        <w:gridCol w:w="965"/>
        <w:gridCol w:w="884"/>
        <w:gridCol w:w="851"/>
      </w:tblGrid>
      <w:tr w:rsidR="00281972" w:rsidRPr="00560F99" w:rsidTr="00FF435B">
        <w:trPr>
          <w:trHeight w:val="311"/>
        </w:trPr>
        <w:tc>
          <w:tcPr>
            <w:tcW w:w="848" w:type="dxa"/>
            <w:vMerge w:val="restart"/>
            <w:tcBorders>
              <w:top w:val="single" w:sz="4" w:space="0" w:color="auto"/>
              <w:left w:val="nil"/>
              <w:bottom w:val="single" w:sz="4" w:space="0" w:color="auto"/>
            </w:tcBorders>
            <w:shd w:val="clear" w:color="auto" w:fill="FBD4B4" w:themeFill="accent6" w:themeFillTint="66"/>
            <w:vAlign w:val="center"/>
          </w:tcPr>
          <w:p w:rsidR="00281972" w:rsidRPr="00560F99" w:rsidRDefault="00281972" w:rsidP="00FF435B">
            <w:pPr>
              <w:spacing w:after="0"/>
              <w:ind w:firstLine="0"/>
              <w:jc w:val="center"/>
              <w:rPr>
                <w:rFonts w:ascii="Arial" w:hAnsi="Arial" w:cs="Arial"/>
                <w:color w:val="000000"/>
                <w:sz w:val="14"/>
                <w:szCs w:val="14"/>
              </w:rPr>
            </w:pPr>
            <w:r>
              <w:rPr>
                <w:rFonts w:ascii="Arial" w:hAnsi="Arial"/>
                <w:color w:val="000000"/>
                <w:sz w:val="14"/>
                <w:szCs w:val="14"/>
              </w:rPr>
              <w:t>Toki</w:t>
            </w:r>
            <w:r>
              <w:rPr>
                <w:rFonts w:ascii="Arial" w:hAnsi="Arial"/>
                <w:color w:val="000000"/>
                <w:sz w:val="14"/>
                <w:szCs w:val="14"/>
              </w:rPr>
              <w:br/>
            </w:r>
            <w:r w:rsidRPr="00560F99">
              <w:rPr>
                <w:rFonts w:ascii="Arial" w:hAnsi="Arial"/>
                <w:color w:val="000000"/>
                <w:sz w:val="14"/>
                <w:szCs w:val="14"/>
              </w:rPr>
              <w:t>entit</w:t>
            </w:r>
            <w:r w:rsidRPr="00560F99">
              <w:rPr>
                <w:rFonts w:ascii="Arial" w:hAnsi="Arial"/>
                <w:color w:val="000000"/>
                <w:sz w:val="14"/>
                <w:szCs w:val="14"/>
              </w:rPr>
              <w:t>a</w:t>
            </w:r>
            <w:r w:rsidRPr="00560F99">
              <w:rPr>
                <w:rFonts w:ascii="Arial" w:hAnsi="Arial"/>
                <w:color w:val="000000"/>
                <w:sz w:val="14"/>
                <w:szCs w:val="14"/>
              </w:rPr>
              <w:t>tea</w:t>
            </w:r>
          </w:p>
        </w:tc>
        <w:tc>
          <w:tcPr>
            <w:tcW w:w="919" w:type="dxa"/>
            <w:vMerge w:val="restart"/>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right"/>
              <w:rPr>
                <w:rFonts w:ascii="Arial" w:hAnsi="Arial" w:cs="Arial"/>
                <w:color w:val="000000"/>
                <w:sz w:val="14"/>
                <w:szCs w:val="14"/>
              </w:rPr>
            </w:pPr>
            <w:r w:rsidRPr="00560F99">
              <w:rPr>
                <w:rFonts w:ascii="Arial" w:hAnsi="Arial"/>
                <w:color w:val="000000"/>
                <w:sz w:val="14"/>
                <w:szCs w:val="14"/>
              </w:rPr>
              <w:t>Txosten</w:t>
            </w:r>
            <w:r w:rsidRPr="00560F99">
              <w:rPr>
                <w:rFonts w:ascii="Arial" w:hAnsi="Arial"/>
                <w:color w:val="000000"/>
                <w:sz w:val="14"/>
                <w:szCs w:val="14"/>
              </w:rPr>
              <w:t>a</w:t>
            </w:r>
            <w:r w:rsidRPr="00560F99">
              <w:rPr>
                <w:rFonts w:ascii="Arial" w:hAnsi="Arial"/>
                <w:color w:val="000000"/>
                <w:sz w:val="14"/>
                <w:szCs w:val="14"/>
              </w:rPr>
              <w:t>ren data</w:t>
            </w:r>
          </w:p>
        </w:tc>
        <w:tc>
          <w:tcPr>
            <w:tcW w:w="959" w:type="dxa"/>
            <w:vMerge w:val="restart"/>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right"/>
              <w:rPr>
                <w:rFonts w:ascii="Arial" w:hAnsi="Arial" w:cs="Arial"/>
                <w:color w:val="000000"/>
                <w:sz w:val="14"/>
                <w:szCs w:val="14"/>
              </w:rPr>
            </w:pPr>
            <w:r w:rsidRPr="00560F99">
              <w:rPr>
                <w:rFonts w:ascii="Arial" w:hAnsi="Arial"/>
                <w:color w:val="000000"/>
                <w:sz w:val="14"/>
                <w:szCs w:val="14"/>
              </w:rPr>
              <w:t>Popul</w:t>
            </w:r>
            <w:r w:rsidRPr="00560F99">
              <w:rPr>
                <w:rFonts w:ascii="Arial" w:hAnsi="Arial"/>
                <w:color w:val="000000"/>
                <w:sz w:val="14"/>
                <w:szCs w:val="14"/>
              </w:rPr>
              <w:t>a</w:t>
            </w:r>
            <w:r w:rsidRPr="00560F99">
              <w:rPr>
                <w:rFonts w:ascii="Arial" w:hAnsi="Arial"/>
                <w:color w:val="000000"/>
                <w:sz w:val="14"/>
                <w:szCs w:val="14"/>
              </w:rPr>
              <w:t>zioa 2017-01-</w:t>
            </w:r>
            <w:proofErr w:type="spellStart"/>
            <w:r w:rsidRPr="00560F99">
              <w:rPr>
                <w:rFonts w:ascii="Arial" w:hAnsi="Arial"/>
                <w:color w:val="000000"/>
                <w:sz w:val="14"/>
                <w:szCs w:val="14"/>
              </w:rPr>
              <w:t>01</w:t>
            </w:r>
            <w:proofErr w:type="spellEnd"/>
          </w:p>
        </w:tc>
        <w:tc>
          <w:tcPr>
            <w:tcW w:w="1129" w:type="dxa"/>
            <w:vMerge w:val="restart"/>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right"/>
              <w:rPr>
                <w:rFonts w:ascii="Arial" w:hAnsi="Arial" w:cs="Arial"/>
                <w:color w:val="000000"/>
                <w:sz w:val="14"/>
                <w:szCs w:val="14"/>
              </w:rPr>
            </w:pPr>
            <w:r w:rsidRPr="00560F99">
              <w:rPr>
                <w:rFonts w:ascii="Arial" w:hAnsi="Arial"/>
                <w:color w:val="000000"/>
                <w:sz w:val="14"/>
                <w:szCs w:val="14"/>
              </w:rPr>
              <w:t>Aitortutako betebeh</w:t>
            </w:r>
            <w:r w:rsidRPr="00560F99">
              <w:rPr>
                <w:rFonts w:ascii="Arial" w:hAnsi="Arial"/>
                <w:color w:val="000000"/>
                <w:sz w:val="14"/>
                <w:szCs w:val="14"/>
              </w:rPr>
              <w:t>a</w:t>
            </w:r>
            <w:r w:rsidRPr="00560F99">
              <w:rPr>
                <w:rFonts w:ascii="Arial" w:hAnsi="Arial"/>
                <w:color w:val="000000"/>
                <w:sz w:val="14"/>
                <w:szCs w:val="14"/>
              </w:rPr>
              <w:t>rrak</w:t>
            </w:r>
          </w:p>
        </w:tc>
        <w:tc>
          <w:tcPr>
            <w:tcW w:w="998" w:type="dxa"/>
            <w:vMerge w:val="restart"/>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right"/>
              <w:rPr>
                <w:rFonts w:ascii="Arial" w:hAnsi="Arial" w:cs="Arial"/>
                <w:color w:val="000000"/>
                <w:sz w:val="14"/>
                <w:szCs w:val="14"/>
              </w:rPr>
            </w:pPr>
            <w:r w:rsidRPr="00560F99">
              <w:rPr>
                <w:rFonts w:ascii="Arial" w:hAnsi="Arial"/>
                <w:color w:val="000000"/>
                <w:sz w:val="14"/>
                <w:szCs w:val="14"/>
              </w:rPr>
              <w:t>Aitortutako eskubideak</w:t>
            </w:r>
          </w:p>
        </w:tc>
        <w:tc>
          <w:tcPr>
            <w:tcW w:w="976" w:type="dxa"/>
            <w:vMerge w:val="restart"/>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left="-11" w:firstLine="11"/>
              <w:jc w:val="right"/>
              <w:rPr>
                <w:rFonts w:ascii="Arial" w:hAnsi="Arial" w:cs="Arial"/>
                <w:color w:val="000000"/>
                <w:sz w:val="14"/>
                <w:szCs w:val="14"/>
              </w:rPr>
            </w:pPr>
            <w:r w:rsidRPr="00560F99">
              <w:rPr>
                <w:rFonts w:ascii="Arial" w:hAnsi="Arial"/>
                <w:color w:val="000000"/>
                <w:sz w:val="14"/>
                <w:szCs w:val="14"/>
              </w:rPr>
              <w:t>Langileak, 2017</w:t>
            </w:r>
            <w:r>
              <w:rPr>
                <w:rFonts w:ascii="Arial" w:hAnsi="Arial"/>
                <w:color w:val="000000"/>
                <w:sz w:val="14"/>
                <w:szCs w:val="14"/>
              </w:rPr>
              <w:t>-12</w:t>
            </w:r>
            <w:r w:rsidRPr="00560F99">
              <w:rPr>
                <w:rFonts w:ascii="Arial" w:hAnsi="Arial"/>
                <w:color w:val="000000"/>
                <w:sz w:val="14"/>
                <w:szCs w:val="14"/>
              </w:rPr>
              <w:t xml:space="preserve"> 31n</w:t>
            </w:r>
          </w:p>
        </w:tc>
        <w:tc>
          <w:tcPr>
            <w:tcW w:w="3669" w:type="dxa"/>
            <w:gridSpan w:val="4"/>
            <w:tcBorders>
              <w:top w:val="single" w:sz="4" w:space="0" w:color="auto"/>
              <w:bottom w:val="single" w:sz="4" w:space="0" w:color="auto"/>
              <w:right w:val="nil"/>
            </w:tcBorders>
            <w:shd w:val="clear" w:color="auto" w:fill="FBD4B4" w:themeFill="accent6" w:themeFillTint="66"/>
            <w:vAlign w:val="center"/>
          </w:tcPr>
          <w:p w:rsidR="00281972" w:rsidRPr="00560F99" w:rsidRDefault="00281972" w:rsidP="00FF435B">
            <w:pPr>
              <w:spacing w:after="0"/>
              <w:ind w:firstLine="0"/>
              <w:jc w:val="center"/>
              <w:rPr>
                <w:rFonts w:ascii="Arial" w:hAnsi="Arial" w:cs="Arial"/>
                <w:color w:val="000000"/>
                <w:sz w:val="14"/>
                <w:szCs w:val="14"/>
              </w:rPr>
            </w:pPr>
            <w:r w:rsidRPr="00560F99">
              <w:rPr>
                <w:rFonts w:ascii="Arial" w:hAnsi="Arial"/>
                <w:color w:val="000000"/>
                <w:sz w:val="14"/>
                <w:szCs w:val="14"/>
              </w:rPr>
              <w:t>Menpeko entitateak</w:t>
            </w:r>
          </w:p>
        </w:tc>
      </w:tr>
      <w:tr w:rsidR="00281972" w:rsidRPr="00560F99" w:rsidTr="00FF435B">
        <w:trPr>
          <w:trHeight w:val="386"/>
        </w:trPr>
        <w:tc>
          <w:tcPr>
            <w:tcW w:w="848" w:type="dxa"/>
            <w:vMerge/>
            <w:tcBorders>
              <w:top w:val="single" w:sz="4" w:space="0" w:color="auto"/>
              <w:left w:val="nil"/>
              <w:bottom w:val="single" w:sz="4" w:space="0" w:color="auto"/>
            </w:tcBorders>
            <w:shd w:val="clear" w:color="auto" w:fill="FBD4B4" w:themeFill="accent6" w:themeFillTint="66"/>
            <w:vAlign w:val="center"/>
          </w:tcPr>
          <w:p w:rsidR="00281972" w:rsidRPr="00560F99" w:rsidRDefault="00281972" w:rsidP="00FF435B">
            <w:pPr>
              <w:spacing w:after="0"/>
              <w:ind w:firstLine="0"/>
              <w:jc w:val="left"/>
              <w:rPr>
                <w:rFonts w:ascii="Arial" w:hAnsi="Arial" w:cs="Arial"/>
                <w:color w:val="000000"/>
                <w:sz w:val="14"/>
                <w:szCs w:val="14"/>
                <w:lang w:val="es-ES" w:eastAsia="es-ES"/>
              </w:rPr>
            </w:pPr>
          </w:p>
        </w:tc>
        <w:tc>
          <w:tcPr>
            <w:tcW w:w="919" w:type="dxa"/>
            <w:vMerge/>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left"/>
              <w:rPr>
                <w:rFonts w:ascii="Arial" w:hAnsi="Arial" w:cs="Arial"/>
                <w:color w:val="000000"/>
                <w:sz w:val="14"/>
                <w:szCs w:val="14"/>
                <w:lang w:val="es-ES" w:eastAsia="es-ES"/>
              </w:rPr>
            </w:pPr>
          </w:p>
        </w:tc>
        <w:tc>
          <w:tcPr>
            <w:tcW w:w="959" w:type="dxa"/>
            <w:vMerge/>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left"/>
              <w:rPr>
                <w:rFonts w:ascii="Arial" w:hAnsi="Arial" w:cs="Arial"/>
                <w:color w:val="000000"/>
                <w:sz w:val="14"/>
                <w:szCs w:val="14"/>
                <w:lang w:val="es-ES" w:eastAsia="es-ES"/>
              </w:rPr>
            </w:pPr>
          </w:p>
        </w:tc>
        <w:tc>
          <w:tcPr>
            <w:tcW w:w="1129" w:type="dxa"/>
            <w:vMerge/>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left"/>
              <w:rPr>
                <w:rFonts w:ascii="Arial" w:hAnsi="Arial" w:cs="Arial"/>
                <w:color w:val="000000"/>
                <w:sz w:val="14"/>
                <w:szCs w:val="14"/>
                <w:lang w:val="es-ES" w:eastAsia="es-ES"/>
              </w:rPr>
            </w:pPr>
          </w:p>
        </w:tc>
        <w:tc>
          <w:tcPr>
            <w:tcW w:w="998" w:type="dxa"/>
            <w:vMerge/>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left"/>
              <w:rPr>
                <w:rFonts w:ascii="Arial" w:hAnsi="Arial" w:cs="Arial"/>
                <w:color w:val="000000"/>
                <w:sz w:val="14"/>
                <w:szCs w:val="14"/>
                <w:lang w:val="es-ES" w:eastAsia="es-ES"/>
              </w:rPr>
            </w:pPr>
          </w:p>
        </w:tc>
        <w:tc>
          <w:tcPr>
            <w:tcW w:w="976" w:type="dxa"/>
            <w:vMerge/>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left"/>
              <w:rPr>
                <w:rFonts w:ascii="Arial" w:hAnsi="Arial" w:cs="Arial"/>
                <w:color w:val="000000"/>
                <w:sz w:val="14"/>
                <w:szCs w:val="14"/>
                <w:lang w:val="es-ES" w:eastAsia="es-ES"/>
              </w:rPr>
            </w:pPr>
          </w:p>
        </w:tc>
        <w:tc>
          <w:tcPr>
            <w:tcW w:w="969" w:type="dxa"/>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right"/>
              <w:rPr>
                <w:rFonts w:ascii="Arial" w:hAnsi="Arial" w:cs="Arial"/>
                <w:color w:val="000000"/>
                <w:sz w:val="14"/>
                <w:szCs w:val="14"/>
              </w:rPr>
            </w:pPr>
            <w:r w:rsidRPr="00560F99">
              <w:rPr>
                <w:rFonts w:ascii="Arial" w:hAnsi="Arial"/>
                <w:color w:val="000000"/>
                <w:sz w:val="14"/>
                <w:szCs w:val="14"/>
              </w:rPr>
              <w:t>Erakunde auton</w:t>
            </w:r>
            <w:r w:rsidRPr="00560F99">
              <w:rPr>
                <w:rFonts w:ascii="Arial" w:hAnsi="Arial"/>
                <w:color w:val="000000"/>
                <w:sz w:val="14"/>
                <w:szCs w:val="14"/>
              </w:rPr>
              <w:t>o</w:t>
            </w:r>
            <w:r w:rsidRPr="00560F99">
              <w:rPr>
                <w:rFonts w:ascii="Arial" w:hAnsi="Arial"/>
                <w:color w:val="000000"/>
                <w:sz w:val="14"/>
                <w:szCs w:val="14"/>
              </w:rPr>
              <w:t>moak</w:t>
            </w:r>
          </w:p>
        </w:tc>
        <w:tc>
          <w:tcPr>
            <w:tcW w:w="965" w:type="dxa"/>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right"/>
              <w:rPr>
                <w:rFonts w:ascii="Arial" w:hAnsi="Arial" w:cs="Arial"/>
                <w:color w:val="000000"/>
                <w:sz w:val="14"/>
                <w:szCs w:val="14"/>
              </w:rPr>
            </w:pPr>
            <w:r w:rsidRPr="00560F99">
              <w:rPr>
                <w:rFonts w:ascii="Arial" w:hAnsi="Arial"/>
                <w:color w:val="000000"/>
                <w:sz w:val="14"/>
                <w:szCs w:val="14"/>
              </w:rPr>
              <w:t>Enpresa</w:t>
            </w:r>
          </w:p>
        </w:tc>
        <w:tc>
          <w:tcPr>
            <w:tcW w:w="884" w:type="dxa"/>
            <w:tcBorders>
              <w:top w:val="single" w:sz="4" w:space="0" w:color="auto"/>
              <w:bottom w:val="single" w:sz="4" w:space="0" w:color="auto"/>
            </w:tcBorders>
            <w:shd w:val="clear" w:color="auto" w:fill="FBD4B4" w:themeFill="accent6" w:themeFillTint="66"/>
            <w:vAlign w:val="center"/>
          </w:tcPr>
          <w:p w:rsidR="00281972" w:rsidRPr="00560F99" w:rsidRDefault="00281972" w:rsidP="00FF435B">
            <w:pPr>
              <w:spacing w:after="0"/>
              <w:ind w:firstLine="0"/>
              <w:jc w:val="right"/>
              <w:rPr>
                <w:rFonts w:ascii="Arial" w:hAnsi="Arial" w:cs="Arial"/>
                <w:color w:val="000000"/>
                <w:sz w:val="14"/>
                <w:szCs w:val="14"/>
              </w:rPr>
            </w:pPr>
            <w:r w:rsidRPr="00560F99">
              <w:rPr>
                <w:rFonts w:ascii="Arial" w:hAnsi="Arial"/>
                <w:color w:val="000000"/>
                <w:sz w:val="14"/>
                <w:szCs w:val="14"/>
              </w:rPr>
              <w:t>Fund</w:t>
            </w:r>
            <w:r w:rsidRPr="00560F99">
              <w:rPr>
                <w:rFonts w:ascii="Arial" w:hAnsi="Arial"/>
                <w:color w:val="000000"/>
                <w:sz w:val="14"/>
                <w:szCs w:val="14"/>
              </w:rPr>
              <w:t>a</w:t>
            </w:r>
            <w:r w:rsidRPr="00560F99">
              <w:rPr>
                <w:rFonts w:ascii="Arial" w:hAnsi="Arial"/>
                <w:color w:val="000000"/>
                <w:sz w:val="14"/>
                <w:szCs w:val="14"/>
              </w:rPr>
              <w:t>zioa</w:t>
            </w:r>
          </w:p>
        </w:tc>
        <w:tc>
          <w:tcPr>
            <w:tcW w:w="851" w:type="dxa"/>
            <w:tcBorders>
              <w:top w:val="single" w:sz="4" w:space="0" w:color="auto"/>
              <w:bottom w:val="single" w:sz="4" w:space="0" w:color="auto"/>
              <w:right w:val="nil"/>
            </w:tcBorders>
            <w:shd w:val="clear" w:color="auto" w:fill="FBD4B4" w:themeFill="accent6" w:themeFillTint="66"/>
            <w:vAlign w:val="center"/>
          </w:tcPr>
          <w:p w:rsidR="00281972" w:rsidRPr="00560F99" w:rsidRDefault="00281972" w:rsidP="00FF435B">
            <w:pPr>
              <w:spacing w:after="0"/>
              <w:ind w:left="-160" w:right="-70" w:firstLine="0"/>
              <w:jc w:val="right"/>
              <w:rPr>
                <w:rFonts w:ascii="Arial" w:hAnsi="Arial" w:cs="Arial"/>
                <w:color w:val="000000"/>
                <w:sz w:val="14"/>
                <w:szCs w:val="14"/>
              </w:rPr>
            </w:pPr>
            <w:r w:rsidRPr="00560F99">
              <w:rPr>
                <w:rFonts w:ascii="Arial" w:hAnsi="Arial"/>
                <w:color w:val="000000"/>
                <w:sz w:val="14"/>
                <w:szCs w:val="14"/>
              </w:rPr>
              <w:t xml:space="preserve"> </w:t>
            </w:r>
            <w:proofErr w:type="spellStart"/>
            <w:r w:rsidRPr="00560F99">
              <w:rPr>
                <w:rFonts w:ascii="Arial" w:hAnsi="Arial"/>
                <w:color w:val="000000"/>
                <w:sz w:val="14"/>
                <w:szCs w:val="14"/>
              </w:rPr>
              <w:t>Ente</w:t>
            </w:r>
            <w:proofErr w:type="spellEnd"/>
            <w:r w:rsidRPr="00560F99">
              <w:rPr>
                <w:rFonts w:ascii="Arial" w:hAnsi="Arial"/>
                <w:color w:val="000000"/>
                <w:sz w:val="14"/>
                <w:szCs w:val="14"/>
              </w:rPr>
              <w:t xml:space="preserve"> publikoa E</w:t>
            </w:r>
            <w:r w:rsidRPr="00560F99">
              <w:rPr>
                <w:rFonts w:ascii="Arial" w:hAnsi="Arial"/>
                <w:color w:val="000000"/>
                <w:sz w:val="14"/>
                <w:szCs w:val="14"/>
              </w:rPr>
              <w:t>n</w:t>
            </w:r>
            <w:r w:rsidRPr="00560F99">
              <w:rPr>
                <w:rFonts w:ascii="Arial" w:hAnsi="Arial"/>
                <w:color w:val="000000"/>
                <w:sz w:val="14"/>
                <w:szCs w:val="14"/>
              </w:rPr>
              <w:t>presa</w:t>
            </w:r>
          </w:p>
        </w:tc>
      </w:tr>
      <w:tr w:rsidR="00281972" w:rsidRPr="00560F99" w:rsidTr="00FF435B">
        <w:trPr>
          <w:trHeight w:val="262"/>
        </w:trPr>
        <w:tc>
          <w:tcPr>
            <w:tcW w:w="848" w:type="dxa"/>
            <w:tcBorders>
              <w:top w:val="single" w:sz="4" w:space="0" w:color="auto"/>
              <w:left w:val="nil"/>
              <w:bottom w:val="single" w:sz="2" w:space="0" w:color="auto"/>
            </w:tcBorders>
            <w:noWrap/>
            <w:vAlign w:val="center"/>
          </w:tcPr>
          <w:p w:rsidR="00281972" w:rsidRPr="00560F99" w:rsidRDefault="00281972" w:rsidP="00FF435B">
            <w:pPr>
              <w:spacing w:after="0"/>
              <w:ind w:firstLine="0"/>
              <w:jc w:val="left"/>
              <w:rPr>
                <w:rFonts w:ascii="Arial Narrow" w:hAnsi="Arial Narrow"/>
                <w:color w:val="000000"/>
                <w:sz w:val="14"/>
                <w:szCs w:val="14"/>
              </w:rPr>
            </w:pPr>
            <w:r w:rsidRPr="00560F99">
              <w:rPr>
                <w:rFonts w:ascii="Arial Narrow" w:hAnsi="Arial Narrow"/>
                <w:color w:val="000000"/>
                <w:sz w:val="14"/>
                <w:szCs w:val="14"/>
              </w:rPr>
              <w:t>Iruña</w:t>
            </w:r>
          </w:p>
        </w:tc>
        <w:tc>
          <w:tcPr>
            <w:tcW w:w="919" w:type="dxa"/>
            <w:tcBorders>
              <w:top w:val="single" w:sz="4" w:space="0" w:color="auto"/>
              <w:bottom w:val="single" w:sz="2" w:space="0" w:color="auto"/>
            </w:tcBorders>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2018/12/14</w:t>
            </w:r>
          </w:p>
        </w:tc>
        <w:tc>
          <w:tcPr>
            <w:tcW w:w="959" w:type="dxa"/>
            <w:tcBorders>
              <w:top w:val="single" w:sz="4" w:space="0" w:color="auto"/>
              <w:bottom w:val="single" w:sz="2" w:space="0" w:color="auto"/>
            </w:tcBorders>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197.138</w:t>
            </w:r>
          </w:p>
        </w:tc>
        <w:tc>
          <w:tcPr>
            <w:tcW w:w="1129" w:type="dxa"/>
            <w:tcBorders>
              <w:top w:val="single" w:sz="4" w:space="0" w:color="auto"/>
              <w:bottom w:val="single" w:sz="2" w:space="0" w:color="auto"/>
            </w:tcBorders>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199.620.015</w:t>
            </w:r>
          </w:p>
        </w:tc>
        <w:tc>
          <w:tcPr>
            <w:tcW w:w="998" w:type="dxa"/>
            <w:tcBorders>
              <w:top w:val="single" w:sz="4" w:space="0" w:color="auto"/>
              <w:bottom w:val="single" w:sz="2"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198.960.850</w:t>
            </w:r>
          </w:p>
        </w:tc>
        <w:tc>
          <w:tcPr>
            <w:tcW w:w="976" w:type="dxa"/>
            <w:tcBorders>
              <w:top w:val="single" w:sz="4" w:space="0" w:color="auto"/>
              <w:bottom w:val="single" w:sz="2"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1.881</w:t>
            </w:r>
          </w:p>
        </w:tc>
        <w:tc>
          <w:tcPr>
            <w:tcW w:w="969" w:type="dxa"/>
            <w:tcBorders>
              <w:top w:val="single" w:sz="4" w:space="0" w:color="auto"/>
              <w:bottom w:val="single" w:sz="2"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w:t>
            </w:r>
          </w:p>
        </w:tc>
        <w:tc>
          <w:tcPr>
            <w:tcW w:w="965" w:type="dxa"/>
            <w:tcBorders>
              <w:top w:val="single" w:sz="4" w:space="0" w:color="auto"/>
              <w:bottom w:val="single" w:sz="2"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5</w:t>
            </w:r>
          </w:p>
        </w:tc>
        <w:tc>
          <w:tcPr>
            <w:tcW w:w="884" w:type="dxa"/>
            <w:tcBorders>
              <w:top w:val="single" w:sz="4" w:space="0" w:color="auto"/>
              <w:bottom w:val="single" w:sz="2"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1</w:t>
            </w:r>
          </w:p>
        </w:tc>
        <w:tc>
          <w:tcPr>
            <w:tcW w:w="851" w:type="dxa"/>
            <w:tcBorders>
              <w:top w:val="single" w:sz="4" w:space="0" w:color="auto"/>
              <w:bottom w:val="single" w:sz="2" w:space="0" w:color="auto"/>
              <w:right w:val="nil"/>
            </w:tcBorders>
            <w:vAlign w:val="center"/>
          </w:tcPr>
          <w:p w:rsidR="00281972" w:rsidRPr="00560F99" w:rsidRDefault="00281972" w:rsidP="00FF435B">
            <w:pPr>
              <w:spacing w:after="0"/>
              <w:ind w:firstLine="0"/>
              <w:jc w:val="right"/>
              <w:rPr>
                <w:rFonts w:ascii="Arial Narrow" w:hAnsi="Arial Narrow"/>
                <w:color w:val="000000"/>
                <w:sz w:val="14"/>
                <w:szCs w:val="14"/>
                <w:lang w:val="es-ES" w:eastAsia="es-ES"/>
              </w:rPr>
            </w:pPr>
          </w:p>
        </w:tc>
      </w:tr>
      <w:tr w:rsidR="00281972" w:rsidRPr="00560F99" w:rsidTr="00FF435B">
        <w:trPr>
          <w:trHeight w:val="262"/>
        </w:trPr>
        <w:tc>
          <w:tcPr>
            <w:tcW w:w="848" w:type="dxa"/>
            <w:tcBorders>
              <w:top w:val="single" w:sz="2" w:space="0" w:color="auto"/>
              <w:left w:val="nil"/>
              <w:bottom w:val="single" w:sz="2" w:space="0" w:color="auto"/>
            </w:tcBorders>
            <w:noWrap/>
            <w:vAlign w:val="center"/>
          </w:tcPr>
          <w:p w:rsidR="00281972" w:rsidRPr="00560F99" w:rsidRDefault="00281972" w:rsidP="00FF435B">
            <w:pPr>
              <w:spacing w:after="0"/>
              <w:ind w:firstLine="0"/>
              <w:jc w:val="left"/>
              <w:rPr>
                <w:rFonts w:ascii="Arial Narrow" w:hAnsi="Arial Narrow"/>
                <w:color w:val="000000"/>
                <w:sz w:val="14"/>
                <w:szCs w:val="14"/>
              </w:rPr>
            </w:pPr>
            <w:r w:rsidRPr="00560F99">
              <w:rPr>
                <w:rFonts w:ascii="Arial Narrow" w:hAnsi="Arial Narrow"/>
                <w:color w:val="000000"/>
                <w:sz w:val="14"/>
                <w:szCs w:val="14"/>
              </w:rPr>
              <w:t>Barañain</w:t>
            </w:r>
          </w:p>
        </w:tc>
        <w:tc>
          <w:tcPr>
            <w:tcW w:w="919" w:type="dxa"/>
            <w:tcBorders>
              <w:top w:val="single" w:sz="2" w:space="0" w:color="auto"/>
              <w:bottom w:val="single" w:sz="2" w:space="0" w:color="auto"/>
            </w:tcBorders>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2019/4/11</w:t>
            </w:r>
          </w:p>
        </w:tc>
        <w:tc>
          <w:tcPr>
            <w:tcW w:w="959" w:type="dxa"/>
            <w:tcBorders>
              <w:top w:val="single" w:sz="2" w:space="0" w:color="auto"/>
              <w:bottom w:val="single" w:sz="2" w:space="0" w:color="auto"/>
            </w:tcBorders>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20.124</w:t>
            </w:r>
          </w:p>
        </w:tc>
        <w:tc>
          <w:tcPr>
            <w:tcW w:w="1129" w:type="dxa"/>
            <w:tcBorders>
              <w:top w:val="single" w:sz="2" w:space="0" w:color="auto"/>
              <w:bottom w:val="single" w:sz="2" w:space="0" w:color="auto"/>
            </w:tcBorders>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14.664.154</w:t>
            </w:r>
          </w:p>
        </w:tc>
        <w:tc>
          <w:tcPr>
            <w:tcW w:w="998" w:type="dxa"/>
            <w:tcBorders>
              <w:top w:val="single" w:sz="2" w:space="0" w:color="auto"/>
              <w:bottom w:val="single" w:sz="2"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15.191.938</w:t>
            </w:r>
          </w:p>
        </w:tc>
        <w:tc>
          <w:tcPr>
            <w:tcW w:w="976" w:type="dxa"/>
            <w:tcBorders>
              <w:top w:val="single" w:sz="2" w:space="0" w:color="auto"/>
              <w:bottom w:val="single" w:sz="2"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162</w:t>
            </w:r>
          </w:p>
        </w:tc>
        <w:tc>
          <w:tcPr>
            <w:tcW w:w="969" w:type="dxa"/>
            <w:tcBorders>
              <w:top w:val="single" w:sz="2" w:space="0" w:color="auto"/>
              <w:bottom w:val="single" w:sz="2"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w:t>
            </w:r>
          </w:p>
        </w:tc>
        <w:tc>
          <w:tcPr>
            <w:tcW w:w="965" w:type="dxa"/>
            <w:tcBorders>
              <w:top w:val="single" w:sz="2" w:space="0" w:color="auto"/>
              <w:bottom w:val="single" w:sz="2" w:space="0" w:color="auto"/>
            </w:tcBorders>
            <w:vAlign w:val="center"/>
          </w:tcPr>
          <w:p w:rsidR="00281972" w:rsidRPr="00560F99" w:rsidRDefault="00281972" w:rsidP="00FF435B">
            <w:pPr>
              <w:spacing w:after="0"/>
              <w:ind w:firstLine="0"/>
              <w:jc w:val="right"/>
              <w:rPr>
                <w:rFonts w:ascii="Arial Narrow" w:hAnsi="Arial Narrow"/>
                <w:color w:val="000000"/>
                <w:sz w:val="14"/>
                <w:szCs w:val="14"/>
                <w:lang w:val="es-ES" w:eastAsia="es-ES"/>
              </w:rPr>
            </w:pPr>
          </w:p>
        </w:tc>
        <w:tc>
          <w:tcPr>
            <w:tcW w:w="884" w:type="dxa"/>
            <w:tcBorders>
              <w:top w:val="single" w:sz="2" w:space="0" w:color="auto"/>
              <w:bottom w:val="single" w:sz="2"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1</w:t>
            </w:r>
          </w:p>
        </w:tc>
        <w:tc>
          <w:tcPr>
            <w:tcW w:w="851" w:type="dxa"/>
            <w:tcBorders>
              <w:top w:val="single" w:sz="2" w:space="0" w:color="auto"/>
              <w:bottom w:val="single" w:sz="2" w:space="0" w:color="auto"/>
              <w:right w:val="nil"/>
            </w:tcBorders>
            <w:vAlign w:val="center"/>
          </w:tcPr>
          <w:p w:rsidR="00281972" w:rsidRPr="00560F99" w:rsidRDefault="00281972" w:rsidP="00FF435B">
            <w:pPr>
              <w:spacing w:after="0"/>
              <w:ind w:firstLine="0"/>
              <w:jc w:val="right"/>
              <w:rPr>
                <w:rFonts w:ascii="Arial Narrow" w:hAnsi="Arial Narrow"/>
                <w:color w:val="000000"/>
                <w:sz w:val="14"/>
                <w:szCs w:val="14"/>
                <w:lang w:val="es-ES" w:eastAsia="es-ES"/>
              </w:rPr>
            </w:pPr>
          </w:p>
        </w:tc>
      </w:tr>
      <w:tr w:rsidR="00281972" w:rsidRPr="00560F99" w:rsidTr="00FF435B">
        <w:trPr>
          <w:trHeight w:val="262"/>
        </w:trPr>
        <w:tc>
          <w:tcPr>
            <w:tcW w:w="848" w:type="dxa"/>
            <w:tcBorders>
              <w:top w:val="single" w:sz="2" w:space="0" w:color="auto"/>
              <w:left w:val="nil"/>
              <w:bottom w:val="single" w:sz="4" w:space="0" w:color="auto"/>
            </w:tcBorders>
            <w:noWrap/>
            <w:vAlign w:val="center"/>
          </w:tcPr>
          <w:p w:rsidR="00281972" w:rsidRPr="00560F99" w:rsidRDefault="00281972" w:rsidP="00FF435B">
            <w:pPr>
              <w:spacing w:after="0"/>
              <w:ind w:firstLine="0"/>
              <w:jc w:val="left"/>
              <w:rPr>
                <w:rFonts w:ascii="Arial Narrow" w:hAnsi="Arial Narrow"/>
                <w:color w:val="000000"/>
                <w:sz w:val="14"/>
                <w:szCs w:val="14"/>
              </w:rPr>
            </w:pPr>
            <w:r w:rsidRPr="00560F99">
              <w:rPr>
                <w:rFonts w:ascii="Arial Narrow" w:hAnsi="Arial Narrow"/>
                <w:color w:val="000000"/>
                <w:sz w:val="14"/>
                <w:szCs w:val="14"/>
              </w:rPr>
              <w:t>Fitero</w:t>
            </w:r>
          </w:p>
        </w:tc>
        <w:tc>
          <w:tcPr>
            <w:tcW w:w="919" w:type="dxa"/>
            <w:tcBorders>
              <w:top w:val="single" w:sz="2" w:space="0" w:color="auto"/>
              <w:bottom w:val="single" w:sz="4" w:space="0" w:color="auto"/>
            </w:tcBorders>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2019/4/1</w:t>
            </w:r>
          </w:p>
        </w:tc>
        <w:tc>
          <w:tcPr>
            <w:tcW w:w="959" w:type="dxa"/>
            <w:tcBorders>
              <w:top w:val="single" w:sz="2" w:space="0" w:color="auto"/>
              <w:bottom w:val="single" w:sz="4" w:space="0" w:color="auto"/>
            </w:tcBorders>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2.034</w:t>
            </w:r>
          </w:p>
        </w:tc>
        <w:tc>
          <w:tcPr>
            <w:tcW w:w="1129" w:type="dxa"/>
            <w:tcBorders>
              <w:top w:val="single" w:sz="2" w:space="0" w:color="auto"/>
              <w:bottom w:val="single" w:sz="4" w:space="0" w:color="auto"/>
            </w:tcBorders>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2.504.635</w:t>
            </w:r>
          </w:p>
        </w:tc>
        <w:tc>
          <w:tcPr>
            <w:tcW w:w="998" w:type="dxa"/>
            <w:tcBorders>
              <w:top w:val="single" w:sz="2" w:space="0" w:color="auto"/>
              <w:bottom w:val="single" w:sz="4"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2.556.313</w:t>
            </w:r>
          </w:p>
        </w:tc>
        <w:tc>
          <w:tcPr>
            <w:tcW w:w="976" w:type="dxa"/>
            <w:tcBorders>
              <w:top w:val="single" w:sz="2" w:space="0" w:color="auto"/>
              <w:bottom w:val="single" w:sz="4"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31</w:t>
            </w:r>
          </w:p>
        </w:tc>
        <w:tc>
          <w:tcPr>
            <w:tcW w:w="969" w:type="dxa"/>
            <w:tcBorders>
              <w:top w:val="single" w:sz="2" w:space="0" w:color="auto"/>
              <w:bottom w:val="single" w:sz="4" w:space="0" w:color="auto"/>
            </w:tcBorders>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1</w:t>
            </w:r>
          </w:p>
        </w:tc>
        <w:tc>
          <w:tcPr>
            <w:tcW w:w="965" w:type="dxa"/>
            <w:tcBorders>
              <w:top w:val="single" w:sz="2" w:space="0" w:color="auto"/>
              <w:bottom w:val="single" w:sz="4" w:space="0" w:color="auto"/>
            </w:tcBorders>
            <w:vAlign w:val="center"/>
          </w:tcPr>
          <w:p w:rsidR="00281972" w:rsidRPr="00560F99" w:rsidRDefault="00281972" w:rsidP="00FF435B">
            <w:pPr>
              <w:spacing w:after="0"/>
              <w:ind w:firstLine="0"/>
              <w:jc w:val="right"/>
              <w:rPr>
                <w:rFonts w:ascii="Arial Narrow" w:hAnsi="Arial Narrow"/>
                <w:color w:val="000000"/>
                <w:sz w:val="14"/>
                <w:szCs w:val="14"/>
                <w:lang w:val="es-ES" w:eastAsia="es-ES"/>
              </w:rPr>
            </w:pPr>
          </w:p>
        </w:tc>
        <w:tc>
          <w:tcPr>
            <w:tcW w:w="884" w:type="dxa"/>
            <w:tcBorders>
              <w:top w:val="single" w:sz="2" w:space="0" w:color="auto"/>
              <w:bottom w:val="single" w:sz="4" w:space="0" w:color="auto"/>
            </w:tcBorders>
            <w:vAlign w:val="center"/>
          </w:tcPr>
          <w:p w:rsidR="00281972" w:rsidRPr="00560F99" w:rsidRDefault="00281972" w:rsidP="00FF435B">
            <w:pPr>
              <w:spacing w:after="0"/>
              <w:ind w:firstLine="0"/>
              <w:jc w:val="right"/>
              <w:rPr>
                <w:rFonts w:ascii="Arial Narrow" w:hAnsi="Arial Narrow"/>
                <w:color w:val="000000"/>
                <w:sz w:val="14"/>
                <w:szCs w:val="14"/>
                <w:lang w:val="es-ES" w:eastAsia="es-ES"/>
              </w:rPr>
            </w:pPr>
          </w:p>
        </w:tc>
        <w:tc>
          <w:tcPr>
            <w:tcW w:w="851" w:type="dxa"/>
            <w:tcBorders>
              <w:top w:val="single" w:sz="2" w:space="0" w:color="auto"/>
              <w:bottom w:val="single" w:sz="4" w:space="0" w:color="auto"/>
              <w:right w:val="nil"/>
            </w:tcBorders>
            <w:vAlign w:val="center"/>
          </w:tcPr>
          <w:p w:rsidR="00281972" w:rsidRPr="00560F99" w:rsidRDefault="00281972" w:rsidP="00FF435B">
            <w:pPr>
              <w:spacing w:after="0"/>
              <w:ind w:firstLine="0"/>
              <w:jc w:val="right"/>
              <w:rPr>
                <w:rFonts w:ascii="Arial Narrow" w:hAnsi="Arial Narrow"/>
                <w:color w:val="000000"/>
                <w:sz w:val="14"/>
                <w:szCs w:val="14"/>
                <w:lang w:val="es-ES" w:eastAsia="es-ES"/>
              </w:rPr>
            </w:pPr>
          </w:p>
        </w:tc>
      </w:tr>
      <w:tr w:rsidR="00281972" w:rsidRPr="00560F99" w:rsidTr="00FF435B">
        <w:trPr>
          <w:trHeight w:val="262"/>
        </w:trPr>
        <w:tc>
          <w:tcPr>
            <w:tcW w:w="1767" w:type="dxa"/>
            <w:gridSpan w:val="2"/>
            <w:tcBorders>
              <w:top w:val="single" w:sz="4" w:space="0" w:color="auto"/>
              <w:left w:val="nil"/>
              <w:bottom w:val="single" w:sz="4" w:space="0" w:color="auto"/>
            </w:tcBorders>
            <w:shd w:val="clear" w:color="000000" w:fill="FBD4B4" w:themeFill="accent6" w:themeFillTint="66"/>
            <w:noWrap/>
            <w:vAlign w:val="center"/>
          </w:tcPr>
          <w:p w:rsidR="00281972" w:rsidRPr="00560F99" w:rsidRDefault="00281972" w:rsidP="00FF435B">
            <w:pPr>
              <w:spacing w:after="0"/>
              <w:ind w:firstLine="0"/>
              <w:jc w:val="left"/>
              <w:rPr>
                <w:rFonts w:ascii="Arial Narrow" w:hAnsi="Arial Narrow"/>
                <w:color w:val="000000"/>
                <w:sz w:val="14"/>
                <w:szCs w:val="14"/>
              </w:rPr>
            </w:pPr>
            <w:r>
              <w:rPr>
                <w:rFonts w:ascii="Arial Narrow" w:hAnsi="Arial Narrow"/>
                <w:color w:val="000000"/>
                <w:sz w:val="14"/>
                <w:szCs w:val="14"/>
              </w:rPr>
              <w:t>Fiskalizatutako</w:t>
            </w:r>
            <w:r>
              <w:rPr>
                <w:rFonts w:ascii="Arial Narrow" w:hAnsi="Arial Narrow"/>
                <w:color w:val="000000"/>
                <w:sz w:val="14"/>
                <w:szCs w:val="14"/>
              </w:rPr>
              <w:br/>
            </w:r>
            <w:r w:rsidRPr="00560F99">
              <w:rPr>
                <w:rFonts w:ascii="Arial Narrow" w:hAnsi="Arial Narrow"/>
                <w:color w:val="000000"/>
                <w:sz w:val="14"/>
                <w:szCs w:val="14"/>
              </w:rPr>
              <w:t>udal</w:t>
            </w:r>
            <w:r w:rsidRPr="00560F99">
              <w:rPr>
                <w:rFonts w:ascii="Arial Narrow" w:hAnsi="Arial Narrow"/>
                <w:color w:val="000000"/>
                <w:sz w:val="14"/>
                <w:szCs w:val="14"/>
              </w:rPr>
              <w:t>e</w:t>
            </w:r>
            <w:r w:rsidRPr="00560F99">
              <w:rPr>
                <w:rFonts w:ascii="Arial Narrow" w:hAnsi="Arial Narrow"/>
                <w:color w:val="000000"/>
                <w:sz w:val="14"/>
                <w:szCs w:val="14"/>
              </w:rPr>
              <w:t>rriak, guztira</w:t>
            </w:r>
          </w:p>
        </w:tc>
        <w:tc>
          <w:tcPr>
            <w:tcW w:w="959" w:type="dxa"/>
            <w:tcBorders>
              <w:top w:val="single" w:sz="4" w:space="0" w:color="auto"/>
              <w:bottom w:val="single" w:sz="4" w:space="0" w:color="auto"/>
            </w:tcBorders>
            <w:shd w:val="clear" w:color="000000" w:fill="FBD4B4" w:themeFill="accent6" w:themeFillTint="66"/>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219.296</w:t>
            </w:r>
          </w:p>
        </w:tc>
        <w:tc>
          <w:tcPr>
            <w:tcW w:w="1129" w:type="dxa"/>
            <w:tcBorders>
              <w:top w:val="single" w:sz="4" w:space="0" w:color="auto"/>
              <w:bottom w:val="single" w:sz="4" w:space="0" w:color="auto"/>
            </w:tcBorders>
            <w:shd w:val="clear" w:color="000000" w:fill="FBD4B4" w:themeFill="accent6" w:themeFillTint="66"/>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216.788.804</w:t>
            </w:r>
          </w:p>
        </w:tc>
        <w:tc>
          <w:tcPr>
            <w:tcW w:w="998" w:type="dxa"/>
            <w:tcBorders>
              <w:top w:val="single" w:sz="4" w:space="0" w:color="auto"/>
              <w:bottom w:val="single" w:sz="4" w:space="0" w:color="auto"/>
            </w:tcBorders>
            <w:shd w:val="clear" w:color="000000" w:fill="FBD4B4" w:themeFill="accent6" w:themeFillTint="66"/>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216.709.101</w:t>
            </w:r>
          </w:p>
        </w:tc>
        <w:tc>
          <w:tcPr>
            <w:tcW w:w="976" w:type="dxa"/>
            <w:tcBorders>
              <w:top w:val="single" w:sz="4" w:space="0" w:color="auto"/>
              <w:bottom w:val="single" w:sz="4" w:space="0" w:color="auto"/>
            </w:tcBorders>
            <w:shd w:val="clear" w:color="000000" w:fill="FBD4B4" w:themeFill="accent6" w:themeFillTint="66"/>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2.074</w:t>
            </w:r>
          </w:p>
        </w:tc>
        <w:tc>
          <w:tcPr>
            <w:tcW w:w="969" w:type="dxa"/>
            <w:tcBorders>
              <w:top w:val="single" w:sz="4" w:space="0" w:color="auto"/>
              <w:bottom w:val="single" w:sz="4" w:space="0" w:color="auto"/>
            </w:tcBorders>
            <w:shd w:val="clear" w:color="000000" w:fill="FBD4B4" w:themeFill="accent6" w:themeFillTint="66"/>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5</w:t>
            </w:r>
          </w:p>
        </w:tc>
        <w:tc>
          <w:tcPr>
            <w:tcW w:w="965" w:type="dxa"/>
            <w:tcBorders>
              <w:top w:val="single" w:sz="4" w:space="0" w:color="auto"/>
              <w:bottom w:val="single" w:sz="4" w:space="0" w:color="auto"/>
            </w:tcBorders>
            <w:shd w:val="clear" w:color="000000" w:fill="FBD4B4" w:themeFill="accent6" w:themeFillTint="66"/>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5</w:t>
            </w:r>
          </w:p>
        </w:tc>
        <w:tc>
          <w:tcPr>
            <w:tcW w:w="884" w:type="dxa"/>
            <w:tcBorders>
              <w:top w:val="single" w:sz="4" w:space="0" w:color="auto"/>
              <w:bottom w:val="single" w:sz="4" w:space="0" w:color="auto"/>
            </w:tcBorders>
            <w:shd w:val="clear" w:color="000000" w:fill="FBD4B4" w:themeFill="accent6" w:themeFillTint="66"/>
            <w:noWrap/>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2</w:t>
            </w:r>
          </w:p>
        </w:tc>
        <w:tc>
          <w:tcPr>
            <w:tcW w:w="851" w:type="dxa"/>
            <w:tcBorders>
              <w:top w:val="single" w:sz="4" w:space="0" w:color="auto"/>
              <w:bottom w:val="single" w:sz="4" w:space="0" w:color="auto"/>
              <w:right w:val="nil"/>
            </w:tcBorders>
            <w:shd w:val="clear" w:color="000000" w:fill="FBD4B4" w:themeFill="accent6" w:themeFillTint="66"/>
            <w:vAlign w:val="center"/>
          </w:tcPr>
          <w:p w:rsidR="00281972" w:rsidRPr="00560F99" w:rsidRDefault="00281972" w:rsidP="00FF435B">
            <w:pPr>
              <w:spacing w:after="0"/>
              <w:ind w:firstLine="0"/>
              <w:jc w:val="right"/>
              <w:rPr>
                <w:rFonts w:ascii="Arial Narrow" w:hAnsi="Arial Narrow"/>
                <w:color w:val="000000"/>
                <w:sz w:val="14"/>
                <w:szCs w:val="14"/>
              </w:rPr>
            </w:pPr>
            <w:r w:rsidRPr="00560F99">
              <w:rPr>
                <w:rFonts w:ascii="Arial Narrow" w:hAnsi="Arial Narrow"/>
                <w:color w:val="000000"/>
                <w:sz w:val="14"/>
                <w:szCs w:val="14"/>
              </w:rPr>
              <w:t>0</w:t>
            </w:r>
          </w:p>
        </w:tc>
      </w:tr>
    </w:tbl>
    <w:p w:rsidR="00EC4F97" w:rsidRDefault="00EC4F97" w:rsidP="00EC4F97">
      <w:pPr>
        <w:pStyle w:val="texto"/>
        <w:spacing w:before="240"/>
      </w:pPr>
      <w:r>
        <w:t>Fiskalizatutako entitateei buruzko datu nagusiak eta Nafarroako toki sektore publikoa osoa alderatzen baditugu, honako hauek dira emaitzak:</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Fiskalizatutako </w:t>
      </w:r>
      <w:proofErr w:type="spellStart"/>
      <w:r>
        <w:t>enteak</w:t>
      </w:r>
      <w:proofErr w:type="spellEnd"/>
      <w:r>
        <w:t xml:space="preserve"> Nafarroan 2017an daudenen ehuneko 0,4 dira, baina haien biztanleria guztizkoaren ehuneko 34 da.</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t>Auditoretza</w:t>
      </w:r>
      <w:proofErr w:type="spellEnd"/>
      <w:r>
        <w:t xml:space="preserve"> egin zaien entitateen diru-sarrerek Nafarroako toki sektore p</w:t>
      </w:r>
      <w:r>
        <w:t>u</w:t>
      </w:r>
      <w:r>
        <w:t>blikoaren diru-sarrera guztien ehuneko 28 egiten dute, eta gastuek, berriz, eh</w:t>
      </w:r>
      <w:r>
        <w:t>u</w:t>
      </w:r>
      <w:r>
        <w:t>neko 29.</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Fiskalizatutako udal horien menpeko erakundeak tokiko sektore publiko osoaren ehuneko hamar dira, partzuergoak kontuan hartu gabe.</w:t>
      </w:r>
    </w:p>
    <w:p w:rsidR="00EC4F97" w:rsidRPr="007E3BFE" w:rsidRDefault="00EC4F97" w:rsidP="00EC4F97">
      <w:pPr>
        <w:pStyle w:val="texto"/>
      </w:pPr>
      <w:r>
        <w:t>Finantzen eta legezkotasunaren fiskalizazioen helburua da honako hauei b</w:t>
      </w:r>
      <w:r>
        <w:t>u</w:t>
      </w:r>
      <w:r>
        <w:t>ruzko iritzi bat ematea:</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Finantza-auditoretzako iritzia: ea kontu orokorrak, bere alderdi adierazg</w:t>
      </w:r>
      <w:r>
        <w:t>a</w:t>
      </w:r>
      <w:r>
        <w:t>rri guztietan, irudi fidela ematen zuen ondareari buruz, aurrekontuen likidaz</w:t>
      </w:r>
      <w:r>
        <w:t>i</w:t>
      </w:r>
      <w:r>
        <w:t>oari buruz eta toki entitatearen 2017ko abenduaren 31ko finantza-egoerari b</w:t>
      </w:r>
      <w:r>
        <w:t>u</w:t>
      </w:r>
      <w:r>
        <w:t>ruz; bai eta data horretan amaitutako urteko ekitaldiari dagozkion emaitza ek</w:t>
      </w:r>
      <w:r>
        <w:t>o</w:t>
      </w:r>
      <w:r>
        <w:t>nomiko eta aurrekontukoei buruz ere, aplikatzekoa den informazio finantzario publikoaren arau-esparruarekin bat, eta bereziki, hartan jasotako kontabilitate-printzipio eta -irizpideekin bat.</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Legezkotasuna betetzeari buruzko iritzia: ea Udalaren 2017ko ekitaldiari dagozkion finantzen egoera-orrietan islatutako jarduerak, aurrekontu- eta fina</w:t>
      </w:r>
      <w:r>
        <w:t>n</w:t>
      </w:r>
      <w:r>
        <w:t>tza-eragiketak eta informazioa bat ote datozen, alderdi adierazgarri guztietan, funts publikoaren kudeaketari aplikatzekoa zaion araudiarekin.</w:t>
      </w:r>
    </w:p>
    <w:p w:rsidR="00EC4F97" w:rsidRDefault="00EC4F97" w:rsidP="00EC4F97">
      <w:pPr>
        <w:pStyle w:val="texto"/>
        <w:spacing w:after="200"/>
      </w:pPr>
      <w:r>
        <w:t>Fiskalizazioaren emaitzak kasuko txostenean jaso ziren, eta Nafarroako Pa</w:t>
      </w:r>
      <w:r>
        <w:t>r</w:t>
      </w:r>
      <w:r>
        <w:t>lamentuko Aldizkari Ofizialean eta Nafarroako Kontuen Ganberaren webg</w:t>
      </w:r>
      <w:r>
        <w:t>u</w:t>
      </w:r>
      <w:r>
        <w:t>nean argitaratu ziren.</w:t>
      </w:r>
    </w:p>
    <w:p w:rsidR="00EC4F97" w:rsidRPr="007E3BFE" w:rsidRDefault="00EC4F97" w:rsidP="00EC4F97">
      <w:pPr>
        <w:pStyle w:val="texto"/>
      </w:pPr>
      <w:r>
        <w:t>Txosten hauei buruzko iritziari dagokionez, honako hauek izan ziren ema</w:t>
      </w:r>
      <w:r>
        <w:t>i</w:t>
      </w:r>
      <w:r>
        <w:t>tzak:</w:t>
      </w:r>
    </w:p>
    <w:p w:rsidR="00EC4F97" w:rsidRDefault="00EC4F97" w:rsidP="00EC4F97">
      <w:pPr>
        <w:pStyle w:val="texto"/>
        <w:numPr>
          <w:ilvl w:val="0"/>
          <w:numId w:val="12"/>
        </w:numPr>
        <w:tabs>
          <w:tab w:val="clear" w:pos="2835"/>
          <w:tab w:val="clear" w:pos="3969"/>
          <w:tab w:val="clear" w:pos="5103"/>
          <w:tab w:val="clear" w:pos="6237"/>
          <w:tab w:val="clear" w:pos="7371"/>
          <w:tab w:val="left" w:pos="602"/>
        </w:tabs>
        <w:spacing w:before="240" w:after="160"/>
        <w:ind w:left="0" w:firstLine="284"/>
      </w:pPr>
      <w:proofErr w:type="spellStart"/>
      <w:r>
        <w:t>Finantza-auditoretzaren</w:t>
      </w:r>
      <w:proofErr w:type="spellEnd"/>
      <w:r>
        <w:t xml:space="preserve"> iritzia aldekoa izan zen, baina salbuespen batzuk izan ziren hiru erakundeetan. Honako hauek izan ziren salbuespen nagusiak:</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Ibilgetu materialaren saldoa ez dago eguneratutako inbentario batean (er</w:t>
      </w:r>
      <w:r>
        <w:t>a</w:t>
      </w:r>
      <w:r>
        <w:t>kunde batean).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 w:val="left" w:pos="3122"/>
        </w:tabs>
        <w:ind w:left="0" w:firstLine="289"/>
        <w:rPr>
          <w:rFonts w:cs="Arial"/>
        </w:rPr>
      </w:pPr>
      <w:r>
        <w:t xml:space="preserve">Diruzaintzako </w:t>
      </w:r>
      <w:proofErr w:type="spellStart"/>
      <w:r>
        <w:t>gerakinean</w:t>
      </w:r>
      <w:proofErr w:type="spellEnd"/>
      <w:r>
        <w:t xml:space="preserve"> ez dira jasotzen bilketa zaileko saldoak (er</w:t>
      </w:r>
      <w:r>
        <w:t>a</w:t>
      </w:r>
      <w:r>
        <w:t>kunde batean eta haren erakunde autonomoan).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 xml:space="preserve">Ez daude kuantifikatuta, ez kontabilizatuta ere, </w:t>
      </w:r>
      <w:proofErr w:type="spellStart"/>
      <w:r>
        <w:t>montepioko</w:t>
      </w:r>
      <w:proofErr w:type="spellEnd"/>
      <w:r>
        <w:t xml:space="preserve"> langileen pe</w:t>
      </w:r>
      <w:r>
        <w:t>n</w:t>
      </w:r>
      <w:r>
        <w:t xml:space="preserve">tsioetatik datozen betebehar </w:t>
      </w:r>
      <w:proofErr w:type="spellStart"/>
      <w:r>
        <w:t>aktuarialak</w:t>
      </w:r>
      <w:proofErr w:type="spellEnd"/>
      <w:r>
        <w:t xml:space="preserve"> (entitate bat).</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Behin betiko kredituak gainditzen dituzten gastuak kontabilizatu dira, d</w:t>
      </w:r>
      <w:r>
        <w:t>a</w:t>
      </w:r>
      <w:r>
        <w:t>gokion aurrekontu-aldaketa onetsi gabe (erakunde batean eta haren erakunde autonomoan).</w:t>
      </w:r>
    </w:p>
    <w:p w:rsidR="00EC4F97" w:rsidRPr="008A3E75"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Aurrekontu-emaitza doituaren kalkuluan, ez dira kontuan hartu diruzai</w:t>
      </w:r>
      <w:r>
        <w:t>n</w:t>
      </w:r>
      <w:r>
        <w:t xml:space="preserve">tzako </w:t>
      </w:r>
      <w:proofErr w:type="spellStart"/>
      <w:r>
        <w:t>gerakinarekin</w:t>
      </w:r>
      <w:proofErr w:type="spellEnd"/>
      <w:r>
        <w:t xml:space="preserve"> finantzatutako gastuak (erakunde batean).</w:t>
      </w:r>
    </w:p>
    <w:p w:rsidR="00EC4F97" w:rsidRDefault="00EC4F97" w:rsidP="00EC4F97">
      <w:pPr>
        <w:pStyle w:val="texto"/>
        <w:numPr>
          <w:ilvl w:val="0"/>
          <w:numId w:val="12"/>
        </w:numPr>
        <w:tabs>
          <w:tab w:val="clear" w:pos="2835"/>
          <w:tab w:val="clear" w:pos="3969"/>
          <w:tab w:val="clear" w:pos="5103"/>
          <w:tab w:val="clear" w:pos="6237"/>
          <w:tab w:val="clear" w:pos="7371"/>
          <w:tab w:val="left" w:pos="602"/>
        </w:tabs>
        <w:spacing w:before="240" w:after="160"/>
        <w:ind w:left="0" w:firstLine="284"/>
      </w:pPr>
      <w:r>
        <w:t xml:space="preserve">Legezkotasuna betetzeari buruzko </w:t>
      </w:r>
      <w:proofErr w:type="spellStart"/>
      <w:r>
        <w:t>auditoretzaren</w:t>
      </w:r>
      <w:proofErr w:type="spellEnd"/>
      <w:r>
        <w:t xml:space="preserve"> iritzia aldekoa izan zen bi erakundetan, eta hirugarrenean aldekoa izan zen udalarentzat eta haren er</w:t>
      </w:r>
      <w:r>
        <w:t>a</w:t>
      </w:r>
      <w:r>
        <w:t>kunde autonomoentzat, eta aurkakoa haren Fundazioarentzat. Kasu honetan, honako hauek izan ziren salbuespen nagusiak:</w:t>
      </w:r>
    </w:p>
    <w:p w:rsidR="00EC4F97" w:rsidRPr="004146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Kontratazio publikoari buruzko araudia ez da aplikatzen zerbitzu-kontratuen izapidetzean eta adjudikazioan.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Langileen kontratazioan, ez dira errespetatu berdintasun-, merezimendu- eta gaitasun-printzipioak.</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Barne-kontrolaren arloko ahulezia aipagarriak daude, batez ere diruzai</w:t>
      </w:r>
      <w:r>
        <w:t>n</w:t>
      </w:r>
      <w:r>
        <w:t>tzan, fakturazio-prozeduretan eta esparru batzuetako kontratu eta alokairuetan.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Ez dira bete hornitzaileei ordaintzeko legezko epeak, abenduaren 29ko 3/2004 Legean jasota agertzen direnak, zeinaren bidez merkataritza-eragiketetako berankortasunaren aurkako neurriak ezartzen baitira.</w:t>
      </w:r>
    </w:p>
    <w:p w:rsidR="00EC4F97" w:rsidRPr="00C20092" w:rsidRDefault="00EC4F97" w:rsidP="00EC4F97">
      <w:pPr>
        <w:tabs>
          <w:tab w:val="left" w:pos="480"/>
          <w:tab w:val="num" w:pos="1948"/>
          <w:tab w:val="num" w:pos="5040"/>
        </w:tabs>
        <w:spacing w:before="360"/>
        <w:ind w:firstLine="284"/>
        <w:rPr>
          <w:spacing w:val="6"/>
          <w:sz w:val="26"/>
          <w:szCs w:val="24"/>
        </w:rPr>
      </w:pPr>
      <w:r>
        <w:rPr>
          <w:sz w:val="26"/>
          <w:szCs w:val="24"/>
        </w:rPr>
        <w:t>Honako hauek dira Ganbera honek entitate horien fiskalizazioan 2017ko txost</w:t>
      </w:r>
      <w:r>
        <w:rPr>
          <w:sz w:val="26"/>
          <w:szCs w:val="24"/>
        </w:rPr>
        <w:t>e</w:t>
      </w:r>
      <w:r>
        <w:rPr>
          <w:sz w:val="26"/>
          <w:szCs w:val="24"/>
        </w:rPr>
        <w:t>netan jaso dituen gomendio nagusiak:</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i/>
        </w:rPr>
        <w:t>Aurrekontuak eta Kontu Orokorra legeria indardunean ezarritako epeen barruan onestea (bi entitate).</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i/>
        </w:rPr>
        <w:t>Aurrekontuaren espedientea osatzea araudian eskatutako dokumentazio guztiarekin (bi entitate).</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i/>
        </w:rPr>
        <w:t>Hirugarren batekin egindako kontratuen indarraldia gehiago kontrolatzea eta dagokion lizitazio-prozeduraren hasiera behar adinako denboraz planifik</w:t>
      </w:r>
      <w:r>
        <w:rPr>
          <w:i/>
        </w:rPr>
        <w:t>a</w:t>
      </w:r>
      <w:r>
        <w:rPr>
          <w:i/>
        </w:rPr>
        <w:t>tzea (zortzi entitate).</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i/>
        </w:rPr>
        <w:t>Kasuko kontratazio-espedienteak izapidetzea kontratuak amaituta dituzten zerbitzuen kasuan eta errepikatzen direlako edo daukaten zenbatekoagatik araudi indardunak hala aurreikusten duen kasuetan (entitate bat).</w:t>
      </w:r>
    </w:p>
    <w:p w:rsidR="00EC4F97" w:rsidRPr="00C15393"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i/>
        </w:rPr>
        <w:t>Kontratu-euskarririk gabeko betebeharrak ordaindu beharreko kasuetan, betearazpenaren oinarrietan izapidetzerako prozedura egokia ezartzea, ab</w:t>
      </w:r>
      <w:r>
        <w:rPr>
          <w:i/>
        </w:rPr>
        <w:t>e</w:t>
      </w:r>
      <w:r>
        <w:rPr>
          <w:i/>
        </w:rPr>
        <w:t>raste bidegabearen teoriaren arabera, organo eskudunak onets dezan (entitate bat).</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i/>
        </w:rPr>
        <w:t>Udaleko eta haren erakunde autonomoetako funtzionarioen enplegu-baldintzei buruzko akordioak berrikustea, eta itunak mugatzea udalak esk</w:t>
      </w:r>
      <w:r>
        <w:rPr>
          <w:i/>
        </w:rPr>
        <w:t>u</w:t>
      </w:r>
      <w:r>
        <w:rPr>
          <w:i/>
        </w:rPr>
        <w:t>mena duen arloetara (bi entitate).</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i/>
        </w:rPr>
        <w:t>Kasuko lan-eskaintza publikoak onestea eta lanpostu hutsetarako deialdiak egitea Estatuko aurrekontuei buruzko lege orokorretan ezartzen diren berr</w:t>
      </w:r>
      <w:r>
        <w:rPr>
          <w:i/>
        </w:rPr>
        <w:t>e</w:t>
      </w:r>
      <w:r>
        <w:rPr>
          <w:i/>
        </w:rPr>
        <w:t>zarpen-tasen eta enplegu-egonkortze tasen ahalbideen arabera (hiru entitate).</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i/>
        </w:rPr>
        <w:t xml:space="preserve">Hurrengo lan-eskaintza publikoetan, </w:t>
      </w:r>
      <w:proofErr w:type="spellStart"/>
      <w:r>
        <w:rPr>
          <w:i/>
        </w:rPr>
        <w:t>plantilletan</w:t>
      </w:r>
      <w:proofErr w:type="spellEnd"/>
      <w:r>
        <w:rPr>
          <w:i/>
        </w:rPr>
        <w:t xml:space="preserve"> </w:t>
      </w:r>
      <w:proofErr w:type="spellStart"/>
      <w:r>
        <w:rPr>
          <w:i/>
        </w:rPr>
        <w:t>subrogatu</w:t>
      </w:r>
      <w:proofErr w:type="spellEnd"/>
      <w:r>
        <w:rPr>
          <w:i/>
        </w:rPr>
        <w:t xml:space="preserve"> diren zerbitz</w:t>
      </w:r>
      <w:r>
        <w:rPr>
          <w:i/>
        </w:rPr>
        <w:t>u</w:t>
      </w:r>
      <w:r>
        <w:rPr>
          <w:i/>
        </w:rPr>
        <w:t>etako plazak sartzea, aldi baterako eta salbuespenezko egoera bati erantzuten dioten neurrian (entitate bat).</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proofErr w:type="spellStart"/>
      <w:r>
        <w:rPr>
          <w:i/>
        </w:rPr>
        <w:t>Plantillan</w:t>
      </w:r>
      <w:proofErr w:type="spellEnd"/>
      <w:r>
        <w:rPr>
          <w:i/>
        </w:rPr>
        <w:t xml:space="preserve"> dauden lanpostuen eta egiaz betetzen diren lanpostuen arteko erlazioa aztertzea, </w:t>
      </w:r>
      <w:proofErr w:type="spellStart"/>
      <w:r>
        <w:rPr>
          <w:i/>
        </w:rPr>
        <w:t>plantilla</w:t>
      </w:r>
      <w:proofErr w:type="spellEnd"/>
      <w:r>
        <w:rPr>
          <w:i/>
        </w:rPr>
        <w:t xml:space="preserve"> egiazko premietara egokitzen den egiaztatzeko (e</w:t>
      </w:r>
      <w:r>
        <w:rPr>
          <w:i/>
        </w:rPr>
        <w:t>n</w:t>
      </w:r>
      <w:r>
        <w:rPr>
          <w:i/>
        </w:rPr>
        <w:t>titate bat).</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r>
        <w:rPr>
          <w:i/>
        </w:rPr>
        <w:t>Berrikus eta azter daitezela izendapen bera duten lanpostuetarako bi araubide juridiko desberdin egoteak ekartzen dituen ordainsari-diferentziak (entitate bat).</w:t>
      </w:r>
    </w:p>
    <w:p w:rsidR="00EC4F97" w:rsidRPr="00DE1C9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i/>
        </w:rPr>
      </w:pPr>
      <w:proofErr w:type="spellStart"/>
      <w:r>
        <w:rPr>
          <w:i/>
        </w:rPr>
        <w:t>Kontu-hartzailetzaren</w:t>
      </w:r>
      <w:proofErr w:type="spellEnd"/>
      <w:r>
        <w:rPr>
          <w:i/>
        </w:rPr>
        <w:t xml:space="preserve"> barne kontrola areagotzea, kudeaketa ekonomikoa hobetzeko beharrezkoa eta ezinbestekoa den tresna baten gisara, eta hura eza</w:t>
      </w:r>
      <w:r>
        <w:rPr>
          <w:i/>
        </w:rPr>
        <w:t>r</w:t>
      </w:r>
      <w:r>
        <w:rPr>
          <w:i/>
        </w:rPr>
        <w:t>tzea Nafarroako Toki Ogasunei buruzko 2/1995 Foru Legean ezarritako hed</w:t>
      </w:r>
      <w:r>
        <w:rPr>
          <w:i/>
        </w:rPr>
        <w:t>a</w:t>
      </w:r>
      <w:r>
        <w:rPr>
          <w:i/>
        </w:rPr>
        <w:t>durarekin. Hau da, erabateko fiskalizazioa egitea aurrez fiskalizazio mugatua egin zaien eta udalaren diru-sarreren barne-kontrola pasa duten gastuen lagin bati buruz kontrol finantzarioa eta eraginkortasunaren kontrola egitea (entitate bat).</w:t>
      </w:r>
    </w:p>
    <w:p w:rsidR="00EC4F97" w:rsidRPr="00F70BA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Kontu-hartzailetzak</w:t>
      </w:r>
      <w:proofErr w:type="spellEnd"/>
      <w:r>
        <w:rPr>
          <w:i/>
        </w:rPr>
        <w:t xml:space="preserve"> egitea Udalean kontrol finantzarioa eta eraginkort</w:t>
      </w:r>
      <w:r>
        <w:rPr>
          <w:i/>
        </w:rPr>
        <w:t>a</w:t>
      </w:r>
      <w:r>
        <w:rPr>
          <w:i/>
        </w:rPr>
        <w:t>sunaren kontrola, tokiko aurrekontu-esparrua betez, bai eta erakunde auton</w:t>
      </w:r>
      <w:r>
        <w:rPr>
          <w:i/>
        </w:rPr>
        <w:t>o</w:t>
      </w:r>
      <w:r>
        <w:rPr>
          <w:i/>
        </w:rPr>
        <w:t>moetako eraginkortasunaren kontrola ere (bi entitate).</w:t>
      </w:r>
    </w:p>
    <w:p w:rsidR="00EC4F97" w:rsidRPr="00C15393"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Udalak bere erakunde autonomoen jardueraren gainean egin behar duen barne-kontrola behar bezala bermatuko duten prozedurak diseinatzea (hiru e</w:t>
      </w:r>
      <w:r>
        <w:rPr>
          <w:i/>
        </w:rPr>
        <w:t>n</w:t>
      </w:r>
      <w:r>
        <w:rPr>
          <w:i/>
        </w:rPr>
        <w:t>titate).</w:t>
      </w:r>
    </w:p>
    <w:p w:rsidR="00EC4F97" w:rsidRPr="004904E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Udal-ondasunen inbentarioa onestea, eta haren etengabeko eguneratze eta kontabilitate-jarraipena bideratuko dituzten prozedurak diseinatzea (entitate bat).</w:t>
      </w:r>
    </w:p>
    <w:p w:rsidR="00EC4F97" w:rsidRPr="00C15393"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Lurraren gaineko kontribuzioa ordaindu behar duten ondasunen balor</w:t>
      </w:r>
      <w:r>
        <w:rPr>
          <w:i/>
        </w:rPr>
        <w:t>a</w:t>
      </w:r>
      <w:r>
        <w:rPr>
          <w:i/>
        </w:rPr>
        <w:t>zio-txostena berrikusi edo amaitzea (hiru entitate).</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Tasa bakarra aplikatzea landa-lurreko ondasunen gaineko kontribuzioa ordainarazteko, legeria indardunean ezarritakoari jarraituz (entitate bat).</w:t>
      </w:r>
    </w:p>
    <w:p w:rsidR="00EC4F97" w:rsidRDefault="00EC4F97" w:rsidP="00EC4F97">
      <w:pPr>
        <w:spacing w:after="0"/>
        <w:ind w:firstLine="284"/>
        <w:rPr>
          <w:spacing w:val="6"/>
          <w:sz w:val="26"/>
          <w:szCs w:val="24"/>
        </w:rPr>
      </w:pPr>
      <w:r>
        <w:rPr>
          <w:sz w:val="26"/>
          <w:szCs w:val="24"/>
        </w:rPr>
        <w:t>Aurrekontu-egonkortasunari eta finantza-iraunkortasunari dagokienez, oro har, araudiak ezarritako baldintza guztiak bete zituzten entitateek, kasu hauetan izan ezik: Iruñeko Udalak ez zuen gastu-araua bete, eta horrek ekarri zuen plan ekon</w:t>
      </w:r>
      <w:r>
        <w:rPr>
          <w:sz w:val="26"/>
          <w:szCs w:val="24"/>
        </w:rPr>
        <w:t>o</w:t>
      </w:r>
      <w:r>
        <w:rPr>
          <w:sz w:val="26"/>
          <w:szCs w:val="24"/>
        </w:rPr>
        <w:t>miko finantzario bat onetsi eta izapidetu behar izatea. Barañaingo Udalak ez du ka</w:t>
      </w:r>
      <w:r>
        <w:rPr>
          <w:sz w:val="26"/>
          <w:szCs w:val="24"/>
        </w:rPr>
        <w:t>l</w:t>
      </w:r>
      <w:r>
        <w:rPr>
          <w:sz w:val="26"/>
          <w:szCs w:val="24"/>
        </w:rPr>
        <w:t>kulatu, ezta argitaratu ere, hornitzaileei ordaintzeko batez besteko epea; beraz, ezin izan zen zehaztu arau hori betetzen den ala ez. Azkenik, Fiteroko Udalak ez zituen bere datuak bere erakunde autonomoaren datuekin finkatu, aurrekontu-egonkortasunaren eta finantza-iraunkortasunaren helburuak kalkulatzeko. Ganberak datu bateratuekin egindako kalkuluaren arabera, udal horrek ez du gastu-araua bet</w:t>
      </w:r>
      <w:r>
        <w:rPr>
          <w:sz w:val="26"/>
          <w:szCs w:val="24"/>
        </w:rPr>
        <w:t>e</w:t>
      </w:r>
      <w:r>
        <w:rPr>
          <w:sz w:val="26"/>
          <w:szCs w:val="24"/>
        </w:rPr>
        <w:t>tzen.</w:t>
      </w:r>
    </w:p>
    <w:p w:rsidR="00EC4F97" w:rsidRDefault="00EC4F97" w:rsidP="00EC4F97">
      <w:pPr>
        <w:pStyle w:val="texto"/>
        <w:spacing w:before="240"/>
      </w:pPr>
      <w:r>
        <w:t>Bestalde, Kontuen Ganberak toki sektoreko entitate batzuen 2017ko jardu</w:t>
      </w:r>
      <w:r>
        <w:t>e</w:t>
      </w:r>
      <w:r>
        <w:t>ran eragina zuten zazpi txosten egin zituen, honako gai hauei buruz:</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Iruñerriko</w:t>
      </w:r>
      <w:proofErr w:type="spellEnd"/>
      <w:r>
        <w:rPr>
          <w:i/>
        </w:rPr>
        <w:t xml:space="preserve"> Zerbitzuak SA sozietate publikoaren langile-kontratazioa, 2012tik 2017ra.</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Toki ogasunek tributuetan parte hartzeko funtsa (2009-2018).</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9.000 biztanletik gorako udaletan 2016an eta 2017an egindako admini</w:t>
      </w:r>
      <w:r>
        <w:rPr>
          <w:i/>
        </w:rPr>
        <w:t>s</w:t>
      </w:r>
      <w:r>
        <w:rPr>
          <w:i/>
        </w:rPr>
        <w:t>trazio-kontratazioari buruzkoa.</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9.000 biztanletik gorako udalen gomendioen jarraipena.</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Nafarroako toki entitateetako Kontu-hartzailetzako langileek 2017an egi</w:t>
      </w:r>
      <w:r>
        <w:rPr>
          <w:i/>
        </w:rPr>
        <w:t>n</w:t>
      </w:r>
      <w:r>
        <w:rPr>
          <w:i/>
        </w:rPr>
        <w:t>dako eragozpen-oharrak.</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Oncineda</w:t>
      </w:r>
      <w:proofErr w:type="spellEnd"/>
      <w:r>
        <w:rPr>
          <w:i/>
        </w:rPr>
        <w:t xml:space="preserve"> alderdiari buruzko hirigintzako desjabetze-hitzarmenak (Liz</w:t>
      </w:r>
      <w:r>
        <w:rPr>
          <w:i/>
        </w:rPr>
        <w:t>a</w:t>
      </w:r>
      <w:r>
        <w:rPr>
          <w:i/>
        </w:rPr>
        <w:t>rrako Udala).</w:t>
      </w:r>
    </w:p>
    <w:p w:rsidR="00EC4F97" w:rsidRPr="00B266F8"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proofErr w:type="spellStart"/>
      <w:r>
        <w:rPr>
          <w:i/>
        </w:rPr>
        <w:t>Mairagako</w:t>
      </w:r>
      <w:proofErr w:type="spellEnd"/>
      <w:r>
        <w:rPr>
          <w:i/>
        </w:rPr>
        <w:t xml:space="preserve"> Mankomunitatearen uraren goi horniduraren sistema haut</w:t>
      </w:r>
      <w:r>
        <w:rPr>
          <w:i/>
        </w:rPr>
        <w:t>a</w:t>
      </w:r>
      <w:r>
        <w:rPr>
          <w:i/>
        </w:rPr>
        <w:t>tzea.</w:t>
      </w:r>
    </w:p>
    <w:p w:rsidR="00EC4F97" w:rsidRDefault="00EC4F97" w:rsidP="00EC4F97">
      <w:pPr>
        <w:spacing w:after="0"/>
        <w:ind w:firstLine="0"/>
        <w:jc w:val="left"/>
        <w:rPr>
          <w:rFonts w:cs="Arial"/>
          <w:spacing w:val="6"/>
          <w:sz w:val="26"/>
          <w:szCs w:val="24"/>
        </w:rPr>
      </w:pPr>
      <w:r>
        <w:br w:type="page"/>
      </w:r>
    </w:p>
    <w:p w:rsidR="00EC4F97" w:rsidRDefault="00EC4F97" w:rsidP="00EC4F97">
      <w:pPr>
        <w:pStyle w:val="atitulo1"/>
      </w:pPr>
      <w:bookmarkStart w:id="48" w:name="_Toc24100142"/>
      <w:bookmarkStart w:id="49" w:name="_Toc27986316"/>
      <w:r>
        <w:t>V. Toki sektore publikoaren finantza-egoera</w:t>
      </w:r>
      <w:bookmarkEnd w:id="48"/>
      <w:bookmarkEnd w:id="49"/>
    </w:p>
    <w:p w:rsidR="00EC4F97" w:rsidRPr="00B15970" w:rsidRDefault="00EC4F97" w:rsidP="00EC4F97">
      <w:pPr>
        <w:pStyle w:val="texto"/>
        <w:spacing w:after="200"/>
      </w:pPr>
      <w:r>
        <w:t>Toki sektore publikoaren 2017ko txostenean, zeina txosten honen 2. eransk</w:t>
      </w:r>
      <w:r>
        <w:t>i</w:t>
      </w:r>
      <w:r>
        <w:t>nean jaso baitugu, toki entitateen eta beren erakunde autonomoen (udalak, ko</w:t>
      </w:r>
      <w:r>
        <w:t>n</w:t>
      </w:r>
      <w:r>
        <w:t>tzejuak, mankomunitateak eta elkarte tradizionalak eta udalen batasunak) i</w:t>
      </w:r>
      <w:r>
        <w:t>n</w:t>
      </w:r>
      <w:r>
        <w:t xml:space="preserve">formazio bateratua aurkezten da. </w:t>
      </w:r>
    </w:p>
    <w:p w:rsidR="00EC4F97" w:rsidRPr="00835DDC" w:rsidRDefault="00EC4F97" w:rsidP="00EC4F97">
      <w:pPr>
        <w:pStyle w:val="atitulo2"/>
        <w:spacing w:before="200" w:after="120"/>
        <w:rPr>
          <w:bCs w:val="0"/>
          <w:iCs w:val="0"/>
        </w:rPr>
      </w:pPr>
      <w:bookmarkStart w:id="50" w:name="_Toc465686688"/>
      <w:bookmarkStart w:id="51" w:name="_Toc529773882"/>
      <w:bookmarkStart w:id="52" w:name="_Toc24100143"/>
      <w:bookmarkStart w:id="53" w:name="_Toc27986317"/>
      <w:r>
        <w:t>V.1. Diru-sarrerak</w:t>
      </w:r>
      <w:bookmarkEnd w:id="50"/>
      <w:bookmarkEnd w:id="51"/>
      <w:bookmarkEnd w:id="52"/>
      <w:bookmarkEnd w:id="53"/>
    </w:p>
    <w:p w:rsidR="00EC4F97" w:rsidRDefault="00EC4F97" w:rsidP="00EC4F97">
      <w:pPr>
        <w:pStyle w:val="texto"/>
        <w:spacing w:before="120" w:after="60"/>
      </w:pPr>
      <w:r>
        <w:t>Hona toki sektore publikoaren diru-sarreren aurrekontu-betetzea:</w:t>
      </w:r>
    </w:p>
    <w:p w:rsidR="0090677A" w:rsidRPr="00560F99" w:rsidRDefault="0090677A" w:rsidP="0090677A">
      <w:pPr>
        <w:pStyle w:val="texto"/>
        <w:spacing w:after="40"/>
        <w:ind w:right="-425"/>
        <w:jc w:val="right"/>
        <w:rPr>
          <w:sz w:val="16"/>
          <w:szCs w:val="16"/>
        </w:rPr>
      </w:pPr>
      <w:r w:rsidRPr="00560F99">
        <w:rPr>
          <w:sz w:val="16"/>
          <w:szCs w:val="16"/>
        </w:rPr>
        <w:t>(euroak, milioitan)</w:t>
      </w:r>
    </w:p>
    <w:tbl>
      <w:tblPr>
        <w:tblW w:w="9669" w:type="dxa"/>
        <w:jc w:val="center"/>
        <w:tblLook w:val="01E0" w:firstRow="1" w:lastRow="1" w:firstColumn="1" w:lastColumn="1" w:noHBand="0" w:noVBand="0"/>
      </w:tblPr>
      <w:tblGrid>
        <w:gridCol w:w="305"/>
        <w:gridCol w:w="3783"/>
        <w:gridCol w:w="1310"/>
        <w:gridCol w:w="994"/>
        <w:gridCol w:w="1124"/>
        <w:gridCol w:w="999"/>
        <w:gridCol w:w="1154"/>
      </w:tblGrid>
      <w:tr w:rsidR="0090677A" w:rsidRPr="003800C3" w:rsidTr="00FF435B">
        <w:trPr>
          <w:trHeight w:val="255"/>
          <w:jc w:val="center"/>
        </w:trPr>
        <w:tc>
          <w:tcPr>
            <w:tcW w:w="4088" w:type="dxa"/>
            <w:gridSpan w:val="2"/>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left" w:pos="3046"/>
                <w:tab w:val="right" w:pos="3969"/>
                <w:tab w:val="right" w:pos="5103"/>
                <w:tab w:val="right" w:pos="6237"/>
                <w:tab w:val="right" w:pos="7371"/>
              </w:tabs>
              <w:spacing w:after="0"/>
              <w:ind w:right="122" w:firstLine="0"/>
              <w:jc w:val="left"/>
              <w:rPr>
                <w:rFonts w:ascii="Arial" w:hAnsi="Arial"/>
                <w:spacing w:val="6"/>
                <w:sz w:val="16"/>
                <w:szCs w:val="16"/>
              </w:rPr>
            </w:pPr>
            <w:r>
              <w:rPr>
                <w:rFonts w:ascii="Arial" w:hAnsi="Arial"/>
                <w:sz w:val="16"/>
                <w:szCs w:val="16"/>
              </w:rPr>
              <w:t>Kapitulua</w:t>
            </w:r>
          </w:p>
        </w:tc>
        <w:tc>
          <w:tcPr>
            <w:tcW w:w="1310" w:type="dxa"/>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Behin betiko aurreikuspenak</w:t>
            </w:r>
          </w:p>
        </w:tc>
        <w:tc>
          <w:tcPr>
            <w:tcW w:w="994" w:type="dxa"/>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Diru-sarrerak (2017)</w:t>
            </w:r>
          </w:p>
        </w:tc>
        <w:tc>
          <w:tcPr>
            <w:tcW w:w="1124" w:type="dxa"/>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Diru-sarreren guztizkoaren gainean (%)</w:t>
            </w:r>
          </w:p>
        </w:tc>
        <w:tc>
          <w:tcPr>
            <w:tcW w:w="999" w:type="dxa"/>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Betetzea (%)</w:t>
            </w:r>
          </w:p>
        </w:tc>
        <w:tc>
          <w:tcPr>
            <w:tcW w:w="1154" w:type="dxa"/>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Diru-sarreren aldea, 2017/16 (%)</w:t>
            </w:r>
          </w:p>
        </w:tc>
      </w:tr>
      <w:tr w:rsidR="0090677A" w:rsidRPr="007E3BFE" w:rsidTr="00FF435B">
        <w:trPr>
          <w:trHeight w:val="198"/>
          <w:jc w:val="center"/>
        </w:trPr>
        <w:tc>
          <w:tcPr>
            <w:tcW w:w="305" w:type="dxa"/>
            <w:tcBorders>
              <w:top w:val="single" w:sz="4"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1</w:t>
            </w:r>
          </w:p>
        </w:tc>
        <w:tc>
          <w:tcPr>
            <w:tcW w:w="3783" w:type="dxa"/>
            <w:tcBorders>
              <w:top w:val="single" w:sz="4"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Zuzeneko zergak</w:t>
            </w:r>
          </w:p>
        </w:tc>
        <w:tc>
          <w:tcPr>
            <w:tcW w:w="1310"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184,43</w:t>
            </w:r>
          </w:p>
        </w:tc>
        <w:tc>
          <w:tcPr>
            <w:tcW w:w="994"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186,33</w:t>
            </w:r>
          </w:p>
        </w:tc>
        <w:tc>
          <w:tcPr>
            <w:tcW w:w="1124"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23,95</w:t>
            </w:r>
          </w:p>
        </w:tc>
        <w:tc>
          <w:tcPr>
            <w:tcW w:w="999"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101</w:t>
            </w:r>
          </w:p>
        </w:tc>
        <w:tc>
          <w:tcPr>
            <w:tcW w:w="1154"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-5</w:t>
            </w:r>
          </w:p>
        </w:tc>
      </w:tr>
      <w:tr w:rsidR="0090677A" w:rsidRPr="007E3BFE" w:rsidTr="00FF435B">
        <w:trPr>
          <w:trHeight w:val="198"/>
          <w:jc w:val="center"/>
        </w:trPr>
        <w:tc>
          <w:tcPr>
            <w:tcW w:w="305" w:type="dxa"/>
            <w:tcBorders>
              <w:top w:val="single" w:sz="2"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2</w:t>
            </w:r>
          </w:p>
        </w:tc>
        <w:tc>
          <w:tcPr>
            <w:tcW w:w="3783" w:type="dxa"/>
            <w:tcBorders>
              <w:top w:val="single" w:sz="2"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Zeharkako zergak</w:t>
            </w:r>
          </w:p>
        </w:tc>
        <w:tc>
          <w:tcPr>
            <w:tcW w:w="1310"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15,72</w:t>
            </w:r>
          </w:p>
        </w:tc>
        <w:tc>
          <w:tcPr>
            <w:tcW w:w="994"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19,97</w:t>
            </w:r>
          </w:p>
        </w:tc>
        <w:tc>
          <w:tcPr>
            <w:tcW w:w="1124"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2,57</w:t>
            </w:r>
          </w:p>
        </w:tc>
        <w:tc>
          <w:tcPr>
            <w:tcW w:w="999"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127</w:t>
            </w:r>
          </w:p>
        </w:tc>
        <w:tc>
          <w:tcPr>
            <w:tcW w:w="1154"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7</w:t>
            </w:r>
          </w:p>
        </w:tc>
      </w:tr>
      <w:tr w:rsidR="0090677A" w:rsidRPr="007E3BFE" w:rsidTr="00FF435B">
        <w:trPr>
          <w:trHeight w:val="198"/>
          <w:jc w:val="center"/>
        </w:trPr>
        <w:tc>
          <w:tcPr>
            <w:tcW w:w="305" w:type="dxa"/>
            <w:tcBorders>
              <w:top w:val="single" w:sz="2"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3</w:t>
            </w:r>
          </w:p>
        </w:tc>
        <w:tc>
          <w:tcPr>
            <w:tcW w:w="3783" w:type="dxa"/>
            <w:tcBorders>
              <w:top w:val="single" w:sz="2"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Tasak, prezio publikoak eta beste diru-sarrera batzuk</w:t>
            </w:r>
          </w:p>
        </w:tc>
        <w:tc>
          <w:tcPr>
            <w:tcW w:w="1310"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150,65</w:t>
            </w:r>
          </w:p>
        </w:tc>
        <w:tc>
          <w:tcPr>
            <w:tcW w:w="994"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159,11</w:t>
            </w:r>
          </w:p>
        </w:tc>
        <w:tc>
          <w:tcPr>
            <w:tcW w:w="1124"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20,45</w:t>
            </w:r>
          </w:p>
        </w:tc>
        <w:tc>
          <w:tcPr>
            <w:tcW w:w="999"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106</w:t>
            </w:r>
          </w:p>
        </w:tc>
        <w:tc>
          <w:tcPr>
            <w:tcW w:w="1154"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w:t>
            </w:r>
          </w:p>
        </w:tc>
      </w:tr>
      <w:tr w:rsidR="0090677A" w:rsidRPr="007E3BFE" w:rsidTr="00FF435B">
        <w:trPr>
          <w:trHeight w:val="198"/>
          <w:jc w:val="center"/>
        </w:trPr>
        <w:tc>
          <w:tcPr>
            <w:tcW w:w="305" w:type="dxa"/>
            <w:tcBorders>
              <w:top w:val="single" w:sz="2"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4</w:t>
            </w:r>
          </w:p>
        </w:tc>
        <w:tc>
          <w:tcPr>
            <w:tcW w:w="3783" w:type="dxa"/>
            <w:tcBorders>
              <w:top w:val="single" w:sz="2"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Transferentzia arruntak</w:t>
            </w:r>
          </w:p>
        </w:tc>
        <w:tc>
          <w:tcPr>
            <w:tcW w:w="1310"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309,67</w:t>
            </w:r>
          </w:p>
        </w:tc>
        <w:tc>
          <w:tcPr>
            <w:tcW w:w="994"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307,94</w:t>
            </w:r>
          </w:p>
        </w:tc>
        <w:tc>
          <w:tcPr>
            <w:tcW w:w="1124"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39,57</w:t>
            </w:r>
          </w:p>
        </w:tc>
        <w:tc>
          <w:tcPr>
            <w:tcW w:w="999"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99</w:t>
            </w:r>
          </w:p>
        </w:tc>
        <w:tc>
          <w:tcPr>
            <w:tcW w:w="1154" w:type="dxa"/>
            <w:tcBorders>
              <w:top w:val="single" w:sz="2"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w:t>
            </w:r>
          </w:p>
        </w:tc>
      </w:tr>
      <w:tr w:rsidR="0090677A" w:rsidRPr="007E3BFE" w:rsidTr="00FF435B">
        <w:trPr>
          <w:trHeight w:val="198"/>
          <w:jc w:val="center"/>
        </w:trPr>
        <w:tc>
          <w:tcPr>
            <w:tcW w:w="305" w:type="dxa"/>
            <w:tcBorders>
              <w:top w:val="single" w:sz="2" w:space="0" w:color="auto"/>
              <w:bottom w:val="single" w:sz="4"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5</w:t>
            </w:r>
          </w:p>
        </w:tc>
        <w:tc>
          <w:tcPr>
            <w:tcW w:w="3783" w:type="dxa"/>
            <w:tcBorders>
              <w:top w:val="single" w:sz="2" w:space="0" w:color="auto"/>
              <w:bottom w:val="single" w:sz="4"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Ondare bidezko diru-sarrerak</w:t>
            </w:r>
          </w:p>
        </w:tc>
        <w:tc>
          <w:tcPr>
            <w:tcW w:w="1310"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44,35</w:t>
            </w:r>
          </w:p>
        </w:tc>
        <w:tc>
          <w:tcPr>
            <w:tcW w:w="994"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43,18</w:t>
            </w:r>
          </w:p>
        </w:tc>
        <w:tc>
          <w:tcPr>
            <w:tcW w:w="1124"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5,55</w:t>
            </w:r>
          </w:p>
        </w:tc>
        <w:tc>
          <w:tcPr>
            <w:tcW w:w="999"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97</w:t>
            </w:r>
          </w:p>
        </w:tc>
        <w:tc>
          <w:tcPr>
            <w:tcW w:w="1154"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w:t>
            </w:r>
          </w:p>
        </w:tc>
      </w:tr>
      <w:tr w:rsidR="0090677A" w:rsidRPr="003800C3" w:rsidTr="00FF435B">
        <w:trPr>
          <w:trHeight w:val="255"/>
          <w:jc w:val="center"/>
        </w:trPr>
        <w:tc>
          <w:tcPr>
            <w:tcW w:w="305" w:type="dxa"/>
            <w:tcBorders>
              <w:top w:val="single" w:sz="4" w:space="0" w:color="auto"/>
              <w:bottom w:val="single" w:sz="4" w:space="0" w:color="auto"/>
            </w:tcBorders>
            <w:vAlign w:val="center"/>
          </w:tcPr>
          <w:p w:rsidR="0090677A" w:rsidRPr="0050032C"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w:hAnsi="Arial" w:cs="Arial"/>
                <w:spacing w:val="6"/>
                <w:sz w:val="16"/>
                <w:szCs w:val="16"/>
              </w:rPr>
            </w:pPr>
          </w:p>
        </w:tc>
        <w:tc>
          <w:tcPr>
            <w:tcW w:w="3783" w:type="dxa"/>
            <w:tcBorders>
              <w:top w:val="single" w:sz="4" w:space="0" w:color="auto"/>
              <w:bottom w:val="single" w:sz="4" w:space="0" w:color="auto"/>
            </w:tcBorders>
            <w:vAlign w:val="center"/>
          </w:tcPr>
          <w:p w:rsidR="0090677A" w:rsidRPr="0050032C"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Diru-sarrera arruntak</w:t>
            </w:r>
          </w:p>
        </w:tc>
        <w:tc>
          <w:tcPr>
            <w:tcW w:w="1310"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704,82</w:t>
            </w:r>
          </w:p>
        </w:tc>
        <w:tc>
          <w:tcPr>
            <w:tcW w:w="994"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716,53</w:t>
            </w:r>
          </w:p>
        </w:tc>
        <w:tc>
          <w:tcPr>
            <w:tcW w:w="1124"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92,08</w:t>
            </w:r>
          </w:p>
        </w:tc>
        <w:tc>
          <w:tcPr>
            <w:tcW w:w="999"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102</w:t>
            </w:r>
          </w:p>
        </w:tc>
        <w:tc>
          <w:tcPr>
            <w:tcW w:w="1154"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-0,4</w:t>
            </w:r>
          </w:p>
        </w:tc>
      </w:tr>
      <w:tr w:rsidR="0090677A" w:rsidRPr="007E3BFE" w:rsidTr="00FF435B">
        <w:trPr>
          <w:trHeight w:val="198"/>
          <w:jc w:val="center"/>
        </w:trPr>
        <w:tc>
          <w:tcPr>
            <w:tcW w:w="305" w:type="dxa"/>
            <w:tcBorders>
              <w:top w:val="single" w:sz="4"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6</w:t>
            </w:r>
          </w:p>
        </w:tc>
        <w:tc>
          <w:tcPr>
            <w:tcW w:w="3783" w:type="dxa"/>
            <w:tcBorders>
              <w:top w:val="single" w:sz="4"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Inbertsioen besterentzea</w:t>
            </w:r>
          </w:p>
        </w:tc>
        <w:tc>
          <w:tcPr>
            <w:tcW w:w="1310"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10,01</w:t>
            </w:r>
          </w:p>
        </w:tc>
        <w:tc>
          <w:tcPr>
            <w:tcW w:w="994"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14,59</w:t>
            </w:r>
          </w:p>
        </w:tc>
        <w:tc>
          <w:tcPr>
            <w:tcW w:w="1124"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1,87</w:t>
            </w:r>
          </w:p>
        </w:tc>
        <w:tc>
          <w:tcPr>
            <w:tcW w:w="999"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146</w:t>
            </w:r>
          </w:p>
        </w:tc>
        <w:tc>
          <w:tcPr>
            <w:tcW w:w="1154"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9</w:t>
            </w:r>
          </w:p>
        </w:tc>
      </w:tr>
      <w:tr w:rsidR="0090677A" w:rsidRPr="007E3BFE" w:rsidTr="00FF435B">
        <w:trPr>
          <w:trHeight w:val="198"/>
          <w:jc w:val="center"/>
        </w:trPr>
        <w:tc>
          <w:tcPr>
            <w:tcW w:w="305" w:type="dxa"/>
            <w:tcBorders>
              <w:top w:val="single" w:sz="2" w:space="0" w:color="auto"/>
              <w:bottom w:val="single" w:sz="4"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7</w:t>
            </w:r>
          </w:p>
        </w:tc>
        <w:tc>
          <w:tcPr>
            <w:tcW w:w="3783" w:type="dxa"/>
            <w:tcBorders>
              <w:top w:val="single" w:sz="2" w:space="0" w:color="auto"/>
              <w:bottom w:val="single" w:sz="4"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Kapital-transferentziak</w:t>
            </w:r>
          </w:p>
        </w:tc>
        <w:tc>
          <w:tcPr>
            <w:tcW w:w="1310"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85,44</w:t>
            </w:r>
          </w:p>
        </w:tc>
        <w:tc>
          <w:tcPr>
            <w:tcW w:w="994"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36,81</w:t>
            </w:r>
          </w:p>
        </w:tc>
        <w:tc>
          <w:tcPr>
            <w:tcW w:w="1124"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4,73</w:t>
            </w:r>
          </w:p>
        </w:tc>
        <w:tc>
          <w:tcPr>
            <w:tcW w:w="999"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43</w:t>
            </w:r>
          </w:p>
        </w:tc>
        <w:tc>
          <w:tcPr>
            <w:tcW w:w="1154"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47</w:t>
            </w:r>
          </w:p>
        </w:tc>
      </w:tr>
      <w:tr w:rsidR="0090677A" w:rsidRPr="003800C3" w:rsidTr="00FF435B">
        <w:trPr>
          <w:trHeight w:val="255"/>
          <w:jc w:val="center"/>
        </w:trPr>
        <w:tc>
          <w:tcPr>
            <w:tcW w:w="305" w:type="dxa"/>
            <w:tcBorders>
              <w:top w:val="single" w:sz="4" w:space="0" w:color="auto"/>
              <w:bottom w:val="single" w:sz="4" w:space="0" w:color="auto"/>
            </w:tcBorders>
            <w:vAlign w:val="center"/>
          </w:tcPr>
          <w:p w:rsidR="0090677A" w:rsidRPr="0050032C"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w:hAnsi="Arial" w:cs="Arial"/>
                <w:spacing w:val="6"/>
                <w:sz w:val="16"/>
                <w:szCs w:val="16"/>
              </w:rPr>
            </w:pPr>
          </w:p>
        </w:tc>
        <w:tc>
          <w:tcPr>
            <w:tcW w:w="3783" w:type="dxa"/>
            <w:tcBorders>
              <w:top w:val="single" w:sz="4" w:space="0" w:color="auto"/>
              <w:bottom w:val="single" w:sz="4" w:space="0" w:color="auto"/>
            </w:tcBorders>
            <w:vAlign w:val="center"/>
          </w:tcPr>
          <w:p w:rsidR="0090677A" w:rsidRPr="0050032C"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Kapitaleko diru-sarrerak</w:t>
            </w:r>
          </w:p>
        </w:tc>
        <w:tc>
          <w:tcPr>
            <w:tcW w:w="1310"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95,46</w:t>
            </w:r>
          </w:p>
        </w:tc>
        <w:tc>
          <w:tcPr>
            <w:tcW w:w="994"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51,40</w:t>
            </w:r>
          </w:p>
        </w:tc>
        <w:tc>
          <w:tcPr>
            <w:tcW w:w="1124"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6,61</w:t>
            </w:r>
          </w:p>
        </w:tc>
        <w:tc>
          <w:tcPr>
            <w:tcW w:w="999"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54</w:t>
            </w:r>
          </w:p>
        </w:tc>
        <w:tc>
          <w:tcPr>
            <w:tcW w:w="1154"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34</w:t>
            </w:r>
          </w:p>
        </w:tc>
      </w:tr>
      <w:tr w:rsidR="0090677A" w:rsidRPr="007E3BFE" w:rsidTr="00FF435B">
        <w:trPr>
          <w:trHeight w:val="198"/>
          <w:jc w:val="center"/>
        </w:trPr>
        <w:tc>
          <w:tcPr>
            <w:tcW w:w="305" w:type="dxa"/>
            <w:tcBorders>
              <w:top w:val="single" w:sz="4"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8</w:t>
            </w:r>
          </w:p>
        </w:tc>
        <w:tc>
          <w:tcPr>
            <w:tcW w:w="3783" w:type="dxa"/>
            <w:tcBorders>
              <w:top w:val="single" w:sz="4" w:space="0" w:color="auto"/>
              <w:bottom w:val="single" w:sz="2"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Finantza-aktiboen aldaketa</w:t>
            </w:r>
          </w:p>
        </w:tc>
        <w:tc>
          <w:tcPr>
            <w:tcW w:w="1310"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84,87</w:t>
            </w:r>
          </w:p>
        </w:tc>
        <w:tc>
          <w:tcPr>
            <w:tcW w:w="994"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6,95</w:t>
            </w:r>
          </w:p>
        </w:tc>
        <w:tc>
          <w:tcPr>
            <w:tcW w:w="1124"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0,89</w:t>
            </w:r>
          </w:p>
        </w:tc>
        <w:tc>
          <w:tcPr>
            <w:tcW w:w="999"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8</w:t>
            </w:r>
          </w:p>
        </w:tc>
        <w:tc>
          <w:tcPr>
            <w:tcW w:w="1154" w:type="dxa"/>
            <w:tcBorders>
              <w:top w:val="single" w:sz="4" w:space="0" w:color="auto"/>
              <w:bottom w:val="single" w:sz="2"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532</w:t>
            </w:r>
          </w:p>
        </w:tc>
      </w:tr>
      <w:tr w:rsidR="0090677A" w:rsidRPr="007E3BFE" w:rsidTr="00FF435B">
        <w:trPr>
          <w:trHeight w:val="198"/>
          <w:jc w:val="center"/>
        </w:trPr>
        <w:tc>
          <w:tcPr>
            <w:tcW w:w="305" w:type="dxa"/>
            <w:tcBorders>
              <w:top w:val="single" w:sz="2" w:space="0" w:color="auto"/>
              <w:bottom w:val="single" w:sz="4"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9</w:t>
            </w:r>
          </w:p>
        </w:tc>
        <w:tc>
          <w:tcPr>
            <w:tcW w:w="3783" w:type="dxa"/>
            <w:tcBorders>
              <w:top w:val="single" w:sz="2" w:space="0" w:color="auto"/>
              <w:bottom w:val="single" w:sz="4" w:space="0" w:color="auto"/>
            </w:tcBorders>
            <w:vAlign w:val="center"/>
          </w:tcPr>
          <w:p w:rsidR="0090677A" w:rsidRPr="007E3BFE"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Finantza-pasiboen aldaketa</w:t>
            </w:r>
          </w:p>
        </w:tc>
        <w:tc>
          <w:tcPr>
            <w:tcW w:w="1310" w:type="dxa"/>
            <w:tcBorders>
              <w:top w:val="single" w:sz="2" w:space="0" w:color="auto"/>
              <w:bottom w:val="single" w:sz="4" w:space="0" w:color="auto"/>
            </w:tcBorders>
            <w:vAlign w:val="center"/>
          </w:tcPr>
          <w:p w:rsidR="0090677A" w:rsidRPr="00850736"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17,36</w:t>
            </w:r>
          </w:p>
        </w:tc>
        <w:tc>
          <w:tcPr>
            <w:tcW w:w="994" w:type="dxa"/>
            <w:tcBorders>
              <w:top w:val="single" w:sz="2" w:space="0" w:color="auto"/>
              <w:bottom w:val="single" w:sz="4" w:space="0" w:color="auto"/>
            </w:tcBorders>
            <w:vAlign w:val="center"/>
          </w:tcPr>
          <w:p w:rsidR="0090677A" w:rsidRPr="00850736"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3,25</w:t>
            </w:r>
          </w:p>
        </w:tc>
        <w:tc>
          <w:tcPr>
            <w:tcW w:w="1124"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0,42</w:t>
            </w:r>
          </w:p>
        </w:tc>
        <w:tc>
          <w:tcPr>
            <w:tcW w:w="999"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19</w:t>
            </w:r>
          </w:p>
        </w:tc>
        <w:tc>
          <w:tcPr>
            <w:tcW w:w="1154" w:type="dxa"/>
            <w:tcBorders>
              <w:top w:val="single" w:sz="2" w:space="0" w:color="auto"/>
              <w:bottom w:val="single" w:sz="4" w:space="0" w:color="auto"/>
            </w:tcBorders>
            <w:vAlign w:val="center"/>
          </w:tcPr>
          <w:p w:rsidR="0090677A" w:rsidRPr="00F3408F" w:rsidRDefault="0090677A"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-3</w:t>
            </w:r>
          </w:p>
        </w:tc>
      </w:tr>
      <w:tr w:rsidR="0090677A" w:rsidRPr="0050032C" w:rsidTr="00FF435B">
        <w:trPr>
          <w:trHeight w:val="255"/>
          <w:jc w:val="center"/>
        </w:trPr>
        <w:tc>
          <w:tcPr>
            <w:tcW w:w="4088" w:type="dxa"/>
            <w:gridSpan w:val="2"/>
            <w:tcBorders>
              <w:top w:val="single" w:sz="4" w:space="0" w:color="auto"/>
              <w:bottom w:val="single" w:sz="4" w:space="0" w:color="auto"/>
            </w:tcBorders>
            <w:vAlign w:val="center"/>
          </w:tcPr>
          <w:p w:rsidR="0090677A" w:rsidRPr="0050032C" w:rsidRDefault="0090677A" w:rsidP="00FF435B">
            <w:pPr>
              <w:keepLines/>
              <w:tabs>
                <w:tab w:val="left" w:pos="428"/>
                <w:tab w:val="left" w:pos="3046"/>
                <w:tab w:val="right" w:pos="3969"/>
                <w:tab w:val="right" w:pos="5103"/>
                <w:tab w:val="right" w:pos="6237"/>
                <w:tab w:val="right" w:pos="7371"/>
              </w:tabs>
              <w:spacing w:after="0"/>
              <w:ind w:firstLine="295"/>
              <w:jc w:val="center"/>
              <w:rPr>
                <w:rFonts w:ascii="Arial" w:hAnsi="Arial" w:cs="Arial"/>
                <w:spacing w:val="6"/>
                <w:sz w:val="16"/>
                <w:szCs w:val="16"/>
              </w:rPr>
            </w:pPr>
            <w:r>
              <w:rPr>
                <w:rFonts w:ascii="Arial" w:hAnsi="Arial"/>
                <w:sz w:val="16"/>
                <w:szCs w:val="16"/>
              </w:rPr>
              <w:t>Finantza-eragiketetako diru-sarrerak</w:t>
            </w:r>
          </w:p>
        </w:tc>
        <w:tc>
          <w:tcPr>
            <w:tcW w:w="1310"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102,23</w:t>
            </w:r>
          </w:p>
        </w:tc>
        <w:tc>
          <w:tcPr>
            <w:tcW w:w="994"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10,19</w:t>
            </w:r>
          </w:p>
        </w:tc>
        <w:tc>
          <w:tcPr>
            <w:tcW w:w="1124"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1,31</w:t>
            </w:r>
          </w:p>
        </w:tc>
        <w:tc>
          <w:tcPr>
            <w:tcW w:w="999"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10</w:t>
            </w:r>
          </w:p>
        </w:tc>
        <w:tc>
          <w:tcPr>
            <w:tcW w:w="1154" w:type="dxa"/>
            <w:tcBorders>
              <w:top w:val="single" w:sz="4" w:space="0" w:color="auto"/>
              <w:bottom w:val="single" w:sz="4" w:space="0" w:color="auto"/>
            </w:tcBorders>
            <w:vAlign w:val="center"/>
          </w:tcPr>
          <w:p w:rsidR="0090677A" w:rsidRPr="0050032C"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129</w:t>
            </w:r>
          </w:p>
        </w:tc>
      </w:tr>
      <w:tr w:rsidR="0090677A" w:rsidRPr="003800C3" w:rsidTr="00FF435B">
        <w:trPr>
          <w:trHeight w:val="255"/>
          <w:jc w:val="center"/>
        </w:trPr>
        <w:tc>
          <w:tcPr>
            <w:tcW w:w="4088" w:type="dxa"/>
            <w:gridSpan w:val="2"/>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left" w:pos="3046"/>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Diru-sarrerak, guztira</w:t>
            </w:r>
          </w:p>
        </w:tc>
        <w:tc>
          <w:tcPr>
            <w:tcW w:w="1310" w:type="dxa"/>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902,50</w:t>
            </w:r>
          </w:p>
        </w:tc>
        <w:tc>
          <w:tcPr>
            <w:tcW w:w="994" w:type="dxa"/>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778,12</w:t>
            </w:r>
          </w:p>
        </w:tc>
        <w:tc>
          <w:tcPr>
            <w:tcW w:w="1124" w:type="dxa"/>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100</w:t>
            </w:r>
          </w:p>
        </w:tc>
        <w:tc>
          <w:tcPr>
            <w:tcW w:w="999" w:type="dxa"/>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86</w:t>
            </w:r>
          </w:p>
        </w:tc>
        <w:tc>
          <w:tcPr>
            <w:tcW w:w="1154" w:type="dxa"/>
            <w:tcBorders>
              <w:top w:val="single" w:sz="4" w:space="0" w:color="auto"/>
              <w:bottom w:val="single" w:sz="4" w:space="0" w:color="auto"/>
            </w:tcBorders>
            <w:shd w:val="clear" w:color="auto" w:fill="FBD4B4" w:themeFill="accent6" w:themeFillTint="66"/>
            <w:vAlign w:val="center"/>
          </w:tcPr>
          <w:p w:rsidR="0090677A" w:rsidRPr="00657C67" w:rsidRDefault="0090677A"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2</w:t>
            </w:r>
          </w:p>
        </w:tc>
      </w:tr>
    </w:tbl>
    <w:p w:rsidR="00EC4F97" w:rsidRDefault="00EC4F97" w:rsidP="00EC4F97">
      <w:pPr>
        <w:pStyle w:val="texto"/>
        <w:spacing w:before="240" w:after="100"/>
      </w:pPr>
      <w:r>
        <w:t>Diru-sarreren 2017rako behin betiko aurreikuspenek 902,50 milioi euro eg</w:t>
      </w:r>
      <w:r>
        <w:t>i</w:t>
      </w:r>
      <w:r>
        <w:t>ten dute, eta ehuneko 86ko betetze-maila dute. Diru-sarrera arrunten kasuan a</w:t>
      </w:r>
      <w:r>
        <w:t>u</w:t>
      </w:r>
      <w:r>
        <w:t xml:space="preserve">rreikusitakoen ehuneko 102 bete ziren bitartean, nabarmentzekoa da eragiketa finantzarioetatik eta kapitaletik heldu diren diru-sarreren betetze txikia; izan ere, ehuneko hamar eta ehuneko 54 bete ziren, hurrenez </w:t>
      </w:r>
      <w:proofErr w:type="spellStart"/>
      <w:r>
        <w:t>hurren</w:t>
      </w:r>
      <w:proofErr w:type="spellEnd"/>
      <w:r>
        <w:t>.</w:t>
      </w:r>
    </w:p>
    <w:p w:rsidR="00EC4F97" w:rsidRDefault="00EC4F97" w:rsidP="00EC4F97">
      <w:pPr>
        <w:pStyle w:val="texto"/>
        <w:spacing w:after="100"/>
      </w:pPr>
      <w:r>
        <w:t>2017an, toki sektore publikoaren diru-sarrerek 778,12 milioi egin zuten; h</w:t>
      </w:r>
      <w:r>
        <w:t>o</w:t>
      </w:r>
      <w:r>
        <w:t xml:space="preserve">rietatik, ehuneko 92 diru-sarrera arruntak izan ziren (transferentziak eta zergak, batez ere). Kapitaleko diru-sarrerak </w:t>
      </w:r>
      <w:proofErr w:type="spellStart"/>
      <w:r>
        <w:t>diru-sarrera</w:t>
      </w:r>
      <w:proofErr w:type="spellEnd"/>
      <w:r>
        <w:t xml:space="preserve"> guztien ehuneko zazpi dira eta gainerako ehuneko bata finantza-eragiketetatik dator.</w:t>
      </w:r>
    </w:p>
    <w:p w:rsidR="00EC4F97" w:rsidRPr="007E3BFE" w:rsidRDefault="00EC4F97" w:rsidP="00EC4F97">
      <w:pPr>
        <w:pStyle w:val="texto"/>
      </w:pPr>
      <w:r>
        <w:t>2017ko diru-sarrera guztiak 2016koen antzeko mailan mantendu ziren, eh</w:t>
      </w:r>
      <w:r>
        <w:t>u</w:t>
      </w:r>
      <w:r>
        <w:t xml:space="preserve">neko bi soilik handituta; diru-sarrera motaren araberako aldea desberdina izan zen, eta, hartara, diru-sarrera arruntak ehuneko 0,4 jaitsi ziren, eta finantzarioak eta kapitalekoak ehuneko 129 eta 34 igo ziren, hurrenez </w:t>
      </w:r>
      <w:proofErr w:type="spellStart"/>
      <w:r>
        <w:t>hurren</w:t>
      </w:r>
      <w:proofErr w:type="spellEnd"/>
      <w:r>
        <w:t>. Finantza-aktiboen gehikuntza hain nabarmena izatearen arrazoia da, neurri handi batean, Uharteko Udalak ia bost milioi euroko mailegua itzuli duela.</w:t>
      </w:r>
    </w:p>
    <w:p w:rsidR="00EC4F97" w:rsidRDefault="00EC4F97" w:rsidP="00EC4F97">
      <w:pPr>
        <w:pStyle w:val="texto"/>
      </w:pPr>
      <w:r>
        <w:t>Diru-sarrera guztien ehuneko 86 udalei eta kontzejuei dagozkie, eta gain</w:t>
      </w:r>
      <w:r>
        <w:t>e</w:t>
      </w:r>
      <w:r>
        <w:t>rako ehuneko 14a, berriz, mankomunitateei eta batasunei.</w:t>
      </w:r>
    </w:p>
    <w:p w:rsidR="00EC4F97" w:rsidRPr="007E3BFE" w:rsidRDefault="00EC4F97" w:rsidP="00EC4F97">
      <w:pPr>
        <w:pStyle w:val="atitulo2"/>
        <w:spacing w:before="240"/>
      </w:pPr>
      <w:bookmarkStart w:id="54" w:name="_Toc465686689"/>
      <w:bookmarkStart w:id="55" w:name="_Toc529773883"/>
      <w:bookmarkStart w:id="56" w:name="_Toc24100144"/>
      <w:bookmarkStart w:id="57" w:name="_Toc27986318"/>
      <w:r>
        <w:t>V.2. Gastuak</w:t>
      </w:r>
      <w:bookmarkEnd w:id="54"/>
      <w:bookmarkEnd w:id="55"/>
      <w:bookmarkEnd w:id="56"/>
      <w:bookmarkEnd w:id="57"/>
    </w:p>
    <w:p w:rsidR="00EC4F97" w:rsidRDefault="00EC4F97" w:rsidP="00EC4F97">
      <w:pPr>
        <w:pStyle w:val="texto"/>
        <w:spacing w:after="60"/>
      </w:pPr>
      <w:r>
        <w:t>Ondoren sektoreak 2017an izan dituen gastuen laburpen bat ematen dugu</w:t>
      </w:r>
    </w:p>
    <w:p w:rsidR="002C26E1" w:rsidRPr="00811508" w:rsidRDefault="002C26E1" w:rsidP="002C26E1">
      <w:pPr>
        <w:pStyle w:val="texto"/>
        <w:spacing w:after="40"/>
        <w:jc w:val="right"/>
        <w:rPr>
          <w:sz w:val="16"/>
          <w:szCs w:val="16"/>
        </w:rPr>
      </w:pPr>
      <w:r w:rsidRPr="00811508">
        <w:rPr>
          <w:sz w:val="16"/>
          <w:szCs w:val="16"/>
        </w:rPr>
        <w:t>(euroak, milioitan)</w:t>
      </w:r>
    </w:p>
    <w:tbl>
      <w:tblPr>
        <w:tblW w:w="8911" w:type="dxa"/>
        <w:jc w:val="center"/>
        <w:tblLook w:val="01E0" w:firstRow="1" w:lastRow="1" w:firstColumn="1" w:lastColumn="1" w:noHBand="0" w:noVBand="0"/>
      </w:tblPr>
      <w:tblGrid>
        <w:gridCol w:w="3237"/>
        <w:gridCol w:w="1198"/>
        <w:gridCol w:w="1016"/>
        <w:gridCol w:w="1124"/>
        <w:gridCol w:w="1129"/>
        <w:gridCol w:w="1207"/>
      </w:tblGrid>
      <w:tr w:rsidR="002C26E1" w:rsidRPr="003E30B9" w:rsidTr="00FF435B">
        <w:trPr>
          <w:trHeight w:val="255"/>
          <w:jc w:val="center"/>
        </w:trPr>
        <w:tc>
          <w:tcPr>
            <w:tcW w:w="3278"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right="122" w:firstLine="0"/>
              <w:jc w:val="left"/>
              <w:rPr>
                <w:rFonts w:ascii="Arial" w:hAnsi="Arial"/>
                <w:spacing w:val="6"/>
                <w:sz w:val="16"/>
                <w:szCs w:val="16"/>
              </w:rPr>
            </w:pPr>
            <w:r>
              <w:rPr>
                <w:rFonts w:ascii="Arial" w:hAnsi="Arial"/>
                <w:sz w:val="16"/>
                <w:szCs w:val="16"/>
              </w:rPr>
              <w:t>Kapitulua</w:t>
            </w:r>
          </w:p>
        </w:tc>
        <w:tc>
          <w:tcPr>
            <w:tcW w:w="1205"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Behin betiko kredituak</w:t>
            </w:r>
          </w:p>
        </w:tc>
        <w:tc>
          <w:tcPr>
            <w:tcW w:w="1021"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Gastuak (2017)</w:t>
            </w:r>
          </w:p>
        </w:tc>
        <w:tc>
          <w:tcPr>
            <w:tcW w:w="1064"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Gastuaren guztizkoaren  gainean (%)</w:t>
            </w:r>
          </w:p>
        </w:tc>
        <w:tc>
          <w:tcPr>
            <w:tcW w:w="1131"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right="122" w:firstLine="0"/>
              <w:jc w:val="right"/>
              <w:rPr>
                <w:rFonts w:ascii="Arial" w:hAnsi="Arial"/>
                <w:spacing w:val="6"/>
                <w:sz w:val="16"/>
                <w:szCs w:val="16"/>
              </w:rPr>
            </w:pPr>
            <w:r>
              <w:rPr>
                <w:rFonts w:ascii="Arial" w:hAnsi="Arial"/>
                <w:sz w:val="16"/>
                <w:szCs w:val="16"/>
              </w:rPr>
              <w:t>Betetakoa (%)</w:t>
            </w:r>
          </w:p>
        </w:tc>
        <w:tc>
          <w:tcPr>
            <w:tcW w:w="1212"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2017/2016 aldea (%)</w:t>
            </w:r>
          </w:p>
        </w:tc>
      </w:tr>
      <w:tr w:rsidR="002C26E1" w:rsidRPr="007E3BFE" w:rsidTr="00FF435B">
        <w:trPr>
          <w:trHeight w:val="255"/>
          <w:jc w:val="center"/>
        </w:trPr>
        <w:tc>
          <w:tcPr>
            <w:tcW w:w="3278" w:type="dxa"/>
            <w:tcBorders>
              <w:top w:val="single" w:sz="4" w:space="0" w:color="auto"/>
              <w:bottom w:val="single" w:sz="2" w:space="0" w:color="auto"/>
            </w:tcBorders>
            <w:vAlign w:val="center"/>
          </w:tcPr>
          <w:p w:rsidR="002C26E1" w:rsidRPr="007E3BFE" w:rsidRDefault="002C26E1" w:rsidP="00FF435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1. Langile-gastuak</w:t>
            </w:r>
          </w:p>
        </w:tc>
        <w:tc>
          <w:tcPr>
            <w:tcW w:w="1205"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285,06</w:t>
            </w:r>
          </w:p>
        </w:tc>
        <w:tc>
          <w:tcPr>
            <w:tcW w:w="1021"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274,38</w:t>
            </w:r>
          </w:p>
        </w:tc>
        <w:tc>
          <w:tcPr>
            <w:tcW w:w="1064"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36,49</w:t>
            </w:r>
          </w:p>
        </w:tc>
        <w:tc>
          <w:tcPr>
            <w:tcW w:w="1131"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96</w:t>
            </w:r>
          </w:p>
        </w:tc>
        <w:tc>
          <w:tcPr>
            <w:tcW w:w="1212"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2</w:t>
            </w:r>
          </w:p>
        </w:tc>
      </w:tr>
      <w:tr w:rsidR="002C26E1" w:rsidRPr="007E3BFE" w:rsidTr="00FF435B">
        <w:trPr>
          <w:trHeight w:val="255"/>
          <w:jc w:val="center"/>
        </w:trPr>
        <w:tc>
          <w:tcPr>
            <w:tcW w:w="3278" w:type="dxa"/>
            <w:tcBorders>
              <w:top w:val="single" w:sz="2" w:space="0" w:color="auto"/>
              <w:bottom w:val="single" w:sz="2" w:space="0" w:color="auto"/>
            </w:tcBorders>
            <w:vAlign w:val="center"/>
          </w:tcPr>
          <w:p w:rsidR="002C26E1" w:rsidRPr="007E3BFE" w:rsidRDefault="002C26E1" w:rsidP="00FF435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2. Ondasun arruntak eta zerbitzuak erostea</w:t>
            </w:r>
          </w:p>
        </w:tc>
        <w:tc>
          <w:tcPr>
            <w:tcW w:w="1205" w:type="dxa"/>
            <w:tcBorders>
              <w:top w:val="single" w:sz="2"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282,28</w:t>
            </w:r>
          </w:p>
        </w:tc>
        <w:tc>
          <w:tcPr>
            <w:tcW w:w="1021" w:type="dxa"/>
            <w:tcBorders>
              <w:top w:val="single" w:sz="2"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265,02</w:t>
            </w:r>
          </w:p>
        </w:tc>
        <w:tc>
          <w:tcPr>
            <w:tcW w:w="1064" w:type="dxa"/>
            <w:tcBorders>
              <w:top w:val="single" w:sz="2"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35,24</w:t>
            </w:r>
          </w:p>
        </w:tc>
        <w:tc>
          <w:tcPr>
            <w:tcW w:w="1131" w:type="dxa"/>
            <w:tcBorders>
              <w:top w:val="single" w:sz="2"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94</w:t>
            </w:r>
          </w:p>
        </w:tc>
        <w:tc>
          <w:tcPr>
            <w:tcW w:w="1212" w:type="dxa"/>
            <w:tcBorders>
              <w:top w:val="single" w:sz="2"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1</w:t>
            </w:r>
          </w:p>
        </w:tc>
      </w:tr>
      <w:tr w:rsidR="002C26E1" w:rsidRPr="007E3BFE" w:rsidTr="00FF435B">
        <w:trPr>
          <w:trHeight w:val="255"/>
          <w:jc w:val="center"/>
        </w:trPr>
        <w:tc>
          <w:tcPr>
            <w:tcW w:w="3278" w:type="dxa"/>
            <w:tcBorders>
              <w:top w:val="single" w:sz="2" w:space="0" w:color="auto"/>
              <w:bottom w:val="single" w:sz="2" w:space="0" w:color="auto"/>
            </w:tcBorders>
            <w:vAlign w:val="center"/>
          </w:tcPr>
          <w:p w:rsidR="002C26E1" w:rsidRPr="007E3BFE" w:rsidRDefault="002C26E1" w:rsidP="00FF435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3. Finantza-gastuak</w:t>
            </w:r>
          </w:p>
        </w:tc>
        <w:tc>
          <w:tcPr>
            <w:tcW w:w="1205" w:type="dxa"/>
            <w:tcBorders>
              <w:top w:val="single" w:sz="2"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5,08</w:t>
            </w:r>
          </w:p>
        </w:tc>
        <w:tc>
          <w:tcPr>
            <w:tcW w:w="1021" w:type="dxa"/>
            <w:tcBorders>
              <w:top w:val="single" w:sz="2"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2,79</w:t>
            </w:r>
          </w:p>
        </w:tc>
        <w:tc>
          <w:tcPr>
            <w:tcW w:w="1064" w:type="dxa"/>
            <w:tcBorders>
              <w:top w:val="single" w:sz="2" w:space="0" w:color="auto"/>
              <w:bottom w:val="single" w:sz="2" w:space="0" w:color="auto"/>
            </w:tcBorders>
            <w:vAlign w:val="center"/>
          </w:tcPr>
          <w:p w:rsidR="002C26E1" w:rsidRPr="003840A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0,37</w:t>
            </w:r>
          </w:p>
        </w:tc>
        <w:tc>
          <w:tcPr>
            <w:tcW w:w="1131" w:type="dxa"/>
            <w:tcBorders>
              <w:top w:val="single" w:sz="2"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55</w:t>
            </w:r>
          </w:p>
        </w:tc>
        <w:tc>
          <w:tcPr>
            <w:tcW w:w="1212" w:type="dxa"/>
            <w:tcBorders>
              <w:top w:val="single" w:sz="2"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-27</w:t>
            </w:r>
          </w:p>
        </w:tc>
      </w:tr>
      <w:tr w:rsidR="002C26E1" w:rsidRPr="007E3BFE" w:rsidTr="00FF435B">
        <w:trPr>
          <w:trHeight w:val="255"/>
          <w:jc w:val="center"/>
        </w:trPr>
        <w:tc>
          <w:tcPr>
            <w:tcW w:w="3278" w:type="dxa"/>
            <w:tcBorders>
              <w:top w:val="single" w:sz="2" w:space="0" w:color="auto"/>
              <w:bottom w:val="single" w:sz="4" w:space="0" w:color="auto"/>
            </w:tcBorders>
            <w:vAlign w:val="center"/>
          </w:tcPr>
          <w:p w:rsidR="002C26E1" w:rsidRPr="007E3BFE" w:rsidRDefault="002C26E1" w:rsidP="00FF435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4. Transferentzia arruntak</w:t>
            </w:r>
          </w:p>
        </w:tc>
        <w:tc>
          <w:tcPr>
            <w:tcW w:w="1205"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71,18</w:t>
            </w:r>
          </w:p>
        </w:tc>
        <w:tc>
          <w:tcPr>
            <w:tcW w:w="1021"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65,68</w:t>
            </w:r>
          </w:p>
        </w:tc>
        <w:tc>
          <w:tcPr>
            <w:tcW w:w="1064"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8,73</w:t>
            </w:r>
          </w:p>
        </w:tc>
        <w:tc>
          <w:tcPr>
            <w:tcW w:w="1131"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92</w:t>
            </w:r>
          </w:p>
        </w:tc>
        <w:tc>
          <w:tcPr>
            <w:tcW w:w="1212"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-2</w:t>
            </w:r>
          </w:p>
        </w:tc>
      </w:tr>
      <w:tr w:rsidR="002C26E1" w:rsidRPr="003E30B9" w:rsidTr="00FF435B">
        <w:trPr>
          <w:trHeight w:val="255"/>
          <w:jc w:val="center"/>
        </w:trPr>
        <w:tc>
          <w:tcPr>
            <w:tcW w:w="3278"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left"/>
              <w:rPr>
                <w:rFonts w:ascii="Arial" w:hAnsi="Arial" w:cs="Arial"/>
                <w:spacing w:val="6"/>
                <w:sz w:val="16"/>
                <w:szCs w:val="16"/>
              </w:rPr>
            </w:pPr>
            <w:r>
              <w:rPr>
                <w:rFonts w:ascii="Arial" w:hAnsi="Arial"/>
                <w:sz w:val="16"/>
                <w:szCs w:val="16"/>
              </w:rPr>
              <w:t>Gastu arruntak</w:t>
            </w:r>
          </w:p>
        </w:tc>
        <w:tc>
          <w:tcPr>
            <w:tcW w:w="1205"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643,60</w:t>
            </w:r>
          </w:p>
        </w:tc>
        <w:tc>
          <w:tcPr>
            <w:tcW w:w="1021"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607,89</w:t>
            </w:r>
          </w:p>
        </w:tc>
        <w:tc>
          <w:tcPr>
            <w:tcW w:w="1064"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80,83</w:t>
            </w:r>
          </w:p>
        </w:tc>
        <w:tc>
          <w:tcPr>
            <w:tcW w:w="1131"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94</w:t>
            </w:r>
          </w:p>
        </w:tc>
        <w:tc>
          <w:tcPr>
            <w:tcW w:w="1212"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1</w:t>
            </w:r>
          </w:p>
        </w:tc>
      </w:tr>
      <w:tr w:rsidR="002C26E1" w:rsidRPr="007E3BFE" w:rsidTr="00FF435B">
        <w:trPr>
          <w:trHeight w:val="255"/>
          <w:jc w:val="center"/>
        </w:trPr>
        <w:tc>
          <w:tcPr>
            <w:tcW w:w="3278" w:type="dxa"/>
            <w:tcBorders>
              <w:top w:val="single" w:sz="4" w:space="0" w:color="auto"/>
              <w:bottom w:val="single" w:sz="2" w:space="0" w:color="auto"/>
            </w:tcBorders>
            <w:vAlign w:val="center"/>
          </w:tcPr>
          <w:p w:rsidR="002C26E1" w:rsidRPr="007E3BFE" w:rsidRDefault="002C26E1" w:rsidP="00FF435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5. Kontingentzia funtsa</w:t>
            </w:r>
          </w:p>
        </w:tc>
        <w:tc>
          <w:tcPr>
            <w:tcW w:w="1205"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0,44</w:t>
            </w:r>
          </w:p>
        </w:tc>
        <w:tc>
          <w:tcPr>
            <w:tcW w:w="1021"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0</w:t>
            </w:r>
          </w:p>
        </w:tc>
        <w:tc>
          <w:tcPr>
            <w:tcW w:w="1064"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0</w:t>
            </w:r>
          </w:p>
        </w:tc>
        <w:tc>
          <w:tcPr>
            <w:tcW w:w="1131"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0</w:t>
            </w:r>
          </w:p>
        </w:tc>
        <w:tc>
          <w:tcPr>
            <w:tcW w:w="1212"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w:t>
            </w:r>
          </w:p>
        </w:tc>
      </w:tr>
      <w:tr w:rsidR="002C26E1" w:rsidRPr="003E30B9" w:rsidTr="00FF435B">
        <w:trPr>
          <w:trHeight w:val="255"/>
          <w:jc w:val="center"/>
        </w:trPr>
        <w:tc>
          <w:tcPr>
            <w:tcW w:w="3278" w:type="dxa"/>
            <w:tcBorders>
              <w:top w:val="single" w:sz="4" w:space="0" w:color="auto"/>
              <w:bottom w:val="single" w:sz="2"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left"/>
              <w:rPr>
                <w:rFonts w:ascii="Arial" w:hAnsi="Arial" w:cs="Arial"/>
                <w:spacing w:val="6"/>
                <w:sz w:val="16"/>
                <w:szCs w:val="16"/>
              </w:rPr>
            </w:pPr>
            <w:r>
              <w:rPr>
                <w:rFonts w:ascii="Arial" w:hAnsi="Arial"/>
                <w:sz w:val="16"/>
                <w:szCs w:val="16"/>
              </w:rPr>
              <w:t>Kontingentzia funtsa</w:t>
            </w:r>
          </w:p>
        </w:tc>
        <w:tc>
          <w:tcPr>
            <w:tcW w:w="1205" w:type="dxa"/>
            <w:tcBorders>
              <w:top w:val="single" w:sz="4" w:space="0" w:color="auto"/>
              <w:bottom w:val="single" w:sz="2"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0,44</w:t>
            </w:r>
          </w:p>
        </w:tc>
        <w:tc>
          <w:tcPr>
            <w:tcW w:w="1021" w:type="dxa"/>
            <w:tcBorders>
              <w:top w:val="single" w:sz="4" w:space="0" w:color="auto"/>
              <w:bottom w:val="single" w:sz="2"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0</w:t>
            </w:r>
          </w:p>
        </w:tc>
        <w:tc>
          <w:tcPr>
            <w:tcW w:w="1064" w:type="dxa"/>
            <w:tcBorders>
              <w:top w:val="single" w:sz="4" w:space="0" w:color="auto"/>
              <w:bottom w:val="single" w:sz="2"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0</w:t>
            </w:r>
          </w:p>
        </w:tc>
        <w:tc>
          <w:tcPr>
            <w:tcW w:w="1131" w:type="dxa"/>
            <w:tcBorders>
              <w:top w:val="single" w:sz="4" w:space="0" w:color="auto"/>
              <w:bottom w:val="single" w:sz="2"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0</w:t>
            </w:r>
          </w:p>
        </w:tc>
        <w:tc>
          <w:tcPr>
            <w:tcW w:w="1212" w:type="dxa"/>
            <w:tcBorders>
              <w:top w:val="single" w:sz="4" w:space="0" w:color="auto"/>
              <w:bottom w:val="single" w:sz="2"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w:t>
            </w:r>
          </w:p>
        </w:tc>
      </w:tr>
      <w:tr w:rsidR="002C26E1" w:rsidRPr="007E3BFE" w:rsidTr="00FF435B">
        <w:trPr>
          <w:trHeight w:val="255"/>
          <w:jc w:val="center"/>
        </w:trPr>
        <w:tc>
          <w:tcPr>
            <w:tcW w:w="3278" w:type="dxa"/>
            <w:tcBorders>
              <w:top w:val="single" w:sz="4" w:space="0" w:color="auto"/>
              <w:bottom w:val="single" w:sz="2" w:space="0" w:color="auto"/>
            </w:tcBorders>
            <w:vAlign w:val="center"/>
          </w:tcPr>
          <w:p w:rsidR="002C26E1" w:rsidRPr="007E3BFE" w:rsidRDefault="002C26E1" w:rsidP="00FF435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6. Inbertsio errealak</w:t>
            </w:r>
          </w:p>
        </w:tc>
        <w:tc>
          <w:tcPr>
            <w:tcW w:w="1205"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192,07</w:t>
            </w:r>
          </w:p>
        </w:tc>
        <w:tc>
          <w:tcPr>
            <w:tcW w:w="1021"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88,72</w:t>
            </w:r>
          </w:p>
        </w:tc>
        <w:tc>
          <w:tcPr>
            <w:tcW w:w="1064"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11,80</w:t>
            </w:r>
          </w:p>
        </w:tc>
        <w:tc>
          <w:tcPr>
            <w:tcW w:w="1131"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46</w:t>
            </w:r>
          </w:p>
        </w:tc>
        <w:tc>
          <w:tcPr>
            <w:tcW w:w="1212"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24</w:t>
            </w:r>
          </w:p>
        </w:tc>
      </w:tr>
      <w:tr w:rsidR="002C26E1" w:rsidRPr="007E3BFE" w:rsidTr="00FF435B">
        <w:trPr>
          <w:trHeight w:val="255"/>
          <w:jc w:val="center"/>
        </w:trPr>
        <w:tc>
          <w:tcPr>
            <w:tcW w:w="3278" w:type="dxa"/>
            <w:tcBorders>
              <w:top w:val="single" w:sz="2" w:space="0" w:color="auto"/>
              <w:bottom w:val="single" w:sz="4" w:space="0" w:color="auto"/>
            </w:tcBorders>
            <w:vAlign w:val="center"/>
          </w:tcPr>
          <w:p w:rsidR="002C26E1" w:rsidRPr="007E3BFE" w:rsidRDefault="002C26E1" w:rsidP="00FF435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7. Kapital-transferentziak</w:t>
            </w:r>
          </w:p>
        </w:tc>
        <w:tc>
          <w:tcPr>
            <w:tcW w:w="1205"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13,01</w:t>
            </w:r>
          </w:p>
        </w:tc>
        <w:tc>
          <w:tcPr>
            <w:tcW w:w="1021"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8,98</w:t>
            </w:r>
          </w:p>
        </w:tc>
        <w:tc>
          <w:tcPr>
            <w:tcW w:w="1064"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1,19</w:t>
            </w:r>
          </w:p>
        </w:tc>
        <w:tc>
          <w:tcPr>
            <w:tcW w:w="1131"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69</w:t>
            </w:r>
          </w:p>
        </w:tc>
        <w:tc>
          <w:tcPr>
            <w:tcW w:w="1212"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8</w:t>
            </w:r>
          </w:p>
        </w:tc>
      </w:tr>
      <w:tr w:rsidR="002C26E1" w:rsidRPr="003E30B9" w:rsidTr="00FF435B">
        <w:trPr>
          <w:trHeight w:val="255"/>
          <w:jc w:val="center"/>
        </w:trPr>
        <w:tc>
          <w:tcPr>
            <w:tcW w:w="3278"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left"/>
              <w:rPr>
                <w:rFonts w:ascii="Arial" w:hAnsi="Arial" w:cs="Arial"/>
                <w:spacing w:val="6"/>
                <w:sz w:val="16"/>
                <w:szCs w:val="16"/>
              </w:rPr>
            </w:pPr>
            <w:r>
              <w:rPr>
                <w:rFonts w:ascii="Arial" w:hAnsi="Arial"/>
                <w:sz w:val="16"/>
                <w:szCs w:val="16"/>
              </w:rPr>
              <w:t>Kapitaleko gastuak</w:t>
            </w:r>
          </w:p>
        </w:tc>
        <w:tc>
          <w:tcPr>
            <w:tcW w:w="1205"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205,09</w:t>
            </w:r>
          </w:p>
        </w:tc>
        <w:tc>
          <w:tcPr>
            <w:tcW w:w="1021"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97,69</w:t>
            </w:r>
          </w:p>
        </w:tc>
        <w:tc>
          <w:tcPr>
            <w:tcW w:w="1064"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12,99</w:t>
            </w:r>
          </w:p>
        </w:tc>
        <w:tc>
          <w:tcPr>
            <w:tcW w:w="1131"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48</w:t>
            </w:r>
          </w:p>
        </w:tc>
        <w:tc>
          <w:tcPr>
            <w:tcW w:w="1212"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23</w:t>
            </w:r>
          </w:p>
        </w:tc>
      </w:tr>
      <w:tr w:rsidR="002C26E1" w:rsidRPr="007E3BFE" w:rsidTr="00FF435B">
        <w:trPr>
          <w:trHeight w:val="255"/>
          <w:jc w:val="center"/>
        </w:trPr>
        <w:tc>
          <w:tcPr>
            <w:tcW w:w="3278" w:type="dxa"/>
            <w:tcBorders>
              <w:top w:val="single" w:sz="4" w:space="0" w:color="auto"/>
              <w:bottom w:val="single" w:sz="2" w:space="0" w:color="auto"/>
            </w:tcBorders>
            <w:vAlign w:val="center"/>
          </w:tcPr>
          <w:p w:rsidR="002C26E1" w:rsidRPr="007E3BFE" w:rsidRDefault="002C26E1" w:rsidP="00FF435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8. Finantza-aktiboen aldea</w:t>
            </w:r>
          </w:p>
        </w:tc>
        <w:tc>
          <w:tcPr>
            <w:tcW w:w="1205"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3,24</w:t>
            </w:r>
          </w:p>
        </w:tc>
        <w:tc>
          <w:tcPr>
            <w:tcW w:w="1021"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1,76</w:t>
            </w:r>
          </w:p>
        </w:tc>
        <w:tc>
          <w:tcPr>
            <w:tcW w:w="1064"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0,23</w:t>
            </w:r>
          </w:p>
        </w:tc>
        <w:tc>
          <w:tcPr>
            <w:tcW w:w="1131"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54</w:t>
            </w:r>
          </w:p>
        </w:tc>
        <w:tc>
          <w:tcPr>
            <w:tcW w:w="1212" w:type="dxa"/>
            <w:tcBorders>
              <w:top w:val="single" w:sz="4" w:space="0" w:color="auto"/>
              <w:bottom w:val="single" w:sz="2"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83</w:t>
            </w:r>
          </w:p>
        </w:tc>
      </w:tr>
      <w:tr w:rsidR="002C26E1" w:rsidRPr="007E3BFE" w:rsidTr="00FF435B">
        <w:trPr>
          <w:trHeight w:val="255"/>
          <w:jc w:val="center"/>
        </w:trPr>
        <w:tc>
          <w:tcPr>
            <w:tcW w:w="3278" w:type="dxa"/>
            <w:tcBorders>
              <w:top w:val="single" w:sz="2" w:space="0" w:color="auto"/>
              <w:bottom w:val="single" w:sz="4" w:space="0" w:color="auto"/>
            </w:tcBorders>
            <w:vAlign w:val="center"/>
          </w:tcPr>
          <w:p w:rsidR="002C26E1" w:rsidRPr="007E3BFE" w:rsidRDefault="002C26E1" w:rsidP="00FF435B">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9. Finantza-pasiboen aldaketak</w:t>
            </w:r>
          </w:p>
        </w:tc>
        <w:tc>
          <w:tcPr>
            <w:tcW w:w="1205"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45,44</w:t>
            </w:r>
          </w:p>
        </w:tc>
        <w:tc>
          <w:tcPr>
            <w:tcW w:w="1021"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olor w:val="FF0000"/>
                <w:spacing w:val="6"/>
                <w:sz w:val="18"/>
                <w:szCs w:val="18"/>
              </w:rPr>
            </w:pPr>
            <w:r>
              <w:rPr>
                <w:rFonts w:ascii="Arial Narrow" w:hAnsi="Arial Narrow"/>
                <w:sz w:val="18"/>
                <w:szCs w:val="18"/>
              </w:rPr>
              <w:t>44,69</w:t>
            </w:r>
          </w:p>
        </w:tc>
        <w:tc>
          <w:tcPr>
            <w:tcW w:w="1064"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5,94</w:t>
            </w:r>
          </w:p>
        </w:tc>
        <w:tc>
          <w:tcPr>
            <w:tcW w:w="1131"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98</w:t>
            </w:r>
          </w:p>
        </w:tc>
        <w:tc>
          <w:tcPr>
            <w:tcW w:w="1212" w:type="dxa"/>
            <w:tcBorders>
              <w:top w:val="single" w:sz="2" w:space="0" w:color="auto"/>
              <w:bottom w:val="single" w:sz="4" w:space="0" w:color="auto"/>
            </w:tcBorders>
            <w:vAlign w:val="center"/>
          </w:tcPr>
          <w:p w:rsidR="002C26E1" w:rsidRPr="00EF3C45" w:rsidRDefault="002C26E1" w:rsidP="00FF435B">
            <w:pPr>
              <w:keepLines/>
              <w:tabs>
                <w:tab w:val="right" w:pos="2835"/>
                <w:tab w:val="right" w:pos="3969"/>
                <w:tab w:val="right" w:pos="5103"/>
                <w:tab w:val="right" w:pos="6237"/>
                <w:tab w:val="right" w:pos="7371"/>
              </w:tabs>
              <w:spacing w:after="0"/>
              <w:ind w:firstLine="0"/>
              <w:jc w:val="right"/>
              <w:rPr>
                <w:rFonts w:ascii="Arial Narrow" w:hAnsi="Arial Narrow" w:cs="Arial"/>
                <w:color w:val="FF0000"/>
                <w:spacing w:val="6"/>
                <w:sz w:val="18"/>
                <w:szCs w:val="18"/>
              </w:rPr>
            </w:pPr>
            <w:r>
              <w:rPr>
                <w:rFonts w:ascii="Arial Narrow" w:hAnsi="Arial Narrow"/>
                <w:sz w:val="18"/>
                <w:szCs w:val="18"/>
              </w:rPr>
              <w:t>32</w:t>
            </w:r>
          </w:p>
        </w:tc>
      </w:tr>
      <w:tr w:rsidR="002C26E1" w:rsidRPr="003E30B9" w:rsidTr="00FF435B">
        <w:trPr>
          <w:trHeight w:val="255"/>
          <w:jc w:val="center"/>
        </w:trPr>
        <w:tc>
          <w:tcPr>
            <w:tcW w:w="3278"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left"/>
              <w:rPr>
                <w:rFonts w:ascii="Arial" w:hAnsi="Arial" w:cs="Arial"/>
                <w:spacing w:val="6"/>
                <w:sz w:val="16"/>
                <w:szCs w:val="16"/>
              </w:rPr>
            </w:pPr>
            <w:r>
              <w:rPr>
                <w:rFonts w:ascii="Arial" w:hAnsi="Arial"/>
                <w:sz w:val="16"/>
                <w:szCs w:val="16"/>
              </w:rPr>
              <w:t>Finantza-eragiketen gastuak</w:t>
            </w:r>
          </w:p>
        </w:tc>
        <w:tc>
          <w:tcPr>
            <w:tcW w:w="1205"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48,68</w:t>
            </w:r>
          </w:p>
        </w:tc>
        <w:tc>
          <w:tcPr>
            <w:tcW w:w="1021"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46,45</w:t>
            </w:r>
          </w:p>
        </w:tc>
        <w:tc>
          <w:tcPr>
            <w:tcW w:w="1064"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6,18</w:t>
            </w:r>
          </w:p>
        </w:tc>
        <w:tc>
          <w:tcPr>
            <w:tcW w:w="1131"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95</w:t>
            </w:r>
          </w:p>
        </w:tc>
        <w:tc>
          <w:tcPr>
            <w:tcW w:w="1212" w:type="dxa"/>
            <w:tcBorders>
              <w:top w:val="single" w:sz="4" w:space="0" w:color="auto"/>
              <w:bottom w:val="single" w:sz="4" w:space="0" w:color="auto"/>
            </w:tcBorders>
            <w:vAlign w:val="center"/>
          </w:tcPr>
          <w:p w:rsidR="002C26E1" w:rsidRPr="003E30B9" w:rsidRDefault="002C26E1" w:rsidP="00FF435B">
            <w:pPr>
              <w:keepLines/>
              <w:tabs>
                <w:tab w:val="right" w:pos="2835"/>
                <w:tab w:val="right" w:pos="3969"/>
                <w:tab w:val="right" w:pos="5103"/>
                <w:tab w:val="right" w:pos="6237"/>
                <w:tab w:val="right" w:pos="7371"/>
              </w:tabs>
              <w:spacing w:after="0"/>
              <w:ind w:left="190" w:right="-6" w:firstLine="0"/>
              <w:jc w:val="right"/>
              <w:rPr>
                <w:rFonts w:ascii="Arial" w:hAnsi="Arial" w:cs="Arial"/>
                <w:spacing w:val="6"/>
                <w:sz w:val="16"/>
                <w:szCs w:val="16"/>
              </w:rPr>
            </w:pPr>
            <w:r>
              <w:rPr>
                <w:rFonts w:ascii="Arial" w:hAnsi="Arial"/>
                <w:sz w:val="16"/>
                <w:szCs w:val="16"/>
              </w:rPr>
              <w:t>34</w:t>
            </w:r>
          </w:p>
        </w:tc>
      </w:tr>
      <w:tr w:rsidR="002C26E1" w:rsidRPr="003E30B9" w:rsidTr="00FF435B">
        <w:trPr>
          <w:trHeight w:val="255"/>
          <w:jc w:val="center"/>
        </w:trPr>
        <w:tc>
          <w:tcPr>
            <w:tcW w:w="3278"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Gastuak, guztira</w:t>
            </w:r>
          </w:p>
        </w:tc>
        <w:tc>
          <w:tcPr>
            <w:tcW w:w="1205"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897,09</w:t>
            </w:r>
          </w:p>
        </w:tc>
        <w:tc>
          <w:tcPr>
            <w:tcW w:w="1021"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752,03</w:t>
            </w:r>
          </w:p>
        </w:tc>
        <w:tc>
          <w:tcPr>
            <w:tcW w:w="1064"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100</w:t>
            </w:r>
          </w:p>
        </w:tc>
        <w:tc>
          <w:tcPr>
            <w:tcW w:w="1131"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84</w:t>
            </w:r>
          </w:p>
        </w:tc>
        <w:tc>
          <w:tcPr>
            <w:tcW w:w="1212" w:type="dxa"/>
            <w:tcBorders>
              <w:top w:val="single" w:sz="4" w:space="0" w:color="auto"/>
              <w:bottom w:val="single" w:sz="4" w:space="0" w:color="auto"/>
            </w:tcBorders>
            <w:shd w:val="clear" w:color="auto" w:fill="FBD4B4" w:themeFill="accent6" w:themeFillTint="66"/>
            <w:vAlign w:val="center"/>
          </w:tcPr>
          <w:p w:rsidR="002C26E1" w:rsidRPr="003E30B9" w:rsidRDefault="002C26E1" w:rsidP="00FF435B">
            <w:pPr>
              <w:keepLines/>
              <w:tabs>
                <w:tab w:val="right" w:pos="2835"/>
                <w:tab w:val="right" w:pos="3969"/>
                <w:tab w:val="right" w:pos="5103"/>
                <w:tab w:val="right" w:pos="6237"/>
                <w:tab w:val="right" w:pos="7371"/>
              </w:tabs>
              <w:spacing w:after="0"/>
              <w:ind w:firstLine="0"/>
              <w:jc w:val="right"/>
              <w:rPr>
                <w:rFonts w:ascii="Arial" w:hAnsi="Arial" w:cs="Arial"/>
                <w:color w:val="FF0000"/>
                <w:spacing w:val="6"/>
                <w:sz w:val="16"/>
                <w:szCs w:val="16"/>
              </w:rPr>
            </w:pPr>
            <w:r>
              <w:rPr>
                <w:rFonts w:ascii="Arial" w:hAnsi="Arial"/>
                <w:sz w:val="16"/>
                <w:szCs w:val="16"/>
              </w:rPr>
              <w:t>5</w:t>
            </w:r>
          </w:p>
        </w:tc>
      </w:tr>
    </w:tbl>
    <w:p w:rsidR="00EC4F97" w:rsidRPr="007E3BFE" w:rsidRDefault="00EC4F97" w:rsidP="00EC4F97">
      <w:pPr>
        <w:pStyle w:val="texto"/>
        <w:spacing w:before="240"/>
      </w:pPr>
      <w:r>
        <w:t xml:space="preserve">2017ko ekitaldirako behin betiko kredituek 897,09 milioi eurokoak izan dira, eta ehuneko 84 betetze-maila izan dute. Gastu arruntek eta finantza-eragiketekin lotutako gastuek ehuneko 94ko eta ehuneko 95eko betetze-maila izan dute, hurrenez </w:t>
      </w:r>
      <w:proofErr w:type="spellStart"/>
      <w:r>
        <w:t>hurren</w:t>
      </w:r>
      <w:proofErr w:type="spellEnd"/>
      <w:r>
        <w:t>. Aitzitik, kapitaleko gastuen betetze-maila ehuneko 48koa izan zen.</w:t>
      </w:r>
    </w:p>
    <w:p w:rsidR="00EC4F97" w:rsidRDefault="00EC4F97" w:rsidP="00EC4F97">
      <w:pPr>
        <w:pStyle w:val="texto"/>
      </w:pPr>
      <w:r>
        <w:t xml:space="preserve">Toki sektore publikoaren gastuak 752,03 milioi eurokoak izan ziren 2017an, eta 2016koak baino ehuneko bost handiagoak izan ziren; nabarmentzekoak dira langile-gastuak eta ondasun arrunten eta zerbitzuen gastuak, zeinek aitortutako gastu guztien % 36 eta % 35 egiten baitute, hurrenez </w:t>
      </w:r>
      <w:proofErr w:type="spellStart"/>
      <w:r>
        <w:t>hurren</w:t>
      </w:r>
      <w:proofErr w:type="spellEnd"/>
      <w:r>
        <w:t>. Bestetik, inberts</w:t>
      </w:r>
      <w:r>
        <w:t>i</w:t>
      </w:r>
      <w:r>
        <w:t xml:space="preserve">oak gastuen guztizkoaren ehuneko hamabi dira. </w:t>
      </w:r>
    </w:p>
    <w:p w:rsidR="00EC4F97" w:rsidRDefault="00EC4F97" w:rsidP="00EC4F97">
      <w:pPr>
        <w:pStyle w:val="texto"/>
      </w:pPr>
      <w:r>
        <w:t xml:space="preserve">2016ko datuekin alderatuta, </w:t>
      </w:r>
      <w:proofErr w:type="spellStart"/>
      <w:r>
        <w:t>alde</w:t>
      </w:r>
      <w:proofErr w:type="spellEnd"/>
      <w:r>
        <w:t xml:space="preserve"> nabarmenenak finantza-eragiketetako ga</w:t>
      </w:r>
      <w:r>
        <w:t>s</w:t>
      </w:r>
      <w:r>
        <w:t>tuetan eta kapital-gastuetan izan dira, ehuneko 34 eta 23 handitu baitira, hurr</w:t>
      </w:r>
      <w:r>
        <w:t>e</w:t>
      </w:r>
      <w:r>
        <w:t xml:space="preserve">nez </w:t>
      </w:r>
      <w:proofErr w:type="spellStart"/>
      <w:r>
        <w:t>hurren</w:t>
      </w:r>
      <w:proofErr w:type="spellEnd"/>
      <w:r>
        <w:t>.</w:t>
      </w:r>
    </w:p>
    <w:p w:rsidR="00EC4F97" w:rsidRDefault="00EC4F97" w:rsidP="00EC4F97">
      <w:pPr>
        <w:spacing w:after="0"/>
        <w:ind w:firstLine="0"/>
        <w:jc w:val="left"/>
        <w:rPr>
          <w:spacing w:val="6"/>
          <w:sz w:val="26"/>
          <w:szCs w:val="24"/>
        </w:rPr>
      </w:pPr>
      <w:r>
        <w:br w:type="page"/>
      </w:r>
    </w:p>
    <w:p w:rsidR="00EC4F97" w:rsidRDefault="00EC4F97" w:rsidP="00091A43">
      <w:pPr>
        <w:pStyle w:val="texto"/>
        <w:spacing w:after="180"/>
      </w:pPr>
      <w:r>
        <w:t>Hurrengo taulan gastu horien sailkapen funtzionala erakusten dugu:</w:t>
      </w:r>
    </w:p>
    <w:p w:rsidR="00C969B6" w:rsidRPr="00715A78" w:rsidRDefault="00C969B6" w:rsidP="00C969B6">
      <w:pPr>
        <w:pStyle w:val="texto"/>
        <w:spacing w:after="40"/>
        <w:jc w:val="right"/>
        <w:rPr>
          <w:sz w:val="18"/>
          <w:szCs w:val="18"/>
        </w:rPr>
      </w:pPr>
      <w:r w:rsidRPr="00715A78">
        <w:rPr>
          <w:sz w:val="18"/>
          <w:szCs w:val="18"/>
        </w:rPr>
        <w:t>(euroak, milioitan)</w:t>
      </w:r>
    </w:p>
    <w:tbl>
      <w:tblPr>
        <w:tblW w:w="8897" w:type="dxa"/>
        <w:tblBorders>
          <w:top w:val="single" w:sz="4" w:space="0" w:color="auto"/>
          <w:bottom w:val="single" w:sz="4" w:space="0" w:color="auto"/>
          <w:insideH w:val="single" w:sz="4" w:space="0" w:color="auto"/>
        </w:tblBorders>
        <w:tblLook w:val="00A0" w:firstRow="1" w:lastRow="0" w:firstColumn="1" w:lastColumn="0" w:noHBand="0" w:noVBand="0"/>
      </w:tblPr>
      <w:tblGrid>
        <w:gridCol w:w="4219"/>
        <w:gridCol w:w="2693"/>
        <w:gridCol w:w="1985"/>
      </w:tblGrid>
      <w:tr w:rsidR="00C969B6" w:rsidRPr="008426B0" w:rsidTr="00FF435B">
        <w:tc>
          <w:tcPr>
            <w:tcW w:w="4219" w:type="dxa"/>
            <w:shd w:val="clear" w:color="auto" w:fill="FBD4B4" w:themeFill="accent6" w:themeFillTint="66"/>
          </w:tcPr>
          <w:p w:rsidR="00C969B6" w:rsidRPr="00811508" w:rsidRDefault="00C969B6" w:rsidP="00FF435B">
            <w:pPr>
              <w:pStyle w:val="texto"/>
              <w:spacing w:after="0"/>
              <w:ind w:firstLine="0"/>
              <w:rPr>
                <w:rFonts w:ascii="Arial Narrow" w:hAnsi="Arial Narrow"/>
                <w:sz w:val="20"/>
                <w:szCs w:val="20"/>
              </w:rPr>
            </w:pPr>
            <w:r w:rsidRPr="00811508">
              <w:rPr>
                <w:rFonts w:ascii="Arial Narrow" w:hAnsi="Arial Narrow"/>
                <w:sz w:val="20"/>
                <w:szCs w:val="20"/>
              </w:rPr>
              <w:t>Funtzioa</w:t>
            </w:r>
          </w:p>
        </w:tc>
        <w:tc>
          <w:tcPr>
            <w:tcW w:w="2693" w:type="dxa"/>
            <w:shd w:val="clear" w:color="auto" w:fill="FBD4B4" w:themeFill="accent6" w:themeFillTint="66"/>
          </w:tcPr>
          <w:p w:rsidR="00C969B6" w:rsidRPr="00811508" w:rsidRDefault="00C969B6" w:rsidP="00FF435B">
            <w:pPr>
              <w:pStyle w:val="texto"/>
              <w:spacing w:after="0"/>
              <w:ind w:firstLine="0"/>
              <w:jc w:val="right"/>
              <w:rPr>
                <w:rFonts w:ascii="Arial Narrow" w:hAnsi="Arial Narrow"/>
                <w:sz w:val="20"/>
                <w:szCs w:val="20"/>
              </w:rPr>
            </w:pPr>
            <w:r w:rsidRPr="00811508">
              <w:rPr>
                <w:rFonts w:ascii="Arial Narrow" w:hAnsi="Arial Narrow"/>
                <w:sz w:val="20"/>
                <w:szCs w:val="20"/>
              </w:rPr>
              <w:t>Zenbatekoa</w:t>
            </w:r>
          </w:p>
        </w:tc>
        <w:tc>
          <w:tcPr>
            <w:tcW w:w="1985" w:type="dxa"/>
            <w:shd w:val="clear" w:color="auto" w:fill="FBD4B4" w:themeFill="accent6" w:themeFillTint="66"/>
          </w:tcPr>
          <w:p w:rsidR="00C969B6" w:rsidRPr="00811508" w:rsidRDefault="00C969B6" w:rsidP="00FF435B">
            <w:pPr>
              <w:pStyle w:val="texto"/>
              <w:spacing w:after="0"/>
              <w:ind w:firstLine="0"/>
              <w:jc w:val="right"/>
              <w:rPr>
                <w:rFonts w:ascii="Arial Narrow" w:hAnsi="Arial Narrow"/>
                <w:sz w:val="20"/>
                <w:szCs w:val="20"/>
              </w:rPr>
            </w:pPr>
            <w:r w:rsidRPr="00811508">
              <w:rPr>
                <w:rFonts w:ascii="Arial Narrow" w:hAnsi="Arial Narrow"/>
                <w:sz w:val="20"/>
                <w:szCs w:val="20"/>
              </w:rPr>
              <w:t>Gastuaren guztizko</w:t>
            </w:r>
            <w:r w:rsidRPr="00811508">
              <w:rPr>
                <w:rFonts w:ascii="Arial Narrow" w:hAnsi="Arial Narrow"/>
                <w:sz w:val="20"/>
                <w:szCs w:val="20"/>
              </w:rPr>
              <w:t>a</w:t>
            </w:r>
            <w:r w:rsidRPr="00811508">
              <w:rPr>
                <w:rFonts w:ascii="Arial Narrow" w:hAnsi="Arial Narrow"/>
                <w:sz w:val="20"/>
                <w:szCs w:val="20"/>
              </w:rPr>
              <w:t>ren gainean (%)</w:t>
            </w:r>
          </w:p>
        </w:tc>
      </w:tr>
      <w:tr w:rsidR="00C969B6" w:rsidTr="00FF435B">
        <w:tc>
          <w:tcPr>
            <w:tcW w:w="4219" w:type="dxa"/>
            <w:tcBorders>
              <w:bottom w:val="single" w:sz="2" w:space="0" w:color="auto"/>
            </w:tcBorders>
          </w:tcPr>
          <w:p w:rsidR="00C969B6" w:rsidRPr="00303D20" w:rsidRDefault="00C969B6" w:rsidP="00FF435B">
            <w:pPr>
              <w:pStyle w:val="texto"/>
              <w:spacing w:after="0" w:line="240" w:lineRule="atLeast"/>
              <w:ind w:firstLine="0"/>
              <w:rPr>
                <w:rFonts w:ascii="Arial Narrow" w:hAnsi="Arial Narrow"/>
                <w:sz w:val="20"/>
                <w:szCs w:val="20"/>
              </w:rPr>
            </w:pPr>
            <w:r>
              <w:rPr>
                <w:rFonts w:ascii="Arial Narrow" w:hAnsi="Arial Narrow"/>
                <w:sz w:val="20"/>
                <w:szCs w:val="20"/>
              </w:rPr>
              <w:t>Erkidegoaren ongizatea</w:t>
            </w:r>
          </w:p>
        </w:tc>
        <w:tc>
          <w:tcPr>
            <w:tcW w:w="2693" w:type="dxa"/>
            <w:tcBorders>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104,45</w:t>
            </w:r>
          </w:p>
        </w:tc>
        <w:tc>
          <w:tcPr>
            <w:tcW w:w="1985" w:type="dxa"/>
            <w:tcBorders>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14</w:t>
            </w:r>
          </w:p>
        </w:tc>
      </w:tr>
      <w:tr w:rsidR="00C969B6" w:rsidTr="00FF435B">
        <w:tc>
          <w:tcPr>
            <w:tcW w:w="4219" w:type="dxa"/>
            <w:tcBorders>
              <w:top w:val="single" w:sz="2" w:space="0" w:color="auto"/>
              <w:bottom w:val="single" w:sz="2" w:space="0" w:color="auto"/>
            </w:tcBorders>
          </w:tcPr>
          <w:p w:rsidR="00C969B6" w:rsidRPr="00303D20" w:rsidRDefault="00C969B6" w:rsidP="00FF435B">
            <w:pPr>
              <w:pStyle w:val="texto"/>
              <w:spacing w:after="0" w:line="240" w:lineRule="atLeast"/>
              <w:ind w:firstLine="0"/>
              <w:rPr>
                <w:rFonts w:ascii="Arial Narrow" w:hAnsi="Arial Narrow"/>
                <w:sz w:val="20"/>
                <w:szCs w:val="20"/>
              </w:rPr>
            </w:pPr>
            <w:r>
              <w:rPr>
                <w:rFonts w:ascii="Arial Narrow" w:hAnsi="Arial Narrow"/>
                <w:sz w:val="20"/>
                <w:szCs w:val="20"/>
              </w:rPr>
              <w:t>Zerbitzu orokorrak</w:t>
            </w:r>
          </w:p>
        </w:tc>
        <w:tc>
          <w:tcPr>
            <w:tcW w:w="2693"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87,34</w:t>
            </w:r>
          </w:p>
        </w:tc>
        <w:tc>
          <w:tcPr>
            <w:tcW w:w="1985"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12</w:t>
            </w:r>
          </w:p>
        </w:tc>
      </w:tr>
      <w:tr w:rsidR="00C969B6" w:rsidTr="00FF435B">
        <w:tc>
          <w:tcPr>
            <w:tcW w:w="4219" w:type="dxa"/>
            <w:tcBorders>
              <w:top w:val="single" w:sz="2" w:space="0" w:color="auto"/>
              <w:bottom w:val="single" w:sz="2" w:space="0" w:color="auto"/>
            </w:tcBorders>
          </w:tcPr>
          <w:p w:rsidR="00C969B6" w:rsidRPr="00303D20" w:rsidRDefault="00C969B6" w:rsidP="00FF435B">
            <w:pPr>
              <w:pStyle w:val="texto"/>
              <w:spacing w:after="0" w:line="240" w:lineRule="atLeast"/>
              <w:ind w:firstLine="0"/>
              <w:rPr>
                <w:rFonts w:ascii="Arial Narrow" w:hAnsi="Arial Narrow"/>
                <w:sz w:val="20"/>
                <w:szCs w:val="20"/>
              </w:rPr>
            </w:pPr>
            <w:r>
              <w:rPr>
                <w:rFonts w:ascii="Arial Narrow" w:hAnsi="Arial Narrow"/>
                <w:sz w:val="20"/>
                <w:szCs w:val="20"/>
              </w:rPr>
              <w:t>Hezkuntza</w:t>
            </w:r>
          </w:p>
        </w:tc>
        <w:tc>
          <w:tcPr>
            <w:tcW w:w="2693"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66,36</w:t>
            </w:r>
          </w:p>
        </w:tc>
        <w:tc>
          <w:tcPr>
            <w:tcW w:w="1985"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9</w:t>
            </w:r>
          </w:p>
        </w:tc>
      </w:tr>
      <w:tr w:rsidR="00C969B6" w:rsidTr="00FF435B">
        <w:tc>
          <w:tcPr>
            <w:tcW w:w="4219" w:type="dxa"/>
            <w:tcBorders>
              <w:top w:val="single" w:sz="2" w:space="0" w:color="auto"/>
              <w:bottom w:val="single" w:sz="2" w:space="0" w:color="auto"/>
            </w:tcBorders>
          </w:tcPr>
          <w:p w:rsidR="00C969B6" w:rsidRPr="00303D20" w:rsidRDefault="00C969B6" w:rsidP="00FF435B">
            <w:pPr>
              <w:pStyle w:val="texto"/>
              <w:spacing w:after="0" w:line="240" w:lineRule="atLeast"/>
              <w:ind w:firstLine="0"/>
              <w:rPr>
                <w:rFonts w:ascii="Arial Narrow" w:hAnsi="Arial Narrow"/>
                <w:sz w:val="20"/>
                <w:szCs w:val="20"/>
              </w:rPr>
            </w:pPr>
            <w:r>
              <w:rPr>
                <w:rFonts w:ascii="Arial Narrow" w:hAnsi="Arial Narrow"/>
                <w:sz w:val="20"/>
                <w:szCs w:val="20"/>
              </w:rPr>
              <w:t>Gizarte zerbitzuak eta gizarte sustapena</w:t>
            </w:r>
          </w:p>
        </w:tc>
        <w:tc>
          <w:tcPr>
            <w:tcW w:w="2693"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66,80</w:t>
            </w:r>
          </w:p>
        </w:tc>
        <w:tc>
          <w:tcPr>
            <w:tcW w:w="1985"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9</w:t>
            </w:r>
          </w:p>
        </w:tc>
      </w:tr>
      <w:tr w:rsidR="00C969B6" w:rsidTr="00FF435B">
        <w:tc>
          <w:tcPr>
            <w:tcW w:w="4219" w:type="dxa"/>
            <w:tcBorders>
              <w:top w:val="single" w:sz="2" w:space="0" w:color="auto"/>
              <w:bottom w:val="single" w:sz="2" w:space="0" w:color="auto"/>
            </w:tcBorders>
          </w:tcPr>
          <w:p w:rsidR="00C969B6" w:rsidRPr="00303D20" w:rsidRDefault="00C969B6" w:rsidP="00FF435B">
            <w:pPr>
              <w:pStyle w:val="texto"/>
              <w:spacing w:after="0" w:line="240" w:lineRule="atLeast"/>
              <w:ind w:firstLine="0"/>
              <w:rPr>
                <w:rFonts w:ascii="Arial Narrow" w:hAnsi="Arial Narrow"/>
                <w:sz w:val="20"/>
                <w:szCs w:val="20"/>
              </w:rPr>
            </w:pPr>
            <w:r>
              <w:rPr>
                <w:rFonts w:ascii="Arial Narrow" w:hAnsi="Arial Narrow"/>
                <w:sz w:val="20"/>
                <w:szCs w:val="20"/>
              </w:rPr>
              <w:t>Etxebizitza eta hirigintza</w:t>
            </w:r>
          </w:p>
        </w:tc>
        <w:tc>
          <w:tcPr>
            <w:tcW w:w="2693"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59,79</w:t>
            </w:r>
          </w:p>
        </w:tc>
        <w:tc>
          <w:tcPr>
            <w:tcW w:w="1985"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8</w:t>
            </w:r>
          </w:p>
        </w:tc>
      </w:tr>
      <w:tr w:rsidR="00C969B6" w:rsidTr="00FF435B">
        <w:tc>
          <w:tcPr>
            <w:tcW w:w="4219" w:type="dxa"/>
            <w:tcBorders>
              <w:top w:val="single" w:sz="2" w:space="0" w:color="auto"/>
              <w:bottom w:val="single" w:sz="2" w:space="0" w:color="auto"/>
            </w:tcBorders>
          </w:tcPr>
          <w:p w:rsidR="00C969B6" w:rsidRPr="00303D20" w:rsidRDefault="00C969B6" w:rsidP="00FF435B">
            <w:pPr>
              <w:pStyle w:val="texto"/>
              <w:spacing w:after="0" w:line="240" w:lineRule="atLeast"/>
              <w:ind w:firstLine="0"/>
              <w:rPr>
                <w:rFonts w:ascii="Arial Narrow" w:hAnsi="Arial Narrow"/>
                <w:sz w:val="20"/>
                <w:szCs w:val="20"/>
              </w:rPr>
            </w:pPr>
            <w:r>
              <w:rPr>
                <w:rFonts w:ascii="Arial Narrow" w:hAnsi="Arial Narrow"/>
                <w:sz w:val="20"/>
                <w:szCs w:val="20"/>
              </w:rPr>
              <w:t>Kultura</w:t>
            </w:r>
          </w:p>
        </w:tc>
        <w:tc>
          <w:tcPr>
            <w:tcW w:w="2693"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57,43</w:t>
            </w:r>
          </w:p>
        </w:tc>
        <w:tc>
          <w:tcPr>
            <w:tcW w:w="1985"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8</w:t>
            </w:r>
          </w:p>
        </w:tc>
      </w:tr>
      <w:tr w:rsidR="00C969B6" w:rsidTr="00FF435B">
        <w:tc>
          <w:tcPr>
            <w:tcW w:w="4219" w:type="dxa"/>
            <w:tcBorders>
              <w:top w:val="single" w:sz="2" w:space="0" w:color="auto"/>
              <w:bottom w:val="single" w:sz="2" w:space="0" w:color="auto"/>
            </w:tcBorders>
          </w:tcPr>
          <w:p w:rsidR="00C969B6" w:rsidRPr="00303D20" w:rsidRDefault="00C969B6" w:rsidP="00FF435B">
            <w:pPr>
              <w:pStyle w:val="texto"/>
              <w:spacing w:after="0" w:line="240" w:lineRule="atLeast"/>
              <w:ind w:firstLine="0"/>
              <w:rPr>
                <w:rFonts w:ascii="Arial Narrow" w:hAnsi="Arial Narrow"/>
                <w:sz w:val="20"/>
                <w:szCs w:val="20"/>
              </w:rPr>
            </w:pPr>
            <w:r>
              <w:rPr>
                <w:rFonts w:ascii="Arial Narrow" w:hAnsi="Arial Narrow"/>
                <w:sz w:val="20"/>
                <w:szCs w:val="20"/>
              </w:rPr>
              <w:t>Herritarren segurtasuna eta mugikortasuna</w:t>
            </w:r>
          </w:p>
        </w:tc>
        <w:tc>
          <w:tcPr>
            <w:tcW w:w="2693"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50,06</w:t>
            </w:r>
          </w:p>
        </w:tc>
        <w:tc>
          <w:tcPr>
            <w:tcW w:w="1985"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7</w:t>
            </w:r>
          </w:p>
        </w:tc>
      </w:tr>
      <w:tr w:rsidR="00C969B6" w:rsidTr="00FF435B">
        <w:tc>
          <w:tcPr>
            <w:tcW w:w="4219" w:type="dxa"/>
            <w:tcBorders>
              <w:top w:val="single" w:sz="2" w:space="0" w:color="auto"/>
              <w:bottom w:val="single" w:sz="2" w:space="0" w:color="auto"/>
            </w:tcBorders>
          </w:tcPr>
          <w:p w:rsidR="00C969B6" w:rsidRPr="00303D20" w:rsidRDefault="00C969B6" w:rsidP="00FF435B">
            <w:pPr>
              <w:pStyle w:val="texto"/>
              <w:spacing w:after="0" w:line="240" w:lineRule="atLeast"/>
              <w:ind w:firstLine="0"/>
              <w:rPr>
                <w:rFonts w:ascii="Arial Narrow" w:hAnsi="Arial Narrow"/>
                <w:sz w:val="20"/>
                <w:szCs w:val="20"/>
              </w:rPr>
            </w:pPr>
            <w:r>
              <w:rPr>
                <w:rFonts w:ascii="Arial Narrow" w:hAnsi="Arial Narrow"/>
                <w:sz w:val="20"/>
                <w:szCs w:val="20"/>
              </w:rPr>
              <w:t>Pentsioak</w:t>
            </w:r>
          </w:p>
        </w:tc>
        <w:tc>
          <w:tcPr>
            <w:tcW w:w="2693"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49,88</w:t>
            </w:r>
          </w:p>
        </w:tc>
        <w:tc>
          <w:tcPr>
            <w:tcW w:w="1985"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7</w:t>
            </w:r>
          </w:p>
        </w:tc>
      </w:tr>
      <w:tr w:rsidR="00C969B6" w:rsidTr="00FF435B">
        <w:tc>
          <w:tcPr>
            <w:tcW w:w="4219" w:type="dxa"/>
            <w:tcBorders>
              <w:top w:val="single" w:sz="2" w:space="0" w:color="auto"/>
              <w:bottom w:val="single" w:sz="2" w:space="0" w:color="auto"/>
            </w:tcBorders>
          </w:tcPr>
          <w:p w:rsidR="00C969B6" w:rsidRPr="00303D20" w:rsidRDefault="00C969B6" w:rsidP="00FF435B">
            <w:pPr>
              <w:pStyle w:val="texto"/>
              <w:spacing w:after="0" w:line="240" w:lineRule="atLeast"/>
              <w:ind w:firstLine="0"/>
              <w:rPr>
                <w:rFonts w:ascii="Arial Narrow" w:hAnsi="Arial Narrow"/>
                <w:sz w:val="20"/>
                <w:szCs w:val="20"/>
              </w:rPr>
            </w:pPr>
            <w:r>
              <w:rPr>
                <w:rFonts w:ascii="Arial Narrow" w:hAnsi="Arial Narrow"/>
                <w:sz w:val="20"/>
                <w:szCs w:val="20"/>
              </w:rPr>
              <w:t>Zor publikoa</w:t>
            </w:r>
          </w:p>
        </w:tc>
        <w:tc>
          <w:tcPr>
            <w:tcW w:w="2693"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46,23</w:t>
            </w:r>
          </w:p>
        </w:tc>
        <w:tc>
          <w:tcPr>
            <w:tcW w:w="1985"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6</w:t>
            </w:r>
          </w:p>
        </w:tc>
      </w:tr>
      <w:tr w:rsidR="00C969B6" w:rsidTr="00FF435B">
        <w:tc>
          <w:tcPr>
            <w:tcW w:w="4219" w:type="dxa"/>
            <w:tcBorders>
              <w:top w:val="single" w:sz="2" w:space="0" w:color="auto"/>
              <w:bottom w:val="single" w:sz="2" w:space="0" w:color="auto"/>
            </w:tcBorders>
          </w:tcPr>
          <w:p w:rsidR="00C969B6" w:rsidRPr="00303D20" w:rsidRDefault="00C969B6" w:rsidP="00FF435B">
            <w:pPr>
              <w:pStyle w:val="texto"/>
              <w:spacing w:after="0" w:line="240" w:lineRule="atLeast"/>
              <w:ind w:firstLine="0"/>
              <w:rPr>
                <w:rFonts w:ascii="Arial Narrow" w:hAnsi="Arial Narrow"/>
                <w:sz w:val="20"/>
                <w:szCs w:val="20"/>
              </w:rPr>
            </w:pPr>
            <w:r>
              <w:rPr>
                <w:rFonts w:ascii="Arial Narrow" w:hAnsi="Arial Narrow"/>
                <w:sz w:val="20"/>
                <w:szCs w:val="20"/>
              </w:rPr>
              <w:t>Kirola</w:t>
            </w:r>
          </w:p>
        </w:tc>
        <w:tc>
          <w:tcPr>
            <w:tcW w:w="2693"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41,07</w:t>
            </w:r>
          </w:p>
        </w:tc>
        <w:tc>
          <w:tcPr>
            <w:tcW w:w="1985" w:type="dxa"/>
            <w:tcBorders>
              <w:top w:val="single" w:sz="2" w:space="0" w:color="auto"/>
              <w:bottom w:val="single" w:sz="2"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5</w:t>
            </w:r>
          </w:p>
        </w:tc>
      </w:tr>
      <w:tr w:rsidR="00C969B6" w:rsidTr="00FF435B">
        <w:tc>
          <w:tcPr>
            <w:tcW w:w="4219" w:type="dxa"/>
            <w:tcBorders>
              <w:top w:val="single" w:sz="2" w:space="0" w:color="auto"/>
              <w:bottom w:val="single" w:sz="4" w:space="0" w:color="auto"/>
            </w:tcBorders>
          </w:tcPr>
          <w:p w:rsidR="00C969B6" w:rsidRPr="00303D20" w:rsidRDefault="00C969B6" w:rsidP="00FF435B">
            <w:pPr>
              <w:pStyle w:val="texto"/>
              <w:spacing w:after="0" w:line="240" w:lineRule="atLeast"/>
              <w:ind w:firstLine="0"/>
              <w:rPr>
                <w:rFonts w:ascii="Arial Narrow" w:hAnsi="Arial Narrow"/>
                <w:sz w:val="20"/>
                <w:szCs w:val="20"/>
              </w:rPr>
            </w:pPr>
            <w:r>
              <w:rPr>
                <w:rFonts w:ascii="Arial Narrow" w:hAnsi="Arial Narrow"/>
                <w:sz w:val="20"/>
                <w:szCs w:val="20"/>
              </w:rPr>
              <w:t>Beste batzuk</w:t>
            </w:r>
          </w:p>
        </w:tc>
        <w:tc>
          <w:tcPr>
            <w:tcW w:w="2693" w:type="dxa"/>
            <w:tcBorders>
              <w:top w:val="single" w:sz="2" w:space="0" w:color="auto"/>
              <w:bottom w:val="single" w:sz="4"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122,62</w:t>
            </w:r>
          </w:p>
        </w:tc>
        <w:tc>
          <w:tcPr>
            <w:tcW w:w="1985" w:type="dxa"/>
            <w:tcBorders>
              <w:top w:val="single" w:sz="2" w:space="0" w:color="auto"/>
              <w:bottom w:val="single" w:sz="4" w:space="0" w:color="auto"/>
            </w:tcBorders>
          </w:tcPr>
          <w:p w:rsidR="00C969B6" w:rsidRPr="00303D20" w:rsidRDefault="00C969B6" w:rsidP="00FF435B">
            <w:pPr>
              <w:pStyle w:val="texto"/>
              <w:spacing w:after="0" w:line="240" w:lineRule="atLeast"/>
              <w:ind w:firstLine="0"/>
              <w:jc w:val="right"/>
              <w:rPr>
                <w:rFonts w:ascii="Arial Narrow" w:hAnsi="Arial Narrow"/>
                <w:color w:val="FF0000"/>
                <w:sz w:val="20"/>
                <w:szCs w:val="20"/>
              </w:rPr>
            </w:pPr>
            <w:r>
              <w:rPr>
                <w:rFonts w:ascii="Arial Narrow" w:hAnsi="Arial Narrow"/>
                <w:sz w:val="20"/>
                <w:szCs w:val="20"/>
              </w:rPr>
              <w:t>16</w:t>
            </w:r>
          </w:p>
        </w:tc>
      </w:tr>
      <w:tr w:rsidR="00C969B6" w:rsidRPr="008426B0" w:rsidTr="00FF435B">
        <w:tc>
          <w:tcPr>
            <w:tcW w:w="4219" w:type="dxa"/>
            <w:shd w:val="clear" w:color="auto" w:fill="FBD4B4" w:themeFill="accent6" w:themeFillTint="66"/>
          </w:tcPr>
          <w:p w:rsidR="00C969B6" w:rsidRPr="008426B0" w:rsidRDefault="00C969B6" w:rsidP="00FF435B">
            <w:pPr>
              <w:pStyle w:val="texto"/>
              <w:spacing w:after="0" w:line="240" w:lineRule="atLeast"/>
              <w:ind w:firstLine="0"/>
              <w:rPr>
                <w:rFonts w:ascii="Arial" w:hAnsi="Arial" w:cs="Arial"/>
                <w:sz w:val="18"/>
                <w:szCs w:val="18"/>
              </w:rPr>
            </w:pPr>
            <w:r>
              <w:rPr>
                <w:rFonts w:ascii="Arial" w:hAnsi="Arial"/>
                <w:sz w:val="18"/>
                <w:szCs w:val="18"/>
              </w:rPr>
              <w:t>Guztira</w:t>
            </w:r>
          </w:p>
        </w:tc>
        <w:tc>
          <w:tcPr>
            <w:tcW w:w="2693" w:type="dxa"/>
            <w:shd w:val="clear" w:color="auto" w:fill="FBD4B4" w:themeFill="accent6" w:themeFillTint="66"/>
          </w:tcPr>
          <w:p w:rsidR="00C969B6" w:rsidRPr="008426B0" w:rsidRDefault="00C969B6" w:rsidP="00FF435B">
            <w:pPr>
              <w:pStyle w:val="texto"/>
              <w:spacing w:after="0" w:line="240" w:lineRule="atLeast"/>
              <w:ind w:firstLine="0"/>
              <w:jc w:val="right"/>
              <w:rPr>
                <w:rFonts w:ascii="Arial" w:hAnsi="Arial" w:cs="Arial"/>
                <w:sz w:val="18"/>
                <w:szCs w:val="18"/>
              </w:rPr>
            </w:pPr>
            <w:r>
              <w:rPr>
                <w:rFonts w:ascii="Arial" w:hAnsi="Arial"/>
                <w:sz w:val="18"/>
                <w:szCs w:val="18"/>
              </w:rPr>
              <w:t>752,03</w:t>
            </w:r>
          </w:p>
        </w:tc>
        <w:tc>
          <w:tcPr>
            <w:tcW w:w="1985" w:type="dxa"/>
            <w:shd w:val="clear" w:color="auto" w:fill="FBD4B4" w:themeFill="accent6" w:themeFillTint="66"/>
          </w:tcPr>
          <w:p w:rsidR="00C969B6" w:rsidRPr="008426B0" w:rsidRDefault="00C969B6" w:rsidP="00FF435B">
            <w:pPr>
              <w:pStyle w:val="texto"/>
              <w:spacing w:after="0" w:line="240" w:lineRule="atLeast"/>
              <w:ind w:firstLine="0"/>
              <w:jc w:val="right"/>
              <w:rPr>
                <w:rFonts w:ascii="Arial" w:hAnsi="Arial" w:cs="Arial"/>
                <w:sz w:val="18"/>
                <w:szCs w:val="18"/>
              </w:rPr>
            </w:pPr>
            <w:r>
              <w:rPr>
                <w:rFonts w:ascii="Arial" w:hAnsi="Arial"/>
                <w:sz w:val="18"/>
                <w:szCs w:val="18"/>
              </w:rPr>
              <w:t>100</w:t>
            </w:r>
          </w:p>
        </w:tc>
      </w:tr>
    </w:tbl>
    <w:p w:rsidR="00EC4F97" w:rsidRDefault="00EC4F97" w:rsidP="00091A43">
      <w:pPr>
        <w:pStyle w:val="texto"/>
        <w:spacing w:before="140"/>
      </w:pPr>
      <w:r>
        <w:t>Erkidegoaren ongizatea (hondakinak jaso eta tratatzea, argiteria edo garbit</w:t>
      </w:r>
      <w:r>
        <w:t>a</w:t>
      </w:r>
      <w:r>
        <w:t>suna, besteak beste) da 2017an toki sektore publikoan gastu handiena, 104.45 milioi eurokoa (guztizkoaren ehuneko 14), eragin zuen eginkizuna; horren o</w:t>
      </w:r>
      <w:r>
        <w:t>n</w:t>
      </w:r>
      <w:r>
        <w:t>dotik, izaera orokorreko zerbitzuak datoz, eta ehuneko 12 egin zuten, 87,34 m</w:t>
      </w:r>
      <w:r>
        <w:t>i</w:t>
      </w:r>
      <w:r>
        <w:t xml:space="preserve">lioi euro hain zuzen. </w:t>
      </w:r>
    </w:p>
    <w:p w:rsidR="00EC4F97" w:rsidRPr="007E3BFE" w:rsidRDefault="00EC4F97" w:rsidP="00EC4F97">
      <w:pPr>
        <w:pStyle w:val="texto"/>
      </w:pPr>
      <w:r>
        <w:t>Gastuen ehuneko 86 udalei eta kontzejuei dagozkie, eta gainerako ehuneko 14a, berriz, mankomunitateei eta batasunei.</w:t>
      </w:r>
    </w:p>
    <w:p w:rsidR="00EC4F97" w:rsidRPr="007E3BFE" w:rsidRDefault="00EC4F97" w:rsidP="00091A43">
      <w:pPr>
        <w:pStyle w:val="atitulo2"/>
        <w:spacing w:before="180" w:after="120"/>
      </w:pPr>
      <w:bookmarkStart w:id="58" w:name="_Toc465686690"/>
      <w:bookmarkStart w:id="59" w:name="_Toc529773884"/>
      <w:bookmarkStart w:id="60" w:name="_Toc24100145"/>
      <w:bookmarkStart w:id="61" w:name="_Toc27986319"/>
      <w:r>
        <w:t xml:space="preserve">V.3. </w:t>
      </w:r>
      <w:bookmarkEnd w:id="58"/>
      <w:r>
        <w:t>Adierazleak eta magnitudeak</w:t>
      </w:r>
      <w:bookmarkEnd w:id="59"/>
      <w:bookmarkEnd w:id="60"/>
      <w:bookmarkEnd w:id="61"/>
    </w:p>
    <w:p w:rsidR="00EC4F97" w:rsidRDefault="00EC4F97" w:rsidP="00091A43">
      <w:pPr>
        <w:pStyle w:val="texto"/>
        <w:spacing w:after="180"/>
      </w:pPr>
      <w:r>
        <w:t>Hurrengo taulan toki sektore publikoan gastatutako 100 euro bakoitzaren b</w:t>
      </w:r>
      <w:r>
        <w:t>i</w:t>
      </w:r>
      <w:r>
        <w:t>lakaera eta banaketa erakusten dugu, bai eta haien finantziazioa ere:</w:t>
      </w:r>
    </w:p>
    <w:tbl>
      <w:tblPr>
        <w:tblW w:w="9129"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88"/>
        <w:gridCol w:w="869"/>
        <w:gridCol w:w="1149"/>
        <w:gridCol w:w="2994"/>
        <w:gridCol w:w="710"/>
        <w:gridCol w:w="1019"/>
      </w:tblGrid>
      <w:tr w:rsidR="00FF435B" w:rsidRPr="0081390E" w:rsidTr="00FF435B">
        <w:trPr>
          <w:trHeight w:val="255"/>
          <w:jc w:val="center"/>
        </w:trPr>
        <w:tc>
          <w:tcPr>
            <w:tcW w:w="2388" w:type="dxa"/>
            <w:shd w:val="clear" w:color="auto" w:fill="FBD4B4" w:themeFill="accent6" w:themeFillTint="66"/>
            <w:vAlign w:val="center"/>
          </w:tcPr>
          <w:p w:rsidR="00FF435B" w:rsidRPr="0081390E" w:rsidRDefault="00FF435B" w:rsidP="00FF435B">
            <w:pPr>
              <w:keepLines/>
              <w:tabs>
                <w:tab w:val="right" w:pos="2835"/>
                <w:tab w:val="right" w:pos="3969"/>
                <w:tab w:val="right" w:pos="5103"/>
                <w:tab w:val="right" w:pos="6237"/>
                <w:tab w:val="right" w:pos="7371"/>
              </w:tabs>
              <w:spacing w:after="0"/>
              <w:ind w:firstLine="0"/>
              <w:contextualSpacing/>
              <w:rPr>
                <w:rFonts w:ascii="Arial" w:hAnsi="Arial" w:cs="Arial"/>
                <w:spacing w:val="6"/>
                <w:sz w:val="18"/>
                <w:szCs w:val="24"/>
              </w:rPr>
            </w:pPr>
            <w:r>
              <w:rPr>
                <w:rFonts w:ascii="Arial" w:hAnsi="Arial"/>
                <w:sz w:val="18"/>
                <w:szCs w:val="24"/>
              </w:rPr>
              <w:t>Gastuaren izaera</w:t>
            </w:r>
          </w:p>
        </w:tc>
        <w:tc>
          <w:tcPr>
            <w:tcW w:w="869" w:type="dxa"/>
            <w:tcBorders>
              <w:right w:val="nil"/>
            </w:tcBorders>
            <w:shd w:val="clear" w:color="auto" w:fill="FBD4B4" w:themeFill="accent6" w:themeFillTint="66"/>
            <w:vAlign w:val="center"/>
          </w:tcPr>
          <w:p w:rsidR="00FF435B" w:rsidRPr="0081390E" w:rsidRDefault="00FF435B" w:rsidP="00FF435B">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 xml:space="preserve">2016 </w:t>
            </w:r>
          </w:p>
        </w:tc>
        <w:tc>
          <w:tcPr>
            <w:tcW w:w="1149" w:type="dxa"/>
            <w:tcBorders>
              <w:left w:val="nil"/>
              <w:right w:val="single" w:sz="4" w:space="0" w:color="auto"/>
            </w:tcBorders>
            <w:shd w:val="clear" w:color="auto" w:fill="FBD4B4" w:themeFill="accent6" w:themeFillTint="66"/>
            <w:vAlign w:val="center"/>
          </w:tcPr>
          <w:p w:rsidR="00FF435B" w:rsidRPr="0081390E" w:rsidRDefault="00FF435B" w:rsidP="00FF435B">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Pr>
                <w:rFonts w:ascii="Arial" w:hAnsi="Arial"/>
                <w:sz w:val="18"/>
                <w:szCs w:val="24"/>
              </w:rPr>
              <w:t>2017</w:t>
            </w:r>
          </w:p>
        </w:tc>
        <w:tc>
          <w:tcPr>
            <w:tcW w:w="2994" w:type="dxa"/>
            <w:tcBorders>
              <w:left w:val="single" w:sz="4" w:space="0" w:color="auto"/>
            </w:tcBorders>
            <w:shd w:val="clear" w:color="auto" w:fill="FBD4B4" w:themeFill="accent6" w:themeFillTint="66"/>
            <w:vAlign w:val="center"/>
          </w:tcPr>
          <w:p w:rsidR="00FF435B" w:rsidRPr="0081390E" w:rsidRDefault="00FF435B" w:rsidP="00FF435B">
            <w:pPr>
              <w:keepLines/>
              <w:tabs>
                <w:tab w:val="right" w:pos="2835"/>
                <w:tab w:val="right" w:pos="3969"/>
                <w:tab w:val="right" w:pos="5103"/>
                <w:tab w:val="right" w:pos="6237"/>
                <w:tab w:val="right" w:pos="7371"/>
              </w:tabs>
              <w:spacing w:after="0"/>
              <w:ind w:left="149" w:firstLine="0"/>
              <w:contextualSpacing/>
              <w:jc w:val="left"/>
              <w:rPr>
                <w:rFonts w:ascii="Arial" w:hAnsi="Arial" w:cs="Arial"/>
                <w:spacing w:val="6"/>
                <w:sz w:val="18"/>
                <w:szCs w:val="24"/>
              </w:rPr>
            </w:pPr>
            <w:r>
              <w:rPr>
                <w:rFonts w:ascii="Arial" w:hAnsi="Arial"/>
                <w:sz w:val="18"/>
                <w:szCs w:val="24"/>
              </w:rPr>
              <w:t>Finantzabidea</w:t>
            </w:r>
          </w:p>
        </w:tc>
        <w:tc>
          <w:tcPr>
            <w:tcW w:w="710" w:type="dxa"/>
            <w:shd w:val="clear" w:color="auto" w:fill="FBD4B4" w:themeFill="accent6" w:themeFillTint="66"/>
            <w:vAlign w:val="center"/>
          </w:tcPr>
          <w:p w:rsidR="00FF435B" w:rsidRPr="0081390E" w:rsidRDefault="00FF435B" w:rsidP="00FF435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2016</w:t>
            </w:r>
          </w:p>
        </w:tc>
        <w:tc>
          <w:tcPr>
            <w:tcW w:w="1019" w:type="dxa"/>
            <w:shd w:val="clear" w:color="auto" w:fill="FBD4B4" w:themeFill="accent6" w:themeFillTint="66"/>
            <w:vAlign w:val="center"/>
          </w:tcPr>
          <w:p w:rsidR="00FF435B" w:rsidRPr="0081390E" w:rsidRDefault="00FF435B" w:rsidP="00FF435B">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2017</w:t>
            </w:r>
          </w:p>
        </w:tc>
      </w:tr>
      <w:tr w:rsidR="00FF435B" w:rsidRPr="00B01865" w:rsidTr="00FF435B">
        <w:trPr>
          <w:trHeight w:val="198"/>
          <w:jc w:val="center"/>
        </w:trPr>
        <w:tc>
          <w:tcPr>
            <w:tcW w:w="2388" w:type="dxa"/>
            <w:tcBorders>
              <w:bottom w:val="single" w:sz="2" w:space="0" w:color="auto"/>
            </w:tcBorders>
            <w:vAlign w:val="center"/>
          </w:tcPr>
          <w:p w:rsidR="00FF435B" w:rsidRPr="00032B45" w:rsidRDefault="00FF435B" w:rsidP="00FF435B">
            <w:pPr>
              <w:spacing w:after="0"/>
              <w:ind w:firstLine="0"/>
              <w:jc w:val="left"/>
              <w:rPr>
                <w:rFonts w:ascii="Arial Narrow" w:hAnsi="Arial Narrow" w:cs="Arial"/>
                <w:sz w:val="18"/>
                <w:szCs w:val="18"/>
              </w:rPr>
            </w:pPr>
            <w:r>
              <w:rPr>
                <w:rFonts w:ascii="Arial Narrow" w:hAnsi="Arial Narrow"/>
                <w:sz w:val="18"/>
                <w:szCs w:val="18"/>
              </w:rPr>
              <w:t>Langileak</w:t>
            </w:r>
          </w:p>
        </w:tc>
        <w:tc>
          <w:tcPr>
            <w:tcW w:w="869" w:type="dxa"/>
            <w:tcBorders>
              <w:bottom w:val="single" w:sz="2" w:space="0" w:color="auto"/>
              <w:right w:val="nil"/>
            </w:tcBorders>
            <w:vAlign w:val="center"/>
          </w:tcPr>
          <w:p w:rsidR="00FF435B" w:rsidRPr="00032B45" w:rsidRDefault="00FF435B" w:rsidP="00FF435B">
            <w:pPr>
              <w:tabs>
                <w:tab w:val="left" w:pos="653"/>
                <w:tab w:val="left" w:pos="1212"/>
                <w:tab w:val="left" w:pos="1296"/>
              </w:tabs>
              <w:spacing w:after="0"/>
              <w:ind w:firstLine="0"/>
              <w:jc w:val="right"/>
              <w:rPr>
                <w:rFonts w:ascii="Arial Narrow" w:hAnsi="Arial Narrow" w:cs="Arial"/>
                <w:sz w:val="18"/>
                <w:szCs w:val="18"/>
              </w:rPr>
            </w:pPr>
            <w:r>
              <w:rPr>
                <w:rFonts w:ascii="Arial Narrow" w:hAnsi="Arial Narrow"/>
                <w:sz w:val="18"/>
                <w:szCs w:val="18"/>
              </w:rPr>
              <w:t>37</w:t>
            </w:r>
          </w:p>
        </w:tc>
        <w:tc>
          <w:tcPr>
            <w:tcW w:w="1149" w:type="dxa"/>
            <w:tcBorders>
              <w:left w:val="nil"/>
              <w:bottom w:val="single" w:sz="2" w:space="0" w:color="auto"/>
              <w:right w:val="single" w:sz="4" w:space="0" w:color="auto"/>
            </w:tcBorders>
            <w:vAlign w:val="center"/>
          </w:tcPr>
          <w:p w:rsidR="00FF435B" w:rsidRPr="00032B45" w:rsidRDefault="00FF435B" w:rsidP="00FF435B">
            <w:pPr>
              <w:tabs>
                <w:tab w:val="left" w:pos="1212"/>
                <w:tab w:val="left" w:pos="1296"/>
              </w:tabs>
              <w:spacing w:after="0"/>
              <w:ind w:right="132" w:firstLine="0"/>
              <w:jc w:val="right"/>
              <w:rPr>
                <w:rFonts w:ascii="Arial Narrow" w:hAnsi="Arial Narrow" w:cs="Arial"/>
                <w:color w:val="FF0000"/>
                <w:sz w:val="18"/>
                <w:szCs w:val="18"/>
              </w:rPr>
            </w:pPr>
            <w:r>
              <w:rPr>
                <w:rFonts w:ascii="Arial Narrow" w:hAnsi="Arial Narrow"/>
                <w:sz w:val="18"/>
                <w:szCs w:val="18"/>
              </w:rPr>
              <w:t>36</w:t>
            </w:r>
          </w:p>
        </w:tc>
        <w:tc>
          <w:tcPr>
            <w:tcW w:w="2994" w:type="dxa"/>
            <w:tcBorders>
              <w:left w:val="single" w:sz="4" w:space="0" w:color="auto"/>
              <w:bottom w:val="single" w:sz="2" w:space="0" w:color="auto"/>
            </w:tcBorders>
            <w:vAlign w:val="center"/>
          </w:tcPr>
          <w:p w:rsidR="00FF435B" w:rsidRPr="00032B45" w:rsidRDefault="00FF435B" w:rsidP="00FF435B">
            <w:pPr>
              <w:spacing w:after="0"/>
              <w:ind w:left="149" w:firstLine="0"/>
              <w:jc w:val="left"/>
              <w:rPr>
                <w:rFonts w:ascii="Arial Narrow" w:hAnsi="Arial Narrow" w:cs="Arial"/>
                <w:sz w:val="18"/>
                <w:szCs w:val="18"/>
              </w:rPr>
            </w:pPr>
            <w:r>
              <w:rPr>
                <w:rFonts w:ascii="Arial Narrow" w:hAnsi="Arial Narrow"/>
                <w:sz w:val="18"/>
                <w:szCs w:val="18"/>
              </w:rPr>
              <w:t>Tributu bidezko diru-sarrerak</w:t>
            </w:r>
          </w:p>
        </w:tc>
        <w:tc>
          <w:tcPr>
            <w:tcW w:w="710" w:type="dxa"/>
            <w:tcBorders>
              <w:bottom w:val="single" w:sz="2"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sz w:val="18"/>
                <w:szCs w:val="18"/>
              </w:rPr>
            </w:pPr>
            <w:r>
              <w:rPr>
                <w:rFonts w:ascii="Arial Narrow" w:hAnsi="Arial Narrow"/>
                <w:sz w:val="18"/>
                <w:szCs w:val="18"/>
              </w:rPr>
              <w:t>49</w:t>
            </w:r>
          </w:p>
        </w:tc>
        <w:tc>
          <w:tcPr>
            <w:tcW w:w="1019" w:type="dxa"/>
            <w:tcBorders>
              <w:bottom w:val="single" w:sz="2"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color w:val="FF0000"/>
                <w:sz w:val="18"/>
                <w:szCs w:val="18"/>
              </w:rPr>
            </w:pPr>
            <w:r>
              <w:rPr>
                <w:rFonts w:ascii="Arial Narrow" w:hAnsi="Arial Narrow"/>
                <w:sz w:val="18"/>
                <w:szCs w:val="18"/>
              </w:rPr>
              <w:t>47</w:t>
            </w:r>
          </w:p>
        </w:tc>
      </w:tr>
      <w:tr w:rsidR="00FF435B" w:rsidRPr="00B01865" w:rsidTr="00FF435B">
        <w:trPr>
          <w:trHeight w:val="198"/>
          <w:jc w:val="center"/>
        </w:trPr>
        <w:tc>
          <w:tcPr>
            <w:tcW w:w="2388" w:type="dxa"/>
            <w:tcBorders>
              <w:top w:val="single" w:sz="2" w:space="0" w:color="auto"/>
              <w:bottom w:val="single" w:sz="2" w:space="0" w:color="auto"/>
            </w:tcBorders>
            <w:vAlign w:val="center"/>
          </w:tcPr>
          <w:p w:rsidR="00FF435B" w:rsidRPr="00032B45" w:rsidRDefault="00FF435B" w:rsidP="00FF435B">
            <w:pPr>
              <w:spacing w:after="0"/>
              <w:ind w:firstLine="0"/>
              <w:jc w:val="left"/>
              <w:rPr>
                <w:rFonts w:ascii="Arial Narrow" w:hAnsi="Arial Narrow" w:cs="Arial"/>
                <w:sz w:val="18"/>
                <w:szCs w:val="18"/>
              </w:rPr>
            </w:pPr>
            <w:r>
              <w:rPr>
                <w:rFonts w:ascii="Arial Narrow" w:hAnsi="Arial Narrow"/>
                <w:sz w:val="18"/>
                <w:szCs w:val="18"/>
              </w:rPr>
              <w:t>Ondasun arruntak eta zerbitzuak</w:t>
            </w:r>
          </w:p>
        </w:tc>
        <w:tc>
          <w:tcPr>
            <w:tcW w:w="869" w:type="dxa"/>
            <w:tcBorders>
              <w:top w:val="single" w:sz="2" w:space="0" w:color="auto"/>
              <w:bottom w:val="single" w:sz="2" w:space="0" w:color="auto"/>
              <w:right w:val="nil"/>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sz w:val="18"/>
                <w:szCs w:val="18"/>
              </w:rPr>
            </w:pPr>
            <w:r>
              <w:rPr>
                <w:rFonts w:ascii="Arial Narrow" w:hAnsi="Arial Narrow"/>
                <w:sz w:val="18"/>
                <w:szCs w:val="18"/>
              </w:rPr>
              <w:t>37</w:t>
            </w:r>
          </w:p>
        </w:tc>
        <w:tc>
          <w:tcPr>
            <w:tcW w:w="1149" w:type="dxa"/>
            <w:tcBorders>
              <w:top w:val="single" w:sz="2" w:space="0" w:color="auto"/>
              <w:left w:val="nil"/>
              <w:bottom w:val="single" w:sz="2" w:space="0" w:color="auto"/>
              <w:right w:val="single" w:sz="4" w:space="0" w:color="auto"/>
            </w:tcBorders>
            <w:vAlign w:val="center"/>
          </w:tcPr>
          <w:p w:rsidR="00FF435B" w:rsidRPr="00032B45" w:rsidRDefault="00FF435B" w:rsidP="00FF435B">
            <w:pPr>
              <w:tabs>
                <w:tab w:val="left" w:pos="1212"/>
                <w:tab w:val="left" w:pos="1296"/>
              </w:tabs>
              <w:spacing w:after="0"/>
              <w:ind w:right="132" w:firstLine="0"/>
              <w:jc w:val="right"/>
              <w:rPr>
                <w:rFonts w:ascii="Arial Narrow" w:hAnsi="Arial Narrow" w:cs="Arial"/>
                <w:color w:val="FF0000"/>
                <w:sz w:val="18"/>
                <w:szCs w:val="18"/>
              </w:rPr>
            </w:pPr>
            <w:r>
              <w:rPr>
                <w:rFonts w:ascii="Arial Narrow" w:hAnsi="Arial Narrow"/>
                <w:sz w:val="18"/>
                <w:szCs w:val="18"/>
              </w:rPr>
              <w:t>35</w:t>
            </w:r>
          </w:p>
        </w:tc>
        <w:tc>
          <w:tcPr>
            <w:tcW w:w="2994" w:type="dxa"/>
            <w:tcBorders>
              <w:top w:val="single" w:sz="2" w:space="0" w:color="auto"/>
              <w:left w:val="single" w:sz="4" w:space="0" w:color="auto"/>
              <w:bottom w:val="single" w:sz="2" w:space="0" w:color="auto"/>
            </w:tcBorders>
            <w:vAlign w:val="center"/>
          </w:tcPr>
          <w:p w:rsidR="00FF435B" w:rsidRPr="00032B45" w:rsidRDefault="00FF435B" w:rsidP="00FF435B">
            <w:pPr>
              <w:spacing w:after="0"/>
              <w:ind w:left="149" w:firstLine="0"/>
              <w:jc w:val="left"/>
              <w:rPr>
                <w:rFonts w:ascii="Arial Narrow" w:hAnsi="Arial Narrow" w:cs="Arial"/>
                <w:sz w:val="18"/>
                <w:szCs w:val="18"/>
              </w:rPr>
            </w:pPr>
            <w:r>
              <w:rPr>
                <w:rFonts w:ascii="Arial Narrow" w:hAnsi="Arial Narrow"/>
                <w:sz w:val="18"/>
                <w:szCs w:val="18"/>
              </w:rPr>
              <w:t>Transferentzien bidezko diru-sarrerak</w:t>
            </w:r>
          </w:p>
        </w:tc>
        <w:tc>
          <w:tcPr>
            <w:tcW w:w="710" w:type="dxa"/>
            <w:tcBorders>
              <w:top w:val="single" w:sz="2" w:space="0" w:color="auto"/>
              <w:bottom w:val="single" w:sz="2"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sz w:val="18"/>
                <w:szCs w:val="18"/>
              </w:rPr>
            </w:pPr>
            <w:r>
              <w:rPr>
                <w:rFonts w:ascii="Arial Narrow" w:hAnsi="Arial Narrow"/>
                <w:sz w:val="18"/>
                <w:szCs w:val="18"/>
              </w:rPr>
              <w:t>43</w:t>
            </w:r>
          </w:p>
        </w:tc>
        <w:tc>
          <w:tcPr>
            <w:tcW w:w="1019" w:type="dxa"/>
            <w:tcBorders>
              <w:top w:val="single" w:sz="2" w:space="0" w:color="auto"/>
              <w:bottom w:val="single" w:sz="2"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color w:val="FF0000"/>
                <w:sz w:val="18"/>
                <w:szCs w:val="18"/>
              </w:rPr>
            </w:pPr>
            <w:r>
              <w:rPr>
                <w:rFonts w:ascii="Arial Narrow" w:hAnsi="Arial Narrow"/>
                <w:sz w:val="18"/>
                <w:szCs w:val="18"/>
              </w:rPr>
              <w:t>44</w:t>
            </w:r>
          </w:p>
        </w:tc>
      </w:tr>
      <w:tr w:rsidR="00FF435B" w:rsidRPr="00B01865" w:rsidTr="00FF435B">
        <w:trPr>
          <w:trHeight w:val="198"/>
          <w:jc w:val="center"/>
        </w:trPr>
        <w:tc>
          <w:tcPr>
            <w:tcW w:w="2388" w:type="dxa"/>
            <w:tcBorders>
              <w:top w:val="single" w:sz="2" w:space="0" w:color="auto"/>
              <w:bottom w:val="single" w:sz="2" w:space="0" w:color="auto"/>
            </w:tcBorders>
            <w:vAlign w:val="center"/>
          </w:tcPr>
          <w:p w:rsidR="00FF435B" w:rsidRPr="00032B45" w:rsidRDefault="00FF435B" w:rsidP="00FF435B">
            <w:pPr>
              <w:spacing w:after="0"/>
              <w:ind w:firstLine="0"/>
              <w:jc w:val="left"/>
              <w:rPr>
                <w:rFonts w:ascii="Arial Narrow" w:hAnsi="Arial Narrow" w:cs="Arial"/>
                <w:sz w:val="18"/>
                <w:szCs w:val="18"/>
              </w:rPr>
            </w:pPr>
            <w:r>
              <w:rPr>
                <w:rFonts w:ascii="Arial Narrow" w:hAnsi="Arial Narrow"/>
                <w:sz w:val="18"/>
                <w:szCs w:val="18"/>
              </w:rPr>
              <w:t>Transferentzien bidezko gastuak</w:t>
            </w:r>
          </w:p>
        </w:tc>
        <w:tc>
          <w:tcPr>
            <w:tcW w:w="869" w:type="dxa"/>
            <w:tcBorders>
              <w:top w:val="single" w:sz="2" w:space="0" w:color="auto"/>
              <w:bottom w:val="single" w:sz="2" w:space="0" w:color="auto"/>
              <w:right w:val="nil"/>
            </w:tcBorders>
            <w:vAlign w:val="center"/>
          </w:tcPr>
          <w:p w:rsidR="00FF435B" w:rsidRPr="00032B45" w:rsidRDefault="00FF435B" w:rsidP="00FF435B">
            <w:pPr>
              <w:tabs>
                <w:tab w:val="left" w:pos="653"/>
                <w:tab w:val="left" w:pos="1212"/>
                <w:tab w:val="left" w:pos="1296"/>
              </w:tabs>
              <w:spacing w:after="0"/>
              <w:ind w:firstLine="0"/>
              <w:jc w:val="right"/>
              <w:rPr>
                <w:rFonts w:ascii="Arial Narrow" w:hAnsi="Arial Narrow" w:cs="Arial"/>
                <w:sz w:val="18"/>
                <w:szCs w:val="18"/>
              </w:rPr>
            </w:pPr>
            <w:r>
              <w:rPr>
                <w:rFonts w:ascii="Arial Narrow" w:hAnsi="Arial Narrow"/>
                <w:sz w:val="18"/>
                <w:szCs w:val="18"/>
              </w:rPr>
              <w:t>10</w:t>
            </w:r>
          </w:p>
        </w:tc>
        <w:tc>
          <w:tcPr>
            <w:tcW w:w="1149" w:type="dxa"/>
            <w:tcBorders>
              <w:top w:val="single" w:sz="2" w:space="0" w:color="auto"/>
              <w:left w:val="nil"/>
              <w:bottom w:val="single" w:sz="2" w:space="0" w:color="auto"/>
              <w:right w:val="single" w:sz="4" w:space="0" w:color="auto"/>
            </w:tcBorders>
            <w:vAlign w:val="center"/>
          </w:tcPr>
          <w:p w:rsidR="00FF435B" w:rsidRPr="00032B45" w:rsidRDefault="00FF435B" w:rsidP="00FF435B">
            <w:pPr>
              <w:tabs>
                <w:tab w:val="left" w:pos="1212"/>
                <w:tab w:val="left" w:pos="1296"/>
              </w:tabs>
              <w:spacing w:after="0"/>
              <w:ind w:right="132" w:firstLine="0"/>
              <w:jc w:val="right"/>
              <w:rPr>
                <w:rFonts w:ascii="Arial Narrow" w:hAnsi="Arial Narrow" w:cs="Arial"/>
                <w:color w:val="FF0000"/>
                <w:sz w:val="18"/>
                <w:szCs w:val="18"/>
              </w:rPr>
            </w:pPr>
            <w:r>
              <w:rPr>
                <w:rFonts w:ascii="Arial Narrow" w:hAnsi="Arial Narrow"/>
                <w:sz w:val="18"/>
                <w:szCs w:val="18"/>
              </w:rPr>
              <w:t>10</w:t>
            </w:r>
          </w:p>
        </w:tc>
        <w:tc>
          <w:tcPr>
            <w:tcW w:w="2994" w:type="dxa"/>
            <w:tcBorders>
              <w:top w:val="single" w:sz="2" w:space="0" w:color="auto"/>
              <w:left w:val="single" w:sz="4" w:space="0" w:color="auto"/>
              <w:bottom w:val="single" w:sz="2" w:space="0" w:color="auto"/>
            </w:tcBorders>
            <w:vAlign w:val="center"/>
          </w:tcPr>
          <w:p w:rsidR="00FF435B" w:rsidRPr="00032B45" w:rsidRDefault="00FF435B" w:rsidP="00FF435B">
            <w:pPr>
              <w:spacing w:after="0"/>
              <w:ind w:left="149" w:firstLine="0"/>
              <w:jc w:val="left"/>
              <w:rPr>
                <w:rFonts w:ascii="Arial Narrow" w:hAnsi="Arial Narrow" w:cs="Arial"/>
                <w:sz w:val="18"/>
                <w:szCs w:val="18"/>
              </w:rPr>
            </w:pPr>
            <w:r>
              <w:rPr>
                <w:rFonts w:ascii="Arial Narrow" w:hAnsi="Arial Narrow"/>
                <w:sz w:val="18"/>
                <w:szCs w:val="18"/>
              </w:rPr>
              <w:t>Ondare bidezko diru-sarrerak eta beste</w:t>
            </w:r>
          </w:p>
        </w:tc>
        <w:tc>
          <w:tcPr>
            <w:tcW w:w="710" w:type="dxa"/>
            <w:tcBorders>
              <w:top w:val="single" w:sz="2" w:space="0" w:color="auto"/>
              <w:bottom w:val="single" w:sz="2"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sz w:val="18"/>
                <w:szCs w:val="18"/>
              </w:rPr>
            </w:pPr>
            <w:r>
              <w:rPr>
                <w:rFonts w:ascii="Arial Narrow" w:hAnsi="Arial Narrow"/>
                <w:sz w:val="18"/>
                <w:szCs w:val="18"/>
              </w:rPr>
              <w:t>7</w:t>
            </w:r>
          </w:p>
        </w:tc>
        <w:tc>
          <w:tcPr>
            <w:tcW w:w="1019" w:type="dxa"/>
            <w:tcBorders>
              <w:top w:val="single" w:sz="2" w:space="0" w:color="auto"/>
              <w:bottom w:val="single" w:sz="2"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color w:val="FF0000"/>
                <w:sz w:val="18"/>
                <w:szCs w:val="18"/>
              </w:rPr>
            </w:pPr>
            <w:r>
              <w:rPr>
                <w:rFonts w:ascii="Arial Narrow" w:hAnsi="Arial Narrow"/>
                <w:sz w:val="18"/>
                <w:szCs w:val="18"/>
              </w:rPr>
              <w:t>8</w:t>
            </w:r>
          </w:p>
        </w:tc>
      </w:tr>
      <w:tr w:rsidR="00FF435B" w:rsidRPr="00B01865" w:rsidTr="00FF435B">
        <w:trPr>
          <w:trHeight w:val="198"/>
          <w:jc w:val="center"/>
        </w:trPr>
        <w:tc>
          <w:tcPr>
            <w:tcW w:w="2388" w:type="dxa"/>
            <w:tcBorders>
              <w:top w:val="single" w:sz="2" w:space="0" w:color="auto"/>
              <w:bottom w:val="single" w:sz="2" w:space="0" w:color="auto"/>
            </w:tcBorders>
            <w:vAlign w:val="center"/>
          </w:tcPr>
          <w:p w:rsidR="00FF435B" w:rsidRPr="00032B45" w:rsidRDefault="00FF435B" w:rsidP="00FF435B">
            <w:pPr>
              <w:spacing w:after="0"/>
              <w:ind w:firstLine="0"/>
              <w:jc w:val="left"/>
              <w:rPr>
                <w:rFonts w:ascii="Arial Narrow" w:hAnsi="Arial Narrow" w:cs="Arial"/>
                <w:sz w:val="18"/>
                <w:szCs w:val="18"/>
              </w:rPr>
            </w:pPr>
            <w:r>
              <w:rPr>
                <w:rFonts w:ascii="Arial Narrow" w:hAnsi="Arial Narrow"/>
                <w:sz w:val="18"/>
                <w:szCs w:val="18"/>
              </w:rPr>
              <w:t>Inbertsio errealak</w:t>
            </w:r>
          </w:p>
        </w:tc>
        <w:tc>
          <w:tcPr>
            <w:tcW w:w="869" w:type="dxa"/>
            <w:tcBorders>
              <w:top w:val="single" w:sz="2" w:space="0" w:color="auto"/>
              <w:bottom w:val="single" w:sz="2" w:space="0" w:color="auto"/>
              <w:right w:val="nil"/>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sz w:val="18"/>
                <w:szCs w:val="18"/>
              </w:rPr>
            </w:pPr>
            <w:r>
              <w:rPr>
                <w:rFonts w:ascii="Arial Narrow" w:hAnsi="Arial Narrow"/>
                <w:sz w:val="18"/>
                <w:szCs w:val="18"/>
              </w:rPr>
              <w:t>10</w:t>
            </w:r>
          </w:p>
        </w:tc>
        <w:tc>
          <w:tcPr>
            <w:tcW w:w="1149" w:type="dxa"/>
            <w:tcBorders>
              <w:top w:val="single" w:sz="2" w:space="0" w:color="auto"/>
              <w:left w:val="nil"/>
              <w:bottom w:val="single" w:sz="2" w:space="0" w:color="auto"/>
              <w:right w:val="single" w:sz="4" w:space="0" w:color="auto"/>
            </w:tcBorders>
            <w:vAlign w:val="center"/>
          </w:tcPr>
          <w:p w:rsidR="00FF435B" w:rsidRPr="00032B45" w:rsidRDefault="00FF435B" w:rsidP="00FF435B">
            <w:pPr>
              <w:tabs>
                <w:tab w:val="left" w:pos="1212"/>
                <w:tab w:val="left" w:pos="1296"/>
              </w:tabs>
              <w:spacing w:after="0"/>
              <w:ind w:right="132" w:firstLine="0"/>
              <w:jc w:val="right"/>
              <w:rPr>
                <w:rFonts w:ascii="Arial Narrow" w:hAnsi="Arial Narrow" w:cs="Arial"/>
                <w:color w:val="FF0000"/>
                <w:sz w:val="18"/>
                <w:szCs w:val="18"/>
              </w:rPr>
            </w:pPr>
            <w:r>
              <w:rPr>
                <w:rFonts w:ascii="Arial Narrow" w:hAnsi="Arial Narrow"/>
                <w:sz w:val="18"/>
                <w:szCs w:val="18"/>
              </w:rPr>
              <w:t>12</w:t>
            </w:r>
          </w:p>
        </w:tc>
        <w:tc>
          <w:tcPr>
            <w:tcW w:w="2994" w:type="dxa"/>
            <w:tcBorders>
              <w:top w:val="single" w:sz="2" w:space="0" w:color="auto"/>
              <w:left w:val="single" w:sz="4" w:space="0" w:color="auto"/>
              <w:bottom w:val="single" w:sz="2" w:space="0" w:color="auto"/>
            </w:tcBorders>
            <w:vAlign w:val="center"/>
          </w:tcPr>
          <w:p w:rsidR="00FF435B" w:rsidRPr="00032B45" w:rsidRDefault="00FF435B" w:rsidP="00FF435B">
            <w:pPr>
              <w:spacing w:after="0"/>
              <w:ind w:left="149" w:firstLine="0"/>
              <w:jc w:val="left"/>
              <w:rPr>
                <w:rFonts w:ascii="Arial Narrow" w:hAnsi="Arial Narrow" w:cs="Arial"/>
                <w:sz w:val="18"/>
                <w:szCs w:val="18"/>
              </w:rPr>
            </w:pPr>
            <w:r>
              <w:rPr>
                <w:rFonts w:ascii="Arial Narrow" w:hAnsi="Arial Narrow"/>
                <w:sz w:val="18"/>
                <w:szCs w:val="18"/>
              </w:rPr>
              <w:t>Zorduntzea</w:t>
            </w:r>
          </w:p>
        </w:tc>
        <w:tc>
          <w:tcPr>
            <w:tcW w:w="710" w:type="dxa"/>
            <w:tcBorders>
              <w:top w:val="single" w:sz="2" w:space="0" w:color="auto"/>
              <w:bottom w:val="single" w:sz="2"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sz w:val="18"/>
                <w:szCs w:val="18"/>
              </w:rPr>
            </w:pPr>
            <w:r>
              <w:rPr>
                <w:rFonts w:ascii="Arial Narrow" w:hAnsi="Arial Narrow"/>
                <w:sz w:val="18"/>
                <w:szCs w:val="18"/>
              </w:rPr>
              <w:t>1</w:t>
            </w:r>
          </w:p>
        </w:tc>
        <w:tc>
          <w:tcPr>
            <w:tcW w:w="1019" w:type="dxa"/>
            <w:tcBorders>
              <w:top w:val="single" w:sz="2" w:space="0" w:color="auto"/>
              <w:bottom w:val="single" w:sz="2"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color w:val="FF0000"/>
                <w:sz w:val="18"/>
                <w:szCs w:val="18"/>
              </w:rPr>
            </w:pPr>
            <w:r>
              <w:rPr>
                <w:rFonts w:ascii="Arial Narrow" w:hAnsi="Arial Narrow"/>
                <w:sz w:val="18"/>
                <w:szCs w:val="18"/>
              </w:rPr>
              <w:t>1</w:t>
            </w:r>
          </w:p>
        </w:tc>
      </w:tr>
      <w:tr w:rsidR="00FF435B" w:rsidRPr="00B01865" w:rsidTr="00FF435B">
        <w:trPr>
          <w:trHeight w:val="198"/>
          <w:jc w:val="center"/>
        </w:trPr>
        <w:tc>
          <w:tcPr>
            <w:tcW w:w="2388" w:type="dxa"/>
            <w:tcBorders>
              <w:top w:val="single" w:sz="2" w:space="0" w:color="auto"/>
              <w:bottom w:val="single" w:sz="2" w:space="0" w:color="auto"/>
            </w:tcBorders>
            <w:vAlign w:val="center"/>
          </w:tcPr>
          <w:p w:rsidR="00FF435B" w:rsidRPr="00032B45" w:rsidRDefault="00FF435B" w:rsidP="00FF435B">
            <w:pPr>
              <w:spacing w:after="0"/>
              <w:ind w:firstLine="0"/>
              <w:jc w:val="left"/>
              <w:rPr>
                <w:rFonts w:ascii="Arial Narrow" w:hAnsi="Arial Narrow" w:cs="Arial"/>
                <w:sz w:val="18"/>
                <w:szCs w:val="18"/>
              </w:rPr>
            </w:pPr>
            <w:r>
              <w:rPr>
                <w:rFonts w:ascii="Arial Narrow" w:hAnsi="Arial Narrow"/>
                <w:sz w:val="18"/>
                <w:szCs w:val="18"/>
              </w:rPr>
              <w:t>Finantza-zama</w:t>
            </w:r>
          </w:p>
        </w:tc>
        <w:tc>
          <w:tcPr>
            <w:tcW w:w="869" w:type="dxa"/>
            <w:tcBorders>
              <w:top w:val="single" w:sz="2" w:space="0" w:color="auto"/>
              <w:bottom w:val="single" w:sz="2" w:space="0" w:color="auto"/>
              <w:right w:val="nil"/>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sz w:val="18"/>
                <w:szCs w:val="18"/>
              </w:rPr>
            </w:pPr>
            <w:r>
              <w:rPr>
                <w:rFonts w:ascii="Arial Narrow" w:hAnsi="Arial Narrow"/>
                <w:sz w:val="18"/>
                <w:szCs w:val="18"/>
              </w:rPr>
              <w:t>5</w:t>
            </w:r>
          </w:p>
        </w:tc>
        <w:tc>
          <w:tcPr>
            <w:tcW w:w="1149" w:type="dxa"/>
            <w:tcBorders>
              <w:top w:val="single" w:sz="2" w:space="0" w:color="auto"/>
              <w:left w:val="nil"/>
              <w:bottom w:val="single" w:sz="2" w:space="0" w:color="auto"/>
              <w:right w:val="single" w:sz="4" w:space="0" w:color="auto"/>
            </w:tcBorders>
            <w:vAlign w:val="center"/>
          </w:tcPr>
          <w:p w:rsidR="00FF435B" w:rsidRPr="00032B45" w:rsidRDefault="00FF435B" w:rsidP="00FF435B">
            <w:pPr>
              <w:tabs>
                <w:tab w:val="left" w:pos="1212"/>
                <w:tab w:val="left" w:pos="1296"/>
              </w:tabs>
              <w:spacing w:after="0"/>
              <w:ind w:right="132" w:firstLine="0"/>
              <w:jc w:val="right"/>
              <w:rPr>
                <w:rFonts w:ascii="Arial Narrow" w:hAnsi="Arial Narrow" w:cs="Arial"/>
                <w:color w:val="FF0000"/>
                <w:sz w:val="18"/>
                <w:szCs w:val="18"/>
              </w:rPr>
            </w:pPr>
            <w:r>
              <w:rPr>
                <w:rFonts w:ascii="Arial Narrow" w:hAnsi="Arial Narrow"/>
                <w:sz w:val="18"/>
                <w:szCs w:val="18"/>
              </w:rPr>
              <w:t>6</w:t>
            </w:r>
          </w:p>
        </w:tc>
        <w:tc>
          <w:tcPr>
            <w:tcW w:w="2994" w:type="dxa"/>
            <w:tcBorders>
              <w:top w:val="single" w:sz="2" w:space="0" w:color="auto"/>
              <w:left w:val="single" w:sz="4" w:space="0" w:color="auto"/>
              <w:bottom w:val="single" w:sz="2" w:space="0" w:color="auto"/>
            </w:tcBorders>
            <w:vAlign w:val="center"/>
          </w:tcPr>
          <w:p w:rsidR="00FF435B" w:rsidRPr="00032B45" w:rsidRDefault="00FF435B" w:rsidP="00FF435B">
            <w:pPr>
              <w:spacing w:after="0"/>
              <w:ind w:left="149" w:firstLine="0"/>
              <w:jc w:val="left"/>
              <w:rPr>
                <w:rFonts w:ascii="Arial Narrow" w:hAnsi="Arial Narrow" w:cs="Arial"/>
                <w:sz w:val="18"/>
                <w:szCs w:val="18"/>
                <w:lang w:val="es-ES" w:eastAsia="es-ES"/>
              </w:rPr>
            </w:pPr>
          </w:p>
        </w:tc>
        <w:tc>
          <w:tcPr>
            <w:tcW w:w="710" w:type="dxa"/>
            <w:tcBorders>
              <w:top w:val="single" w:sz="2" w:space="0" w:color="auto"/>
              <w:bottom w:val="single" w:sz="2"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sz w:val="18"/>
                <w:szCs w:val="18"/>
                <w:lang w:val="es-ES" w:eastAsia="es-ES"/>
              </w:rPr>
            </w:pPr>
          </w:p>
        </w:tc>
        <w:tc>
          <w:tcPr>
            <w:tcW w:w="1019" w:type="dxa"/>
            <w:tcBorders>
              <w:top w:val="single" w:sz="2" w:space="0" w:color="auto"/>
              <w:bottom w:val="single" w:sz="2"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color w:val="FF0000"/>
                <w:sz w:val="18"/>
                <w:szCs w:val="18"/>
                <w:lang w:val="es-ES" w:eastAsia="es-ES"/>
              </w:rPr>
            </w:pPr>
          </w:p>
        </w:tc>
      </w:tr>
      <w:tr w:rsidR="00FF435B" w:rsidRPr="00B01865" w:rsidTr="00FF435B">
        <w:trPr>
          <w:trHeight w:val="198"/>
          <w:jc w:val="center"/>
        </w:trPr>
        <w:tc>
          <w:tcPr>
            <w:tcW w:w="2388" w:type="dxa"/>
            <w:tcBorders>
              <w:top w:val="single" w:sz="2" w:space="0" w:color="auto"/>
              <w:bottom w:val="single" w:sz="4" w:space="0" w:color="auto"/>
            </w:tcBorders>
            <w:vAlign w:val="center"/>
          </w:tcPr>
          <w:p w:rsidR="00FF435B" w:rsidRPr="00032B45" w:rsidRDefault="00FF435B" w:rsidP="00FF435B">
            <w:pPr>
              <w:spacing w:after="0"/>
              <w:ind w:firstLine="0"/>
              <w:jc w:val="left"/>
              <w:rPr>
                <w:rFonts w:ascii="Arial Narrow" w:hAnsi="Arial Narrow" w:cs="Arial"/>
                <w:sz w:val="18"/>
                <w:szCs w:val="18"/>
              </w:rPr>
            </w:pPr>
            <w:r>
              <w:rPr>
                <w:rFonts w:ascii="Arial Narrow" w:hAnsi="Arial Narrow"/>
                <w:sz w:val="18"/>
                <w:szCs w:val="18"/>
              </w:rPr>
              <w:t>Finantza-aktiboak</w:t>
            </w:r>
          </w:p>
        </w:tc>
        <w:tc>
          <w:tcPr>
            <w:tcW w:w="869" w:type="dxa"/>
            <w:tcBorders>
              <w:top w:val="single" w:sz="2" w:space="0" w:color="auto"/>
              <w:bottom w:val="single" w:sz="4" w:space="0" w:color="auto"/>
              <w:right w:val="nil"/>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sz w:val="18"/>
                <w:szCs w:val="18"/>
              </w:rPr>
            </w:pPr>
            <w:r>
              <w:rPr>
                <w:rFonts w:ascii="Arial Narrow" w:hAnsi="Arial Narrow"/>
                <w:sz w:val="18"/>
                <w:szCs w:val="18"/>
              </w:rPr>
              <w:t>1</w:t>
            </w:r>
          </w:p>
        </w:tc>
        <w:tc>
          <w:tcPr>
            <w:tcW w:w="1149" w:type="dxa"/>
            <w:tcBorders>
              <w:top w:val="single" w:sz="2" w:space="0" w:color="auto"/>
              <w:left w:val="nil"/>
              <w:bottom w:val="single" w:sz="4" w:space="0" w:color="auto"/>
              <w:right w:val="single" w:sz="4" w:space="0" w:color="auto"/>
            </w:tcBorders>
            <w:vAlign w:val="center"/>
          </w:tcPr>
          <w:p w:rsidR="00FF435B" w:rsidRPr="00032B45" w:rsidRDefault="00FF435B" w:rsidP="00FF435B">
            <w:pPr>
              <w:tabs>
                <w:tab w:val="left" w:pos="1212"/>
                <w:tab w:val="left" w:pos="1296"/>
              </w:tabs>
              <w:spacing w:after="0"/>
              <w:ind w:right="132" w:firstLine="0"/>
              <w:jc w:val="right"/>
              <w:rPr>
                <w:rFonts w:ascii="Arial Narrow" w:hAnsi="Arial Narrow" w:cs="Arial"/>
                <w:color w:val="FF0000"/>
                <w:sz w:val="18"/>
                <w:szCs w:val="18"/>
              </w:rPr>
            </w:pPr>
            <w:r>
              <w:rPr>
                <w:rFonts w:ascii="Arial Narrow" w:hAnsi="Arial Narrow"/>
                <w:sz w:val="18"/>
                <w:szCs w:val="18"/>
              </w:rPr>
              <w:t>1</w:t>
            </w:r>
          </w:p>
        </w:tc>
        <w:tc>
          <w:tcPr>
            <w:tcW w:w="2994" w:type="dxa"/>
            <w:tcBorders>
              <w:top w:val="single" w:sz="2" w:space="0" w:color="auto"/>
              <w:left w:val="single" w:sz="4" w:space="0" w:color="auto"/>
              <w:bottom w:val="single" w:sz="4" w:space="0" w:color="auto"/>
            </w:tcBorders>
            <w:vAlign w:val="center"/>
          </w:tcPr>
          <w:p w:rsidR="00FF435B" w:rsidRPr="00032B45" w:rsidRDefault="00FF435B" w:rsidP="00FF435B">
            <w:pPr>
              <w:spacing w:after="0"/>
              <w:ind w:left="149" w:firstLine="0"/>
              <w:jc w:val="left"/>
              <w:rPr>
                <w:rFonts w:ascii="Arial Narrow" w:hAnsi="Arial Narrow" w:cs="Arial"/>
                <w:sz w:val="18"/>
                <w:szCs w:val="18"/>
                <w:lang w:val="es-ES" w:eastAsia="es-ES"/>
              </w:rPr>
            </w:pPr>
          </w:p>
        </w:tc>
        <w:tc>
          <w:tcPr>
            <w:tcW w:w="710" w:type="dxa"/>
            <w:tcBorders>
              <w:top w:val="single" w:sz="2" w:space="0" w:color="auto"/>
              <w:bottom w:val="single" w:sz="4"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sz w:val="18"/>
                <w:szCs w:val="18"/>
                <w:lang w:val="es-ES" w:eastAsia="es-ES"/>
              </w:rPr>
            </w:pPr>
          </w:p>
        </w:tc>
        <w:tc>
          <w:tcPr>
            <w:tcW w:w="1019" w:type="dxa"/>
            <w:tcBorders>
              <w:top w:val="single" w:sz="2" w:space="0" w:color="auto"/>
              <w:bottom w:val="single" w:sz="4" w:space="0" w:color="auto"/>
            </w:tcBorders>
            <w:vAlign w:val="center"/>
          </w:tcPr>
          <w:p w:rsidR="00FF435B" w:rsidRPr="00032B45" w:rsidRDefault="00FF435B" w:rsidP="00FF435B">
            <w:pPr>
              <w:tabs>
                <w:tab w:val="left" w:pos="1212"/>
                <w:tab w:val="left" w:pos="1296"/>
              </w:tabs>
              <w:spacing w:after="0"/>
              <w:ind w:firstLine="0"/>
              <w:jc w:val="right"/>
              <w:rPr>
                <w:rFonts w:ascii="Arial Narrow" w:hAnsi="Arial Narrow" w:cs="Arial"/>
                <w:color w:val="FF0000"/>
                <w:sz w:val="18"/>
                <w:szCs w:val="18"/>
                <w:lang w:val="es-ES" w:eastAsia="es-ES"/>
              </w:rPr>
            </w:pPr>
          </w:p>
        </w:tc>
      </w:tr>
      <w:tr w:rsidR="00FF435B" w:rsidRPr="0081390E" w:rsidTr="00FF435B">
        <w:trPr>
          <w:trHeight w:val="255"/>
          <w:jc w:val="center"/>
        </w:trPr>
        <w:tc>
          <w:tcPr>
            <w:tcW w:w="2388" w:type="dxa"/>
            <w:shd w:val="clear" w:color="auto" w:fill="FBD4B4" w:themeFill="accent6" w:themeFillTint="66"/>
            <w:vAlign w:val="center"/>
          </w:tcPr>
          <w:p w:rsidR="00FF435B" w:rsidRPr="0081390E" w:rsidRDefault="00FF435B" w:rsidP="00FF435B">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869" w:type="dxa"/>
            <w:tcBorders>
              <w:right w:val="nil"/>
            </w:tcBorders>
            <w:shd w:val="clear" w:color="auto" w:fill="FBD4B4" w:themeFill="accent6" w:themeFillTint="66"/>
            <w:vAlign w:val="center"/>
          </w:tcPr>
          <w:p w:rsidR="00FF435B" w:rsidRPr="0081390E" w:rsidRDefault="00FF435B" w:rsidP="00FF435B">
            <w:pPr>
              <w:keepLines/>
              <w:tabs>
                <w:tab w:val="right" w:pos="2835"/>
                <w:tab w:val="right" w:pos="3969"/>
                <w:tab w:val="right" w:pos="5103"/>
                <w:tab w:val="right" w:pos="6237"/>
                <w:tab w:val="right" w:pos="7371"/>
              </w:tabs>
              <w:spacing w:after="0"/>
              <w:ind w:right="1" w:firstLine="0"/>
              <w:jc w:val="right"/>
              <w:rPr>
                <w:rFonts w:ascii="Arial" w:hAnsi="Arial"/>
                <w:spacing w:val="6"/>
                <w:sz w:val="18"/>
                <w:szCs w:val="24"/>
              </w:rPr>
            </w:pPr>
            <w:r>
              <w:rPr>
                <w:rFonts w:ascii="Arial" w:hAnsi="Arial"/>
                <w:sz w:val="18"/>
                <w:szCs w:val="24"/>
              </w:rPr>
              <w:t>100</w:t>
            </w:r>
          </w:p>
        </w:tc>
        <w:tc>
          <w:tcPr>
            <w:tcW w:w="1149" w:type="dxa"/>
            <w:tcBorders>
              <w:left w:val="nil"/>
              <w:right w:val="single" w:sz="4" w:space="0" w:color="auto"/>
            </w:tcBorders>
            <w:shd w:val="clear" w:color="auto" w:fill="FBD4B4" w:themeFill="accent6" w:themeFillTint="66"/>
            <w:vAlign w:val="center"/>
          </w:tcPr>
          <w:p w:rsidR="00FF435B" w:rsidRPr="0081390E" w:rsidRDefault="00FF435B" w:rsidP="00FF435B">
            <w:pPr>
              <w:keepLines/>
              <w:tabs>
                <w:tab w:val="right" w:pos="2835"/>
                <w:tab w:val="right" w:pos="3969"/>
                <w:tab w:val="right" w:pos="5103"/>
                <w:tab w:val="right" w:pos="6237"/>
                <w:tab w:val="right" w:pos="7371"/>
              </w:tabs>
              <w:spacing w:after="0"/>
              <w:ind w:right="132" w:firstLine="0"/>
              <w:jc w:val="right"/>
              <w:rPr>
                <w:rFonts w:ascii="Arial" w:hAnsi="Arial"/>
                <w:color w:val="FF0000"/>
                <w:spacing w:val="6"/>
                <w:sz w:val="18"/>
                <w:szCs w:val="24"/>
              </w:rPr>
            </w:pPr>
            <w:r>
              <w:rPr>
                <w:rFonts w:ascii="Arial" w:hAnsi="Arial"/>
                <w:sz w:val="18"/>
                <w:szCs w:val="24"/>
              </w:rPr>
              <w:t>100</w:t>
            </w:r>
          </w:p>
        </w:tc>
        <w:tc>
          <w:tcPr>
            <w:tcW w:w="2994" w:type="dxa"/>
            <w:tcBorders>
              <w:left w:val="single" w:sz="4" w:space="0" w:color="auto"/>
            </w:tcBorders>
            <w:shd w:val="clear" w:color="auto" w:fill="FBD4B4" w:themeFill="accent6" w:themeFillTint="66"/>
            <w:vAlign w:val="center"/>
          </w:tcPr>
          <w:p w:rsidR="00FF435B" w:rsidRPr="0081390E" w:rsidRDefault="00FF435B" w:rsidP="00FF435B">
            <w:pPr>
              <w:keepLines/>
              <w:tabs>
                <w:tab w:val="right" w:pos="2835"/>
                <w:tab w:val="right" w:pos="3969"/>
                <w:tab w:val="right" w:pos="5103"/>
                <w:tab w:val="right" w:pos="6237"/>
                <w:tab w:val="right" w:pos="7371"/>
              </w:tabs>
              <w:spacing w:after="0"/>
              <w:ind w:left="149" w:firstLine="0"/>
              <w:rPr>
                <w:rFonts w:ascii="Arial" w:hAnsi="Arial"/>
                <w:spacing w:val="6"/>
                <w:sz w:val="18"/>
                <w:szCs w:val="24"/>
                <w:lang w:val="es-ES" w:eastAsia="es-ES"/>
              </w:rPr>
            </w:pPr>
          </w:p>
        </w:tc>
        <w:tc>
          <w:tcPr>
            <w:tcW w:w="710" w:type="dxa"/>
            <w:shd w:val="clear" w:color="auto" w:fill="FBD4B4" w:themeFill="accent6" w:themeFillTint="66"/>
            <w:vAlign w:val="center"/>
          </w:tcPr>
          <w:p w:rsidR="00FF435B" w:rsidRPr="0081390E" w:rsidRDefault="00FF435B" w:rsidP="00FF435B">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100</w:t>
            </w:r>
          </w:p>
        </w:tc>
        <w:tc>
          <w:tcPr>
            <w:tcW w:w="1019" w:type="dxa"/>
            <w:shd w:val="clear" w:color="auto" w:fill="FBD4B4" w:themeFill="accent6" w:themeFillTint="66"/>
            <w:vAlign w:val="center"/>
          </w:tcPr>
          <w:p w:rsidR="00FF435B" w:rsidRPr="0081390E" w:rsidRDefault="00FF435B" w:rsidP="00FF435B">
            <w:pPr>
              <w:keepLines/>
              <w:tabs>
                <w:tab w:val="right" w:pos="2835"/>
                <w:tab w:val="right" w:pos="3969"/>
                <w:tab w:val="right" w:pos="5103"/>
                <w:tab w:val="right" w:pos="6237"/>
                <w:tab w:val="right" w:pos="7371"/>
              </w:tabs>
              <w:spacing w:after="0"/>
              <w:ind w:firstLine="0"/>
              <w:jc w:val="right"/>
              <w:rPr>
                <w:rFonts w:ascii="Arial" w:hAnsi="Arial"/>
                <w:color w:val="FF0000"/>
                <w:spacing w:val="6"/>
                <w:sz w:val="18"/>
                <w:szCs w:val="24"/>
              </w:rPr>
            </w:pPr>
            <w:r>
              <w:rPr>
                <w:rFonts w:ascii="Arial" w:hAnsi="Arial"/>
                <w:sz w:val="18"/>
                <w:szCs w:val="24"/>
              </w:rPr>
              <w:t>100</w:t>
            </w:r>
          </w:p>
        </w:tc>
      </w:tr>
    </w:tbl>
    <w:p w:rsidR="00EC4F97" w:rsidRDefault="00EC4F97" w:rsidP="00091A43">
      <w:pPr>
        <w:pStyle w:val="texto"/>
        <w:spacing w:before="120" w:after="120"/>
      </w:pPr>
      <w:r>
        <w:t>Ikus daitekeenez, ekitaldi baten eta bestearen arteko aldeak ez dira adiera</w:t>
      </w:r>
      <w:r>
        <w:t>z</w:t>
      </w:r>
      <w:r>
        <w:t>garriak, baina ondasun arruntei eta zerbitzuei dagozkien gastuen garrantzia bi puntu jaitsi da; diru-sarrerei dagokienez, tributu-sarreren garrantzia bi puntu jaitsi da, nahiz eta jaitsiera hori konpentsatuta dagoen transferentzien bidezko eta ondarearen bidezko diru-sarreretan eta beste batzuetan izan den igoerarekin. Tributuen bidezko diru-sarreren artean, nabarmentzekoa da hiri-lurren balio-gehikuntzaren gaineko zergaren murrizketa garrantzitsua, zeinaren likidazioa 2017an geldiarazi baitzen Konstituzio Auzitegiaren epaiaren ondoren.</w:t>
      </w:r>
    </w:p>
    <w:p w:rsidR="00091A43" w:rsidRDefault="00091A43" w:rsidP="00091A43">
      <w:pPr>
        <w:pStyle w:val="texto"/>
        <w:spacing w:before="120" w:after="120"/>
      </w:pPr>
      <w:r>
        <w:t>Era berean, transferentzien bidezko diru-sarrerei dagokienez, gehikuntza, nagusiki, Toki Azpiegituren 2017-2019 Planari zor zaio, zeina 2017an hasi ba</w:t>
      </w:r>
      <w:r>
        <w:t>i</w:t>
      </w:r>
      <w:r>
        <w:t xml:space="preserve">tzen gauzatzen.  </w:t>
      </w:r>
    </w:p>
    <w:p w:rsidR="00EC4F97" w:rsidRDefault="00EC4F97" w:rsidP="00EC4F97">
      <w:pPr>
        <w:pStyle w:val="texto"/>
      </w:pPr>
      <w:r>
        <w:t>Ondoren, toki entitateen finantza-egoeraren hainbat adierazleren bilakaera erakusten da, 2013tik 2017ra:</w:t>
      </w:r>
    </w:p>
    <w:p w:rsidR="00EC4F97" w:rsidRPr="00DA1B49" w:rsidRDefault="00EC4F97" w:rsidP="00EC4F97">
      <w:pPr>
        <w:pStyle w:val="texto"/>
        <w:spacing w:before="100" w:after="60"/>
        <w:jc w:val="right"/>
        <w:rPr>
          <w:i/>
          <w:sz w:val="20"/>
          <w:szCs w:val="20"/>
        </w:rPr>
      </w:pPr>
      <w:r>
        <w:rPr>
          <w:i/>
          <w:sz w:val="20"/>
          <w:szCs w:val="20"/>
        </w:rPr>
        <w:t>(euroak, milioitan)</w:t>
      </w:r>
    </w:p>
    <w:tbl>
      <w:tblPr>
        <w:tblW w:w="8701" w:type="dxa"/>
        <w:jc w:val="center"/>
        <w:tblCellMar>
          <w:left w:w="70" w:type="dxa"/>
          <w:right w:w="70" w:type="dxa"/>
        </w:tblCellMar>
        <w:tblLook w:val="00A0" w:firstRow="1" w:lastRow="0" w:firstColumn="1" w:lastColumn="0" w:noHBand="0" w:noVBand="0"/>
      </w:tblPr>
      <w:tblGrid>
        <w:gridCol w:w="3080"/>
        <w:gridCol w:w="733"/>
        <w:gridCol w:w="732"/>
        <w:gridCol w:w="732"/>
        <w:gridCol w:w="822"/>
        <w:gridCol w:w="822"/>
        <w:gridCol w:w="889"/>
        <w:gridCol w:w="891"/>
      </w:tblGrid>
      <w:tr w:rsidR="00EC4F97" w:rsidRPr="009A1C98" w:rsidTr="00422AD9">
        <w:trPr>
          <w:trHeight w:val="20"/>
          <w:jc w:val="center"/>
        </w:trPr>
        <w:tc>
          <w:tcPr>
            <w:tcW w:w="3080"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left"/>
              <w:rPr>
                <w:rFonts w:ascii="Arial" w:hAnsi="Arial" w:cs="Arial"/>
                <w:color w:val="000000"/>
                <w:sz w:val="18"/>
                <w:szCs w:val="18"/>
              </w:rPr>
            </w:pPr>
            <w:r>
              <w:rPr>
                <w:rFonts w:ascii="Arial" w:hAnsi="Arial"/>
                <w:color w:val="000000"/>
                <w:sz w:val="18"/>
                <w:szCs w:val="18"/>
              </w:rPr>
              <w:t>Adierazleak</w:t>
            </w:r>
          </w:p>
        </w:tc>
        <w:tc>
          <w:tcPr>
            <w:tcW w:w="733"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right"/>
              <w:rPr>
                <w:rFonts w:ascii="Arial" w:hAnsi="Arial" w:cs="Arial"/>
                <w:color w:val="000000"/>
                <w:sz w:val="18"/>
                <w:szCs w:val="18"/>
              </w:rPr>
            </w:pPr>
            <w:r>
              <w:rPr>
                <w:rFonts w:ascii="Arial" w:hAnsi="Arial"/>
                <w:color w:val="000000"/>
                <w:sz w:val="18"/>
                <w:szCs w:val="18"/>
              </w:rPr>
              <w:t>2013</w:t>
            </w:r>
          </w:p>
        </w:tc>
        <w:tc>
          <w:tcPr>
            <w:tcW w:w="732"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right"/>
              <w:rPr>
                <w:rFonts w:ascii="Arial" w:hAnsi="Arial" w:cs="Arial"/>
                <w:color w:val="000000"/>
                <w:sz w:val="18"/>
                <w:szCs w:val="18"/>
              </w:rPr>
            </w:pPr>
            <w:r>
              <w:rPr>
                <w:rFonts w:ascii="Arial" w:hAnsi="Arial"/>
                <w:color w:val="000000"/>
                <w:sz w:val="18"/>
                <w:szCs w:val="18"/>
              </w:rPr>
              <w:t>2014</w:t>
            </w:r>
          </w:p>
        </w:tc>
        <w:tc>
          <w:tcPr>
            <w:tcW w:w="732"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right"/>
              <w:rPr>
                <w:rFonts w:ascii="Arial" w:hAnsi="Arial" w:cs="Arial"/>
                <w:color w:val="000000"/>
                <w:sz w:val="18"/>
                <w:szCs w:val="18"/>
              </w:rPr>
            </w:pPr>
            <w:r>
              <w:rPr>
                <w:rFonts w:ascii="Arial" w:hAnsi="Arial"/>
                <w:color w:val="000000"/>
                <w:sz w:val="18"/>
                <w:szCs w:val="18"/>
              </w:rPr>
              <w:t>2015</w:t>
            </w:r>
          </w:p>
        </w:tc>
        <w:tc>
          <w:tcPr>
            <w:tcW w:w="822"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right"/>
              <w:rPr>
                <w:rFonts w:ascii="Arial" w:hAnsi="Arial" w:cs="Arial"/>
                <w:color w:val="000000"/>
                <w:sz w:val="18"/>
                <w:szCs w:val="18"/>
              </w:rPr>
            </w:pPr>
            <w:r>
              <w:rPr>
                <w:rFonts w:ascii="Arial" w:hAnsi="Arial"/>
                <w:color w:val="000000"/>
                <w:sz w:val="18"/>
                <w:szCs w:val="18"/>
              </w:rPr>
              <w:t>2016</w:t>
            </w:r>
          </w:p>
        </w:tc>
        <w:tc>
          <w:tcPr>
            <w:tcW w:w="822" w:type="dxa"/>
            <w:tcBorders>
              <w:top w:val="single" w:sz="4" w:space="0" w:color="auto"/>
              <w:bottom w:val="single" w:sz="4" w:space="0" w:color="auto"/>
            </w:tcBorders>
            <w:shd w:val="clear" w:color="auto" w:fill="FBD4B4" w:themeFill="accent6" w:themeFillTint="66"/>
            <w:vAlign w:val="center"/>
          </w:tcPr>
          <w:p w:rsidR="00EC4F97" w:rsidRPr="009A1C98" w:rsidRDefault="00EC4F97" w:rsidP="00422AD9">
            <w:pPr>
              <w:spacing w:after="0" w:line="240" w:lineRule="atLeast"/>
              <w:ind w:firstLine="0"/>
              <w:jc w:val="right"/>
              <w:rPr>
                <w:rFonts w:ascii="Arial" w:hAnsi="Arial" w:cs="Arial"/>
                <w:color w:val="000000"/>
                <w:sz w:val="18"/>
                <w:szCs w:val="18"/>
              </w:rPr>
            </w:pPr>
            <w:r>
              <w:rPr>
                <w:rFonts w:ascii="Arial" w:hAnsi="Arial"/>
                <w:color w:val="000000"/>
                <w:sz w:val="18"/>
                <w:szCs w:val="18"/>
              </w:rPr>
              <w:t>2017</w:t>
            </w:r>
          </w:p>
        </w:tc>
        <w:tc>
          <w:tcPr>
            <w:tcW w:w="889" w:type="dxa"/>
            <w:tcBorders>
              <w:top w:val="single" w:sz="4" w:space="0" w:color="auto"/>
              <w:bottom w:val="single" w:sz="4" w:space="0" w:color="auto"/>
            </w:tcBorders>
            <w:shd w:val="clear" w:color="auto" w:fill="FBD4B4" w:themeFill="accent6" w:themeFillTint="66"/>
          </w:tcPr>
          <w:p w:rsidR="00EC4F97" w:rsidRPr="009A1C98" w:rsidRDefault="00EC4F97" w:rsidP="00422AD9">
            <w:pPr>
              <w:spacing w:after="0" w:line="240" w:lineRule="atLeast"/>
              <w:ind w:firstLine="0"/>
              <w:jc w:val="right"/>
              <w:rPr>
                <w:rFonts w:ascii="Arial" w:hAnsi="Arial" w:cs="Arial"/>
                <w:color w:val="000000"/>
                <w:sz w:val="18"/>
                <w:szCs w:val="18"/>
              </w:rPr>
            </w:pPr>
            <w:r>
              <w:rPr>
                <w:rFonts w:ascii="Arial" w:hAnsi="Arial"/>
                <w:color w:val="000000"/>
                <w:sz w:val="18"/>
                <w:szCs w:val="18"/>
              </w:rPr>
              <w:t xml:space="preserve">Aldea (%) </w:t>
            </w:r>
          </w:p>
          <w:p w:rsidR="00EC4F97" w:rsidRPr="009A1C98" w:rsidRDefault="00EC4F97" w:rsidP="00422AD9">
            <w:pPr>
              <w:spacing w:after="0" w:line="240" w:lineRule="atLeast"/>
              <w:ind w:firstLine="0"/>
              <w:jc w:val="right"/>
              <w:rPr>
                <w:rFonts w:ascii="Arial" w:hAnsi="Arial" w:cs="Arial"/>
                <w:color w:val="000000"/>
                <w:sz w:val="18"/>
                <w:szCs w:val="18"/>
              </w:rPr>
            </w:pPr>
            <w:r>
              <w:rPr>
                <w:rFonts w:ascii="Arial" w:hAnsi="Arial"/>
                <w:color w:val="000000"/>
                <w:sz w:val="18"/>
                <w:szCs w:val="18"/>
              </w:rPr>
              <w:t>2017/13</w:t>
            </w:r>
          </w:p>
        </w:tc>
        <w:tc>
          <w:tcPr>
            <w:tcW w:w="891" w:type="dxa"/>
            <w:tcBorders>
              <w:top w:val="single" w:sz="4" w:space="0" w:color="auto"/>
              <w:bottom w:val="single" w:sz="4" w:space="0" w:color="auto"/>
            </w:tcBorders>
            <w:shd w:val="clear" w:color="auto" w:fill="FBD4B4" w:themeFill="accent6" w:themeFillTint="66"/>
            <w:noWrap/>
          </w:tcPr>
          <w:p w:rsidR="00EC4F97" w:rsidRPr="009A1C98" w:rsidRDefault="00EC4F97" w:rsidP="00422AD9">
            <w:pPr>
              <w:spacing w:after="0" w:line="240" w:lineRule="atLeast"/>
              <w:ind w:firstLine="0"/>
              <w:jc w:val="right"/>
              <w:rPr>
                <w:rFonts w:ascii="Arial" w:hAnsi="Arial" w:cs="Arial"/>
                <w:color w:val="000000"/>
                <w:sz w:val="18"/>
                <w:szCs w:val="18"/>
              </w:rPr>
            </w:pPr>
            <w:r>
              <w:rPr>
                <w:rFonts w:ascii="Arial" w:hAnsi="Arial"/>
                <w:color w:val="000000"/>
                <w:sz w:val="18"/>
                <w:szCs w:val="18"/>
              </w:rPr>
              <w:t>Aldea (%)</w:t>
            </w:r>
          </w:p>
          <w:p w:rsidR="00EC4F97" w:rsidRPr="009A1C98" w:rsidRDefault="00EC4F97" w:rsidP="00422AD9">
            <w:pPr>
              <w:spacing w:after="0" w:line="240" w:lineRule="atLeast"/>
              <w:ind w:firstLine="0"/>
              <w:jc w:val="right"/>
              <w:rPr>
                <w:rFonts w:ascii="Arial" w:hAnsi="Arial" w:cs="Arial"/>
                <w:color w:val="000000"/>
                <w:sz w:val="18"/>
                <w:szCs w:val="18"/>
              </w:rPr>
            </w:pPr>
            <w:r>
              <w:rPr>
                <w:rFonts w:ascii="Arial" w:hAnsi="Arial"/>
                <w:color w:val="000000"/>
                <w:sz w:val="18"/>
                <w:szCs w:val="18"/>
              </w:rPr>
              <w:t>2017/16</w:t>
            </w:r>
          </w:p>
        </w:tc>
      </w:tr>
      <w:tr w:rsidR="00EC4F97" w:rsidRPr="00886B0B" w:rsidTr="00422AD9">
        <w:trPr>
          <w:trHeight w:val="255"/>
          <w:jc w:val="center"/>
        </w:trPr>
        <w:tc>
          <w:tcPr>
            <w:tcW w:w="3080"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Diru-sarrerak, guztira</w:t>
            </w:r>
          </w:p>
        </w:tc>
        <w:tc>
          <w:tcPr>
            <w:tcW w:w="733"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741,93</w:t>
            </w:r>
          </w:p>
        </w:tc>
        <w:tc>
          <w:tcPr>
            <w:tcW w:w="732"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747,88</w:t>
            </w:r>
          </w:p>
        </w:tc>
        <w:tc>
          <w:tcPr>
            <w:tcW w:w="732"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751,27</w:t>
            </w:r>
          </w:p>
        </w:tc>
        <w:tc>
          <w:tcPr>
            <w:tcW w:w="822"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765,30</w:t>
            </w:r>
          </w:p>
        </w:tc>
        <w:tc>
          <w:tcPr>
            <w:tcW w:w="822"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778,12</w:t>
            </w:r>
          </w:p>
        </w:tc>
        <w:tc>
          <w:tcPr>
            <w:tcW w:w="889"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w:t>
            </w:r>
          </w:p>
        </w:tc>
        <w:tc>
          <w:tcPr>
            <w:tcW w:w="891" w:type="dxa"/>
            <w:tcBorders>
              <w:top w:val="single" w:sz="4"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Gastuak, guztira</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724,57</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720,77</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732,93</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717,40</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752,03</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Tributu bidezko diru-sarrerak</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344,39</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348,96</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359,12</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371,55</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365,41</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6</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Transferentzien bidezko diru-sarrerak</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336,54</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336,54</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323,05</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332,00</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344,75</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Funtzionamendu gastuak</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583,27</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584,50</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591,74</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598,92</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605,09</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Kapital-gastua</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98,9</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94,68</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79,57</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79,69</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97,69</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23</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Aurrekontu-emaitza ez-finantzarioa</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45,89</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56,02</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60,42</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78,22</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62,35</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36</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-20</w:t>
            </w:r>
          </w:p>
        </w:tc>
      </w:tr>
      <w:tr w:rsidR="00EC4F97" w:rsidRPr="009650FE" w:rsidTr="00422AD9">
        <w:trPr>
          <w:trHeight w:val="255"/>
          <w:jc w:val="center"/>
        </w:trPr>
        <w:tc>
          <w:tcPr>
            <w:tcW w:w="3080"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 xml:space="preserve">Aurrezki gordina </w:t>
            </w:r>
          </w:p>
        </w:tc>
        <w:tc>
          <w:tcPr>
            <w:tcW w:w="733"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100,97</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110,94</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112,95</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123,24</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111,44</w:t>
            </w:r>
          </w:p>
        </w:tc>
        <w:tc>
          <w:tcPr>
            <w:tcW w:w="889"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10</w:t>
            </w:r>
          </w:p>
        </w:tc>
        <w:tc>
          <w:tcPr>
            <w:tcW w:w="891"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-10</w:t>
            </w:r>
          </w:p>
        </w:tc>
      </w:tr>
      <w:tr w:rsidR="00EC4F97" w:rsidRPr="009650FE" w:rsidTr="00422AD9">
        <w:trPr>
          <w:trHeight w:val="255"/>
          <w:jc w:val="center"/>
        </w:trPr>
        <w:tc>
          <w:tcPr>
            <w:tcW w:w="3080"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Finantza-zama</w:t>
            </w:r>
          </w:p>
        </w:tc>
        <w:tc>
          <w:tcPr>
            <w:tcW w:w="733"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38,08</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39,08</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49,89</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37,59</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47,48</w:t>
            </w:r>
          </w:p>
        </w:tc>
        <w:tc>
          <w:tcPr>
            <w:tcW w:w="889"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25</w:t>
            </w:r>
          </w:p>
        </w:tc>
        <w:tc>
          <w:tcPr>
            <w:tcW w:w="891"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26</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 xml:space="preserve">Aurrezki garbia </w:t>
            </w:r>
          </w:p>
        </w:tc>
        <w:tc>
          <w:tcPr>
            <w:tcW w:w="733"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62,89</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71,80</w:t>
            </w:r>
          </w:p>
        </w:tc>
        <w:tc>
          <w:tcPr>
            <w:tcW w:w="73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63,00</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85,41</w:t>
            </w:r>
          </w:p>
        </w:tc>
        <w:tc>
          <w:tcPr>
            <w:tcW w:w="822"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63,95</w:t>
            </w:r>
          </w:p>
        </w:tc>
        <w:tc>
          <w:tcPr>
            <w:tcW w:w="889" w:type="dxa"/>
            <w:tcBorders>
              <w:top w:val="single" w:sz="2" w:space="0" w:color="auto"/>
              <w:bottom w:val="single" w:sz="2" w:space="0" w:color="auto"/>
            </w:tcBorders>
            <w:vAlign w:val="center"/>
          </w:tcPr>
          <w:p w:rsidR="00EC4F97" w:rsidRPr="009650FE"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-25</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Zorpetze maila</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5,57</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5,61</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7,08</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5,23</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6,63</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19</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27</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Aurrezki gordina / diru-sarrera arruntak (%)</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14,76</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15,83</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15,98</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17,15</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15,55</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-9</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Zorpetze-ahalmena (%)</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9,19</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10,22</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9,19</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11,92</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8,93</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-25</w:t>
            </w:r>
          </w:p>
        </w:tc>
      </w:tr>
      <w:tr w:rsidR="00EC4F97" w:rsidRPr="00886B0B" w:rsidTr="00422AD9">
        <w:trPr>
          <w:trHeight w:val="255"/>
          <w:jc w:val="center"/>
        </w:trPr>
        <w:tc>
          <w:tcPr>
            <w:tcW w:w="3080"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Zor bizia</w:t>
            </w:r>
          </w:p>
        </w:tc>
        <w:tc>
          <w:tcPr>
            <w:tcW w:w="733"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381,92</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337,96</w:t>
            </w:r>
          </w:p>
        </w:tc>
        <w:tc>
          <w:tcPr>
            <w:tcW w:w="73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301,39</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278,88</w:t>
            </w:r>
          </w:p>
        </w:tc>
        <w:tc>
          <w:tcPr>
            <w:tcW w:w="822"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228,70</w:t>
            </w:r>
          </w:p>
        </w:tc>
        <w:tc>
          <w:tcPr>
            <w:tcW w:w="889"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-40</w:t>
            </w:r>
          </w:p>
        </w:tc>
        <w:tc>
          <w:tcPr>
            <w:tcW w:w="891" w:type="dxa"/>
            <w:tcBorders>
              <w:top w:val="single" w:sz="2" w:space="0" w:color="auto"/>
              <w:bottom w:val="single" w:sz="2"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-18</w:t>
            </w:r>
          </w:p>
        </w:tc>
      </w:tr>
      <w:tr w:rsidR="00EC4F97" w:rsidRPr="00886B0B" w:rsidTr="00422AD9">
        <w:trPr>
          <w:trHeight w:val="255"/>
          <w:jc w:val="center"/>
        </w:trPr>
        <w:tc>
          <w:tcPr>
            <w:tcW w:w="3080"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left"/>
              <w:rPr>
                <w:rFonts w:ascii="Arial Narrow" w:hAnsi="Arial Narrow"/>
                <w:color w:val="000000"/>
                <w:sz w:val="18"/>
                <w:szCs w:val="18"/>
              </w:rPr>
            </w:pPr>
            <w:r>
              <w:rPr>
                <w:rFonts w:ascii="Arial Narrow" w:hAnsi="Arial Narrow"/>
                <w:color w:val="000000"/>
                <w:sz w:val="18"/>
                <w:szCs w:val="18"/>
              </w:rPr>
              <w:t xml:space="preserve">Gastu orokorretarako </w:t>
            </w:r>
            <w:proofErr w:type="spellStart"/>
            <w:r>
              <w:rPr>
                <w:rFonts w:ascii="Arial Narrow" w:hAnsi="Arial Narrow"/>
                <w:color w:val="000000"/>
                <w:sz w:val="18"/>
                <w:szCs w:val="18"/>
              </w:rPr>
              <w:t>diruzaintza-gerakina</w:t>
            </w:r>
            <w:proofErr w:type="spellEnd"/>
          </w:p>
        </w:tc>
        <w:tc>
          <w:tcPr>
            <w:tcW w:w="733"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142,27</w:t>
            </w:r>
          </w:p>
        </w:tc>
        <w:tc>
          <w:tcPr>
            <w:tcW w:w="732"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171,28</w:t>
            </w:r>
          </w:p>
        </w:tc>
        <w:tc>
          <w:tcPr>
            <w:tcW w:w="732"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192,42</w:t>
            </w:r>
          </w:p>
        </w:tc>
        <w:tc>
          <w:tcPr>
            <w:tcW w:w="822"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226,99</w:t>
            </w:r>
          </w:p>
        </w:tc>
        <w:tc>
          <w:tcPr>
            <w:tcW w:w="822"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238,45</w:t>
            </w:r>
          </w:p>
        </w:tc>
        <w:tc>
          <w:tcPr>
            <w:tcW w:w="889"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68</w:t>
            </w:r>
          </w:p>
        </w:tc>
        <w:tc>
          <w:tcPr>
            <w:tcW w:w="891" w:type="dxa"/>
            <w:tcBorders>
              <w:top w:val="single" w:sz="2" w:space="0" w:color="auto"/>
              <w:bottom w:val="single" w:sz="4" w:space="0" w:color="auto"/>
            </w:tcBorders>
            <w:vAlign w:val="center"/>
          </w:tcPr>
          <w:p w:rsidR="00EC4F97" w:rsidRPr="00886B0B" w:rsidRDefault="00EC4F97" w:rsidP="00422AD9">
            <w:pPr>
              <w:spacing w:after="0" w:line="240" w:lineRule="atLeast"/>
              <w:ind w:firstLine="0"/>
              <w:jc w:val="right"/>
              <w:rPr>
                <w:rFonts w:ascii="Arial Narrow" w:hAnsi="Arial Narrow"/>
                <w:color w:val="000000"/>
                <w:sz w:val="18"/>
                <w:szCs w:val="18"/>
              </w:rPr>
            </w:pPr>
            <w:r>
              <w:rPr>
                <w:rFonts w:ascii="Arial Narrow" w:hAnsi="Arial Narrow"/>
                <w:color w:val="000000"/>
                <w:sz w:val="18"/>
                <w:szCs w:val="18"/>
              </w:rPr>
              <w:t>5</w:t>
            </w:r>
          </w:p>
        </w:tc>
      </w:tr>
    </w:tbl>
    <w:p w:rsidR="00EC4F97" w:rsidRDefault="00EC4F97" w:rsidP="00EC4F97">
      <w:pPr>
        <w:pStyle w:val="texto"/>
        <w:spacing w:before="200" w:after="120"/>
      </w:pPr>
      <w:r>
        <w:t>Aurreko taulako datuak aztertuta, honako hauek azpimarratu behar ditugu:</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80"/>
        <w:ind w:left="0" w:firstLine="289"/>
        <w:rPr>
          <w:rFonts w:cs="Arial"/>
        </w:rPr>
      </w:pPr>
      <w:r>
        <w:t>2016arekin alderatuta, gastuak ehuneko 5 igo dira, eta diru-sarrerak, berriz, ehuneko 2 igo dira. 2013arekiko bilakaerak zeinu bera du; halere, aldearen po</w:t>
      </w:r>
      <w:r>
        <w:t>r</w:t>
      </w:r>
      <w:r>
        <w:t>tzentajea ehuneko 4 izan da gastuei dagokienez eta ehuneko 5, berriz, diru-sarrerei dagokienez.</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80"/>
        <w:ind w:left="0" w:firstLine="289"/>
        <w:rPr>
          <w:rFonts w:cs="Arial"/>
        </w:rPr>
      </w:pPr>
      <w:r>
        <w:t>Kapital-gastuak 97,69 milioi eurokoak izan ziren, eta 2016ko ekitaldiar</w:t>
      </w:r>
      <w:r>
        <w:t>e</w:t>
      </w:r>
      <w:r>
        <w:t>kiko hazkunde handiena izan duen gastua da, ehuneko 23ko igoerarekin.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80"/>
        <w:ind w:left="0" w:firstLine="289"/>
        <w:rPr>
          <w:rFonts w:cs="Arial"/>
        </w:rPr>
      </w:pPr>
      <w:r>
        <w:t>2017an, toki sektore publikoak 63,95 milioi euroko aurrezki garbia izan zuen, behin funtzionamendu gastuak eta zorraren finantza-zama ordainduta. Aurrezkia 2013an lortutakoa baino ehuneko 2 handiagoa da; halere, ehuneko 25 egin du behera 2016koarekiko. Jaitsiera hori zor zaio aurrezki gordina jaitsi izanari, bai eta zama finantzarioaren igoerari ere; izan ere, azken hori ehuneko 26 handitu da 2016koarekin alderatuta.</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Nafarroako toki entitateen 2017ko zor bizia 228,7 milioi eurokoa zen, eh</w:t>
      </w:r>
      <w:r>
        <w:t>u</w:t>
      </w:r>
      <w:r>
        <w:t>neko 1,54ko batez besteko interes tasarekin; batez beste 10,11 urte gelditzen da epearen muga-eguna iristeko. 2013ko eta 2016ko datuekin alderatuta, ehuneko 40ko eta 18ko jaitsiera izan dela ikusten dugu. Jaitsiera hain nabarmen horiek zor zaizkie, neurri batean, araudiaren betekizunei (2/2012 Lege Organikoa, ap</w:t>
      </w:r>
      <w:r>
        <w:t>i</w:t>
      </w:r>
      <w:r>
        <w:t>rilaren 27koa, Aurrekontu-egonkortasunari eta Finantza-iraunkortasunari b</w:t>
      </w:r>
      <w:r>
        <w:t>u</w:t>
      </w:r>
      <w:r>
        <w:t xml:space="preserve">ruzkoa </w:t>
      </w:r>
      <w:proofErr w:type="spellStart"/>
      <w:r>
        <w:t>—AEFILO—)</w:t>
      </w:r>
      <w:proofErr w:type="spellEnd"/>
      <w:r>
        <w:t>; izan ere, horien eraginez 2017an 44,6 milioi euro egiten duen zorra amortizatu da; halere, itundutako zor berria 3,2 milioi eurokoa izan zen.</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Gastu orokorretarako </w:t>
      </w:r>
      <w:proofErr w:type="spellStart"/>
      <w:r>
        <w:t>diruzaintza-gerakina</w:t>
      </w:r>
      <w:proofErr w:type="spellEnd"/>
      <w:r>
        <w:t xml:space="preserve"> </w:t>
      </w:r>
      <w:proofErr w:type="spellStart"/>
      <w:r>
        <w:t>—sortutako</w:t>
      </w:r>
      <w:proofErr w:type="spellEnd"/>
      <w:r>
        <w:t xml:space="preserve"> baliabideen sober</w:t>
      </w:r>
      <w:r>
        <w:t>a</w:t>
      </w:r>
      <w:r>
        <w:t>kina, hurrengo ekitaldietan gastuei aurre egiteko aurrekontu-aldaketak finantz</w:t>
      </w:r>
      <w:r>
        <w:t>a</w:t>
      </w:r>
      <w:r>
        <w:t xml:space="preserve">tzeko erabil </w:t>
      </w:r>
      <w:proofErr w:type="spellStart"/>
      <w:r>
        <w:t>daitekeena—</w:t>
      </w:r>
      <w:proofErr w:type="spellEnd"/>
      <w:r>
        <w:t xml:space="preserve"> 238,45 milioi eurokoa izan zen 2017an. 2013ko ek</w:t>
      </w:r>
      <w:r>
        <w:t>i</w:t>
      </w:r>
      <w:r>
        <w:t xml:space="preserve">taldiarekiko eta 2016ko ekitaldiarekiko goranzko joera izan zuen, zeren eta ehuneko 68 eta bost handitu baitziren, hurrenez </w:t>
      </w:r>
      <w:proofErr w:type="spellStart"/>
      <w:r>
        <w:t>hurren</w:t>
      </w:r>
      <w:proofErr w:type="spellEnd"/>
      <w:r>
        <w:t>.</w:t>
      </w:r>
    </w:p>
    <w:p w:rsidR="00EC4F97" w:rsidRPr="007E3BFE" w:rsidRDefault="00EC4F97" w:rsidP="00EC4F97">
      <w:pPr>
        <w:pStyle w:val="atitulo2"/>
        <w:spacing w:before="240"/>
      </w:pPr>
      <w:bookmarkStart w:id="62" w:name="_Toc529773885"/>
      <w:bookmarkStart w:id="63" w:name="_Toc24100146"/>
      <w:bookmarkStart w:id="64" w:name="_Toc27986320"/>
      <w:r>
        <w:t>V.4. Aurrekontu-egonkortasuneko eta finantza-iraunkortasunaren helb</w:t>
      </w:r>
      <w:r>
        <w:t>u</w:t>
      </w:r>
      <w:r>
        <w:t>ruak</w:t>
      </w:r>
      <w:bookmarkEnd w:id="62"/>
      <w:bookmarkEnd w:id="63"/>
      <w:bookmarkEnd w:id="64"/>
    </w:p>
    <w:p w:rsidR="00EC4F97" w:rsidRDefault="00EC4F97" w:rsidP="00EC4F97">
      <w:pPr>
        <w:tabs>
          <w:tab w:val="center" w:pos="2835"/>
          <w:tab w:val="center" w:pos="3969"/>
          <w:tab w:val="center" w:pos="5103"/>
          <w:tab w:val="center" w:pos="6237"/>
          <w:tab w:val="center" w:pos="7371"/>
        </w:tabs>
        <w:spacing w:before="120" w:after="120"/>
        <w:ind w:firstLine="284"/>
        <w:rPr>
          <w:spacing w:val="6"/>
          <w:sz w:val="26"/>
          <w:szCs w:val="24"/>
        </w:rPr>
      </w:pPr>
      <w:proofErr w:type="spellStart"/>
      <w:r>
        <w:rPr>
          <w:sz w:val="26"/>
          <w:szCs w:val="24"/>
        </w:rPr>
        <w:t>AEFILOren</w:t>
      </w:r>
      <w:proofErr w:type="spellEnd"/>
      <w:r>
        <w:rPr>
          <w:sz w:val="26"/>
          <w:szCs w:val="24"/>
        </w:rPr>
        <w:t xml:space="preserve"> arabera, “Toki Administrazio </w:t>
      </w:r>
      <w:proofErr w:type="spellStart"/>
      <w:r>
        <w:rPr>
          <w:sz w:val="26"/>
          <w:szCs w:val="24"/>
        </w:rPr>
        <w:t>Publikoa”ren</w:t>
      </w:r>
      <w:proofErr w:type="spellEnd"/>
      <w:r>
        <w:rPr>
          <w:sz w:val="26"/>
          <w:szCs w:val="24"/>
        </w:rPr>
        <w:t xml:space="preserve"> sektoreak honako zerga-arau hauek bete behar ditu:</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 Aurrekontu-egonkortasuna, edo ekitaldiko </w:t>
      </w:r>
      <w:proofErr w:type="spellStart"/>
      <w:r>
        <w:t>oreka/finantzaketa-gaitasuna</w:t>
      </w:r>
      <w:proofErr w:type="spellEnd"/>
      <w:r>
        <w:t>, kontabilitate nazionaleko terminoetan neurtua.</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Gastu-araua, hau da, 2016koarekin alderatuta sektorearen 2017ko gastu zenbakarrian dagoen aldeak, ezin du gainditu </w:t>
      </w:r>
      <w:proofErr w:type="spellStart"/>
      <w:r>
        <w:t>BPGaren</w:t>
      </w:r>
      <w:proofErr w:type="spellEnd"/>
      <w:r>
        <w:t xml:space="preserve"> hazkundearen errefere</w:t>
      </w:r>
      <w:r>
        <w:t>n</w:t>
      </w:r>
      <w:r>
        <w:t>tziako tasa. Tasa hori ehuneko 2,1ean ezarri zen ekitaldi horretarako.</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Zor publikoaren iraunkortasunak esan nahi du sektorearen zorrak, kontab</w:t>
      </w:r>
      <w:r>
        <w:t>i</w:t>
      </w:r>
      <w:r>
        <w:t>litate nazionaleko terminoetan, ezin duela gainditu diru-sarrera arrunten eh</w:t>
      </w:r>
      <w:r>
        <w:t>u</w:t>
      </w:r>
      <w:r>
        <w:t>neko 110a.</w:t>
      </w:r>
    </w:p>
    <w:p w:rsidR="00EC4F97" w:rsidRPr="00835DDC"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Merkataritza-zorraren iraunkortasunak esan nahi du hornitzaileei ordai</w:t>
      </w:r>
      <w:r>
        <w:t>n</w:t>
      </w:r>
      <w:r>
        <w:t>tzeko batez besteko epeak ezin duela gainditu, orokorrean, 30 eguneko muga.</w:t>
      </w:r>
    </w:p>
    <w:p w:rsidR="00EC4F97" w:rsidRDefault="00EC4F97" w:rsidP="00EC4F97">
      <w:pPr>
        <w:tabs>
          <w:tab w:val="center" w:pos="2835"/>
          <w:tab w:val="center" w:pos="3969"/>
          <w:tab w:val="center" w:pos="5103"/>
          <w:tab w:val="center" w:pos="6237"/>
          <w:tab w:val="center" w:pos="7371"/>
        </w:tabs>
        <w:spacing w:before="120" w:after="120"/>
        <w:ind w:firstLine="284"/>
        <w:rPr>
          <w:spacing w:val="6"/>
          <w:sz w:val="26"/>
          <w:szCs w:val="24"/>
        </w:rPr>
      </w:pPr>
      <w:r>
        <w:rPr>
          <w:sz w:val="26"/>
          <w:szCs w:val="24"/>
        </w:rPr>
        <w:t>Arlo honetan, Toki Administrazioaren eta Despopulazioaren Zuzendaritza Nag</w:t>
      </w:r>
      <w:r>
        <w:rPr>
          <w:sz w:val="26"/>
          <w:szCs w:val="24"/>
        </w:rPr>
        <w:t>u</w:t>
      </w:r>
      <w:r>
        <w:rPr>
          <w:sz w:val="26"/>
          <w:szCs w:val="24"/>
        </w:rPr>
        <w:t>siak emandako informazioa toki entitateetara eta haien organismo autonomoetara mugatzen da, kontabilitate nazionalaren terminoetan “Nafarroako Toki Administr</w:t>
      </w:r>
      <w:r>
        <w:rPr>
          <w:sz w:val="26"/>
          <w:szCs w:val="24"/>
        </w:rPr>
        <w:t>a</w:t>
      </w:r>
      <w:r>
        <w:rPr>
          <w:sz w:val="26"/>
          <w:szCs w:val="24"/>
        </w:rPr>
        <w:t>zio Publikoaren” sektorea berez egituratu gabe. Datu horien arabera, honako hau aipatu behar dugu:</w:t>
      </w:r>
    </w:p>
    <w:p w:rsidR="00EC4F97" w:rsidRDefault="00EC4F97" w:rsidP="00EC4F97">
      <w:pPr>
        <w:pStyle w:val="Prrafodelista"/>
        <w:numPr>
          <w:ilvl w:val="0"/>
          <w:numId w:val="17"/>
        </w:numPr>
        <w:tabs>
          <w:tab w:val="left" w:pos="567"/>
        </w:tabs>
        <w:spacing w:before="120" w:after="60"/>
        <w:ind w:left="284" w:firstLine="0"/>
        <w:contextualSpacing w:val="0"/>
        <w:rPr>
          <w:spacing w:val="6"/>
          <w:sz w:val="26"/>
          <w:szCs w:val="24"/>
        </w:rPr>
      </w:pPr>
      <w:r>
        <w:rPr>
          <w:sz w:val="26"/>
          <w:szCs w:val="24"/>
        </w:rPr>
        <w:t>Toki sektore publikoak 2017an izan duen finantzaketa-gaitasuna 59,06 milio</w:t>
      </w:r>
      <w:r>
        <w:rPr>
          <w:sz w:val="26"/>
          <w:szCs w:val="24"/>
        </w:rPr>
        <w:t>i</w:t>
      </w:r>
      <w:r>
        <w:rPr>
          <w:sz w:val="26"/>
          <w:szCs w:val="24"/>
        </w:rPr>
        <w:t>koa izan da, eta hori aurreko ekitaldikoa baino ehuneko 21 gutxiago da; horrekin, beraz, arau fiskala bete da, hurrengo taulan ikus daitekeen bezala:</w:t>
      </w:r>
    </w:p>
    <w:p w:rsidR="00EC4F97" w:rsidRPr="00E0155F" w:rsidRDefault="00EC4F97" w:rsidP="00EC4F97">
      <w:pPr>
        <w:pStyle w:val="Prrafodelista"/>
        <w:tabs>
          <w:tab w:val="left" w:pos="567"/>
        </w:tabs>
        <w:spacing w:before="120" w:after="60"/>
        <w:ind w:left="284" w:firstLine="0"/>
        <w:contextualSpacing w:val="0"/>
        <w:jc w:val="right"/>
        <w:rPr>
          <w:spacing w:val="6"/>
          <w:sz w:val="26"/>
          <w:szCs w:val="24"/>
        </w:rPr>
      </w:pPr>
      <w:r>
        <w:t xml:space="preserve"> (euroak, milioitan)</w:t>
      </w:r>
    </w:p>
    <w:tbl>
      <w:tblPr>
        <w:tblW w:w="0" w:type="auto"/>
        <w:tblInd w:w="122" w:type="dxa"/>
        <w:tblBorders>
          <w:top w:val="single" w:sz="4" w:space="0" w:color="auto"/>
          <w:bottom w:val="single" w:sz="4" w:space="0" w:color="auto"/>
        </w:tblBorders>
        <w:tblLook w:val="00A0" w:firstRow="1" w:lastRow="0" w:firstColumn="1" w:lastColumn="0" w:noHBand="0" w:noVBand="0"/>
      </w:tblPr>
      <w:tblGrid>
        <w:gridCol w:w="4541"/>
        <w:gridCol w:w="4234"/>
      </w:tblGrid>
      <w:tr w:rsidR="00EC4F97" w:rsidRPr="0041105A" w:rsidTr="00422AD9">
        <w:trPr>
          <w:trHeight w:val="255"/>
        </w:trPr>
        <w:tc>
          <w:tcPr>
            <w:tcW w:w="4541" w:type="dxa"/>
            <w:tcBorders>
              <w:top w:val="single" w:sz="4" w:space="0" w:color="auto"/>
              <w:bottom w:val="single" w:sz="4" w:space="0" w:color="auto"/>
            </w:tcBorders>
            <w:shd w:val="clear" w:color="auto" w:fill="FBD4B4" w:themeFill="accent6" w:themeFillTint="66"/>
            <w:vAlign w:val="center"/>
          </w:tcPr>
          <w:p w:rsidR="00EC4F97" w:rsidRPr="00303D20" w:rsidRDefault="00EC4F97" w:rsidP="00422AD9">
            <w:pPr>
              <w:pStyle w:val="Prrafodelista"/>
              <w:spacing w:after="0"/>
              <w:ind w:left="0" w:firstLine="0"/>
              <w:contextualSpacing w:val="0"/>
              <w:rPr>
                <w:rFonts w:ascii="Arial" w:hAnsi="Arial" w:cs="Arial"/>
                <w:spacing w:val="6"/>
                <w:sz w:val="18"/>
                <w:szCs w:val="18"/>
              </w:rPr>
            </w:pPr>
            <w:r>
              <w:rPr>
                <w:rFonts w:ascii="Arial" w:hAnsi="Arial"/>
                <w:sz w:val="18"/>
                <w:szCs w:val="18"/>
              </w:rPr>
              <w:t xml:space="preserve">Finantzaketaren </w:t>
            </w:r>
            <w:proofErr w:type="spellStart"/>
            <w:r>
              <w:rPr>
                <w:rFonts w:ascii="Arial" w:hAnsi="Arial"/>
                <w:sz w:val="18"/>
                <w:szCs w:val="18"/>
              </w:rPr>
              <w:t>gaitasuna/beharra</w:t>
            </w:r>
            <w:proofErr w:type="spellEnd"/>
          </w:p>
        </w:tc>
        <w:tc>
          <w:tcPr>
            <w:tcW w:w="4234" w:type="dxa"/>
            <w:tcBorders>
              <w:top w:val="single" w:sz="4" w:space="0" w:color="auto"/>
              <w:bottom w:val="single" w:sz="4" w:space="0" w:color="auto"/>
            </w:tcBorders>
            <w:shd w:val="clear" w:color="auto" w:fill="FBD4B4" w:themeFill="accent6" w:themeFillTint="66"/>
            <w:vAlign w:val="center"/>
          </w:tcPr>
          <w:p w:rsidR="00EC4F97" w:rsidRPr="00303D20" w:rsidRDefault="00EC4F97" w:rsidP="00422AD9">
            <w:pPr>
              <w:pStyle w:val="Prrafodelista"/>
              <w:spacing w:after="0"/>
              <w:ind w:left="0" w:firstLine="0"/>
              <w:contextualSpacing w:val="0"/>
              <w:jc w:val="right"/>
              <w:rPr>
                <w:rFonts w:ascii="Arial" w:hAnsi="Arial" w:cs="Arial"/>
                <w:spacing w:val="6"/>
                <w:sz w:val="18"/>
                <w:szCs w:val="18"/>
              </w:rPr>
            </w:pPr>
            <w:r>
              <w:rPr>
                <w:rFonts w:ascii="Arial" w:hAnsi="Arial"/>
                <w:sz w:val="18"/>
                <w:szCs w:val="18"/>
              </w:rPr>
              <w:t>Zenbatekoa</w:t>
            </w:r>
          </w:p>
        </w:tc>
      </w:tr>
      <w:tr w:rsidR="00EC4F97" w:rsidRPr="0041105A" w:rsidTr="00422AD9">
        <w:trPr>
          <w:trHeight w:val="198"/>
        </w:trPr>
        <w:tc>
          <w:tcPr>
            <w:tcW w:w="4541" w:type="dxa"/>
            <w:tcBorders>
              <w:top w:val="single" w:sz="4" w:space="0" w:color="auto"/>
              <w:bottom w:val="single" w:sz="2" w:space="0" w:color="auto"/>
            </w:tcBorders>
          </w:tcPr>
          <w:p w:rsidR="00EC4F97" w:rsidRPr="00303D20" w:rsidRDefault="00EC4F97" w:rsidP="00422AD9">
            <w:pPr>
              <w:pStyle w:val="Prrafodelista"/>
              <w:spacing w:after="0" w:line="240" w:lineRule="atLeast"/>
              <w:ind w:left="0" w:firstLine="0"/>
              <w:contextualSpacing w:val="0"/>
              <w:rPr>
                <w:rFonts w:ascii="Arial Narrow" w:hAnsi="Arial Narrow"/>
                <w:spacing w:val="6"/>
              </w:rPr>
            </w:pPr>
            <w:r>
              <w:rPr>
                <w:rFonts w:ascii="Arial Narrow" w:hAnsi="Arial Narrow"/>
              </w:rPr>
              <w:t>Aurrekontuko saldo ez-finantzarioa</w:t>
            </w:r>
          </w:p>
        </w:tc>
        <w:tc>
          <w:tcPr>
            <w:tcW w:w="4234" w:type="dxa"/>
            <w:tcBorders>
              <w:top w:val="single" w:sz="4" w:space="0" w:color="auto"/>
              <w:bottom w:val="single" w:sz="2" w:space="0" w:color="auto"/>
            </w:tcBorders>
          </w:tcPr>
          <w:p w:rsidR="00EC4F97" w:rsidRPr="00303D20" w:rsidRDefault="00EC4F97" w:rsidP="00422AD9">
            <w:pPr>
              <w:pStyle w:val="Prrafodelista"/>
              <w:spacing w:after="0" w:line="240" w:lineRule="atLeast"/>
              <w:ind w:left="0" w:firstLine="0"/>
              <w:contextualSpacing w:val="0"/>
              <w:jc w:val="right"/>
              <w:rPr>
                <w:rFonts w:ascii="Arial Narrow" w:hAnsi="Arial Narrow"/>
                <w:spacing w:val="6"/>
              </w:rPr>
            </w:pPr>
            <w:r>
              <w:rPr>
                <w:rFonts w:ascii="Arial Narrow" w:hAnsi="Arial Narrow"/>
              </w:rPr>
              <w:t>62,35</w:t>
            </w:r>
          </w:p>
        </w:tc>
      </w:tr>
      <w:tr w:rsidR="00EC4F97" w:rsidRPr="0041105A" w:rsidTr="00422AD9">
        <w:trPr>
          <w:trHeight w:val="198"/>
        </w:trPr>
        <w:tc>
          <w:tcPr>
            <w:tcW w:w="4541" w:type="dxa"/>
            <w:tcBorders>
              <w:top w:val="single" w:sz="2" w:space="0" w:color="auto"/>
              <w:bottom w:val="single" w:sz="4" w:space="0" w:color="auto"/>
            </w:tcBorders>
          </w:tcPr>
          <w:p w:rsidR="00EC4F97" w:rsidRPr="00303D20" w:rsidRDefault="00EC4F97" w:rsidP="00422AD9">
            <w:pPr>
              <w:pStyle w:val="Prrafodelista"/>
              <w:spacing w:after="0" w:line="240" w:lineRule="atLeast"/>
              <w:ind w:left="0" w:firstLine="0"/>
              <w:contextualSpacing w:val="0"/>
              <w:rPr>
                <w:rFonts w:ascii="Arial Narrow" w:hAnsi="Arial Narrow"/>
                <w:spacing w:val="6"/>
              </w:rPr>
            </w:pPr>
            <w:r>
              <w:rPr>
                <w:rFonts w:ascii="Arial Narrow" w:hAnsi="Arial Narrow"/>
              </w:rPr>
              <w:t>Doikuntzak:</w:t>
            </w:r>
          </w:p>
          <w:p w:rsidR="00EC4F97" w:rsidRPr="00303D20" w:rsidRDefault="00EC4F97" w:rsidP="00422AD9">
            <w:pPr>
              <w:pStyle w:val="Prrafodelista"/>
              <w:spacing w:after="0" w:line="240" w:lineRule="atLeast"/>
              <w:ind w:left="0" w:firstLine="200"/>
              <w:contextualSpacing w:val="0"/>
              <w:jc w:val="left"/>
              <w:rPr>
                <w:rFonts w:ascii="Arial Narrow" w:hAnsi="Arial Narrow"/>
                <w:spacing w:val="6"/>
              </w:rPr>
            </w:pPr>
            <w:r>
              <w:rPr>
                <w:rFonts w:ascii="Arial Narrow" w:hAnsi="Arial Narrow"/>
              </w:rPr>
              <w:t>Diru-bilketa ez-seguruko diru-sarrerak</w:t>
            </w:r>
          </w:p>
          <w:p w:rsidR="00EC4F97" w:rsidRPr="00303D20" w:rsidRDefault="00EC4F97" w:rsidP="00CF2D7C">
            <w:pPr>
              <w:pStyle w:val="Prrafodelista"/>
              <w:spacing w:after="0" w:line="240" w:lineRule="atLeast"/>
              <w:ind w:left="0" w:firstLine="200"/>
              <w:contextualSpacing w:val="0"/>
              <w:jc w:val="left"/>
              <w:rPr>
                <w:rFonts w:ascii="Arial Narrow" w:hAnsi="Arial Narrow"/>
                <w:spacing w:val="6"/>
              </w:rPr>
            </w:pPr>
            <w:r>
              <w:rPr>
                <w:rFonts w:ascii="Arial Narrow" w:hAnsi="Arial Narrow"/>
              </w:rPr>
              <w:t>Beste administrazio publiko batzuengandik jasotako transferentziak</w:t>
            </w:r>
          </w:p>
        </w:tc>
        <w:tc>
          <w:tcPr>
            <w:tcW w:w="4234" w:type="dxa"/>
            <w:tcBorders>
              <w:top w:val="single" w:sz="2" w:space="0" w:color="auto"/>
              <w:bottom w:val="single" w:sz="4" w:space="0" w:color="auto"/>
            </w:tcBorders>
          </w:tcPr>
          <w:p w:rsidR="00EC4F97" w:rsidRPr="00303D20" w:rsidRDefault="00EC4F97" w:rsidP="00422AD9">
            <w:pPr>
              <w:pStyle w:val="Prrafodelista"/>
              <w:spacing w:after="0" w:line="240" w:lineRule="atLeast"/>
              <w:ind w:left="0" w:firstLine="0"/>
              <w:contextualSpacing w:val="0"/>
              <w:jc w:val="right"/>
              <w:rPr>
                <w:rFonts w:ascii="Arial Narrow" w:hAnsi="Arial Narrow"/>
                <w:spacing w:val="6"/>
              </w:rPr>
            </w:pPr>
          </w:p>
          <w:p w:rsidR="00EC4F97" w:rsidRPr="00303D20" w:rsidRDefault="00EC4F97" w:rsidP="00422AD9">
            <w:pPr>
              <w:pStyle w:val="Prrafodelista"/>
              <w:spacing w:after="0" w:line="240" w:lineRule="atLeast"/>
              <w:ind w:left="0" w:firstLine="0"/>
              <w:contextualSpacing w:val="0"/>
              <w:jc w:val="right"/>
              <w:rPr>
                <w:rFonts w:ascii="Arial Narrow" w:hAnsi="Arial Narrow"/>
                <w:spacing w:val="6"/>
              </w:rPr>
            </w:pPr>
            <w:r>
              <w:rPr>
                <w:rFonts w:ascii="Arial Narrow" w:hAnsi="Arial Narrow"/>
              </w:rPr>
              <w:t>(6,44)</w:t>
            </w:r>
          </w:p>
          <w:p w:rsidR="00EC4F97" w:rsidRPr="00303D20" w:rsidRDefault="00EC4F97" w:rsidP="00422AD9">
            <w:pPr>
              <w:pStyle w:val="Prrafodelista"/>
              <w:spacing w:after="0" w:line="240" w:lineRule="atLeast"/>
              <w:ind w:left="0" w:firstLine="0"/>
              <w:contextualSpacing w:val="0"/>
              <w:jc w:val="right"/>
              <w:rPr>
                <w:rFonts w:ascii="Arial Narrow" w:hAnsi="Arial Narrow"/>
                <w:spacing w:val="6"/>
              </w:rPr>
            </w:pPr>
            <w:r>
              <w:rPr>
                <w:rFonts w:ascii="Arial Narrow" w:hAnsi="Arial Narrow"/>
              </w:rPr>
              <w:t>3,15</w:t>
            </w:r>
          </w:p>
        </w:tc>
      </w:tr>
      <w:tr w:rsidR="00EC4F97" w:rsidRPr="00154C1F" w:rsidTr="00422AD9">
        <w:trPr>
          <w:trHeight w:val="255"/>
        </w:trPr>
        <w:tc>
          <w:tcPr>
            <w:tcW w:w="4541" w:type="dxa"/>
            <w:tcBorders>
              <w:top w:val="single" w:sz="4" w:space="0" w:color="auto"/>
              <w:bottom w:val="single" w:sz="4" w:space="0" w:color="auto"/>
            </w:tcBorders>
            <w:shd w:val="clear" w:color="auto" w:fill="FBD4B4" w:themeFill="accent6" w:themeFillTint="66"/>
            <w:vAlign w:val="center"/>
          </w:tcPr>
          <w:p w:rsidR="00EC4F97" w:rsidRPr="00303D20" w:rsidRDefault="00EC4F97" w:rsidP="00A74207">
            <w:pPr>
              <w:pStyle w:val="Prrafodelista"/>
              <w:spacing w:after="0"/>
              <w:ind w:left="0" w:firstLine="0"/>
              <w:contextualSpacing w:val="0"/>
              <w:rPr>
                <w:rFonts w:ascii="Arial" w:hAnsi="Arial" w:cs="Arial"/>
                <w:spacing w:val="6"/>
                <w:sz w:val="18"/>
                <w:szCs w:val="18"/>
              </w:rPr>
            </w:pPr>
            <w:r>
              <w:rPr>
                <w:rFonts w:ascii="Arial" w:hAnsi="Arial"/>
                <w:sz w:val="18"/>
                <w:szCs w:val="18"/>
              </w:rPr>
              <w:t>2017ko finantzaketa-gaitasuna</w:t>
            </w:r>
          </w:p>
        </w:tc>
        <w:tc>
          <w:tcPr>
            <w:tcW w:w="4234" w:type="dxa"/>
            <w:tcBorders>
              <w:top w:val="single" w:sz="4" w:space="0" w:color="auto"/>
              <w:bottom w:val="single" w:sz="4" w:space="0" w:color="auto"/>
            </w:tcBorders>
            <w:shd w:val="clear" w:color="auto" w:fill="FBD4B4" w:themeFill="accent6" w:themeFillTint="66"/>
            <w:vAlign w:val="center"/>
          </w:tcPr>
          <w:p w:rsidR="00EC4F97" w:rsidRPr="00303D20" w:rsidRDefault="00EC4F97" w:rsidP="00422AD9">
            <w:pPr>
              <w:pStyle w:val="Prrafodelista"/>
              <w:spacing w:after="0"/>
              <w:ind w:left="0" w:firstLine="0"/>
              <w:contextualSpacing w:val="0"/>
              <w:jc w:val="right"/>
              <w:rPr>
                <w:rFonts w:ascii="Arial" w:hAnsi="Arial" w:cs="Arial"/>
                <w:spacing w:val="6"/>
                <w:sz w:val="18"/>
                <w:szCs w:val="18"/>
              </w:rPr>
            </w:pPr>
            <w:r>
              <w:rPr>
                <w:rFonts w:ascii="Arial" w:hAnsi="Arial"/>
                <w:sz w:val="18"/>
                <w:szCs w:val="18"/>
              </w:rPr>
              <w:t>59,06</w:t>
            </w:r>
          </w:p>
        </w:tc>
      </w:tr>
    </w:tbl>
    <w:p w:rsidR="00EC4F97" w:rsidRDefault="00EC4F97" w:rsidP="00EC4F97">
      <w:pPr>
        <w:pStyle w:val="Prrafodelista"/>
        <w:numPr>
          <w:ilvl w:val="0"/>
          <w:numId w:val="17"/>
        </w:numPr>
        <w:tabs>
          <w:tab w:val="left" w:pos="567"/>
        </w:tabs>
        <w:spacing w:before="240" w:after="120"/>
        <w:ind w:left="28" w:firstLine="256"/>
        <w:contextualSpacing w:val="0"/>
        <w:rPr>
          <w:spacing w:val="6"/>
          <w:sz w:val="26"/>
          <w:szCs w:val="24"/>
        </w:rPr>
      </w:pPr>
      <w:r>
        <w:rPr>
          <w:sz w:val="26"/>
          <w:szCs w:val="24"/>
        </w:rPr>
        <w:t>Sektorearen zor bizia 228,7 milioi eurokoa zen 2017ko abenduaren 31n: diru-sarrera arrunten ehuneko 32 da hori. Portzentaje hori legeria indardunean ezarritako ehuneko 110eko mugatik beherakoa da; horrenbestez, arau hori bete egiten da.</w:t>
      </w:r>
    </w:p>
    <w:p w:rsidR="00EC4F97" w:rsidRDefault="00EC4F97" w:rsidP="00EC4F97">
      <w:pPr>
        <w:pStyle w:val="Prrafodelista"/>
        <w:numPr>
          <w:ilvl w:val="0"/>
          <w:numId w:val="17"/>
        </w:numPr>
        <w:tabs>
          <w:tab w:val="left" w:pos="567"/>
        </w:tabs>
        <w:spacing w:before="120" w:after="240"/>
        <w:ind w:left="28" w:firstLine="256"/>
        <w:contextualSpacing w:val="0"/>
        <w:rPr>
          <w:spacing w:val="6"/>
          <w:sz w:val="26"/>
          <w:szCs w:val="24"/>
        </w:rPr>
      </w:pPr>
      <w:r>
        <w:rPr>
          <w:sz w:val="26"/>
          <w:szCs w:val="24"/>
        </w:rPr>
        <w:t>Ez da informaziorik ematen gastu arauari buruz eta merkataritza-zorra ordai</w:t>
      </w:r>
      <w:r>
        <w:rPr>
          <w:sz w:val="26"/>
          <w:szCs w:val="24"/>
        </w:rPr>
        <w:t>n</w:t>
      </w:r>
      <w:r>
        <w:rPr>
          <w:sz w:val="26"/>
          <w:szCs w:val="24"/>
        </w:rPr>
        <w:t>tzeko epeei buruz. Azken arau horri dagokionez, egiaztatu da, Ogasuneko Minist</w:t>
      </w:r>
      <w:r>
        <w:rPr>
          <w:sz w:val="26"/>
          <w:szCs w:val="24"/>
        </w:rPr>
        <w:t>e</w:t>
      </w:r>
      <w:r>
        <w:rPr>
          <w:sz w:val="26"/>
          <w:szCs w:val="24"/>
        </w:rPr>
        <w:t>rioaren argitalpenari jarraituz, informazio hori badagoela soilik Nafarroako 55 toki entitateren kasuan; horren arabera, ordainketarako batez besteko epea, ekitaldiko batez bestekoaren arabera, 25,16 egunekoa da; hau da, ezarrita dagoen 30 eguneko mugatik beherakoa.</w:t>
      </w:r>
    </w:p>
    <w:p w:rsidR="00EC4F97" w:rsidRDefault="00EC4F97" w:rsidP="00EC4F97">
      <w:pPr>
        <w:pStyle w:val="atitulo1"/>
      </w:pPr>
      <w:r>
        <w:br w:type="page"/>
      </w:r>
    </w:p>
    <w:p w:rsidR="00EC4F97" w:rsidRDefault="00EC4F97" w:rsidP="00EC4F97">
      <w:pPr>
        <w:pStyle w:val="atitulo1"/>
      </w:pPr>
      <w:bookmarkStart w:id="65" w:name="_Toc24100147"/>
      <w:bookmarkStart w:id="66" w:name="_Toc27986321"/>
      <w:r>
        <w:t>VI. Kontratazio administratiboa</w:t>
      </w:r>
      <w:bookmarkEnd w:id="65"/>
      <w:bookmarkEnd w:id="66"/>
    </w:p>
    <w:p w:rsidR="00EC4F97" w:rsidRPr="007E3BFE" w:rsidRDefault="00EC4F97" w:rsidP="00EC4F97">
      <w:pPr>
        <w:pStyle w:val="texto"/>
        <w:spacing w:after="240"/>
      </w:pPr>
      <w:r>
        <w:t xml:space="preserve">Atal honetan, toki entitateek eta haien menpeko </w:t>
      </w:r>
      <w:proofErr w:type="spellStart"/>
      <w:r>
        <w:t>enteek</w:t>
      </w:r>
      <w:proofErr w:type="spellEnd"/>
      <w:r>
        <w:t xml:space="preserve"> 2017an adjudikat</w:t>
      </w:r>
      <w:r>
        <w:t>u</w:t>
      </w:r>
      <w:r>
        <w:t>tako kontratuak aztertzen ditugu, Kontratazio Publikorako Batzordeak kudeat</w:t>
      </w:r>
      <w:r>
        <w:t>u</w:t>
      </w:r>
      <w:r>
        <w:t xml:space="preserve">tako Kontratuen Erregistroan dagoen informazioaren arabera. </w:t>
      </w:r>
    </w:p>
    <w:p w:rsidR="00EC4F97" w:rsidRDefault="00EC4F97" w:rsidP="00EC4F97">
      <w:pPr>
        <w:pStyle w:val="texto"/>
        <w:spacing w:after="240"/>
      </w:pPr>
      <w:r>
        <w:t>Hona toki entitateek adjudikatutako kontratuen oinarrizko datuak:</w:t>
      </w:r>
    </w:p>
    <w:p w:rsidR="0090709F" w:rsidRPr="005260D5" w:rsidRDefault="0090709F" w:rsidP="0090709F">
      <w:pPr>
        <w:pStyle w:val="texto"/>
        <w:spacing w:after="40"/>
        <w:ind w:right="-425"/>
        <w:jc w:val="right"/>
        <w:rPr>
          <w:sz w:val="16"/>
          <w:szCs w:val="16"/>
        </w:rPr>
      </w:pPr>
      <w:r w:rsidRPr="005260D5">
        <w:rPr>
          <w:sz w:val="16"/>
          <w:szCs w:val="16"/>
        </w:rPr>
        <w:t>(euroak, milakotan)</w:t>
      </w:r>
    </w:p>
    <w:tbl>
      <w:tblPr>
        <w:tblW w:w="5716" w:type="pct"/>
        <w:tblInd w:w="-214" w:type="dxa"/>
        <w:tblLayout w:type="fixed"/>
        <w:tblCellMar>
          <w:left w:w="70" w:type="dxa"/>
          <w:right w:w="70" w:type="dxa"/>
        </w:tblCellMar>
        <w:tblLook w:val="00A0" w:firstRow="1" w:lastRow="0" w:firstColumn="1" w:lastColumn="0" w:noHBand="0" w:noVBand="0"/>
      </w:tblPr>
      <w:tblGrid>
        <w:gridCol w:w="1702"/>
        <w:gridCol w:w="611"/>
        <w:gridCol w:w="950"/>
        <w:gridCol w:w="161"/>
        <w:gridCol w:w="557"/>
        <w:gridCol w:w="982"/>
        <w:gridCol w:w="165"/>
        <w:gridCol w:w="551"/>
        <w:gridCol w:w="841"/>
        <w:gridCol w:w="143"/>
        <w:gridCol w:w="22"/>
        <w:gridCol w:w="143"/>
        <w:gridCol w:w="396"/>
        <w:gridCol w:w="143"/>
        <w:gridCol w:w="853"/>
        <w:gridCol w:w="143"/>
        <w:gridCol w:w="57"/>
        <w:gridCol w:w="143"/>
        <w:gridCol w:w="592"/>
        <w:gridCol w:w="143"/>
        <w:gridCol w:w="888"/>
        <w:gridCol w:w="22"/>
      </w:tblGrid>
      <w:tr w:rsidR="0090709F" w:rsidRPr="005260D5" w:rsidTr="0084345B">
        <w:trPr>
          <w:gridAfter w:val="1"/>
          <w:wAfter w:w="12" w:type="pct"/>
          <w:trHeight w:val="300"/>
        </w:trPr>
        <w:tc>
          <w:tcPr>
            <w:tcW w:w="833" w:type="pct"/>
            <w:vMerge w:val="restart"/>
            <w:tcBorders>
              <w:top w:val="single" w:sz="4" w:space="0" w:color="auto"/>
              <w:left w:val="nil"/>
              <w:bottom w:val="single" w:sz="4" w:space="0" w:color="auto"/>
            </w:tcBorders>
            <w:shd w:val="clear" w:color="auto" w:fill="FBD4B4" w:themeFill="accent6" w:themeFillTint="66"/>
            <w:noWrap/>
            <w:vAlign w:val="center"/>
          </w:tcPr>
          <w:p w:rsidR="0090709F" w:rsidRPr="005260D5" w:rsidRDefault="0090709F" w:rsidP="0084345B">
            <w:pPr>
              <w:spacing w:after="0"/>
              <w:ind w:firstLine="0"/>
              <w:jc w:val="left"/>
              <w:rPr>
                <w:rFonts w:ascii="Arial" w:hAnsi="Arial" w:cs="Arial"/>
                <w:bCs/>
                <w:color w:val="000000"/>
                <w:sz w:val="14"/>
                <w:szCs w:val="14"/>
              </w:rPr>
            </w:pPr>
            <w:r w:rsidRPr="005260D5">
              <w:rPr>
                <w:rFonts w:ascii="Arial" w:hAnsi="Arial"/>
                <w:bCs/>
                <w:color w:val="000000"/>
                <w:sz w:val="14"/>
                <w:szCs w:val="14"/>
              </w:rPr>
              <w:t>Kontratu-mota</w:t>
            </w:r>
          </w:p>
        </w:tc>
        <w:tc>
          <w:tcPr>
            <w:tcW w:w="764" w:type="pct"/>
            <w:gridSpan w:val="2"/>
            <w:tcBorders>
              <w:top w:val="single" w:sz="4" w:space="0" w:color="auto"/>
              <w:bottom w:val="single" w:sz="4" w:space="0" w:color="auto"/>
            </w:tcBorders>
            <w:shd w:val="clear" w:color="auto" w:fill="FBD4B4" w:themeFill="accent6" w:themeFillTint="66"/>
            <w:noWrap/>
            <w:vAlign w:val="center"/>
          </w:tcPr>
          <w:p w:rsidR="0090709F" w:rsidRPr="005260D5" w:rsidRDefault="0090709F" w:rsidP="0084345B">
            <w:pPr>
              <w:keepLines/>
              <w:tabs>
                <w:tab w:val="right" w:pos="2835"/>
                <w:tab w:val="right" w:pos="3969"/>
                <w:tab w:val="right" w:pos="5103"/>
                <w:tab w:val="right" w:pos="6237"/>
                <w:tab w:val="right" w:pos="7371"/>
              </w:tabs>
              <w:spacing w:after="0"/>
              <w:ind w:left="-102" w:right="-80" w:firstLine="35"/>
              <w:jc w:val="center"/>
              <w:rPr>
                <w:rFonts w:ascii="Arial" w:hAnsi="Arial" w:cs="Arial"/>
                <w:spacing w:val="6"/>
                <w:sz w:val="14"/>
                <w:szCs w:val="14"/>
              </w:rPr>
            </w:pPr>
            <w:r w:rsidRPr="005260D5">
              <w:rPr>
                <w:rFonts w:ascii="Arial" w:hAnsi="Arial"/>
                <w:sz w:val="14"/>
                <w:szCs w:val="14"/>
              </w:rPr>
              <w:t>Udalak</w:t>
            </w:r>
          </w:p>
        </w:tc>
        <w:tc>
          <w:tcPr>
            <w:tcW w:w="79" w:type="pct"/>
            <w:tcBorders>
              <w:top w:val="single" w:sz="4" w:space="0" w:color="auto"/>
            </w:tcBorders>
            <w:shd w:val="clear" w:color="auto" w:fill="FBD4B4" w:themeFill="accent6" w:themeFillTint="66"/>
          </w:tcPr>
          <w:p w:rsidR="0090709F" w:rsidRPr="005260D5" w:rsidRDefault="0090709F" w:rsidP="0084345B">
            <w:pPr>
              <w:keepLines/>
              <w:tabs>
                <w:tab w:val="right" w:pos="2835"/>
                <w:tab w:val="right" w:pos="3521"/>
                <w:tab w:val="right" w:pos="5103"/>
                <w:tab w:val="right" w:pos="6237"/>
                <w:tab w:val="right" w:pos="7371"/>
              </w:tabs>
              <w:spacing w:after="0"/>
              <w:ind w:left="-102" w:right="-80" w:firstLine="0"/>
              <w:jc w:val="center"/>
              <w:rPr>
                <w:rFonts w:ascii="Arial" w:hAnsi="Arial" w:cs="Arial"/>
                <w:spacing w:val="6"/>
                <w:sz w:val="14"/>
                <w:szCs w:val="14"/>
              </w:rPr>
            </w:pPr>
          </w:p>
        </w:tc>
        <w:tc>
          <w:tcPr>
            <w:tcW w:w="754" w:type="pct"/>
            <w:gridSpan w:val="2"/>
            <w:tcBorders>
              <w:top w:val="single" w:sz="4" w:space="0" w:color="auto"/>
              <w:bottom w:val="single" w:sz="4" w:space="0" w:color="auto"/>
            </w:tcBorders>
            <w:shd w:val="clear" w:color="auto" w:fill="FBD4B4" w:themeFill="accent6" w:themeFillTint="66"/>
            <w:noWrap/>
            <w:vAlign w:val="center"/>
          </w:tcPr>
          <w:p w:rsidR="0090709F" w:rsidRPr="005260D5" w:rsidRDefault="0090709F" w:rsidP="0084345B">
            <w:pPr>
              <w:keepLines/>
              <w:tabs>
                <w:tab w:val="right" w:pos="2835"/>
                <w:tab w:val="right" w:pos="3521"/>
                <w:tab w:val="right" w:pos="5103"/>
                <w:tab w:val="right" w:pos="6237"/>
                <w:tab w:val="right" w:pos="7371"/>
              </w:tabs>
              <w:spacing w:after="0"/>
              <w:ind w:left="-102" w:right="-80" w:firstLine="0"/>
              <w:jc w:val="center"/>
              <w:rPr>
                <w:rFonts w:ascii="Arial" w:hAnsi="Arial" w:cs="Arial"/>
                <w:spacing w:val="6"/>
                <w:sz w:val="14"/>
                <w:szCs w:val="14"/>
              </w:rPr>
            </w:pPr>
            <w:r w:rsidRPr="005260D5">
              <w:rPr>
                <w:rFonts w:ascii="Arial" w:hAnsi="Arial"/>
                <w:sz w:val="14"/>
                <w:szCs w:val="14"/>
              </w:rPr>
              <w:t>Kontzejuak</w:t>
            </w:r>
          </w:p>
        </w:tc>
        <w:tc>
          <w:tcPr>
            <w:tcW w:w="81" w:type="pct"/>
            <w:tcBorders>
              <w:top w:val="single" w:sz="4" w:space="0" w:color="auto"/>
            </w:tcBorders>
            <w:shd w:val="clear" w:color="auto" w:fill="FBD4B4" w:themeFill="accent6" w:themeFillTint="66"/>
          </w:tcPr>
          <w:p w:rsidR="0090709F" w:rsidRPr="005260D5" w:rsidRDefault="0090709F" w:rsidP="0084345B">
            <w:pPr>
              <w:keepLines/>
              <w:tabs>
                <w:tab w:val="right" w:pos="2835"/>
                <w:tab w:val="right" w:pos="3521"/>
                <w:tab w:val="right" w:pos="5103"/>
                <w:tab w:val="right" w:pos="6237"/>
                <w:tab w:val="right" w:pos="7371"/>
              </w:tabs>
              <w:spacing w:after="0"/>
              <w:ind w:left="-102" w:right="-80" w:firstLine="0"/>
              <w:jc w:val="center"/>
              <w:rPr>
                <w:rFonts w:ascii="Arial" w:hAnsi="Arial" w:cs="Arial"/>
                <w:spacing w:val="6"/>
                <w:sz w:val="14"/>
                <w:szCs w:val="14"/>
              </w:rPr>
            </w:pPr>
          </w:p>
        </w:tc>
        <w:tc>
          <w:tcPr>
            <w:tcW w:w="752" w:type="pct"/>
            <w:gridSpan w:val="3"/>
            <w:tcBorders>
              <w:top w:val="single" w:sz="4" w:space="0" w:color="auto"/>
              <w:bottom w:val="single" w:sz="4" w:space="0" w:color="auto"/>
            </w:tcBorders>
            <w:shd w:val="clear" w:color="auto" w:fill="FBD4B4" w:themeFill="accent6" w:themeFillTint="66"/>
            <w:noWrap/>
            <w:vAlign w:val="center"/>
          </w:tcPr>
          <w:p w:rsidR="0090709F" w:rsidRPr="005260D5" w:rsidRDefault="0090709F" w:rsidP="0084345B">
            <w:pPr>
              <w:keepLines/>
              <w:tabs>
                <w:tab w:val="right" w:pos="2835"/>
                <w:tab w:val="right" w:pos="3969"/>
                <w:tab w:val="right" w:pos="5103"/>
                <w:tab w:val="right" w:pos="6237"/>
                <w:tab w:val="right" w:pos="7371"/>
              </w:tabs>
              <w:spacing w:after="0"/>
              <w:ind w:left="-102" w:right="-80" w:firstLine="0"/>
              <w:jc w:val="center"/>
              <w:rPr>
                <w:rFonts w:ascii="Arial" w:hAnsi="Arial" w:cs="Arial"/>
                <w:spacing w:val="6"/>
                <w:sz w:val="14"/>
                <w:szCs w:val="14"/>
              </w:rPr>
            </w:pPr>
            <w:r w:rsidRPr="005260D5">
              <w:rPr>
                <w:rFonts w:ascii="Arial" w:hAnsi="Arial"/>
                <w:sz w:val="14"/>
                <w:szCs w:val="14"/>
              </w:rPr>
              <w:t>Batasunak</w:t>
            </w:r>
          </w:p>
        </w:tc>
        <w:tc>
          <w:tcPr>
            <w:tcW w:w="81" w:type="pct"/>
            <w:gridSpan w:val="2"/>
            <w:tcBorders>
              <w:top w:val="single" w:sz="4" w:space="0" w:color="auto"/>
            </w:tcBorders>
            <w:shd w:val="clear" w:color="auto" w:fill="FBD4B4" w:themeFill="accent6" w:themeFillTint="66"/>
          </w:tcPr>
          <w:p w:rsidR="0090709F" w:rsidRPr="005260D5" w:rsidRDefault="0090709F" w:rsidP="0084345B">
            <w:pPr>
              <w:keepLines/>
              <w:tabs>
                <w:tab w:val="right" w:pos="2835"/>
                <w:tab w:val="right" w:pos="3969"/>
                <w:tab w:val="right" w:pos="5103"/>
                <w:tab w:val="right" w:pos="6237"/>
                <w:tab w:val="right" w:pos="7371"/>
              </w:tabs>
              <w:spacing w:after="0"/>
              <w:ind w:left="-102" w:right="-80" w:firstLine="0"/>
              <w:jc w:val="center"/>
              <w:rPr>
                <w:rFonts w:ascii="Arial" w:hAnsi="Arial" w:cs="Arial"/>
                <w:spacing w:val="6"/>
                <w:sz w:val="14"/>
                <w:szCs w:val="14"/>
              </w:rPr>
            </w:pPr>
          </w:p>
        </w:tc>
        <w:tc>
          <w:tcPr>
            <w:tcW w:w="751" w:type="pct"/>
            <w:gridSpan w:val="4"/>
            <w:tcBorders>
              <w:top w:val="single" w:sz="4" w:space="0" w:color="auto"/>
              <w:bottom w:val="single" w:sz="4" w:space="0" w:color="auto"/>
            </w:tcBorders>
            <w:shd w:val="clear" w:color="auto" w:fill="FBD4B4" w:themeFill="accent6" w:themeFillTint="66"/>
            <w:noWrap/>
            <w:vAlign w:val="center"/>
          </w:tcPr>
          <w:p w:rsidR="0090709F" w:rsidRPr="005260D5" w:rsidRDefault="0090709F" w:rsidP="0084345B">
            <w:pPr>
              <w:keepLines/>
              <w:tabs>
                <w:tab w:val="right" w:pos="2835"/>
                <w:tab w:val="right" w:pos="3969"/>
                <w:tab w:val="right" w:pos="5103"/>
                <w:tab w:val="right" w:pos="6237"/>
                <w:tab w:val="right" w:pos="7371"/>
              </w:tabs>
              <w:spacing w:after="0"/>
              <w:ind w:left="-102" w:right="-80" w:firstLine="0"/>
              <w:jc w:val="center"/>
              <w:rPr>
                <w:rFonts w:ascii="Arial" w:hAnsi="Arial" w:cs="Arial"/>
                <w:spacing w:val="6"/>
                <w:sz w:val="14"/>
                <w:szCs w:val="14"/>
              </w:rPr>
            </w:pPr>
            <w:r w:rsidRPr="005260D5">
              <w:rPr>
                <w:rFonts w:ascii="Arial" w:hAnsi="Arial"/>
                <w:sz w:val="14"/>
                <w:szCs w:val="14"/>
              </w:rPr>
              <w:t>Mankomunitateak</w:t>
            </w:r>
          </w:p>
        </w:tc>
        <w:tc>
          <w:tcPr>
            <w:tcW w:w="98" w:type="pct"/>
            <w:gridSpan w:val="2"/>
            <w:tcBorders>
              <w:top w:val="single" w:sz="4" w:space="0" w:color="auto"/>
            </w:tcBorders>
            <w:shd w:val="clear" w:color="auto" w:fill="FBD4B4" w:themeFill="accent6" w:themeFillTint="66"/>
          </w:tcPr>
          <w:p w:rsidR="0090709F" w:rsidRPr="005260D5" w:rsidRDefault="0090709F" w:rsidP="0084345B">
            <w:pPr>
              <w:keepLines/>
              <w:tabs>
                <w:tab w:val="right" w:pos="2835"/>
                <w:tab w:val="right" w:pos="3969"/>
                <w:tab w:val="right" w:pos="5103"/>
                <w:tab w:val="right" w:pos="6237"/>
                <w:tab w:val="right" w:pos="7371"/>
              </w:tabs>
              <w:spacing w:after="0"/>
              <w:ind w:left="-102" w:right="-80" w:firstLine="0"/>
              <w:jc w:val="center"/>
              <w:rPr>
                <w:rFonts w:ascii="Arial" w:hAnsi="Arial" w:cs="Arial"/>
                <w:spacing w:val="6"/>
                <w:sz w:val="14"/>
                <w:szCs w:val="14"/>
              </w:rPr>
            </w:pPr>
          </w:p>
        </w:tc>
        <w:tc>
          <w:tcPr>
            <w:tcW w:w="795" w:type="pct"/>
            <w:gridSpan w:val="3"/>
            <w:tcBorders>
              <w:top w:val="single" w:sz="4" w:space="0" w:color="auto"/>
              <w:bottom w:val="single" w:sz="4" w:space="0" w:color="auto"/>
            </w:tcBorders>
            <w:shd w:val="clear" w:color="auto" w:fill="FBD4B4" w:themeFill="accent6" w:themeFillTint="66"/>
            <w:noWrap/>
            <w:vAlign w:val="center"/>
          </w:tcPr>
          <w:p w:rsidR="0090709F" w:rsidRPr="005260D5" w:rsidRDefault="0090709F" w:rsidP="0084345B">
            <w:pPr>
              <w:keepLines/>
              <w:tabs>
                <w:tab w:val="right" w:pos="2835"/>
                <w:tab w:val="right" w:pos="3969"/>
                <w:tab w:val="right" w:pos="5103"/>
                <w:tab w:val="right" w:pos="6237"/>
                <w:tab w:val="right" w:pos="7371"/>
              </w:tabs>
              <w:spacing w:after="0"/>
              <w:ind w:left="-102" w:right="-80" w:firstLine="0"/>
              <w:jc w:val="center"/>
              <w:rPr>
                <w:rFonts w:ascii="Arial" w:hAnsi="Arial" w:cs="Arial"/>
                <w:spacing w:val="6"/>
                <w:sz w:val="14"/>
                <w:szCs w:val="14"/>
              </w:rPr>
            </w:pPr>
            <w:r w:rsidRPr="005260D5">
              <w:rPr>
                <w:rFonts w:ascii="Arial" w:hAnsi="Arial"/>
                <w:sz w:val="14"/>
                <w:szCs w:val="14"/>
              </w:rPr>
              <w:t>GUZTIRA</w:t>
            </w:r>
          </w:p>
        </w:tc>
      </w:tr>
      <w:tr w:rsidR="0090709F" w:rsidRPr="005260D5" w:rsidTr="0084345B">
        <w:trPr>
          <w:gridAfter w:val="1"/>
          <w:wAfter w:w="12" w:type="pct"/>
          <w:trHeight w:val="284"/>
        </w:trPr>
        <w:tc>
          <w:tcPr>
            <w:tcW w:w="833" w:type="pct"/>
            <w:vMerge/>
            <w:tcBorders>
              <w:top w:val="single" w:sz="4" w:space="0" w:color="auto"/>
              <w:left w:val="nil"/>
              <w:bottom w:val="single" w:sz="4" w:space="0" w:color="auto"/>
            </w:tcBorders>
            <w:shd w:val="clear" w:color="auto" w:fill="FABF8F"/>
            <w:vAlign w:val="center"/>
          </w:tcPr>
          <w:p w:rsidR="0090709F" w:rsidRPr="005260D5" w:rsidRDefault="0090709F" w:rsidP="0084345B">
            <w:pPr>
              <w:spacing w:after="0"/>
              <w:ind w:firstLine="0"/>
              <w:jc w:val="left"/>
              <w:rPr>
                <w:rFonts w:ascii="Arial" w:hAnsi="Arial" w:cs="Arial"/>
                <w:bCs/>
                <w:color w:val="000000"/>
                <w:sz w:val="14"/>
                <w:szCs w:val="14"/>
                <w:lang w:val="es-ES" w:eastAsia="es-ES"/>
              </w:rPr>
            </w:pPr>
          </w:p>
        </w:tc>
        <w:tc>
          <w:tcPr>
            <w:tcW w:w="299" w:type="pct"/>
            <w:tcBorders>
              <w:top w:val="single" w:sz="4" w:space="0" w:color="auto"/>
              <w:bottom w:val="single" w:sz="4" w:space="0" w:color="auto"/>
            </w:tcBorders>
            <w:shd w:val="clear" w:color="auto" w:fill="FBD4B4" w:themeFill="accent6" w:themeFillTint="66"/>
            <w:noWrap/>
            <w:vAlign w:val="center"/>
          </w:tcPr>
          <w:p w:rsidR="0090709F" w:rsidRPr="005260D5" w:rsidRDefault="0090709F" w:rsidP="0084345B">
            <w:pPr>
              <w:spacing w:after="0"/>
              <w:ind w:firstLine="35"/>
              <w:jc w:val="center"/>
              <w:rPr>
                <w:rFonts w:ascii="Arial" w:hAnsi="Arial" w:cs="Arial"/>
                <w:bCs/>
                <w:color w:val="000000"/>
                <w:sz w:val="14"/>
                <w:szCs w:val="14"/>
              </w:rPr>
            </w:pPr>
            <w:r w:rsidRPr="005260D5">
              <w:rPr>
                <w:rFonts w:ascii="Arial" w:hAnsi="Arial"/>
                <w:bCs/>
                <w:color w:val="000000"/>
                <w:sz w:val="14"/>
                <w:szCs w:val="14"/>
              </w:rPr>
              <w:t>Ze</w:t>
            </w:r>
            <w:r w:rsidRPr="005260D5">
              <w:rPr>
                <w:rFonts w:ascii="Arial" w:hAnsi="Arial"/>
                <w:bCs/>
                <w:color w:val="000000"/>
                <w:sz w:val="14"/>
                <w:szCs w:val="14"/>
              </w:rPr>
              <w:t>n</w:t>
            </w:r>
            <w:r w:rsidRPr="005260D5">
              <w:rPr>
                <w:rFonts w:ascii="Arial" w:hAnsi="Arial"/>
                <w:bCs/>
                <w:color w:val="000000"/>
                <w:sz w:val="14"/>
                <w:szCs w:val="14"/>
              </w:rPr>
              <w:t>bat</w:t>
            </w:r>
          </w:p>
        </w:tc>
        <w:tc>
          <w:tcPr>
            <w:tcW w:w="465" w:type="pct"/>
            <w:tcBorders>
              <w:bottom w:val="single" w:sz="4" w:space="0" w:color="auto"/>
            </w:tcBorders>
            <w:shd w:val="clear" w:color="auto" w:fill="FBD4B4" w:themeFill="accent6" w:themeFillTint="66"/>
            <w:vAlign w:val="center"/>
          </w:tcPr>
          <w:p w:rsidR="0090709F" w:rsidRPr="005260D5" w:rsidRDefault="0090709F" w:rsidP="0084345B">
            <w:pPr>
              <w:spacing w:after="0"/>
              <w:ind w:firstLine="35"/>
              <w:jc w:val="right"/>
              <w:rPr>
                <w:rFonts w:ascii="Arial" w:hAnsi="Arial" w:cs="Arial"/>
                <w:bCs/>
                <w:color w:val="000000"/>
                <w:sz w:val="14"/>
                <w:szCs w:val="14"/>
              </w:rPr>
            </w:pPr>
            <w:r w:rsidRPr="005260D5">
              <w:rPr>
                <w:rFonts w:ascii="Arial" w:hAnsi="Arial"/>
                <w:bCs/>
                <w:color w:val="000000"/>
                <w:sz w:val="14"/>
                <w:szCs w:val="14"/>
              </w:rPr>
              <w:t>Diru-zenbat</w:t>
            </w:r>
            <w:r w:rsidRPr="005260D5">
              <w:rPr>
                <w:rFonts w:ascii="Arial" w:hAnsi="Arial"/>
                <w:bCs/>
                <w:color w:val="000000"/>
                <w:sz w:val="14"/>
                <w:szCs w:val="14"/>
              </w:rPr>
              <w:t>e</w:t>
            </w:r>
            <w:r w:rsidRPr="005260D5">
              <w:rPr>
                <w:rFonts w:ascii="Arial" w:hAnsi="Arial"/>
                <w:bCs/>
                <w:color w:val="000000"/>
                <w:sz w:val="14"/>
                <w:szCs w:val="14"/>
              </w:rPr>
              <w:t xml:space="preserve">koa </w:t>
            </w:r>
          </w:p>
        </w:tc>
        <w:tc>
          <w:tcPr>
            <w:tcW w:w="79" w:type="pct"/>
            <w:tcBorders>
              <w:bottom w:val="single" w:sz="4" w:space="0" w:color="auto"/>
            </w:tcBorders>
            <w:shd w:val="clear" w:color="auto" w:fill="FBD4B4" w:themeFill="accent6" w:themeFillTint="66"/>
          </w:tcPr>
          <w:p w:rsidR="0090709F" w:rsidRPr="005260D5" w:rsidRDefault="0090709F" w:rsidP="0084345B">
            <w:pPr>
              <w:spacing w:after="0"/>
              <w:ind w:firstLine="0"/>
              <w:jc w:val="center"/>
              <w:rPr>
                <w:rFonts w:ascii="Arial" w:hAnsi="Arial" w:cs="Arial"/>
                <w:bCs/>
                <w:color w:val="000000"/>
                <w:sz w:val="14"/>
                <w:szCs w:val="14"/>
                <w:lang w:val="es-ES" w:eastAsia="es-ES"/>
              </w:rPr>
            </w:pPr>
          </w:p>
        </w:tc>
        <w:tc>
          <w:tcPr>
            <w:tcW w:w="273" w:type="pct"/>
            <w:tcBorders>
              <w:bottom w:val="single" w:sz="4" w:space="0" w:color="auto"/>
            </w:tcBorders>
            <w:shd w:val="clear" w:color="auto" w:fill="FBD4B4" w:themeFill="accent6" w:themeFillTint="66"/>
            <w:noWrap/>
            <w:vAlign w:val="center"/>
          </w:tcPr>
          <w:p w:rsidR="0090709F" w:rsidRPr="005260D5" w:rsidRDefault="0090709F" w:rsidP="0084345B">
            <w:pPr>
              <w:spacing w:after="0"/>
              <w:ind w:firstLine="0"/>
              <w:jc w:val="center"/>
              <w:rPr>
                <w:rFonts w:ascii="Arial" w:hAnsi="Arial" w:cs="Arial"/>
                <w:bCs/>
                <w:color w:val="000000"/>
                <w:sz w:val="14"/>
                <w:szCs w:val="14"/>
              </w:rPr>
            </w:pPr>
            <w:r w:rsidRPr="005260D5">
              <w:rPr>
                <w:rFonts w:ascii="Arial" w:hAnsi="Arial"/>
                <w:bCs/>
                <w:color w:val="000000"/>
                <w:sz w:val="14"/>
                <w:szCs w:val="14"/>
              </w:rPr>
              <w:t>Ze</w:t>
            </w:r>
            <w:r w:rsidRPr="005260D5">
              <w:rPr>
                <w:rFonts w:ascii="Arial" w:hAnsi="Arial"/>
                <w:bCs/>
                <w:color w:val="000000"/>
                <w:sz w:val="14"/>
                <w:szCs w:val="14"/>
              </w:rPr>
              <w:t>n</w:t>
            </w:r>
            <w:r w:rsidRPr="005260D5">
              <w:rPr>
                <w:rFonts w:ascii="Arial" w:hAnsi="Arial"/>
                <w:bCs/>
                <w:color w:val="000000"/>
                <w:sz w:val="14"/>
                <w:szCs w:val="14"/>
              </w:rPr>
              <w:t>bat</w:t>
            </w:r>
          </w:p>
        </w:tc>
        <w:tc>
          <w:tcPr>
            <w:tcW w:w="481" w:type="pct"/>
            <w:tcBorders>
              <w:bottom w:val="single" w:sz="4" w:space="0" w:color="auto"/>
            </w:tcBorders>
            <w:shd w:val="clear" w:color="auto" w:fill="FBD4B4" w:themeFill="accent6" w:themeFillTint="66"/>
            <w:vAlign w:val="center"/>
          </w:tcPr>
          <w:p w:rsidR="0090709F" w:rsidRPr="005260D5" w:rsidRDefault="0090709F" w:rsidP="0084345B">
            <w:pPr>
              <w:spacing w:after="0"/>
              <w:ind w:firstLine="0"/>
              <w:jc w:val="right"/>
              <w:rPr>
                <w:rFonts w:ascii="Arial" w:hAnsi="Arial" w:cs="Arial"/>
                <w:bCs/>
                <w:color w:val="000000"/>
                <w:sz w:val="14"/>
                <w:szCs w:val="14"/>
              </w:rPr>
            </w:pPr>
            <w:r w:rsidRPr="005260D5">
              <w:rPr>
                <w:rFonts w:ascii="Arial" w:hAnsi="Arial"/>
                <w:bCs/>
                <w:color w:val="000000"/>
                <w:sz w:val="14"/>
                <w:szCs w:val="14"/>
              </w:rPr>
              <w:t>Diru-zenbat</w:t>
            </w:r>
            <w:r w:rsidRPr="005260D5">
              <w:rPr>
                <w:rFonts w:ascii="Arial" w:hAnsi="Arial"/>
                <w:bCs/>
                <w:color w:val="000000"/>
                <w:sz w:val="14"/>
                <w:szCs w:val="14"/>
              </w:rPr>
              <w:t>e</w:t>
            </w:r>
            <w:r w:rsidRPr="005260D5">
              <w:rPr>
                <w:rFonts w:ascii="Arial" w:hAnsi="Arial"/>
                <w:bCs/>
                <w:color w:val="000000"/>
                <w:sz w:val="14"/>
                <w:szCs w:val="14"/>
              </w:rPr>
              <w:t xml:space="preserve">koa </w:t>
            </w:r>
          </w:p>
        </w:tc>
        <w:tc>
          <w:tcPr>
            <w:tcW w:w="81" w:type="pct"/>
            <w:tcBorders>
              <w:bottom w:val="single" w:sz="4" w:space="0" w:color="auto"/>
            </w:tcBorders>
            <w:shd w:val="clear" w:color="auto" w:fill="FBD4B4" w:themeFill="accent6" w:themeFillTint="66"/>
          </w:tcPr>
          <w:p w:rsidR="0090709F" w:rsidRPr="005260D5" w:rsidRDefault="0090709F" w:rsidP="0084345B">
            <w:pPr>
              <w:keepLines/>
              <w:tabs>
                <w:tab w:val="right" w:pos="2835"/>
                <w:tab w:val="right" w:pos="3521"/>
                <w:tab w:val="right" w:pos="5103"/>
                <w:tab w:val="right" w:pos="6237"/>
                <w:tab w:val="right" w:pos="7371"/>
              </w:tabs>
              <w:spacing w:after="0"/>
              <w:ind w:left="-102" w:right="-80" w:firstLine="0"/>
              <w:jc w:val="center"/>
              <w:rPr>
                <w:rFonts w:ascii="Arial" w:hAnsi="Arial" w:cs="Arial"/>
                <w:spacing w:val="6"/>
                <w:sz w:val="14"/>
                <w:szCs w:val="14"/>
              </w:rPr>
            </w:pPr>
          </w:p>
        </w:tc>
        <w:tc>
          <w:tcPr>
            <w:tcW w:w="270" w:type="pct"/>
            <w:tcBorders>
              <w:top w:val="single" w:sz="4" w:space="0" w:color="auto"/>
              <w:bottom w:val="single" w:sz="4" w:space="0" w:color="auto"/>
            </w:tcBorders>
            <w:shd w:val="clear" w:color="auto" w:fill="FBD4B4" w:themeFill="accent6" w:themeFillTint="66"/>
            <w:noWrap/>
            <w:vAlign w:val="center"/>
          </w:tcPr>
          <w:p w:rsidR="0090709F" w:rsidRPr="005260D5" w:rsidRDefault="0090709F" w:rsidP="0084345B">
            <w:pPr>
              <w:spacing w:after="0"/>
              <w:ind w:firstLine="0"/>
              <w:jc w:val="center"/>
              <w:rPr>
                <w:rFonts w:ascii="Arial" w:hAnsi="Arial" w:cs="Arial"/>
                <w:bCs/>
                <w:color w:val="000000"/>
                <w:sz w:val="14"/>
                <w:szCs w:val="14"/>
              </w:rPr>
            </w:pPr>
            <w:r w:rsidRPr="005260D5">
              <w:rPr>
                <w:rFonts w:ascii="Arial" w:hAnsi="Arial"/>
                <w:bCs/>
                <w:color w:val="000000"/>
                <w:sz w:val="14"/>
                <w:szCs w:val="14"/>
              </w:rPr>
              <w:t>Ze</w:t>
            </w:r>
            <w:r w:rsidRPr="005260D5">
              <w:rPr>
                <w:rFonts w:ascii="Arial" w:hAnsi="Arial"/>
                <w:bCs/>
                <w:color w:val="000000"/>
                <w:sz w:val="14"/>
                <w:szCs w:val="14"/>
              </w:rPr>
              <w:t>n</w:t>
            </w:r>
            <w:r w:rsidRPr="005260D5">
              <w:rPr>
                <w:rFonts w:ascii="Arial" w:hAnsi="Arial"/>
                <w:bCs/>
                <w:color w:val="000000"/>
                <w:sz w:val="14"/>
                <w:szCs w:val="14"/>
              </w:rPr>
              <w:t>bat</w:t>
            </w:r>
          </w:p>
        </w:tc>
        <w:tc>
          <w:tcPr>
            <w:tcW w:w="482" w:type="pct"/>
            <w:gridSpan w:val="2"/>
            <w:tcBorders>
              <w:top w:val="single" w:sz="4" w:space="0" w:color="auto"/>
              <w:bottom w:val="single" w:sz="4" w:space="0" w:color="auto"/>
            </w:tcBorders>
            <w:shd w:val="clear" w:color="auto" w:fill="FBD4B4" w:themeFill="accent6" w:themeFillTint="66"/>
            <w:vAlign w:val="center"/>
          </w:tcPr>
          <w:p w:rsidR="0090709F" w:rsidRPr="005260D5" w:rsidRDefault="0090709F" w:rsidP="0084345B">
            <w:pPr>
              <w:spacing w:after="0"/>
              <w:ind w:firstLine="0"/>
              <w:jc w:val="right"/>
              <w:rPr>
                <w:rFonts w:ascii="Arial" w:hAnsi="Arial" w:cs="Arial"/>
                <w:bCs/>
                <w:color w:val="000000"/>
                <w:sz w:val="14"/>
                <w:szCs w:val="14"/>
              </w:rPr>
            </w:pPr>
            <w:r w:rsidRPr="005260D5">
              <w:rPr>
                <w:rFonts w:ascii="Arial" w:hAnsi="Arial"/>
                <w:bCs/>
                <w:color w:val="000000"/>
                <w:sz w:val="14"/>
                <w:szCs w:val="14"/>
              </w:rPr>
              <w:t>Diru-zenbat</w:t>
            </w:r>
            <w:r w:rsidRPr="005260D5">
              <w:rPr>
                <w:rFonts w:ascii="Arial" w:hAnsi="Arial"/>
                <w:bCs/>
                <w:color w:val="000000"/>
                <w:sz w:val="14"/>
                <w:szCs w:val="14"/>
              </w:rPr>
              <w:t>e</w:t>
            </w:r>
            <w:r w:rsidRPr="005260D5">
              <w:rPr>
                <w:rFonts w:ascii="Arial" w:hAnsi="Arial"/>
                <w:bCs/>
                <w:color w:val="000000"/>
                <w:sz w:val="14"/>
                <w:szCs w:val="14"/>
              </w:rPr>
              <w:t xml:space="preserve">koa </w:t>
            </w:r>
          </w:p>
        </w:tc>
        <w:tc>
          <w:tcPr>
            <w:tcW w:w="81" w:type="pct"/>
            <w:gridSpan w:val="2"/>
            <w:tcBorders>
              <w:bottom w:val="single" w:sz="4" w:space="0" w:color="auto"/>
            </w:tcBorders>
            <w:shd w:val="clear" w:color="auto" w:fill="FBD4B4" w:themeFill="accent6" w:themeFillTint="66"/>
          </w:tcPr>
          <w:p w:rsidR="0090709F" w:rsidRPr="005260D5" w:rsidRDefault="0090709F" w:rsidP="0084345B">
            <w:pPr>
              <w:spacing w:after="0"/>
              <w:ind w:firstLine="0"/>
              <w:jc w:val="center"/>
              <w:rPr>
                <w:rFonts w:ascii="Arial" w:hAnsi="Arial" w:cs="Arial"/>
                <w:bCs/>
                <w:color w:val="000000"/>
                <w:sz w:val="14"/>
                <w:szCs w:val="14"/>
                <w:lang w:val="es-ES" w:eastAsia="es-ES"/>
              </w:rPr>
            </w:pPr>
          </w:p>
        </w:tc>
        <w:tc>
          <w:tcPr>
            <w:tcW w:w="264" w:type="pct"/>
            <w:gridSpan w:val="2"/>
            <w:tcBorders>
              <w:top w:val="single" w:sz="4" w:space="0" w:color="auto"/>
              <w:bottom w:val="single" w:sz="4" w:space="0" w:color="auto"/>
            </w:tcBorders>
            <w:shd w:val="clear" w:color="auto" w:fill="FBD4B4" w:themeFill="accent6" w:themeFillTint="66"/>
            <w:vAlign w:val="center"/>
          </w:tcPr>
          <w:p w:rsidR="0090709F" w:rsidRPr="005260D5" w:rsidRDefault="0090709F" w:rsidP="0084345B">
            <w:pPr>
              <w:spacing w:after="0"/>
              <w:ind w:firstLine="0"/>
              <w:jc w:val="center"/>
              <w:rPr>
                <w:rFonts w:ascii="Arial" w:hAnsi="Arial" w:cs="Arial"/>
                <w:bCs/>
                <w:color w:val="000000"/>
                <w:sz w:val="14"/>
                <w:szCs w:val="14"/>
              </w:rPr>
            </w:pPr>
            <w:r w:rsidRPr="005260D5">
              <w:rPr>
                <w:rFonts w:ascii="Arial" w:hAnsi="Arial"/>
                <w:bCs/>
                <w:color w:val="000000"/>
                <w:sz w:val="14"/>
                <w:szCs w:val="14"/>
              </w:rPr>
              <w:t>Ze</w:t>
            </w:r>
            <w:r w:rsidRPr="005260D5">
              <w:rPr>
                <w:rFonts w:ascii="Arial" w:hAnsi="Arial"/>
                <w:bCs/>
                <w:color w:val="000000"/>
                <w:sz w:val="14"/>
                <w:szCs w:val="14"/>
              </w:rPr>
              <w:t>n</w:t>
            </w:r>
            <w:r w:rsidRPr="005260D5">
              <w:rPr>
                <w:rFonts w:ascii="Arial" w:hAnsi="Arial"/>
                <w:bCs/>
                <w:color w:val="000000"/>
                <w:sz w:val="14"/>
                <w:szCs w:val="14"/>
              </w:rPr>
              <w:t>bat</w:t>
            </w:r>
          </w:p>
        </w:tc>
        <w:tc>
          <w:tcPr>
            <w:tcW w:w="488" w:type="pct"/>
            <w:gridSpan w:val="2"/>
            <w:tcBorders>
              <w:top w:val="single" w:sz="4" w:space="0" w:color="auto"/>
              <w:bottom w:val="single" w:sz="4" w:space="0" w:color="auto"/>
            </w:tcBorders>
            <w:shd w:val="clear" w:color="auto" w:fill="FBD4B4" w:themeFill="accent6" w:themeFillTint="66"/>
            <w:vAlign w:val="center"/>
          </w:tcPr>
          <w:p w:rsidR="0090709F" w:rsidRPr="005260D5" w:rsidRDefault="0090709F" w:rsidP="0084345B">
            <w:pPr>
              <w:spacing w:after="0"/>
              <w:ind w:firstLine="0"/>
              <w:jc w:val="right"/>
              <w:rPr>
                <w:rFonts w:ascii="Arial" w:hAnsi="Arial" w:cs="Arial"/>
                <w:bCs/>
                <w:color w:val="000000"/>
                <w:sz w:val="14"/>
                <w:szCs w:val="14"/>
              </w:rPr>
            </w:pPr>
            <w:r w:rsidRPr="005260D5">
              <w:rPr>
                <w:rFonts w:ascii="Arial" w:hAnsi="Arial"/>
                <w:bCs/>
                <w:color w:val="000000"/>
                <w:sz w:val="14"/>
                <w:szCs w:val="14"/>
              </w:rPr>
              <w:t xml:space="preserve">Diru-zenbatekoa </w:t>
            </w:r>
          </w:p>
        </w:tc>
        <w:tc>
          <w:tcPr>
            <w:tcW w:w="98" w:type="pct"/>
            <w:gridSpan w:val="2"/>
            <w:tcBorders>
              <w:bottom w:val="single" w:sz="4" w:space="0" w:color="auto"/>
            </w:tcBorders>
            <w:shd w:val="clear" w:color="auto" w:fill="FBD4B4" w:themeFill="accent6" w:themeFillTint="66"/>
          </w:tcPr>
          <w:p w:rsidR="0090709F" w:rsidRPr="005260D5" w:rsidRDefault="0090709F" w:rsidP="0084345B">
            <w:pPr>
              <w:spacing w:after="0"/>
              <w:ind w:firstLine="0"/>
              <w:jc w:val="center"/>
              <w:rPr>
                <w:rFonts w:ascii="Arial" w:hAnsi="Arial" w:cs="Arial"/>
                <w:bCs/>
                <w:color w:val="000000"/>
                <w:sz w:val="14"/>
                <w:szCs w:val="14"/>
                <w:lang w:val="es-ES" w:eastAsia="es-ES"/>
              </w:rPr>
            </w:pPr>
          </w:p>
        </w:tc>
        <w:tc>
          <w:tcPr>
            <w:tcW w:w="360" w:type="pct"/>
            <w:gridSpan w:val="2"/>
            <w:tcBorders>
              <w:top w:val="single" w:sz="4" w:space="0" w:color="auto"/>
              <w:bottom w:val="single" w:sz="4" w:space="0" w:color="auto"/>
            </w:tcBorders>
            <w:shd w:val="clear" w:color="auto" w:fill="FBD4B4" w:themeFill="accent6" w:themeFillTint="66"/>
            <w:noWrap/>
            <w:vAlign w:val="center"/>
          </w:tcPr>
          <w:p w:rsidR="0090709F" w:rsidRPr="005260D5" w:rsidRDefault="0090709F" w:rsidP="0084345B">
            <w:pPr>
              <w:spacing w:after="0"/>
              <w:ind w:firstLine="0"/>
              <w:jc w:val="center"/>
              <w:rPr>
                <w:rFonts w:ascii="Arial" w:hAnsi="Arial" w:cs="Arial"/>
                <w:bCs/>
                <w:color w:val="000000"/>
                <w:sz w:val="14"/>
                <w:szCs w:val="14"/>
              </w:rPr>
            </w:pPr>
            <w:r w:rsidRPr="005260D5">
              <w:rPr>
                <w:rFonts w:ascii="Arial" w:hAnsi="Arial"/>
                <w:bCs/>
                <w:color w:val="000000"/>
                <w:sz w:val="14"/>
                <w:szCs w:val="14"/>
              </w:rPr>
              <w:t>Zenbat</w:t>
            </w:r>
          </w:p>
        </w:tc>
        <w:tc>
          <w:tcPr>
            <w:tcW w:w="435" w:type="pct"/>
            <w:tcBorders>
              <w:top w:val="single" w:sz="4" w:space="0" w:color="auto"/>
              <w:bottom w:val="single" w:sz="4" w:space="0" w:color="auto"/>
            </w:tcBorders>
            <w:shd w:val="clear" w:color="auto" w:fill="FBD4B4" w:themeFill="accent6" w:themeFillTint="66"/>
            <w:vAlign w:val="center"/>
          </w:tcPr>
          <w:p w:rsidR="0090709F" w:rsidRPr="005260D5" w:rsidRDefault="0090709F" w:rsidP="0084345B">
            <w:pPr>
              <w:spacing w:after="0"/>
              <w:ind w:firstLine="0"/>
              <w:jc w:val="right"/>
              <w:rPr>
                <w:rFonts w:ascii="Arial" w:hAnsi="Arial" w:cs="Arial"/>
                <w:bCs/>
                <w:color w:val="000000"/>
                <w:sz w:val="14"/>
                <w:szCs w:val="14"/>
              </w:rPr>
            </w:pPr>
            <w:r w:rsidRPr="005260D5">
              <w:rPr>
                <w:rFonts w:ascii="Arial" w:hAnsi="Arial"/>
                <w:bCs/>
                <w:color w:val="000000"/>
                <w:sz w:val="14"/>
                <w:szCs w:val="14"/>
              </w:rPr>
              <w:t>Diru-zenbat</w:t>
            </w:r>
            <w:r w:rsidRPr="005260D5">
              <w:rPr>
                <w:rFonts w:ascii="Arial" w:hAnsi="Arial"/>
                <w:bCs/>
                <w:color w:val="000000"/>
                <w:sz w:val="14"/>
                <w:szCs w:val="14"/>
              </w:rPr>
              <w:t>e</w:t>
            </w:r>
            <w:r w:rsidRPr="005260D5">
              <w:rPr>
                <w:rFonts w:ascii="Arial" w:hAnsi="Arial"/>
                <w:bCs/>
                <w:color w:val="000000"/>
                <w:sz w:val="14"/>
                <w:szCs w:val="14"/>
              </w:rPr>
              <w:t xml:space="preserve">koa </w:t>
            </w:r>
          </w:p>
        </w:tc>
      </w:tr>
      <w:tr w:rsidR="0090709F" w:rsidRPr="005260D5" w:rsidTr="0084345B">
        <w:trPr>
          <w:trHeight w:val="255"/>
        </w:trPr>
        <w:tc>
          <w:tcPr>
            <w:tcW w:w="833" w:type="pct"/>
            <w:tcBorders>
              <w:top w:val="single" w:sz="4" w:space="0" w:color="auto"/>
              <w:left w:val="nil"/>
              <w:bottom w:val="single" w:sz="4" w:space="0" w:color="auto"/>
            </w:tcBorders>
            <w:noWrap/>
            <w:vAlign w:val="bottom"/>
          </w:tcPr>
          <w:p w:rsidR="0090709F" w:rsidRPr="005260D5" w:rsidRDefault="0090709F" w:rsidP="0084345B">
            <w:pPr>
              <w:spacing w:after="0"/>
              <w:ind w:firstLine="0"/>
              <w:jc w:val="left"/>
              <w:rPr>
                <w:rFonts w:ascii="Arial Narrow" w:hAnsi="Arial Narrow"/>
                <w:color w:val="000000"/>
                <w:sz w:val="16"/>
                <w:szCs w:val="16"/>
              </w:rPr>
            </w:pPr>
            <w:r w:rsidRPr="005260D5">
              <w:rPr>
                <w:rFonts w:ascii="Arial Narrow" w:hAnsi="Arial Narrow"/>
                <w:color w:val="000000"/>
                <w:sz w:val="16"/>
                <w:szCs w:val="16"/>
              </w:rPr>
              <w:t>Laguntza</w:t>
            </w:r>
          </w:p>
        </w:tc>
        <w:tc>
          <w:tcPr>
            <w:tcW w:w="299" w:type="pct"/>
            <w:tcBorders>
              <w:top w:val="single" w:sz="4" w:space="0" w:color="auto"/>
              <w:bottom w:val="single" w:sz="4" w:space="0" w:color="auto"/>
            </w:tcBorders>
            <w:noWrap/>
            <w:vAlign w:val="bottom"/>
          </w:tcPr>
          <w:p w:rsidR="0090709F" w:rsidRPr="005260D5" w:rsidRDefault="0090709F" w:rsidP="0084345B">
            <w:pPr>
              <w:spacing w:after="0"/>
              <w:ind w:firstLine="35"/>
              <w:jc w:val="center"/>
              <w:rPr>
                <w:rFonts w:ascii="Arial Narrow" w:hAnsi="Arial Narrow"/>
                <w:color w:val="000000"/>
                <w:sz w:val="16"/>
                <w:szCs w:val="16"/>
              </w:rPr>
            </w:pPr>
            <w:r w:rsidRPr="005260D5">
              <w:rPr>
                <w:rFonts w:ascii="Arial Narrow" w:hAnsi="Arial Narrow"/>
                <w:color w:val="000000"/>
                <w:sz w:val="16"/>
                <w:szCs w:val="16"/>
              </w:rPr>
              <w:t>137</w:t>
            </w:r>
          </w:p>
        </w:tc>
        <w:tc>
          <w:tcPr>
            <w:tcW w:w="465" w:type="pct"/>
            <w:tcBorders>
              <w:bottom w:val="single" w:sz="4" w:space="0" w:color="auto"/>
            </w:tcBorders>
            <w:noWrap/>
            <w:vAlign w:val="bottom"/>
          </w:tcPr>
          <w:p w:rsidR="0090709F" w:rsidRPr="005260D5" w:rsidRDefault="0090709F" w:rsidP="0084345B">
            <w:pPr>
              <w:spacing w:after="0"/>
              <w:ind w:firstLine="35"/>
              <w:jc w:val="right"/>
              <w:rPr>
                <w:rFonts w:ascii="Arial Narrow" w:hAnsi="Arial Narrow"/>
                <w:color w:val="000000"/>
                <w:sz w:val="16"/>
                <w:szCs w:val="16"/>
              </w:rPr>
            </w:pPr>
            <w:r w:rsidRPr="005260D5">
              <w:rPr>
                <w:rFonts w:ascii="Arial Narrow" w:hAnsi="Arial Narrow"/>
                <w:color w:val="000000"/>
                <w:sz w:val="16"/>
                <w:szCs w:val="16"/>
              </w:rPr>
              <w:t>7.985</w:t>
            </w:r>
          </w:p>
        </w:tc>
        <w:tc>
          <w:tcPr>
            <w:tcW w:w="79" w:type="pct"/>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73" w:type="pct"/>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2</w:t>
            </w:r>
          </w:p>
        </w:tc>
        <w:tc>
          <w:tcPr>
            <w:tcW w:w="481" w:type="pct"/>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38</w:t>
            </w:r>
          </w:p>
        </w:tc>
        <w:tc>
          <w:tcPr>
            <w:tcW w:w="81" w:type="pct"/>
            <w:tcBorders>
              <w:top w:val="single" w:sz="4" w:space="0" w:color="auto"/>
            </w:tcBorders>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70" w:type="pct"/>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1</w:t>
            </w:r>
          </w:p>
        </w:tc>
        <w:tc>
          <w:tcPr>
            <w:tcW w:w="412" w:type="pct"/>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24</w:t>
            </w:r>
          </w:p>
        </w:tc>
        <w:tc>
          <w:tcPr>
            <w:tcW w:w="81" w:type="pct"/>
            <w:gridSpan w:val="2"/>
            <w:tcBorders>
              <w:top w:val="single" w:sz="4" w:space="0" w:color="auto"/>
            </w:tcBorders>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64" w:type="pct"/>
            <w:gridSpan w:val="2"/>
            <w:tcBorders>
              <w:top w:val="single" w:sz="4" w:space="0" w:color="auto"/>
              <w:bottom w:val="single" w:sz="4" w:space="0" w:color="auto"/>
            </w:tcBorders>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12</w:t>
            </w:r>
          </w:p>
        </w:tc>
        <w:tc>
          <w:tcPr>
            <w:tcW w:w="488" w:type="pct"/>
            <w:gridSpan w:val="2"/>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646</w:t>
            </w:r>
          </w:p>
        </w:tc>
        <w:tc>
          <w:tcPr>
            <w:tcW w:w="98" w:type="pct"/>
            <w:gridSpan w:val="2"/>
            <w:tcBorders>
              <w:top w:val="single" w:sz="4" w:space="0" w:color="auto"/>
            </w:tcBorders>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360" w:type="pct"/>
            <w:gridSpan w:val="2"/>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152</w:t>
            </w:r>
          </w:p>
        </w:tc>
        <w:tc>
          <w:tcPr>
            <w:tcW w:w="517" w:type="pct"/>
            <w:gridSpan w:val="3"/>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8.693</w:t>
            </w:r>
          </w:p>
        </w:tc>
      </w:tr>
      <w:tr w:rsidR="0090709F" w:rsidRPr="005260D5" w:rsidTr="0084345B">
        <w:trPr>
          <w:trHeight w:val="255"/>
        </w:trPr>
        <w:tc>
          <w:tcPr>
            <w:tcW w:w="833" w:type="pct"/>
            <w:tcBorders>
              <w:top w:val="single" w:sz="4" w:space="0" w:color="auto"/>
              <w:left w:val="nil"/>
              <w:bottom w:val="single" w:sz="4" w:space="0" w:color="auto"/>
            </w:tcBorders>
            <w:noWrap/>
            <w:vAlign w:val="bottom"/>
          </w:tcPr>
          <w:p w:rsidR="0090709F" w:rsidRPr="005260D5" w:rsidRDefault="0090709F" w:rsidP="0084345B">
            <w:pPr>
              <w:spacing w:after="0"/>
              <w:ind w:firstLine="0"/>
              <w:jc w:val="left"/>
              <w:rPr>
                <w:rFonts w:ascii="Arial Narrow" w:hAnsi="Arial Narrow"/>
                <w:color w:val="000000"/>
                <w:sz w:val="16"/>
                <w:szCs w:val="16"/>
              </w:rPr>
            </w:pPr>
            <w:r w:rsidRPr="005260D5">
              <w:rPr>
                <w:rFonts w:ascii="Arial Narrow" w:hAnsi="Arial Narrow"/>
                <w:color w:val="000000"/>
                <w:sz w:val="16"/>
                <w:szCs w:val="16"/>
              </w:rPr>
              <w:t>Obrak</w:t>
            </w:r>
          </w:p>
        </w:tc>
        <w:tc>
          <w:tcPr>
            <w:tcW w:w="299" w:type="pct"/>
            <w:tcBorders>
              <w:top w:val="single" w:sz="4" w:space="0" w:color="auto"/>
              <w:bottom w:val="single" w:sz="4" w:space="0" w:color="auto"/>
            </w:tcBorders>
            <w:noWrap/>
            <w:vAlign w:val="bottom"/>
          </w:tcPr>
          <w:p w:rsidR="0090709F" w:rsidRPr="005260D5" w:rsidRDefault="0090709F" w:rsidP="0084345B">
            <w:pPr>
              <w:spacing w:after="0"/>
              <w:ind w:firstLine="35"/>
              <w:jc w:val="center"/>
              <w:rPr>
                <w:rFonts w:ascii="Arial Narrow" w:hAnsi="Arial Narrow"/>
                <w:color w:val="000000"/>
                <w:sz w:val="16"/>
                <w:szCs w:val="16"/>
              </w:rPr>
            </w:pPr>
            <w:r w:rsidRPr="005260D5">
              <w:rPr>
                <w:rFonts w:ascii="Arial Narrow" w:hAnsi="Arial Narrow"/>
                <w:color w:val="000000"/>
                <w:sz w:val="16"/>
                <w:szCs w:val="16"/>
              </w:rPr>
              <w:t>113</w:t>
            </w:r>
          </w:p>
        </w:tc>
        <w:tc>
          <w:tcPr>
            <w:tcW w:w="465" w:type="pct"/>
            <w:tcBorders>
              <w:top w:val="single" w:sz="4" w:space="0" w:color="auto"/>
              <w:bottom w:val="single" w:sz="4" w:space="0" w:color="auto"/>
            </w:tcBorders>
            <w:noWrap/>
            <w:vAlign w:val="bottom"/>
          </w:tcPr>
          <w:p w:rsidR="0090709F" w:rsidRPr="005260D5" w:rsidRDefault="0090709F" w:rsidP="0084345B">
            <w:pPr>
              <w:spacing w:after="0"/>
              <w:ind w:firstLine="35"/>
              <w:jc w:val="right"/>
              <w:rPr>
                <w:rFonts w:ascii="Arial Narrow" w:hAnsi="Arial Narrow"/>
                <w:color w:val="000000"/>
                <w:sz w:val="16"/>
                <w:szCs w:val="16"/>
              </w:rPr>
            </w:pPr>
            <w:r w:rsidRPr="005260D5">
              <w:rPr>
                <w:rFonts w:ascii="Arial Narrow" w:hAnsi="Arial Narrow"/>
                <w:color w:val="000000"/>
                <w:sz w:val="16"/>
                <w:szCs w:val="16"/>
              </w:rPr>
              <w:t>24.461</w:t>
            </w:r>
          </w:p>
        </w:tc>
        <w:tc>
          <w:tcPr>
            <w:tcW w:w="79" w:type="pct"/>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73" w:type="pct"/>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2</w:t>
            </w:r>
          </w:p>
        </w:tc>
        <w:tc>
          <w:tcPr>
            <w:tcW w:w="481" w:type="pct"/>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117</w:t>
            </w:r>
          </w:p>
        </w:tc>
        <w:tc>
          <w:tcPr>
            <w:tcW w:w="81" w:type="pct"/>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70" w:type="pct"/>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 </w:t>
            </w:r>
          </w:p>
        </w:tc>
        <w:tc>
          <w:tcPr>
            <w:tcW w:w="412" w:type="pct"/>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 </w:t>
            </w:r>
          </w:p>
        </w:tc>
        <w:tc>
          <w:tcPr>
            <w:tcW w:w="81" w:type="pct"/>
            <w:gridSpan w:val="2"/>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64" w:type="pct"/>
            <w:gridSpan w:val="2"/>
            <w:tcBorders>
              <w:top w:val="single" w:sz="4" w:space="0" w:color="auto"/>
              <w:bottom w:val="single" w:sz="4" w:space="0" w:color="auto"/>
            </w:tcBorders>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8</w:t>
            </w:r>
          </w:p>
        </w:tc>
        <w:tc>
          <w:tcPr>
            <w:tcW w:w="488" w:type="pct"/>
            <w:gridSpan w:val="2"/>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2.399</w:t>
            </w:r>
          </w:p>
        </w:tc>
        <w:tc>
          <w:tcPr>
            <w:tcW w:w="98" w:type="pct"/>
            <w:gridSpan w:val="2"/>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360" w:type="pct"/>
            <w:gridSpan w:val="2"/>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123</w:t>
            </w:r>
          </w:p>
        </w:tc>
        <w:tc>
          <w:tcPr>
            <w:tcW w:w="517" w:type="pct"/>
            <w:gridSpan w:val="3"/>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26.977</w:t>
            </w:r>
          </w:p>
        </w:tc>
      </w:tr>
      <w:tr w:rsidR="0090709F" w:rsidRPr="005260D5" w:rsidTr="0084345B">
        <w:trPr>
          <w:trHeight w:val="255"/>
        </w:trPr>
        <w:tc>
          <w:tcPr>
            <w:tcW w:w="833" w:type="pct"/>
            <w:tcBorders>
              <w:top w:val="single" w:sz="4" w:space="0" w:color="auto"/>
              <w:left w:val="nil"/>
              <w:bottom w:val="single" w:sz="4" w:space="0" w:color="auto"/>
            </w:tcBorders>
            <w:noWrap/>
            <w:vAlign w:val="bottom"/>
          </w:tcPr>
          <w:p w:rsidR="0090709F" w:rsidRPr="005260D5" w:rsidRDefault="0090709F" w:rsidP="0084345B">
            <w:pPr>
              <w:spacing w:after="0"/>
              <w:ind w:firstLine="0"/>
              <w:jc w:val="left"/>
              <w:rPr>
                <w:rFonts w:ascii="Arial Narrow" w:hAnsi="Arial Narrow"/>
                <w:color w:val="000000"/>
                <w:sz w:val="16"/>
                <w:szCs w:val="16"/>
              </w:rPr>
            </w:pPr>
            <w:r w:rsidRPr="005260D5">
              <w:rPr>
                <w:rFonts w:ascii="Arial Narrow" w:hAnsi="Arial Narrow"/>
                <w:color w:val="000000"/>
                <w:sz w:val="16"/>
                <w:szCs w:val="16"/>
              </w:rPr>
              <w:t>Hornidura</w:t>
            </w:r>
          </w:p>
        </w:tc>
        <w:tc>
          <w:tcPr>
            <w:tcW w:w="299" w:type="pct"/>
            <w:tcBorders>
              <w:top w:val="single" w:sz="4" w:space="0" w:color="auto"/>
              <w:bottom w:val="single" w:sz="4" w:space="0" w:color="auto"/>
            </w:tcBorders>
            <w:noWrap/>
            <w:vAlign w:val="bottom"/>
          </w:tcPr>
          <w:p w:rsidR="0090709F" w:rsidRPr="005260D5" w:rsidRDefault="0090709F" w:rsidP="0084345B">
            <w:pPr>
              <w:spacing w:after="0"/>
              <w:ind w:firstLine="35"/>
              <w:jc w:val="center"/>
              <w:rPr>
                <w:rFonts w:ascii="Arial Narrow" w:hAnsi="Arial Narrow"/>
                <w:color w:val="000000"/>
                <w:sz w:val="16"/>
                <w:szCs w:val="16"/>
              </w:rPr>
            </w:pPr>
            <w:r w:rsidRPr="005260D5">
              <w:rPr>
                <w:rFonts w:ascii="Arial Narrow" w:hAnsi="Arial Narrow"/>
                <w:color w:val="000000"/>
                <w:sz w:val="16"/>
                <w:szCs w:val="16"/>
              </w:rPr>
              <w:t>50</w:t>
            </w:r>
          </w:p>
        </w:tc>
        <w:tc>
          <w:tcPr>
            <w:tcW w:w="465" w:type="pct"/>
            <w:tcBorders>
              <w:top w:val="single" w:sz="4" w:space="0" w:color="auto"/>
              <w:bottom w:val="single" w:sz="4" w:space="0" w:color="auto"/>
            </w:tcBorders>
            <w:noWrap/>
            <w:vAlign w:val="bottom"/>
          </w:tcPr>
          <w:p w:rsidR="0090709F" w:rsidRPr="005260D5" w:rsidRDefault="0090709F" w:rsidP="0084345B">
            <w:pPr>
              <w:spacing w:after="0"/>
              <w:ind w:firstLine="35"/>
              <w:jc w:val="right"/>
              <w:rPr>
                <w:rFonts w:ascii="Arial Narrow" w:hAnsi="Arial Narrow"/>
                <w:color w:val="000000"/>
                <w:sz w:val="16"/>
                <w:szCs w:val="16"/>
              </w:rPr>
            </w:pPr>
            <w:r w:rsidRPr="005260D5">
              <w:rPr>
                <w:rFonts w:ascii="Arial Narrow" w:hAnsi="Arial Narrow"/>
                <w:color w:val="000000"/>
                <w:sz w:val="16"/>
                <w:szCs w:val="16"/>
              </w:rPr>
              <w:t>2.021</w:t>
            </w:r>
          </w:p>
        </w:tc>
        <w:tc>
          <w:tcPr>
            <w:tcW w:w="79" w:type="pct"/>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73" w:type="pct"/>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 </w:t>
            </w:r>
          </w:p>
        </w:tc>
        <w:tc>
          <w:tcPr>
            <w:tcW w:w="481" w:type="pct"/>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 </w:t>
            </w:r>
          </w:p>
        </w:tc>
        <w:tc>
          <w:tcPr>
            <w:tcW w:w="81" w:type="pct"/>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70" w:type="pct"/>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 </w:t>
            </w:r>
          </w:p>
        </w:tc>
        <w:tc>
          <w:tcPr>
            <w:tcW w:w="412" w:type="pct"/>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 </w:t>
            </w:r>
          </w:p>
        </w:tc>
        <w:tc>
          <w:tcPr>
            <w:tcW w:w="81" w:type="pct"/>
            <w:gridSpan w:val="2"/>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64" w:type="pct"/>
            <w:gridSpan w:val="2"/>
            <w:tcBorders>
              <w:top w:val="single" w:sz="4" w:space="0" w:color="auto"/>
              <w:bottom w:val="single" w:sz="4" w:space="0" w:color="auto"/>
            </w:tcBorders>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9</w:t>
            </w:r>
          </w:p>
        </w:tc>
        <w:tc>
          <w:tcPr>
            <w:tcW w:w="488" w:type="pct"/>
            <w:gridSpan w:val="2"/>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824</w:t>
            </w:r>
          </w:p>
        </w:tc>
        <w:tc>
          <w:tcPr>
            <w:tcW w:w="98" w:type="pct"/>
            <w:gridSpan w:val="2"/>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360" w:type="pct"/>
            <w:gridSpan w:val="2"/>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59</w:t>
            </w:r>
          </w:p>
        </w:tc>
        <w:tc>
          <w:tcPr>
            <w:tcW w:w="517" w:type="pct"/>
            <w:gridSpan w:val="3"/>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2.845</w:t>
            </w:r>
          </w:p>
        </w:tc>
      </w:tr>
      <w:tr w:rsidR="0090709F" w:rsidRPr="005260D5" w:rsidTr="0084345B">
        <w:trPr>
          <w:trHeight w:val="255"/>
        </w:trPr>
        <w:tc>
          <w:tcPr>
            <w:tcW w:w="833" w:type="pct"/>
            <w:tcBorders>
              <w:top w:val="single" w:sz="4" w:space="0" w:color="auto"/>
              <w:left w:val="nil"/>
              <w:bottom w:val="single" w:sz="4" w:space="0" w:color="auto"/>
            </w:tcBorders>
            <w:noWrap/>
            <w:vAlign w:val="bottom"/>
          </w:tcPr>
          <w:p w:rsidR="0090709F" w:rsidRPr="005260D5" w:rsidRDefault="0090709F" w:rsidP="0084345B">
            <w:pPr>
              <w:spacing w:after="0"/>
              <w:ind w:firstLine="0"/>
              <w:jc w:val="left"/>
              <w:rPr>
                <w:rFonts w:ascii="Arial Narrow" w:hAnsi="Arial Narrow"/>
                <w:color w:val="000000"/>
                <w:sz w:val="16"/>
                <w:szCs w:val="16"/>
              </w:rPr>
            </w:pPr>
            <w:r w:rsidRPr="005260D5">
              <w:rPr>
                <w:rFonts w:ascii="Arial Narrow" w:hAnsi="Arial Narrow"/>
                <w:color w:val="000000"/>
                <w:sz w:val="16"/>
                <w:szCs w:val="16"/>
              </w:rPr>
              <w:t>Zerbitzuen emakida</w:t>
            </w:r>
          </w:p>
        </w:tc>
        <w:tc>
          <w:tcPr>
            <w:tcW w:w="299" w:type="pct"/>
            <w:tcBorders>
              <w:top w:val="single" w:sz="4" w:space="0" w:color="auto"/>
              <w:bottom w:val="single" w:sz="4" w:space="0" w:color="auto"/>
            </w:tcBorders>
            <w:noWrap/>
            <w:vAlign w:val="bottom"/>
          </w:tcPr>
          <w:p w:rsidR="0090709F" w:rsidRPr="005260D5" w:rsidRDefault="0090709F" w:rsidP="0084345B">
            <w:pPr>
              <w:spacing w:after="0"/>
              <w:ind w:firstLine="35"/>
              <w:jc w:val="center"/>
              <w:rPr>
                <w:rFonts w:ascii="Arial Narrow" w:hAnsi="Arial Narrow"/>
                <w:color w:val="000000"/>
                <w:sz w:val="16"/>
                <w:szCs w:val="16"/>
              </w:rPr>
            </w:pPr>
            <w:r w:rsidRPr="005260D5">
              <w:rPr>
                <w:rFonts w:ascii="Arial Narrow" w:hAnsi="Arial Narrow"/>
                <w:color w:val="000000"/>
                <w:sz w:val="16"/>
                <w:szCs w:val="16"/>
              </w:rPr>
              <w:t>15</w:t>
            </w:r>
          </w:p>
        </w:tc>
        <w:tc>
          <w:tcPr>
            <w:tcW w:w="465" w:type="pct"/>
            <w:tcBorders>
              <w:top w:val="single" w:sz="4" w:space="0" w:color="auto"/>
              <w:bottom w:val="single" w:sz="4" w:space="0" w:color="auto"/>
            </w:tcBorders>
            <w:noWrap/>
            <w:vAlign w:val="bottom"/>
          </w:tcPr>
          <w:p w:rsidR="0090709F" w:rsidRPr="005260D5" w:rsidRDefault="0090709F" w:rsidP="0084345B">
            <w:pPr>
              <w:spacing w:after="0"/>
              <w:ind w:firstLine="35"/>
              <w:jc w:val="right"/>
              <w:rPr>
                <w:rFonts w:ascii="Arial Narrow" w:hAnsi="Arial Narrow"/>
                <w:color w:val="000000"/>
                <w:sz w:val="16"/>
                <w:szCs w:val="16"/>
              </w:rPr>
            </w:pPr>
            <w:r w:rsidRPr="005260D5">
              <w:rPr>
                <w:rFonts w:ascii="Arial Narrow" w:hAnsi="Arial Narrow"/>
                <w:color w:val="000000"/>
                <w:sz w:val="16"/>
                <w:szCs w:val="16"/>
              </w:rPr>
              <w:t>542</w:t>
            </w:r>
          </w:p>
        </w:tc>
        <w:tc>
          <w:tcPr>
            <w:tcW w:w="79" w:type="pct"/>
            <w:tcBorders>
              <w:bottom w:val="single" w:sz="4" w:space="0" w:color="auto"/>
            </w:tcBorders>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73" w:type="pct"/>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 </w:t>
            </w:r>
          </w:p>
        </w:tc>
        <w:tc>
          <w:tcPr>
            <w:tcW w:w="481" w:type="pct"/>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 </w:t>
            </w:r>
          </w:p>
        </w:tc>
        <w:tc>
          <w:tcPr>
            <w:tcW w:w="81" w:type="pct"/>
            <w:tcBorders>
              <w:bottom w:val="single" w:sz="4" w:space="0" w:color="auto"/>
            </w:tcBorders>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70" w:type="pct"/>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 </w:t>
            </w:r>
          </w:p>
        </w:tc>
        <w:tc>
          <w:tcPr>
            <w:tcW w:w="412" w:type="pct"/>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 </w:t>
            </w:r>
          </w:p>
        </w:tc>
        <w:tc>
          <w:tcPr>
            <w:tcW w:w="81" w:type="pct"/>
            <w:gridSpan w:val="2"/>
            <w:tcBorders>
              <w:bottom w:val="single" w:sz="4" w:space="0" w:color="auto"/>
            </w:tcBorders>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264" w:type="pct"/>
            <w:gridSpan w:val="2"/>
            <w:tcBorders>
              <w:top w:val="single" w:sz="4" w:space="0" w:color="auto"/>
              <w:bottom w:val="single" w:sz="4" w:space="0" w:color="auto"/>
            </w:tcBorders>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1</w:t>
            </w:r>
          </w:p>
        </w:tc>
        <w:tc>
          <w:tcPr>
            <w:tcW w:w="488" w:type="pct"/>
            <w:gridSpan w:val="2"/>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0</w:t>
            </w:r>
          </w:p>
        </w:tc>
        <w:tc>
          <w:tcPr>
            <w:tcW w:w="98" w:type="pct"/>
            <w:gridSpan w:val="2"/>
            <w:tcBorders>
              <w:bottom w:val="single" w:sz="4" w:space="0" w:color="auto"/>
            </w:tcBorders>
          </w:tcPr>
          <w:p w:rsidR="0090709F" w:rsidRPr="005260D5" w:rsidRDefault="0090709F" w:rsidP="0084345B">
            <w:pPr>
              <w:spacing w:after="0"/>
              <w:ind w:firstLine="0"/>
              <w:jc w:val="center"/>
              <w:rPr>
                <w:rFonts w:ascii="Arial Narrow" w:hAnsi="Arial Narrow"/>
                <w:color w:val="000000"/>
                <w:sz w:val="16"/>
                <w:szCs w:val="16"/>
                <w:lang w:val="es-ES" w:eastAsia="es-ES"/>
              </w:rPr>
            </w:pPr>
          </w:p>
        </w:tc>
        <w:tc>
          <w:tcPr>
            <w:tcW w:w="360" w:type="pct"/>
            <w:gridSpan w:val="2"/>
            <w:tcBorders>
              <w:top w:val="single" w:sz="4" w:space="0" w:color="auto"/>
              <w:bottom w:val="single" w:sz="4" w:space="0" w:color="auto"/>
            </w:tcBorders>
            <w:noWrap/>
            <w:vAlign w:val="bottom"/>
          </w:tcPr>
          <w:p w:rsidR="0090709F" w:rsidRPr="005260D5" w:rsidRDefault="0090709F" w:rsidP="0084345B">
            <w:pPr>
              <w:spacing w:after="0"/>
              <w:ind w:firstLine="0"/>
              <w:jc w:val="center"/>
              <w:rPr>
                <w:rFonts w:ascii="Arial Narrow" w:hAnsi="Arial Narrow"/>
                <w:color w:val="000000"/>
                <w:sz w:val="16"/>
                <w:szCs w:val="16"/>
              </w:rPr>
            </w:pPr>
            <w:r w:rsidRPr="005260D5">
              <w:rPr>
                <w:rFonts w:ascii="Arial Narrow" w:hAnsi="Arial Narrow"/>
                <w:color w:val="000000"/>
                <w:sz w:val="16"/>
                <w:szCs w:val="16"/>
              </w:rPr>
              <w:t>16</w:t>
            </w:r>
          </w:p>
        </w:tc>
        <w:tc>
          <w:tcPr>
            <w:tcW w:w="517" w:type="pct"/>
            <w:gridSpan w:val="3"/>
            <w:tcBorders>
              <w:top w:val="single" w:sz="4" w:space="0" w:color="auto"/>
              <w:bottom w:val="single" w:sz="4" w:space="0" w:color="auto"/>
            </w:tcBorders>
            <w:noWrap/>
            <w:vAlign w:val="bottom"/>
          </w:tcPr>
          <w:p w:rsidR="0090709F" w:rsidRPr="005260D5" w:rsidRDefault="0090709F" w:rsidP="0084345B">
            <w:pPr>
              <w:spacing w:after="0"/>
              <w:ind w:firstLine="0"/>
              <w:jc w:val="right"/>
              <w:rPr>
                <w:rFonts w:ascii="Arial Narrow" w:hAnsi="Arial Narrow"/>
                <w:color w:val="000000"/>
                <w:sz w:val="16"/>
                <w:szCs w:val="16"/>
              </w:rPr>
            </w:pPr>
            <w:r w:rsidRPr="005260D5">
              <w:rPr>
                <w:rFonts w:ascii="Arial Narrow" w:hAnsi="Arial Narrow"/>
                <w:color w:val="000000"/>
                <w:sz w:val="16"/>
                <w:szCs w:val="16"/>
              </w:rPr>
              <w:t>542</w:t>
            </w:r>
          </w:p>
        </w:tc>
      </w:tr>
      <w:tr w:rsidR="0090709F" w:rsidRPr="005260D5" w:rsidTr="0084345B">
        <w:trPr>
          <w:trHeight w:val="255"/>
        </w:trPr>
        <w:tc>
          <w:tcPr>
            <w:tcW w:w="833" w:type="pct"/>
            <w:tcBorders>
              <w:top w:val="single" w:sz="4" w:space="0" w:color="auto"/>
              <w:left w:val="nil"/>
              <w:bottom w:val="single" w:sz="4" w:space="0" w:color="auto"/>
            </w:tcBorders>
            <w:shd w:val="clear" w:color="auto" w:fill="FBD4B4" w:themeFill="accent6" w:themeFillTint="66"/>
            <w:noWrap/>
            <w:vAlign w:val="bottom"/>
          </w:tcPr>
          <w:p w:rsidR="0090709F" w:rsidRPr="005260D5" w:rsidRDefault="0090709F" w:rsidP="0084345B">
            <w:pPr>
              <w:spacing w:after="0"/>
              <w:ind w:firstLine="0"/>
              <w:jc w:val="left"/>
              <w:rPr>
                <w:rFonts w:ascii="Arial" w:hAnsi="Arial" w:cs="Arial"/>
                <w:bCs/>
                <w:color w:val="000000"/>
                <w:sz w:val="16"/>
                <w:szCs w:val="16"/>
              </w:rPr>
            </w:pPr>
            <w:r w:rsidRPr="005260D5">
              <w:rPr>
                <w:rFonts w:ascii="Arial" w:hAnsi="Arial"/>
                <w:bCs/>
                <w:color w:val="000000"/>
                <w:sz w:val="16"/>
                <w:szCs w:val="16"/>
              </w:rPr>
              <w:t>Guztira, oro har</w:t>
            </w:r>
          </w:p>
        </w:tc>
        <w:tc>
          <w:tcPr>
            <w:tcW w:w="299" w:type="pct"/>
            <w:tcBorders>
              <w:top w:val="single" w:sz="4" w:space="0" w:color="auto"/>
              <w:bottom w:val="single" w:sz="4" w:space="0" w:color="auto"/>
            </w:tcBorders>
            <w:shd w:val="clear" w:color="auto" w:fill="FBD4B4" w:themeFill="accent6" w:themeFillTint="66"/>
            <w:noWrap/>
            <w:vAlign w:val="bottom"/>
          </w:tcPr>
          <w:p w:rsidR="0090709F" w:rsidRPr="005260D5" w:rsidRDefault="0090709F" w:rsidP="0084345B">
            <w:pPr>
              <w:spacing w:after="0"/>
              <w:ind w:firstLine="35"/>
              <w:jc w:val="center"/>
              <w:rPr>
                <w:rFonts w:ascii="Arial" w:hAnsi="Arial" w:cs="Arial"/>
                <w:bCs/>
                <w:color w:val="000000"/>
                <w:sz w:val="16"/>
                <w:szCs w:val="16"/>
              </w:rPr>
            </w:pPr>
            <w:r w:rsidRPr="005260D5">
              <w:rPr>
                <w:rFonts w:ascii="Arial" w:hAnsi="Arial"/>
                <w:bCs/>
                <w:color w:val="000000"/>
                <w:sz w:val="16"/>
                <w:szCs w:val="16"/>
              </w:rPr>
              <w:t>315</w:t>
            </w:r>
          </w:p>
        </w:tc>
        <w:tc>
          <w:tcPr>
            <w:tcW w:w="465" w:type="pct"/>
            <w:tcBorders>
              <w:top w:val="single" w:sz="4" w:space="0" w:color="auto"/>
              <w:bottom w:val="single" w:sz="4" w:space="0" w:color="auto"/>
            </w:tcBorders>
            <w:shd w:val="clear" w:color="auto" w:fill="FBD4B4" w:themeFill="accent6" w:themeFillTint="66"/>
            <w:noWrap/>
            <w:vAlign w:val="bottom"/>
          </w:tcPr>
          <w:p w:rsidR="0090709F" w:rsidRPr="005260D5" w:rsidRDefault="0090709F" w:rsidP="0084345B">
            <w:pPr>
              <w:spacing w:after="0"/>
              <w:ind w:firstLine="35"/>
              <w:jc w:val="right"/>
              <w:rPr>
                <w:rFonts w:ascii="Arial" w:hAnsi="Arial" w:cs="Arial"/>
                <w:bCs/>
                <w:color w:val="000000"/>
                <w:sz w:val="16"/>
                <w:szCs w:val="16"/>
              </w:rPr>
            </w:pPr>
            <w:r w:rsidRPr="005260D5">
              <w:rPr>
                <w:rFonts w:ascii="Arial" w:hAnsi="Arial"/>
                <w:bCs/>
                <w:color w:val="000000"/>
                <w:sz w:val="16"/>
                <w:szCs w:val="16"/>
              </w:rPr>
              <w:t>35.010</w:t>
            </w:r>
          </w:p>
        </w:tc>
        <w:tc>
          <w:tcPr>
            <w:tcW w:w="79" w:type="pct"/>
            <w:tcBorders>
              <w:top w:val="single" w:sz="4" w:space="0" w:color="auto"/>
              <w:bottom w:val="single" w:sz="4" w:space="0" w:color="auto"/>
            </w:tcBorders>
            <w:shd w:val="clear" w:color="auto" w:fill="FBD4B4" w:themeFill="accent6" w:themeFillTint="66"/>
          </w:tcPr>
          <w:p w:rsidR="0090709F" w:rsidRPr="005260D5" w:rsidRDefault="0090709F" w:rsidP="0084345B">
            <w:pPr>
              <w:spacing w:after="0"/>
              <w:ind w:firstLine="0"/>
              <w:jc w:val="center"/>
              <w:rPr>
                <w:rFonts w:ascii="Arial" w:hAnsi="Arial" w:cs="Arial"/>
                <w:bCs/>
                <w:color w:val="000000"/>
                <w:sz w:val="16"/>
                <w:szCs w:val="16"/>
                <w:lang w:val="es-ES" w:eastAsia="es-ES"/>
              </w:rPr>
            </w:pPr>
          </w:p>
        </w:tc>
        <w:tc>
          <w:tcPr>
            <w:tcW w:w="273" w:type="pct"/>
            <w:tcBorders>
              <w:top w:val="single" w:sz="4" w:space="0" w:color="auto"/>
              <w:bottom w:val="single" w:sz="4" w:space="0" w:color="auto"/>
            </w:tcBorders>
            <w:shd w:val="clear" w:color="auto" w:fill="FBD4B4" w:themeFill="accent6" w:themeFillTint="66"/>
            <w:noWrap/>
            <w:vAlign w:val="bottom"/>
          </w:tcPr>
          <w:p w:rsidR="0090709F" w:rsidRPr="005260D5" w:rsidRDefault="0090709F" w:rsidP="0084345B">
            <w:pPr>
              <w:spacing w:after="0"/>
              <w:ind w:firstLine="0"/>
              <w:jc w:val="center"/>
              <w:rPr>
                <w:rFonts w:ascii="Arial" w:hAnsi="Arial" w:cs="Arial"/>
                <w:bCs/>
                <w:color w:val="000000"/>
                <w:sz w:val="16"/>
                <w:szCs w:val="16"/>
              </w:rPr>
            </w:pPr>
            <w:r w:rsidRPr="005260D5">
              <w:rPr>
                <w:rFonts w:ascii="Arial" w:hAnsi="Arial"/>
                <w:bCs/>
                <w:color w:val="000000"/>
                <w:sz w:val="16"/>
                <w:szCs w:val="16"/>
              </w:rPr>
              <w:t>4</w:t>
            </w:r>
          </w:p>
        </w:tc>
        <w:tc>
          <w:tcPr>
            <w:tcW w:w="481" w:type="pct"/>
            <w:tcBorders>
              <w:top w:val="single" w:sz="4" w:space="0" w:color="auto"/>
              <w:bottom w:val="single" w:sz="4" w:space="0" w:color="auto"/>
            </w:tcBorders>
            <w:shd w:val="clear" w:color="auto" w:fill="FBD4B4" w:themeFill="accent6" w:themeFillTint="66"/>
            <w:noWrap/>
            <w:vAlign w:val="bottom"/>
          </w:tcPr>
          <w:p w:rsidR="0090709F" w:rsidRPr="005260D5" w:rsidRDefault="0090709F" w:rsidP="0084345B">
            <w:pPr>
              <w:spacing w:after="0"/>
              <w:ind w:firstLine="0"/>
              <w:jc w:val="right"/>
              <w:rPr>
                <w:rFonts w:ascii="Arial" w:hAnsi="Arial" w:cs="Arial"/>
                <w:bCs/>
                <w:color w:val="000000"/>
                <w:sz w:val="16"/>
                <w:szCs w:val="16"/>
              </w:rPr>
            </w:pPr>
            <w:r w:rsidRPr="005260D5">
              <w:rPr>
                <w:rFonts w:ascii="Arial" w:hAnsi="Arial"/>
                <w:bCs/>
                <w:color w:val="000000"/>
                <w:sz w:val="16"/>
                <w:szCs w:val="16"/>
              </w:rPr>
              <w:t>155</w:t>
            </w:r>
          </w:p>
        </w:tc>
        <w:tc>
          <w:tcPr>
            <w:tcW w:w="81" w:type="pct"/>
            <w:tcBorders>
              <w:top w:val="single" w:sz="4" w:space="0" w:color="auto"/>
              <w:bottom w:val="single" w:sz="4" w:space="0" w:color="auto"/>
            </w:tcBorders>
            <w:shd w:val="clear" w:color="auto" w:fill="FBD4B4" w:themeFill="accent6" w:themeFillTint="66"/>
          </w:tcPr>
          <w:p w:rsidR="0090709F" w:rsidRPr="005260D5" w:rsidRDefault="0090709F" w:rsidP="0084345B">
            <w:pPr>
              <w:spacing w:after="0"/>
              <w:ind w:firstLine="0"/>
              <w:jc w:val="center"/>
              <w:rPr>
                <w:rFonts w:ascii="Arial" w:hAnsi="Arial" w:cs="Arial"/>
                <w:bCs/>
                <w:color w:val="000000"/>
                <w:sz w:val="16"/>
                <w:szCs w:val="16"/>
                <w:lang w:val="es-ES" w:eastAsia="es-ES"/>
              </w:rPr>
            </w:pPr>
          </w:p>
        </w:tc>
        <w:tc>
          <w:tcPr>
            <w:tcW w:w="270" w:type="pct"/>
            <w:tcBorders>
              <w:top w:val="single" w:sz="4" w:space="0" w:color="auto"/>
              <w:bottom w:val="single" w:sz="4" w:space="0" w:color="auto"/>
            </w:tcBorders>
            <w:shd w:val="clear" w:color="auto" w:fill="FBD4B4" w:themeFill="accent6" w:themeFillTint="66"/>
            <w:noWrap/>
            <w:vAlign w:val="bottom"/>
          </w:tcPr>
          <w:p w:rsidR="0090709F" w:rsidRPr="005260D5" w:rsidRDefault="0090709F" w:rsidP="0084345B">
            <w:pPr>
              <w:spacing w:after="0"/>
              <w:ind w:firstLine="0"/>
              <w:jc w:val="center"/>
              <w:rPr>
                <w:rFonts w:ascii="Arial" w:hAnsi="Arial" w:cs="Arial"/>
                <w:bCs/>
                <w:color w:val="000000"/>
                <w:sz w:val="16"/>
                <w:szCs w:val="16"/>
              </w:rPr>
            </w:pPr>
            <w:r w:rsidRPr="005260D5">
              <w:rPr>
                <w:rFonts w:ascii="Arial" w:hAnsi="Arial"/>
                <w:bCs/>
                <w:color w:val="000000"/>
                <w:sz w:val="16"/>
                <w:szCs w:val="16"/>
              </w:rPr>
              <w:t>1</w:t>
            </w:r>
          </w:p>
        </w:tc>
        <w:tc>
          <w:tcPr>
            <w:tcW w:w="412" w:type="pct"/>
            <w:tcBorders>
              <w:top w:val="single" w:sz="4" w:space="0" w:color="auto"/>
              <w:bottom w:val="single" w:sz="4" w:space="0" w:color="auto"/>
            </w:tcBorders>
            <w:shd w:val="clear" w:color="auto" w:fill="FBD4B4" w:themeFill="accent6" w:themeFillTint="66"/>
            <w:noWrap/>
            <w:vAlign w:val="bottom"/>
          </w:tcPr>
          <w:p w:rsidR="0090709F" w:rsidRPr="005260D5" w:rsidRDefault="0090709F" w:rsidP="0084345B">
            <w:pPr>
              <w:spacing w:after="0"/>
              <w:ind w:firstLine="0"/>
              <w:jc w:val="right"/>
              <w:rPr>
                <w:rFonts w:ascii="Arial" w:hAnsi="Arial" w:cs="Arial"/>
                <w:bCs/>
                <w:color w:val="000000"/>
                <w:sz w:val="16"/>
                <w:szCs w:val="16"/>
              </w:rPr>
            </w:pPr>
            <w:r w:rsidRPr="005260D5">
              <w:rPr>
                <w:rFonts w:ascii="Arial" w:hAnsi="Arial"/>
                <w:bCs/>
                <w:color w:val="000000"/>
                <w:sz w:val="16"/>
                <w:szCs w:val="16"/>
              </w:rPr>
              <w:t>24</w:t>
            </w:r>
          </w:p>
        </w:tc>
        <w:tc>
          <w:tcPr>
            <w:tcW w:w="81" w:type="pct"/>
            <w:gridSpan w:val="2"/>
            <w:tcBorders>
              <w:top w:val="single" w:sz="4" w:space="0" w:color="auto"/>
              <w:bottom w:val="single" w:sz="4" w:space="0" w:color="auto"/>
            </w:tcBorders>
            <w:shd w:val="clear" w:color="auto" w:fill="FBD4B4" w:themeFill="accent6" w:themeFillTint="66"/>
          </w:tcPr>
          <w:p w:rsidR="0090709F" w:rsidRPr="005260D5" w:rsidRDefault="0090709F" w:rsidP="0084345B">
            <w:pPr>
              <w:spacing w:after="0"/>
              <w:ind w:firstLine="0"/>
              <w:jc w:val="center"/>
              <w:rPr>
                <w:rFonts w:ascii="Arial" w:hAnsi="Arial" w:cs="Arial"/>
                <w:bCs/>
                <w:color w:val="000000"/>
                <w:sz w:val="16"/>
                <w:szCs w:val="16"/>
                <w:lang w:val="es-ES" w:eastAsia="es-ES"/>
              </w:rPr>
            </w:pPr>
          </w:p>
        </w:tc>
        <w:tc>
          <w:tcPr>
            <w:tcW w:w="264" w:type="pct"/>
            <w:gridSpan w:val="2"/>
            <w:tcBorders>
              <w:top w:val="single" w:sz="4" w:space="0" w:color="auto"/>
              <w:bottom w:val="single" w:sz="4" w:space="0" w:color="auto"/>
            </w:tcBorders>
            <w:shd w:val="clear" w:color="auto" w:fill="FBD4B4" w:themeFill="accent6" w:themeFillTint="66"/>
            <w:vAlign w:val="bottom"/>
          </w:tcPr>
          <w:p w:rsidR="0090709F" w:rsidRPr="005260D5" w:rsidRDefault="0090709F" w:rsidP="0084345B">
            <w:pPr>
              <w:spacing w:after="0"/>
              <w:ind w:firstLine="0"/>
              <w:jc w:val="center"/>
              <w:rPr>
                <w:rFonts w:ascii="Arial" w:hAnsi="Arial" w:cs="Arial"/>
                <w:bCs/>
                <w:color w:val="000000"/>
                <w:sz w:val="16"/>
                <w:szCs w:val="16"/>
              </w:rPr>
            </w:pPr>
            <w:r w:rsidRPr="005260D5">
              <w:rPr>
                <w:rFonts w:ascii="Arial" w:hAnsi="Arial"/>
                <w:bCs/>
                <w:color w:val="000000"/>
                <w:sz w:val="16"/>
                <w:szCs w:val="16"/>
              </w:rPr>
              <w:t>30</w:t>
            </w:r>
          </w:p>
        </w:tc>
        <w:tc>
          <w:tcPr>
            <w:tcW w:w="488" w:type="pct"/>
            <w:gridSpan w:val="2"/>
            <w:tcBorders>
              <w:top w:val="single" w:sz="4" w:space="0" w:color="auto"/>
              <w:bottom w:val="single" w:sz="4" w:space="0" w:color="auto"/>
            </w:tcBorders>
            <w:shd w:val="clear" w:color="auto" w:fill="FBD4B4" w:themeFill="accent6" w:themeFillTint="66"/>
            <w:noWrap/>
            <w:vAlign w:val="bottom"/>
          </w:tcPr>
          <w:p w:rsidR="0090709F" w:rsidRPr="005260D5" w:rsidRDefault="0090709F" w:rsidP="0084345B">
            <w:pPr>
              <w:spacing w:after="0"/>
              <w:ind w:firstLine="0"/>
              <w:jc w:val="right"/>
              <w:rPr>
                <w:rFonts w:ascii="Arial" w:hAnsi="Arial" w:cs="Arial"/>
                <w:bCs/>
                <w:color w:val="000000"/>
                <w:sz w:val="16"/>
                <w:szCs w:val="16"/>
              </w:rPr>
            </w:pPr>
            <w:r w:rsidRPr="005260D5">
              <w:rPr>
                <w:rFonts w:ascii="Arial" w:hAnsi="Arial"/>
                <w:bCs/>
                <w:color w:val="000000"/>
                <w:sz w:val="16"/>
                <w:szCs w:val="16"/>
              </w:rPr>
              <w:t>3.868.798</w:t>
            </w:r>
          </w:p>
        </w:tc>
        <w:tc>
          <w:tcPr>
            <w:tcW w:w="98" w:type="pct"/>
            <w:gridSpan w:val="2"/>
            <w:tcBorders>
              <w:top w:val="single" w:sz="4" w:space="0" w:color="auto"/>
              <w:bottom w:val="single" w:sz="4" w:space="0" w:color="auto"/>
            </w:tcBorders>
            <w:shd w:val="clear" w:color="auto" w:fill="FBD4B4" w:themeFill="accent6" w:themeFillTint="66"/>
          </w:tcPr>
          <w:p w:rsidR="0090709F" w:rsidRPr="005260D5" w:rsidRDefault="0090709F" w:rsidP="0084345B">
            <w:pPr>
              <w:spacing w:after="0"/>
              <w:ind w:firstLine="0"/>
              <w:jc w:val="center"/>
              <w:rPr>
                <w:rFonts w:ascii="Arial" w:hAnsi="Arial" w:cs="Arial"/>
                <w:bCs/>
                <w:color w:val="000000"/>
                <w:sz w:val="16"/>
                <w:szCs w:val="16"/>
                <w:lang w:val="es-ES" w:eastAsia="es-ES"/>
              </w:rPr>
            </w:pPr>
          </w:p>
        </w:tc>
        <w:tc>
          <w:tcPr>
            <w:tcW w:w="360" w:type="pct"/>
            <w:gridSpan w:val="2"/>
            <w:tcBorders>
              <w:top w:val="single" w:sz="4" w:space="0" w:color="auto"/>
              <w:bottom w:val="single" w:sz="4" w:space="0" w:color="auto"/>
            </w:tcBorders>
            <w:shd w:val="clear" w:color="auto" w:fill="FBD4B4" w:themeFill="accent6" w:themeFillTint="66"/>
            <w:noWrap/>
            <w:vAlign w:val="bottom"/>
          </w:tcPr>
          <w:p w:rsidR="0090709F" w:rsidRPr="005260D5" w:rsidRDefault="0090709F" w:rsidP="0084345B">
            <w:pPr>
              <w:spacing w:after="0"/>
              <w:ind w:firstLine="0"/>
              <w:jc w:val="center"/>
              <w:rPr>
                <w:rFonts w:ascii="Arial" w:hAnsi="Arial" w:cs="Arial"/>
                <w:bCs/>
                <w:color w:val="000000"/>
                <w:sz w:val="16"/>
                <w:szCs w:val="16"/>
              </w:rPr>
            </w:pPr>
            <w:r w:rsidRPr="005260D5">
              <w:rPr>
                <w:rFonts w:ascii="Arial" w:hAnsi="Arial"/>
                <w:bCs/>
                <w:color w:val="000000"/>
                <w:sz w:val="16"/>
                <w:szCs w:val="16"/>
              </w:rPr>
              <w:t>350</w:t>
            </w:r>
          </w:p>
        </w:tc>
        <w:tc>
          <w:tcPr>
            <w:tcW w:w="517" w:type="pct"/>
            <w:gridSpan w:val="3"/>
            <w:tcBorders>
              <w:top w:val="single" w:sz="4" w:space="0" w:color="auto"/>
              <w:bottom w:val="single" w:sz="4" w:space="0" w:color="auto"/>
            </w:tcBorders>
            <w:shd w:val="clear" w:color="auto" w:fill="FBD4B4" w:themeFill="accent6" w:themeFillTint="66"/>
            <w:noWrap/>
            <w:vAlign w:val="bottom"/>
          </w:tcPr>
          <w:p w:rsidR="0090709F" w:rsidRPr="005260D5" w:rsidRDefault="0090709F" w:rsidP="0084345B">
            <w:pPr>
              <w:spacing w:after="0"/>
              <w:ind w:firstLine="0"/>
              <w:jc w:val="right"/>
              <w:rPr>
                <w:rFonts w:ascii="Arial" w:hAnsi="Arial" w:cs="Arial"/>
                <w:bCs/>
                <w:color w:val="000000"/>
                <w:sz w:val="16"/>
                <w:szCs w:val="16"/>
              </w:rPr>
            </w:pPr>
            <w:r w:rsidRPr="005260D5">
              <w:rPr>
                <w:rFonts w:ascii="Arial" w:hAnsi="Arial"/>
                <w:bCs/>
                <w:color w:val="000000"/>
                <w:sz w:val="16"/>
                <w:szCs w:val="16"/>
              </w:rPr>
              <w:t>39.057</w:t>
            </w:r>
          </w:p>
        </w:tc>
      </w:tr>
    </w:tbl>
    <w:p w:rsidR="00EC4F97" w:rsidRPr="00783D29" w:rsidRDefault="00EC4F97" w:rsidP="00EC4F97">
      <w:pPr>
        <w:pStyle w:val="texto"/>
        <w:spacing w:before="240"/>
        <w:rPr>
          <w:w w:val="103"/>
        </w:rPr>
      </w:pPr>
      <w:r>
        <w:t>2017an, toki entitateek guztira 39,06 milioi adjudikatu zituzten 350 kontrat</w:t>
      </w:r>
      <w:r>
        <w:t>u</w:t>
      </w:r>
      <w:r>
        <w:t>tan. Kontratuen ehuneko 43 laguntzakoak dira eta adjudikatutako guztizko ze</w:t>
      </w:r>
      <w:r>
        <w:t>n</w:t>
      </w:r>
      <w:r>
        <w:t>batekoaren ehuneko 22 egiten dute. Obra-kontratuek kontratu guztien ehuneko 35 egiten dute; halere, haien zenbatekoak, kasu horretan, guztizko zenbateko</w:t>
      </w:r>
      <w:r>
        <w:t>a</w:t>
      </w:r>
      <w:r>
        <w:t>ren ehuneko 69 egiten du.</w:t>
      </w:r>
    </w:p>
    <w:p w:rsidR="00EC4F97" w:rsidRDefault="00EC4F97" w:rsidP="00EC4F97">
      <w:pPr>
        <w:pStyle w:val="texto"/>
        <w:spacing w:after="240"/>
      </w:pPr>
      <w:r>
        <w:t xml:space="preserve">2017an, toki entitateen menpekoak diren </w:t>
      </w:r>
      <w:proofErr w:type="spellStart"/>
      <w:r>
        <w:t>enteek</w:t>
      </w:r>
      <w:proofErr w:type="spellEnd"/>
      <w:r>
        <w:t xml:space="preserve"> honako kontratu hauek a</w:t>
      </w:r>
      <w:r>
        <w:t>d</w:t>
      </w:r>
      <w:r>
        <w:t>judikatu zituzten:</w:t>
      </w:r>
    </w:p>
    <w:p w:rsidR="0090709F" w:rsidRPr="00316A40" w:rsidRDefault="0090709F" w:rsidP="0090709F">
      <w:pPr>
        <w:pStyle w:val="texto"/>
        <w:spacing w:after="40"/>
        <w:ind w:right="-425"/>
        <w:jc w:val="right"/>
        <w:rPr>
          <w:sz w:val="14"/>
          <w:szCs w:val="14"/>
        </w:rPr>
      </w:pPr>
      <w:r w:rsidRPr="00316A40">
        <w:rPr>
          <w:sz w:val="14"/>
          <w:szCs w:val="14"/>
        </w:rPr>
        <w:t>(euroak, milakotan)</w:t>
      </w:r>
    </w:p>
    <w:tbl>
      <w:tblPr>
        <w:tblW w:w="5478" w:type="pct"/>
        <w:tblInd w:w="-214" w:type="dxa"/>
        <w:tblLayout w:type="fixed"/>
        <w:tblCellMar>
          <w:left w:w="70" w:type="dxa"/>
          <w:right w:w="70" w:type="dxa"/>
        </w:tblCellMar>
        <w:tblLook w:val="04A0" w:firstRow="1" w:lastRow="0" w:firstColumn="1" w:lastColumn="0" w:noHBand="0" w:noVBand="1"/>
      </w:tblPr>
      <w:tblGrid>
        <w:gridCol w:w="1703"/>
        <w:gridCol w:w="856"/>
        <w:gridCol w:w="995"/>
        <w:gridCol w:w="160"/>
        <w:gridCol w:w="994"/>
        <w:gridCol w:w="851"/>
        <w:gridCol w:w="121"/>
        <w:gridCol w:w="160"/>
        <w:gridCol w:w="121"/>
        <w:gridCol w:w="849"/>
        <w:gridCol w:w="738"/>
        <w:gridCol w:w="123"/>
        <w:gridCol w:w="158"/>
        <w:gridCol w:w="123"/>
        <w:gridCol w:w="849"/>
        <w:gridCol w:w="982"/>
      </w:tblGrid>
      <w:tr w:rsidR="0090709F" w:rsidRPr="00316A40" w:rsidTr="0084345B">
        <w:trPr>
          <w:trHeight w:val="255"/>
        </w:trPr>
        <w:tc>
          <w:tcPr>
            <w:tcW w:w="870" w:type="pct"/>
            <w:vMerge w:val="restart"/>
            <w:tcBorders>
              <w:top w:val="single" w:sz="4" w:space="0" w:color="auto"/>
              <w:left w:val="nil"/>
              <w:bottom w:val="single" w:sz="4" w:space="0" w:color="000000"/>
            </w:tcBorders>
            <w:shd w:val="clear" w:color="auto" w:fill="FBD4B4" w:themeFill="accent6" w:themeFillTint="66"/>
            <w:noWrap/>
            <w:vAlign w:val="center"/>
            <w:hideMark/>
          </w:tcPr>
          <w:p w:rsidR="0090709F" w:rsidRPr="00316A40" w:rsidRDefault="0090709F" w:rsidP="0084345B">
            <w:pPr>
              <w:spacing w:after="0"/>
              <w:ind w:firstLine="0"/>
              <w:jc w:val="left"/>
              <w:rPr>
                <w:rFonts w:ascii="Arial" w:hAnsi="Arial" w:cs="Arial"/>
                <w:bCs/>
                <w:color w:val="000000"/>
                <w:sz w:val="14"/>
                <w:szCs w:val="14"/>
              </w:rPr>
            </w:pPr>
            <w:r w:rsidRPr="00316A40">
              <w:rPr>
                <w:rFonts w:ascii="Arial" w:hAnsi="Arial"/>
                <w:bCs/>
                <w:color w:val="000000"/>
                <w:sz w:val="14"/>
                <w:szCs w:val="14"/>
              </w:rPr>
              <w:t>Kontratu-mota</w:t>
            </w:r>
          </w:p>
        </w:tc>
        <w:tc>
          <w:tcPr>
            <w:tcW w:w="944" w:type="pct"/>
            <w:gridSpan w:val="2"/>
            <w:tcBorders>
              <w:top w:val="single" w:sz="4" w:space="0" w:color="auto"/>
              <w:bottom w:val="single" w:sz="4" w:space="0" w:color="auto"/>
            </w:tcBorders>
            <w:shd w:val="clear" w:color="auto" w:fill="FBD4B4" w:themeFill="accent6" w:themeFillTint="66"/>
            <w:noWrap/>
            <w:vAlign w:val="center"/>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Erakunde auton</w:t>
            </w:r>
            <w:r w:rsidRPr="00316A40">
              <w:rPr>
                <w:rFonts w:ascii="Arial" w:hAnsi="Arial"/>
                <w:bCs/>
                <w:color w:val="000000"/>
                <w:sz w:val="14"/>
                <w:szCs w:val="14"/>
              </w:rPr>
              <w:t>o</w:t>
            </w:r>
            <w:r w:rsidRPr="00316A40">
              <w:rPr>
                <w:rFonts w:ascii="Arial" w:hAnsi="Arial"/>
                <w:bCs/>
                <w:color w:val="000000"/>
                <w:sz w:val="14"/>
                <w:szCs w:val="14"/>
              </w:rPr>
              <w:t>moak</w:t>
            </w:r>
          </w:p>
        </w:tc>
        <w:tc>
          <w:tcPr>
            <w:tcW w:w="82" w:type="pct"/>
            <w:tcBorders>
              <w:top w:val="single" w:sz="4" w:space="0" w:color="auto"/>
            </w:tcBorders>
            <w:shd w:val="clear" w:color="auto" w:fill="FBD4B4" w:themeFill="accent6" w:themeFillTint="66"/>
          </w:tcPr>
          <w:p w:rsidR="0090709F" w:rsidRPr="00316A40" w:rsidRDefault="0090709F" w:rsidP="0084345B">
            <w:pPr>
              <w:spacing w:after="0"/>
              <w:ind w:firstLine="0"/>
              <w:jc w:val="center"/>
              <w:rPr>
                <w:rFonts w:ascii="Arial" w:hAnsi="Arial" w:cs="Arial"/>
                <w:bCs/>
                <w:color w:val="000000"/>
                <w:sz w:val="14"/>
                <w:szCs w:val="14"/>
                <w:lang w:val="es-ES" w:eastAsia="es-ES"/>
              </w:rPr>
            </w:pPr>
          </w:p>
        </w:tc>
        <w:tc>
          <w:tcPr>
            <w:tcW w:w="943" w:type="pct"/>
            <w:gridSpan w:val="2"/>
            <w:tcBorders>
              <w:top w:val="single" w:sz="4" w:space="0" w:color="auto"/>
              <w:bottom w:val="single" w:sz="4" w:space="0" w:color="auto"/>
            </w:tcBorders>
            <w:shd w:val="clear" w:color="auto" w:fill="FBD4B4" w:themeFill="accent6" w:themeFillTint="66"/>
            <w:noWrap/>
            <w:vAlign w:val="center"/>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Sozietate publikoak</w:t>
            </w:r>
          </w:p>
        </w:tc>
        <w:tc>
          <w:tcPr>
            <w:tcW w:w="144" w:type="pct"/>
            <w:gridSpan w:val="2"/>
            <w:tcBorders>
              <w:top w:val="single" w:sz="4" w:space="0" w:color="auto"/>
            </w:tcBorders>
            <w:shd w:val="clear" w:color="auto" w:fill="FBD4B4" w:themeFill="accent6" w:themeFillTint="66"/>
          </w:tcPr>
          <w:p w:rsidR="0090709F" w:rsidRPr="00316A40" w:rsidRDefault="0090709F" w:rsidP="0084345B">
            <w:pPr>
              <w:spacing w:after="0"/>
              <w:ind w:firstLine="0"/>
              <w:jc w:val="center"/>
              <w:rPr>
                <w:rFonts w:ascii="Arial" w:hAnsi="Arial" w:cs="Arial"/>
                <w:bCs/>
                <w:color w:val="000000"/>
                <w:sz w:val="14"/>
                <w:szCs w:val="14"/>
                <w:lang w:val="es-ES" w:eastAsia="es-ES"/>
              </w:rPr>
            </w:pPr>
          </w:p>
        </w:tc>
        <w:tc>
          <w:tcPr>
            <w:tcW w:w="873" w:type="pct"/>
            <w:gridSpan w:val="3"/>
            <w:tcBorders>
              <w:top w:val="single" w:sz="4" w:space="0" w:color="auto"/>
              <w:bottom w:val="single" w:sz="4" w:space="0" w:color="auto"/>
            </w:tcBorders>
            <w:shd w:val="clear" w:color="auto" w:fill="FBD4B4" w:themeFill="accent6" w:themeFillTint="66"/>
            <w:noWrap/>
            <w:vAlign w:val="center"/>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Fundazioak</w:t>
            </w:r>
          </w:p>
        </w:tc>
        <w:tc>
          <w:tcPr>
            <w:tcW w:w="144" w:type="pct"/>
            <w:gridSpan w:val="2"/>
            <w:tcBorders>
              <w:top w:val="single" w:sz="4" w:space="0" w:color="auto"/>
            </w:tcBorders>
            <w:shd w:val="clear" w:color="auto" w:fill="FBD4B4" w:themeFill="accent6" w:themeFillTint="66"/>
          </w:tcPr>
          <w:p w:rsidR="0090709F" w:rsidRPr="00316A40" w:rsidRDefault="0090709F" w:rsidP="0084345B">
            <w:pPr>
              <w:spacing w:after="0"/>
              <w:ind w:firstLine="0"/>
              <w:jc w:val="center"/>
              <w:rPr>
                <w:rFonts w:ascii="Arial" w:hAnsi="Arial" w:cs="Arial"/>
                <w:bCs/>
                <w:color w:val="000000"/>
                <w:sz w:val="14"/>
                <w:szCs w:val="14"/>
                <w:lang w:val="es-ES" w:eastAsia="es-ES"/>
              </w:rPr>
            </w:pPr>
          </w:p>
        </w:tc>
        <w:tc>
          <w:tcPr>
            <w:tcW w:w="1002" w:type="pct"/>
            <w:gridSpan w:val="3"/>
            <w:tcBorders>
              <w:top w:val="single" w:sz="4" w:space="0" w:color="auto"/>
              <w:bottom w:val="single" w:sz="4" w:space="0" w:color="auto"/>
            </w:tcBorders>
            <w:shd w:val="clear" w:color="auto" w:fill="FBD4B4" w:themeFill="accent6" w:themeFillTint="66"/>
            <w:noWrap/>
            <w:vAlign w:val="center"/>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GUZTIRA</w:t>
            </w:r>
          </w:p>
        </w:tc>
      </w:tr>
      <w:tr w:rsidR="0090709F" w:rsidRPr="00316A40" w:rsidTr="0084345B">
        <w:trPr>
          <w:trHeight w:val="340"/>
        </w:trPr>
        <w:tc>
          <w:tcPr>
            <w:tcW w:w="870" w:type="pct"/>
            <w:vMerge/>
            <w:tcBorders>
              <w:top w:val="single" w:sz="4" w:space="0" w:color="auto"/>
              <w:left w:val="nil"/>
              <w:bottom w:val="single" w:sz="4" w:space="0" w:color="000000"/>
            </w:tcBorders>
            <w:vAlign w:val="center"/>
            <w:hideMark/>
          </w:tcPr>
          <w:p w:rsidR="0090709F" w:rsidRPr="00316A40" w:rsidRDefault="0090709F" w:rsidP="0084345B">
            <w:pPr>
              <w:spacing w:after="0"/>
              <w:ind w:firstLine="0"/>
              <w:jc w:val="left"/>
              <w:rPr>
                <w:rFonts w:ascii="Arial" w:hAnsi="Arial" w:cs="Arial"/>
                <w:bCs/>
                <w:color w:val="000000"/>
                <w:sz w:val="14"/>
                <w:szCs w:val="14"/>
                <w:lang w:val="es-ES" w:eastAsia="es-ES"/>
              </w:rPr>
            </w:pPr>
          </w:p>
        </w:tc>
        <w:tc>
          <w:tcPr>
            <w:tcW w:w="437" w:type="pct"/>
            <w:tcBorders>
              <w:top w:val="single" w:sz="4" w:space="0" w:color="auto"/>
              <w:bottom w:val="single" w:sz="4" w:space="0" w:color="auto"/>
            </w:tcBorders>
            <w:shd w:val="clear" w:color="CCCCFF" w:fill="FBD4B4" w:themeFill="accent6" w:themeFillTint="66"/>
            <w:noWrap/>
            <w:vAlign w:val="center"/>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Zenbat</w:t>
            </w:r>
          </w:p>
        </w:tc>
        <w:tc>
          <w:tcPr>
            <w:tcW w:w="508" w:type="pct"/>
            <w:tcBorders>
              <w:top w:val="single" w:sz="4" w:space="0" w:color="auto"/>
              <w:bottom w:val="single" w:sz="4" w:space="0" w:color="auto"/>
            </w:tcBorders>
            <w:shd w:val="clear" w:color="CCCCFF" w:fill="FBD4B4" w:themeFill="accent6" w:themeFillTint="66"/>
            <w:vAlign w:val="center"/>
            <w:hideMark/>
          </w:tcPr>
          <w:p w:rsidR="0090709F" w:rsidRPr="00316A40" w:rsidRDefault="0090709F" w:rsidP="0084345B">
            <w:pPr>
              <w:spacing w:after="0"/>
              <w:ind w:firstLine="0"/>
              <w:jc w:val="right"/>
              <w:rPr>
                <w:rFonts w:ascii="Arial" w:hAnsi="Arial" w:cs="Arial"/>
                <w:bCs/>
                <w:color w:val="000000"/>
                <w:sz w:val="14"/>
                <w:szCs w:val="14"/>
              </w:rPr>
            </w:pPr>
            <w:r w:rsidRPr="00316A40">
              <w:rPr>
                <w:rFonts w:ascii="Arial" w:hAnsi="Arial"/>
                <w:bCs/>
                <w:color w:val="000000"/>
                <w:sz w:val="14"/>
                <w:szCs w:val="14"/>
              </w:rPr>
              <w:t>Diru-zenbat</w:t>
            </w:r>
            <w:r w:rsidRPr="00316A40">
              <w:rPr>
                <w:rFonts w:ascii="Arial" w:hAnsi="Arial"/>
                <w:bCs/>
                <w:color w:val="000000"/>
                <w:sz w:val="14"/>
                <w:szCs w:val="14"/>
              </w:rPr>
              <w:t>e</w:t>
            </w:r>
            <w:r w:rsidRPr="00316A40">
              <w:rPr>
                <w:rFonts w:ascii="Arial" w:hAnsi="Arial"/>
                <w:bCs/>
                <w:color w:val="000000"/>
                <w:sz w:val="14"/>
                <w:szCs w:val="14"/>
              </w:rPr>
              <w:t xml:space="preserve">koa </w:t>
            </w:r>
          </w:p>
        </w:tc>
        <w:tc>
          <w:tcPr>
            <w:tcW w:w="82" w:type="pct"/>
            <w:tcBorders>
              <w:bottom w:val="single" w:sz="4" w:space="0" w:color="auto"/>
            </w:tcBorders>
            <w:shd w:val="clear" w:color="CCCCFF" w:fill="FBD4B4" w:themeFill="accent6" w:themeFillTint="66"/>
          </w:tcPr>
          <w:p w:rsidR="0090709F" w:rsidRPr="00316A40" w:rsidRDefault="0090709F" w:rsidP="0084345B">
            <w:pPr>
              <w:spacing w:after="0"/>
              <w:ind w:firstLine="0"/>
              <w:jc w:val="center"/>
              <w:rPr>
                <w:rFonts w:ascii="Arial" w:hAnsi="Arial" w:cs="Arial"/>
                <w:bCs/>
                <w:color w:val="000000"/>
                <w:sz w:val="14"/>
                <w:szCs w:val="14"/>
                <w:lang w:val="es-ES" w:eastAsia="es-ES"/>
              </w:rPr>
            </w:pPr>
          </w:p>
        </w:tc>
        <w:tc>
          <w:tcPr>
            <w:tcW w:w="508" w:type="pct"/>
            <w:tcBorders>
              <w:top w:val="single" w:sz="4" w:space="0" w:color="auto"/>
              <w:bottom w:val="single" w:sz="4" w:space="0" w:color="auto"/>
            </w:tcBorders>
            <w:shd w:val="clear" w:color="CCCCFF" w:fill="FBD4B4" w:themeFill="accent6" w:themeFillTint="66"/>
            <w:noWrap/>
            <w:vAlign w:val="center"/>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Zenbat</w:t>
            </w:r>
          </w:p>
        </w:tc>
        <w:tc>
          <w:tcPr>
            <w:tcW w:w="497" w:type="pct"/>
            <w:gridSpan w:val="2"/>
            <w:tcBorders>
              <w:top w:val="single" w:sz="4" w:space="0" w:color="auto"/>
              <w:bottom w:val="single" w:sz="4" w:space="0" w:color="auto"/>
            </w:tcBorders>
            <w:shd w:val="clear" w:color="CCCCFF" w:fill="FBD4B4" w:themeFill="accent6" w:themeFillTint="66"/>
            <w:vAlign w:val="center"/>
            <w:hideMark/>
          </w:tcPr>
          <w:p w:rsidR="0090709F" w:rsidRPr="00316A40" w:rsidRDefault="0090709F" w:rsidP="0084345B">
            <w:pPr>
              <w:spacing w:after="0"/>
              <w:ind w:firstLine="0"/>
              <w:jc w:val="right"/>
              <w:rPr>
                <w:rFonts w:ascii="Arial" w:hAnsi="Arial" w:cs="Arial"/>
                <w:bCs/>
                <w:color w:val="000000"/>
                <w:sz w:val="14"/>
                <w:szCs w:val="14"/>
              </w:rPr>
            </w:pPr>
            <w:r w:rsidRPr="00316A40">
              <w:rPr>
                <w:rFonts w:ascii="Arial" w:hAnsi="Arial"/>
                <w:bCs/>
                <w:color w:val="000000"/>
                <w:sz w:val="14"/>
                <w:szCs w:val="14"/>
              </w:rPr>
              <w:t>Diru-zenbat</w:t>
            </w:r>
            <w:r w:rsidRPr="00316A40">
              <w:rPr>
                <w:rFonts w:ascii="Arial" w:hAnsi="Arial"/>
                <w:bCs/>
                <w:color w:val="000000"/>
                <w:sz w:val="14"/>
                <w:szCs w:val="14"/>
              </w:rPr>
              <w:t>e</w:t>
            </w:r>
            <w:r w:rsidRPr="00316A40">
              <w:rPr>
                <w:rFonts w:ascii="Arial" w:hAnsi="Arial"/>
                <w:bCs/>
                <w:color w:val="000000"/>
                <w:sz w:val="14"/>
                <w:szCs w:val="14"/>
              </w:rPr>
              <w:t xml:space="preserve">koa </w:t>
            </w:r>
          </w:p>
        </w:tc>
        <w:tc>
          <w:tcPr>
            <w:tcW w:w="144" w:type="pct"/>
            <w:gridSpan w:val="2"/>
            <w:tcBorders>
              <w:bottom w:val="single" w:sz="4" w:space="0" w:color="auto"/>
            </w:tcBorders>
            <w:shd w:val="clear" w:color="CCCCFF" w:fill="FBD4B4" w:themeFill="accent6" w:themeFillTint="66"/>
          </w:tcPr>
          <w:p w:rsidR="0090709F" w:rsidRPr="00316A40" w:rsidRDefault="0090709F" w:rsidP="0084345B">
            <w:pPr>
              <w:spacing w:after="0"/>
              <w:ind w:firstLine="0"/>
              <w:jc w:val="center"/>
              <w:rPr>
                <w:rFonts w:ascii="Arial" w:hAnsi="Arial" w:cs="Arial"/>
                <w:bCs/>
                <w:color w:val="000000"/>
                <w:sz w:val="14"/>
                <w:szCs w:val="14"/>
                <w:lang w:val="es-ES" w:eastAsia="es-ES"/>
              </w:rPr>
            </w:pPr>
          </w:p>
        </w:tc>
        <w:tc>
          <w:tcPr>
            <w:tcW w:w="434" w:type="pct"/>
            <w:tcBorders>
              <w:top w:val="single" w:sz="4" w:space="0" w:color="auto"/>
              <w:bottom w:val="single" w:sz="4" w:space="0" w:color="auto"/>
            </w:tcBorders>
            <w:shd w:val="clear" w:color="CCCCFF" w:fill="FBD4B4" w:themeFill="accent6" w:themeFillTint="66"/>
            <w:noWrap/>
            <w:vAlign w:val="center"/>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Zenbat</w:t>
            </w:r>
          </w:p>
        </w:tc>
        <w:tc>
          <w:tcPr>
            <w:tcW w:w="440" w:type="pct"/>
            <w:gridSpan w:val="2"/>
            <w:tcBorders>
              <w:top w:val="single" w:sz="4" w:space="0" w:color="auto"/>
              <w:bottom w:val="single" w:sz="4" w:space="0" w:color="auto"/>
            </w:tcBorders>
            <w:shd w:val="clear" w:color="CCCCFF" w:fill="FBD4B4" w:themeFill="accent6" w:themeFillTint="66"/>
            <w:vAlign w:val="center"/>
            <w:hideMark/>
          </w:tcPr>
          <w:p w:rsidR="0090709F" w:rsidRPr="00316A40" w:rsidRDefault="0090709F" w:rsidP="0084345B">
            <w:pPr>
              <w:spacing w:after="0"/>
              <w:ind w:left="-149" w:firstLine="0"/>
              <w:jc w:val="right"/>
              <w:rPr>
                <w:rFonts w:ascii="Arial" w:hAnsi="Arial" w:cs="Arial"/>
                <w:bCs/>
                <w:color w:val="000000"/>
                <w:sz w:val="14"/>
                <w:szCs w:val="14"/>
              </w:rPr>
            </w:pPr>
            <w:r w:rsidRPr="00316A40">
              <w:rPr>
                <w:rFonts w:ascii="Arial" w:hAnsi="Arial"/>
                <w:bCs/>
                <w:color w:val="000000"/>
                <w:sz w:val="14"/>
                <w:szCs w:val="14"/>
              </w:rPr>
              <w:t>Diru-zenbat</w:t>
            </w:r>
            <w:r w:rsidRPr="00316A40">
              <w:rPr>
                <w:rFonts w:ascii="Arial" w:hAnsi="Arial"/>
                <w:bCs/>
                <w:color w:val="000000"/>
                <w:sz w:val="14"/>
                <w:szCs w:val="14"/>
              </w:rPr>
              <w:t>e</w:t>
            </w:r>
            <w:r w:rsidRPr="00316A40">
              <w:rPr>
                <w:rFonts w:ascii="Arial" w:hAnsi="Arial"/>
                <w:bCs/>
                <w:color w:val="000000"/>
                <w:sz w:val="14"/>
                <w:szCs w:val="14"/>
              </w:rPr>
              <w:t>koa</w:t>
            </w:r>
          </w:p>
        </w:tc>
        <w:tc>
          <w:tcPr>
            <w:tcW w:w="144" w:type="pct"/>
            <w:gridSpan w:val="2"/>
            <w:tcBorders>
              <w:bottom w:val="single" w:sz="4" w:space="0" w:color="auto"/>
            </w:tcBorders>
            <w:shd w:val="clear" w:color="CCCCFF" w:fill="FBD4B4" w:themeFill="accent6" w:themeFillTint="66"/>
          </w:tcPr>
          <w:p w:rsidR="0090709F" w:rsidRPr="00316A40" w:rsidRDefault="0090709F" w:rsidP="0084345B">
            <w:pPr>
              <w:spacing w:after="0"/>
              <w:ind w:firstLine="0"/>
              <w:jc w:val="center"/>
              <w:rPr>
                <w:rFonts w:ascii="Arial" w:hAnsi="Arial" w:cs="Arial"/>
                <w:bCs/>
                <w:color w:val="000000"/>
                <w:sz w:val="14"/>
                <w:szCs w:val="14"/>
                <w:lang w:val="es-ES" w:eastAsia="es-ES"/>
              </w:rPr>
            </w:pPr>
          </w:p>
        </w:tc>
        <w:tc>
          <w:tcPr>
            <w:tcW w:w="434" w:type="pct"/>
            <w:tcBorders>
              <w:top w:val="single" w:sz="4" w:space="0" w:color="auto"/>
              <w:bottom w:val="single" w:sz="4" w:space="0" w:color="auto"/>
            </w:tcBorders>
            <w:shd w:val="clear" w:color="CCCCFF" w:fill="FBD4B4" w:themeFill="accent6" w:themeFillTint="66"/>
            <w:noWrap/>
            <w:vAlign w:val="center"/>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Zenbat</w:t>
            </w:r>
          </w:p>
        </w:tc>
        <w:tc>
          <w:tcPr>
            <w:tcW w:w="502" w:type="pct"/>
            <w:tcBorders>
              <w:top w:val="single" w:sz="4" w:space="0" w:color="auto"/>
              <w:bottom w:val="single" w:sz="4" w:space="0" w:color="auto"/>
            </w:tcBorders>
            <w:shd w:val="clear" w:color="CCCCFF" w:fill="FBD4B4" w:themeFill="accent6" w:themeFillTint="66"/>
            <w:vAlign w:val="center"/>
            <w:hideMark/>
          </w:tcPr>
          <w:p w:rsidR="0090709F" w:rsidRPr="00316A40" w:rsidRDefault="0090709F" w:rsidP="0084345B">
            <w:pPr>
              <w:spacing w:after="0"/>
              <w:ind w:left="-101" w:firstLine="0"/>
              <w:jc w:val="right"/>
              <w:rPr>
                <w:rFonts w:ascii="Arial" w:hAnsi="Arial" w:cs="Arial"/>
                <w:bCs/>
                <w:color w:val="000000"/>
                <w:sz w:val="14"/>
                <w:szCs w:val="14"/>
              </w:rPr>
            </w:pPr>
            <w:r w:rsidRPr="00316A40">
              <w:rPr>
                <w:rFonts w:ascii="Arial" w:hAnsi="Arial"/>
                <w:bCs/>
                <w:color w:val="000000"/>
                <w:sz w:val="14"/>
                <w:szCs w:val="14"/>
              </w:rPr>
              <w:t xml:space="preserve">Diru-zenbatekoa </w:t>
            </w:r>
          </w:p>
        </w:tc>
      </w:tr>
      <w:tr w:rsidR="0090709F" w:rsidRPr="00316A40" w:rsidTr="0084345B">
        <w:trPr>
          <w:trHeight w:val="255"/>
        </w:trPr>
        <w:tc>
          <w:tcPr>
            <w:tcW w:w="870" w:type="pct"/>
            <w:tcBorders>
              <w:top w:val="nil"/>
              <w:left w:val="nil"/>
              <w:bottom w:val="single" w:sz="4" w:space="0" w:color="auto"/>
            </w:tcBorders>
            <w:shd w:val="clear" w:color="auto" w:fill="auto"/>
            <w:noWrap/>
            <w:vAlign w:val="bottom"/>
            <w:hideMark/>
          </w:tcPr>
          <w:p w:rsidR="0090709F" w:rsidRPr="00316A40" w:rsidRDefault="0090709F" w:rsidP="0084345B">
            <w:pPr>
              <w:spacing w:after="0"/>
              <w:ind w:firstLine="0"/>
              <w:jc w:val="left"/>
              <w:rPr>
                <w:rFonts w:ascii="Arial Narrow" w:hAnsi="Arial Narrow" w:cs="Calibri"/>
                <w:color w:val="000000"/>
                <w:sz w:val="14"/>
                <w:szCs w:val="14"/>
              </w:rPr>
            </w:pPr>
            <w:r w:rsidRPr="00316A40">
              <w:rPr>
                <w:rFonts w:ascii="Arial Narrow" w:hAnsi="Arial Narrow"/>
                <w:color w:val="000000"/>
                <w:sz w:val="14"/>
                <w:szCs w:val="14"/>
              </w:rPr>
              <w:t>Laguntza</w:t>
            </w:r>
          </w:p>
        </w:tc>
        <w:tc>
          <w:tcPr>
            <w:tcW w:w="437"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4</w:t>
            </w:r>
          </w:p>
        </w:tc>
        <w:tc>
          <w:tcPr>
            <w:tcW w:w="508"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211</w:t>
            </w:r>
          </w:p>
        </w:tc>
        <w:tc>
          <w:tcPr>
            <w:tcW w:w="82" w:type="pct"/>
            <w:tcBorders>
              <w:top w:val="nil"/>
            </w:tcBorders>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508"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19</w:t>
            </w:r>
          </w:p>
        </w:tc>
        <w:tc>
          <w:tcPr>
            <w:tcW w:w="497" w:type="pct"/>
            <w:gridSpan w:val="2"/>
            <w:tcBorders>
              <w:top w:val="nil"/>
              <w:bottom w:val="single" w:sz="4" w:space="0" w:color="auto"/>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1.396</w:t>
            </w:r>
          </w:p>
        </w:tc>
        <w:tc>
          <w:tcPr>
            <w:tcW w:w="144" w:type="pct"/>
            <w:gridSpan w:val="2"/>
            <w:tcBorders>
              <w:top w:val="nil"/>
            </w:tcBorders>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434"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 </w:t>
            </w:r>
          </w:p>
        </w:tc>
        <w:tc>
          <w:tcPr>
            <w:tcW w:w="440" w:type="pct"/>
            <w:gridSpan w:val="2"/>
            <w:tcBorders>
              <w:top w:val="nil"/>
              <w:bottom w:val="single" w:sz="4" w:space="0" w:color="auto"/>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 </w:t>
            </w:r>
          </w:p>
        </w:tc>
        <w:tc>
          <w:tcPr>
            <w:tcW w:w="144" w:type="pct"/>
            <w:gridSpan w:val="2"/>
            <w:tcBorders>
              <w:top w:val="single" w:sz="4" w:space="0" w:color="auto"/>
            </w:tcBorders>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434" w:type="pct"/>
            <w:tcBorders>
              <w:top w:val="single" w:sz="4" w:space="0" w:color="auto"/>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23</w:t>
            </w:r>
          </w:p>
        </w:tc>
        <w:tc>
          <w:tcPr>
            <w:tcW w:w="502" w:type="pct"/>
            <w:tcBorders>
              <w:top w:val="nil"/>
              <w:bottom w:val="single" w:sz="4" w:space="0" w:color="auto"/>
              <w:right w:val="nil"/>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1.607</w:t>
            </w:r>
          </w:p>
        </w:tc>
      </w:tr>
      <w:tr w:rsidR="0090709F" w:rsidRPr="00316A40" w:rsidTr="0084345B">
        <w:trPr>
          <w:trHeight w:val="255"/>
        </w:trPr>
        <w:tc>
          <w:tcPr>
            <w:tcW w:w="870" w:type="pct"/>
            <w:tcBorders>
              <w:top w:val="nil"/>
              <w:left w:val="nil"/>
              <w:bottom w:val="single" w:sz="4" w:space="0" w:color="auto"/>
            </w:tcBorders>
            <w:shd w:val="clear" w:color="auto" w:fill="auto"/>
            <w:noWrap/>
            <w:vAlign w:val="bottom"/>
            <w:hideMark/>
          </w:tcPr>
          <w:p w:rsidR="0090709F" w:rsidRPr="00316A40" w:rsidRDefault="0090709F" w:rsidP="0084345B">
            <w:pPr>
              <w:spacing w:after="0"/>
              <w:ind w:firstLine="0"/>
              <w:jc w:val="left"/>
              <w:rPr>
                <w:rFonts w:ascii="Arial Narrow" w:hAnsi="Arial Narrow" w:cs="Calibri"/>
                <w:color w:val="000000"/>
                <w:sz w:val="14"/>
                <w:szCs w:val="14"/>
              </w:rPr>
            </w:pPr>
            <w:r w:rsidRPr="00316A40">
              <w:rPr>
                <w:rFonts w:ascii="Arial Narrow" w:hAnsi="Arial Narrow"/>
                <w:color w:val="000000"/>
                <w:sz w:val="14"/>
                <w:szCs w:val="14"/>
              </w:rPr>
              <w:t>Obrak</w:t>
            </w:r>
          </w:p>
        </w:tc>
        <w:tc>
          <w:tcPr>
            <w:tcW w:w="437"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3</w:t>
            </w:r>
          </w:p>
        </w:tc>
        <w:tc>
          <w:tcPr>
            <w:tcW w:w="508"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428</w:t>
            </w:r>
          </w:p>
        </w:tc>
        <w:tc>
          <w:tcPr>
            <w:tcW w:w="82" w:type="pct"/>
            <w:tcBorders>
              <w:top w:val="nil"/>
            </w:tcBorders>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508"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17</w:t>
            </w:r>
          </w:p>
        </w:tc>
        <w:tc>
          <w:tcPr>
            <w:tcW w:w="497" w:type="pct"/>
            <w:gridSpan w:val="2"/>
            <w:tcBorders>
              <w:top w:val="nil"/>
              <w:bottom w:val="single" w:sz="4" w:space="0" w:color="auto"/>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4.886</w:t>
            </w:r>
          </w:p>
        </w:tc>
        <w:tc>
          <w:tcPr>
            <w:tcW w:w="144" w:type="pct"/>
            <w:gridSpan w:val="2"/>
            <w:tcBorders>
              <w:top w:val="nil"/>
            </w:tcBorders>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434"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1</w:t>
            </w:r>
          </w:p>
        </w:tc>
        <w:tc>
          <w:tcPr>
            <w:tcW w:w="440" w:type="pct"/>
            <w:gridSpan w:val="2"/>
            <w:tcBorders>
              <w:top w:val="nil"/>
              <w:bottom w:val="single" w:sz="4" w:space="0" w:color="auto"/>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232</w:t>
            </w:r>
          </w:p>
        </w:tc>
        <w:tc>
          <w:tcPr>
            <w:tcW w:w="144" w:type="pct"/>
            <w:gridSpan w:val="2"/>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434" w:type="pct"/>
            <w:tcBorders>
              <w:top w:val="single" w:sz="4" w:space="0" w:color="auto"/>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21</w:t>
            </w:r>
          </w:p>
        </w:tc>
        <w:tc>
          <w:tcPr>
            <w:tcW w:w="502" w:type="pct"/>
            <w:tcBorders>
              <w:top w:val="single" w:sz="4" w:space="0" w:color="auto"/>
              <w:bottom w:val="single" w:sz="4" w:space="0" w:color="auto"/>
              <w:right w:val="nil"/>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5.546</w:t>
            </w:r>
          </w:p>
        </w:tc>
      </w:tr>
      <w:tr w:rsidR="0090709F" w:rsidRPr="00316A40" w:rsidTr="0084345B">
        <w:trPr>
          <w:trHeight w:val="255"/>
        </w:trPr>
        <w:tc>
          <w:tcPr>
            <w:tcW w:w="870" w:type="pct"/>
            <w:tcBorders>
              <w:top w:val="nil"/>
              <w:left w:val="nil"/>
              <w:bottom w:val="single" w:sz="4" w:space="0" w:color="auto"/>
            </w:tcBorders>
            <w:shd w:val="clear" w:color="auto" w:fill="auto"/>
            <w:noWrap/>
            <w:vAlign w:val="bottom"/>
            <w:hideMark/>
          </w:tcPr>
          <w:p w:rsidR="0090709F" w:rsidRPr="00316A40" w:rsidRDefault="0090709F" w:rsidP="0084345B">
            <w:pPr>
              <w:spacing w:after="0"/>
              <w:ind w:firstLine="0"/>
              <w:jc w:val="left"/>
              <w:rPr>
                <w:rFonts w:ascii="Arial Narrow" w:hAnsi="Arial Narrow" w:cs="Calibri"/>
                <w:color w:val="000000"/>
                <w:sz w:val="14"/>
                <w:szCs w:val="14"/>
              </w:rPr>
            </w:pPr>
            <w:r w:rsidRPr="00316A40">
              <w:rPr>
                <w:rFonts w:ascii="Arial Narrow" w:hAnsi="Arial Narrow"/>
                <w:color w:val="000000"/>
                <w:sz w:val="14"/>
                <w:szCs w:val="14"/>
              </w:rPr>
              <w:t>Hornidura</w:t>
            </w:r>
          </w:p>
        </w:tc>
        <w:tc>
          <w:tcPr>
            <w:tcW w:w="437"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5</w:t>
            </w:r>
          </w:p>
        </w:tc>
        <w:tc>
          <w:tcPr>
            <w:tcW w:w="508"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74</w:t>
            </w:r>
          </w:p>
        </w:tc>
        <w:tc>
          <w:tcPr>
            <w:tcW w:w="82" w:type="pct"/>
            <w:tcBorders>
              <w:top w:val="nil"/>
            </w:tcBorders>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508"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21</w:t>
            </w:r>
          </w:p>
        </w:tc>
        <w:tc>
          <w:tcPr>
            <w:tcW w:w="497" w:type="pct"/>
            <w:gridSpan w:val="2"/>
            <w:tcBorders>
              <w:top w:val="nil"/>
              <w:bottom w:val="single" w:sz="4" w:space="0" w:color="auto"/>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2.168</w:t>
            </w:r>
          </w:p>
        </w:tc>
        <w:tc>
          <w:tcPr>
            <w:tcW w:w="144" w:type="pct"/>
            <w:gridSpan w:val="2"/>
            <w:tcBorders>
              <w:top w:val="nil"/>
            </w:tcBorders>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434" w:type="pct"/>
            <w:tcBorders>
              <w:top w:val="nil"/>
              <w:bottom w:val="single" w:sz="4" w:space="0" w:color="auto"/>
            </w:tcBorders>
            <w:shd w:val="clear" w:color="auto" w:fill="auto"/>
            <w:noWrap/>
            <w:vAlign w:val="bottom"/>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440" w:type="pct"/>
            <w:gridSpan w:val="2"/>
            <w:tcBorders>
              <w:top w:val="nil"/>
              <w:bottom w:val="single" w:sz="4" w:space="0" w:color="auto"/>
            </w:tcBorders>
            <w:shd w:val="clear" w:color="auto" w:fill="auto"/>
            <w:noWrap/>
            <w:vAlign w:val="bottom"/>
          </w:tcPr>
          <w:p w:rsidR="0090709F" w:rsidRPr="00316A40" w:rsidRDefault="0090709F" w:rsidP="0084345B">
            <w:pPr>
              <w:spacing w:after="0"/>
              <w:ind w:firstLine="0"/>
              <w:jc w:val="right"/>
              <w:rPr>
                <w:rFonts w:ascii="Arial Narrow" w:hAnsi="Arial Narrow" w:cs="Calibri"/>
                <w:color w:val="000000"/>
                <w:sz w:val="14"/>
                <w:szCs w:val="14"/>
                <w:lang w:val="es-ES" w:eastAsia="es-ES"/>
              </w:rPr>
            </w:pPr>
          </w:p>
        </w:tc>
        <w:tc>
          <w:tcPr>
            <w:tcW w:w="144" w:type="pct"/>
            <w:gridSpan w:val="2"/>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434" w:type="pct"/>
            <w:tcBorders>
              <w:top w:val="single" w:sz="4" w:space="0" w:color="auto"/>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26</w:t>
            </w:r>
          </w:p>
        </w:tc>
        <w:tc>
          <w:tcPr>
            <w:tcW w:w="502" w:type="pct"/>
            <w:tcBorders>
              <w:top w:val="single" w:sz="4" w:space="0" w:color="auto"/>
              <w:bottom w:val="single" w:sz="4" w:space="0" w:color="auto"/>
              <w:right w:val="nil"/>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2.242</w:t>
            </w:r>
          </w:p>
        </w:tc>
      </w:tr>
      <w:tr w:rsidR="0090709F" w:rsidRPr="00316A40" w:rsidTr="0084345B">
        <w:trPr>
          <w:trHeight w:val="255"/>
        </w:trPr>
        <w:tc>
          <w:tcPr>
            <w:tcW w:w="870" w:type="pct"/>
            <w:tcBorders>
              <w:top w:val="nil"/>
              <w:left w:val="nil"/>
              <w:bottom w:val="single" w:sz="4" w:space="0" w:color="auto"/>
            </w:tcBorders>
            <w:shd w:val="clear" w:color="auto" w:fill="auto"/>
            <w:noWrap/>
            <w:vAlign w:val="bottom"/>
            <w:hideMark/>
          </w:tcPr>
          <w:p w:rsidR="0090709F" w:rsidRPr="00316A40" w:rsidRDefault="0090709F" w:rsidP="0084345B">
            <w:pPr>
              <w:spacing w:after="0"/>
              <w:ind w:firstLine="0"/>
              <w:jc w:val="left"/>
              <w:rPr>
                <w:rFonts w:ascii="Arial Narrow" w:hAnsi="Arial Narrow" w:cs="Calibri"/>
                <w:color w:val="000000"/>
                <w:sz w:val="14"/>
                <w:szCs w:val="14"/>
              </w:rPr>
            </w:pPr>
            <w:r w:rsidRPr="00316A40">
              <w:rPr>
                <w:rFonts w:ascii="Arial Narrow" w:hAnsi="Arial Narrow"/>
                <w:color w:val="000000"/>
                <w:sz w:val="14"/>
                <w:szCs w:val="14"/>
              </w:rPr>
              <w:t>Zerbitzuen emakida</w:t>
            </w:r>
          </w:p>
        </w:tc>
        <w:tc>
          <w:tcPr>
            <w:tcW w:w="437"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1</w:t>
            </w:r>
          </w:p>
        </w:tc>
        <w:tc>
          <w:tcPr>
            <w:tcW w:w="508"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3</w:t>
            </w:r>
          </w:p>
        </w:tc>
        <w:tc>
          <w:tcPr>
            <w:tcW w:w="82" w:type="pct"/>
            <w:tcBorders>
              <w:bottom w:val="single" w:sz="4" w:space="0" w:color="auto"/>
            </w:tcBorders>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508"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 </w:t>
            </w:r>
          </w:p>
        </w:tc>
        <w:tc>
          <w:tcPr>
            <w:tcW w:w="497" w:type="pct"/>
            <w:gridSpan w:val="2"/>
            <w:tcBorders>
              <w:top w:val="nil"/>
              <w:bottom w:val="single" w:sz="4" w:space="0" w:color="auto"/>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 </w:t>
            </w:r>
          </w:p>
        </w:tc>
        <w:tc>
          <w:tcPr>
            <w:tcW w:w="144" w:type="pct"/>
            <w:gridSpan w:val="2"/>
            <w:tcBorders>
              <w:bottom w:val="single" w:sz="4" w:space="0" w:color="auto"/>
            </w:tcBorders>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434" w:type="pct"/>
            <w:tcBorders>
              <w:top w:val="nil"/>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 </w:t>
            </w:r>
          </w:p>
        </w:tc>
        <w:tc>
          <w:tcPr>
            <w:tcW w:w="440" w:type="pct"/>
            <w:gridSpan w:val="2"/>
            <w:tcBorders>
              <w:top w:val="nil"/>
              <w:bottom w:val="single" w:sz="4" w:space="0" w:color="auto"/>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 </w:t>
            </w:r>
          </w:p>
        </w:tc>
        <w:tc>
          <w:tcPr>
            <w:tcW w:w="144" w:type="pct"/>
            <w:gridSpan w:val="2"/>
            <w:tcBorders>
              <w:bottom w:val="single" w:sz="4" w:space="0" w:color="auto"/>
            </w:tcBorders>
          </w:tcPr>
          <w:p w:rsidR="0090709F" w:rsidRPr="00316A40" w:rsidRDefault="0090709F" w:rsidP="0084345B">
            <w:pPr>
              <w:spacing w:after="0"/>
              <w:ind w:firstLine="0"/>
              <w:jc w:val="center"/>
              <w:rPr>
                <w:rFonts w:ascii="Arial Narrow" w:hAnsi="Arial Narrow" w:cs="Calibri"/>
                <w:color w:val="000000"/>
                <w:sz w:val="14"/>
                <w:szCs w:val="14"/>
                <w:lang w:val="es-ES" w:eastAsia="es-ES"/>
              </w:rPr>
            </w:pPr>
          </w:p>
        </w:tc>
        <w:tc>
          <w:tcPr>
            <w:tcW w:w="434" w:type="pct"/>
            <w:tcBorders>
              <w:top w:val="single" w:sz="4" w:space="0" w:color="auto"/>
              <w:bottom w:val="single" w:sz="4" w:space="0" w:color="auto"/>
            </w:tcBorders>
            <w:shd w:val="clear" w:color="auto" w:fill="auto"/>
            <w:noWrap/>
            <w:vAlign w:val="bottom"/>
            <w:hideMark/>
          </w:tcPr>
          <w:p w:rsidR="0090709F" w:rsidRPr="00316A40" w:rsidRDefault="0090709F" w:rsidP="0084345B">
            <w:pPr>
              <w:spacing w:after="0"/>
              <w:ind w:firstLine="0"/>
              <w:jc w:val="center"/>
              <w:rPr>
                <w:rFonts w:ascii="Arial Narrow" w:hAnsi="Arial Narrow" w:cs="Calibri"/>
                <w:color w:val="000000"/>
                <w:sz w:val="14"/>
                <w:szCs w:val="14"/>
              </w:rPr>
            </w:pPr>
            <w:r w:rsidRPr="00316A40">
              <w:rPr>
                <w:rFonts w:ascii="Arial Narrow" w:hAnsi="Arial Narrow"/>
                <w:color w:val="000000"/>
                <w:sz w:val="14"/>
                <w:szCs w:val="14"/>
              </w:rPr>
              <w:t xml:space="preserve"> 1</w:t>
            </w:r>
          </w:p>
        </w:tc>
        <w:tc>
          <w:tcPr>
            <w:tcW w:w="502" w:type="pct"/>
            <w:tcBorders>
              <w:top w:val="nil"/>
              <w:bottom w:val="single" w:sz="4" w:space="0" w:color="auto"/>
              <w:right w:val="nil"/>
            </w:tcBorders>
            <w:shd w:val="clear" w:color="auto" w:fill="auto"/>
            <w:noWrap/>
            <w:vAlign w:val="bottom"/>
            <w:hideMark/>
          </w:tcPr>
          <w:p w:rsidR="0090709F" w:rsidRPr="00316A40" w:rsidRDefault="0090709F" w:rsidP="0084345B">
            <w:pPr>
              <w:spacing w:after="0"/>
              <w:ind w:firstLine="0"/>
              <w:jc w:val="right"/>
              <w:rPr>
                <w:rFonts w:ascii="Arial Narrow" w:hAnsi="Arial Narrow" w:cs="Calibri"/>
                <w:color w:val="000000"/>
                <w:sz w:val="14"/>
                <w:szCs w:val="14"/>
              </w:rPr>
            </w:pPr>
            <w:r w:rsidRPr="00316A40">
              <w:rPr>
                <w:rFonts w:ascii="Arial Narrow" w:hAnsi="Arial Narrow"/>
                <w:color w:val="000000"/>
                <w:sz w:val="14"/>
                <w:szCs w:val="14"/>
              </w:rPr>
              <w:t>3</w:t>
            </w:r>
          </w:p>
        </w:tc>
      </w:tr>
      <w:tr w:rsidR="0090709F" w:rsidRPr="00316A40" w:rsidTr="0084345B">
        <w:trPr>
          <w:trHeight w:val="255"/>
        </w:trPr>
        <w:tc>
          <w:tcPr>
            <w:tcW w:w="870" w:type="pct"/>
            <w:tcBorders>
              <w:top w:val="single" w:sz="4" w:space="0" w:color="auto"/>
              <w:left w:val="nil"/>
              <w:bottom w:val="single" w:sz="4" w:space="0" w:color="auto"/>
            </w:tcBorders>
            <w:shd w:val="clear" w:color="auto" w:fill="FBD4B4" w:themeFill="accent6" w:themeFillTint="66"/>
            <w:noWrap/>
            <w:vAlign w:val="bottom"/>
            <w:hideMark/>
          </w:tcPr>
          <w:p w:rsidR="0090709F" w:rsidRPr="00316A40" w:rsidRDefault="0090709F" w:rsidP="0084345B">
            <w:pPr>
              <w:spacing w:after="0"/>
              <w:ind w:firstLine="0"/>
              <w:jc w:val="left"/>
              <w:rPr>
                <w:rFonts w:ascii="Arial" w:hAnsi="Arial" w:cs="Arial"/>
                <w:bCs/>
                <w:color w:val="000000"/>
                <w:sz w:val="14"/>
                <w:szCs w:val="14"/>
              </w:rPr>
            </w:pPr>
            <w:r w:rsidRPr="00316A40">
              <w:rPr>
                <w:rFonts w:ascii="Arial" w:hAnsi="Arial"/>
                <w:bCs/>
                <w:color w:val="000000"/>
                <w:sz w:val="14"/>
                <w:szCs w:val="14"/>
              </w:rPr>
              <w:t>Guztira, oro har</w:t>
            </w:r>
          </w:p>
        </w:tc>
        <w:tc>
          <w:tcPr>
            <w:tcW w:w="437" w:type="pct"/>
            <w:tcBorders>
              <w:top w:val="single" w:sz="4" w:space="0" w:color="auto"/>
              <w:bottom w:val="single" w:sz="4" w:space="0" w:color="auto"/>
            </w:tcBorders>
            <w:shd w:val="clear" w:color="auto" w:fill="FBD4B4" w:themeFill="accent6" w:themeFillTint="66"/>
            <w:noWrap/>
            <w:vAlign w:val="bottom"/>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13</w:t>
            </w:r>
          </w:p>
        </w:tc>
        <w:tc>
          <w:tcPr>
            <w:tcW w:w="508" w:type="pct"/>
            <w:tcBorders>
              <w:top w:val="single" w:sz="4" w:space="0" w:color="auto"/>
              <w:bottom w:val="single" w:sz="4" w:space="0" w:color="auto"/>
            </w:tcBorders>
            <w:shd w:val="clear" w:color="auto" w:fill="FBD4B4" w:themeFill="accent6" w:themeFillTint="66"/>
            <w:noWrap/>
            <w:vAlign w:val="bottom"/>
            <w:hideMark/>
          </w:tcPr>
          <w:p w:rsidR="0090709F" w:rsidRPr="00316A40" w:rsidRDefault="0090709F" w:rsidP="0084345B">
            <w:pPr>
              <w:spacing w:after="0"/>
              <w:ind w:firstLine="0"/>
              <w:jc w:val="right"/>
              <w:rPr>
                <w:rFonts w:ascii="Arial" w:hAnsi="Arial" w:cs="Arial"/>
                <w:bCs/>
                <w:color w:val="000000"/>
                <w:sz w:val="14"/>
                <w:szCs w:val="14"/>
              </w:rPr>
            </w:pPr>
            <w:r w:rsidRPr="00316A40">
              <w:rPr>
                <w:rFonts w:ascii="Arial" w:hAnsi="Arial"/>
                <w:bCs/>
                <w:color w:val="000000"/>
                <w:sz w:val="14"/>
                <w:szCs w:val="14"/>
              </w:rPr>
              <w:t>716</w:t>
            </w:r>
          </w:p>
        </w:tc>
        <w:tc>
          <w:tcPr>
            <w:tcW w:w="82" w:type="pct"/>
            <w:tcBorders>
              <w:top w:val="single" w:sz="4" w:space="0" w:color="auto"/>
              <w:bottom w:val="single" w:sz="4" w:space="0" w:color="auto"/>
            </w:tcBorders>
            <w:shd w:val="clear" w:color="auto" w:fill="FBD4B4" w:themeFill="accent6" w:themeFillTint="66"/>
          </w:tcPr>
          <w:p w:rsidR="0090709F" w:rsidRPr="00316A40" w:rsidRDefault="0090709F" w:rsidP="0084345B">
            <w:pPr>
              <w:spacing w:after="0"/>
              <w:ind w:firstLine="0"/>
              <w:jc w:val="center"/>
              <w:rPr>
                <w:rFonts w:ascii="Arial" w:hAnsi="Arial" w:cs="Arial"/>
                <w:bCs/>
                <w:color w:val="000000"/>
                <w:sz w:val="14"/>
                <w:szCs w:val="14"/>
                <w:lang w:val="es-ES" w:eastAsia="es-ES"/>
              </w:rPr>
            </w:pPr>
          </w:p>
        </w:tc>
        <w:tc>
          <w:tcPr>
            <w:tcW w:w="508" w:type="pct"/>
            <w:tcBorders>
              <w:top w:val="single" w:sz="4" w:space="0" w:color="auto"/>
              <w:bottom w:val="single" w:sz="4" w:space="0" w:color="auto"/>
            </w:tcBorders>
            <w:shd w:val="clear" w:color="auto" w:fill="FBD4B4" w:themeFill="accent6" w:themeFillTint="66"/>
            <w:noWrap/>
            <w:vAlign w:val="bottom"/>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57</w:t>
            </w:r>
          </w:p>
        </w:tc>
        <w:tc>
          <w:tcPr>
            <w:tcW w:w="497" w:type="pct"/>
            <w:gridSpan w:val="2"/>
            <w:tcBorders>
              <w:top w:val="single" w:sz="4" w:space="0" w:color="auto"/>
              <w:bottom w:val="single" w:sz="4" w:space="0" w:color="auto"/>
            </w:tcBorders>
            <w:shd w:val="clear" w:color="auto" w:fill="FBD4B4" w:themeFill="accent6" w:themeFillTint="66"/>
            <w:noWrap/>
            <w:vAlign w:val="bottom"/>
            <w:hideMark/>
          </w:tcPr>
          <w:p w:rsidR="0090709F" w:rsidRPr="00316A40" w:rsidRDefault="0090709F" w:rsidP="0084345B">
            <w:pPr>
              <w:spacing w:after="0"/>
              <w:ind w:firstLine="0"/>
              <w:jc w:val="right"/>
              <w:rPr>
                <w:rFonts w:ascii="Arial" w:hAnsi="Arial" w:cs="Arial"/>
                <w:bCs/>
                <w:color w:val="000000"/>
                <w:sz w:val="14"/>
                <w:szCs w:val="14"/>
              </w:rPr>
            </w:pPr>
            <w:r w:rsidRPr="00316A40">
              <w:rPr>
                <w:rFonts w:ascii="Arial" w:hAnsi="Arial"/>
                <w:bCs/>
                <w:color w:val="000000"/>
                <w:sz w:val="14"/>
                <w:szCs w:val="14"/>
              </w:rPr>
              <w:t>8.450</w:t>
            </w:r>
          </w:p>
        </w:tc>
        <w:tc>
          <w:tcPr>
            <w:tcW w:w="144" w:type="pct"/>
            <w:gridSpan w:val="2"/>
            <w:tcBorders>
              <w:top w:val="single" w:sz="4" w:space="0" w:color="auto"/>
              <w:bottom w:val="single" w:sz="4" w:space="0" w:color="auto"/>
            </w:tcBorders>
            <w:shd w:val="clear" w:color="auto" w:fill="FBD4B4" w:themeFill="accent6" w:themeFillTint="66"/>
          </w:tcPr>
          <w:p w:rsidR="0090709F" w:rsidRPr="00316A40" w:rsidRDefault="0090709F" w:rsidP="0084345B">
            <w:pPr>
              <w:spacing w:after="0"/>
              <w:ind w:firstLine="0"/>
              <w:jc w:val="center"/>
              <w:rPr>
                <w:rFonts w:ascii="Arial" w:hAnsi="Arial" w:cs="Arial"/>
                <w:bCs/>
                <w:color w:val="000000"/>
                <w:sz w:val="14"/>
                <w:szCs w:val="14"/>
                <w:lang w:val="es-ES" w:eastAsia="es-ES"/>
              </w:rPr>
            </w:pPr>
          </w:p>
        </w:tc>
        <w:tc>
          <w:tcPr>
            <w:tcW w:w="434" w:type="pct"/>
            <w:tcBorders>
              <w:top w:val="single" w:sz="4" w:space="0" w:color="auto"/>
              <w:bottom w:val="single" w:sz="4" w:space="0" w:color="auto"/>
            </w:tcBorders>
            <w:shd w:val="clear" w:color="auto" w:fill="FBD4B4" w:themeFill="accent6" w:themeFillTint="66"/>
            <w:noWrap/>
            <w:vAlign w:val="bottom"/>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1</w:t>
            </w:r>
          </w:p>
        </w:tc>
        <w:tc>
          <w:tcPr>
            <w:tcW w:w="440" w:type="pct"/>
            <w:gridSpan w:val="2"/>
            <w:tcBorders>
              <w:top w:val="single" w:sz="4" w:space="0" w:color="auto"/>
              <w:bottom w:val="single" w:sz="4" w:space="0" w:color="auto"/>
            </w:tcBorders>
            <w:shd w:val="clear" w:color="auto" w:fill="FBD4B4" w:themeFill="accent6" w:themeFillTint="66"/>
            <w:noWrap/>
            <w:vAlign w:val="bottom"/>
            <w:hideMark/>
          </w:tcPr>
          <w:p w:rsidR="0090709F" w:rsidRPr="00316A40" w:rsidRDefault="0090709F" w:rsidP="0084345B">
            <w:pPr>
              <w:spacing w:after="0"/>
              <w:ind w:firstLine="0"/>
              <w:jc w:val="right"/>
              <w:rPr>
                <w:rFonts w:ascii="Arial" w:hAnsi="Arial" w:cs="Arial"/>
                <w:bCs/>
                <w:color w:val="000000"/>
                <w:sz w:val="14"/>
                <w:szCs w:val="14"/>
              </w:rPr>
            </w:pPr>
            <w:r w:rsidRPr="00316A40">
              <w:rPr>
                <w:rFonts w:ascii="Arial" w:hAnsi="Arial"/>
                <w:bCs/>
                <w:color w:val="000000"/>
                <w:sz w:val="14"/>
                <w:szCs w:val="14"/>
              </w:rPr>
              <w:t>232</w:t>
            </w:r>
          </w:p>
        </w:tc>
        <w:tc>
          <w:tcPr>
            <w:tcW w:w="144" w:type="pct"/>
            <w:gridSpan w:val="2"/>
            <w:tcBorders>
              <w:top w:val="single" w:sz="4" w:space="0" w:color="auto"/>
              <w:bottom w:val="single" w:sz="4" w:space="0" w:color="auto"/>
            </w:tcBorders>
            <w:shd w:val="clear" w:color="auto" w:fill="FBD4B4" w:themeFill="accent6" w:themeFillTint="66"/>
          </w:tcPr>
          <w:p w:rsidR="0090709F" w:rsidRPr="00316A40" w:rsidRDefault="0090709F" w:rsidP="0084345B">
            <w:pPr>
              <w:spacing w:after="0"/>
              <w:ind w:firstLine="0"/>
              <w:jc w:val="center"/>
              <w:rPr>
                <w:rFonts w:ascii="Arial" w:hAnsi="Arial" w:cs="Arial"/>
                <w:bCs/>
                <w:color w:val="000000"/>
                <w:sz w:val="14"/>
                <w:szCs w:val="14"/>
                <w:lang w:val="es-ES" w:eastAsia="es-ES"/>
              </w:rPr>
            </w:pPr>
          </w:p>
        </w:tc>
        <w:tc>
          <w:tcPr>
            <w:tcW w:w="434" w:type="pct"/>
            <w:tcBorders>
              <w:top w:val="single" w:sz="4" w:space="0" w:color="auto"/>
              <w:bottom w:val="single" w:sz="4" w:space="0" w:color="auto"/>
            </w:tcBorders>
            <w:shd w:val="clear" w:color="auto" w:fill="FBD4B4" w:themeFill="accent6" w:themeFillTint="66"/>
            <w:noWrap/>
            <w:vAlign w:val="bottom"/>
            <w:hideMark/>
          </w:tcPr>
          <w:p w:rsidR="0090709F" w:rsidRPr="00316A40" w:rsidRDefault="0090709F" w:rsidP="0084345B">
            <w:pPr>
              <w:spacing w:after="0"/>
              <w:ind w:firstLine="0"/>
              <w:jc w:val="center"/>
              <w:rPr>
                <w:rFonts w:ascii="Arial" w:hAnsi="Arial" w:cs="Arial"/>
                <w:bCs/>
                <w:color w:val="000000"/>
                <w:sz w:val="14"/>
                <w:szCs w:val="14"/>
              </w:rPr>
            </w:pPr>
            <w:r w:rsidRPr="00316A40">
              <w:rPr>
                <w:rFonts w:ascii="Arial" w:hAnsi="Arial"/>
                <w:bCs/>
                <w:color w:val="000000"/>
                <w:sz w:val="14"/>
                <w:szCs w:val="14"/>
              </w:rPr>
              <w:t>71</w:t>
            </w:r>
          </w:p>
        </w:tc>
        <w:tc>
          <w:tcPr>
            <w:tcW w:w="502" w:type="pct"/>
            <w:tcBorders>
              <w:top w:val="single" w:sz="4" w:space="0" w:color="auto"/>
              <w:bottom w:val="single" w:sz="4" w:space="0" w:color="auto"/>
            </w:tcBorders>
            <w:shd w:val="clear" w:color="auto" w:fill="FBD4B4" w:themeFill="accent6" w:themeFillTint="66"/>
            <w:noWrap/>
            <w:vAlign w:val="bottom"/>
            <w:hideMark/>
          </w:tcPr>
          <w:p w:rsidR="0090709F" w:rsidRPr="00316A40" w:rsidRDefault="0090709F" w:rsidP="0084345B">
            <w:pPr>
              <w:spacing w:after="0"/>
              <w:ind w:firstLine="0"/>
              <w:jc w:val="right"/>
              <w:rPr>
                <w:rFonts w:ascii="Arial" w:hAnsi="Arial" w:cs="Arial"/>
                <w:bCs/>
                <w:color w:val="000000"/>
                <w:sz w:val="14"/>
                <w:szCs w:val="14"/>
              </w:rPr>
            </w:pPr>
            <w:r w:rsidRPr="00316A40">
              <w:rPr>
                <w:rFonts w:ascii="Arial" w:hAnsi="Arial"/>
                <w:bCs/>
                <w:color w:val="000000"/>
                <w:sz w:val="14"/>
                <w:szCs w:val="14"/>
              </w:rPr>
              <w:t>9.398</w:t>
            </w:r>
          </w:p>
        </w:tc>
      </w:tr>
    </w:tbl>
    <w:p w:rsidR="00EC4F97" w:rsidRPr="007E3BFE" w:rsidRDefault="00EC4F97" w:rsidP="00EC4F97">
      <w:pPr>
        <w:pStyle w:val="texto"/>
        <w:spacing w:after="240"/>
      </w:pPr>
    </w:p>
    <w:p w:rsidR="00EC4F97" w:rsidRDefault="00EC4F97" w:rsidP="00EC4F97">
      <w:pPr>
        <w:pStyle w:val="texto"/>
        <w:spacing w:before="240"/>
        <w:rPr>
          <w:w w:val="103"/>
        </w:rPr>
      </w:pPr>
      <w:r>
        <w:t>Nabarmentzekoa da ezen 2017an zeuden 71 kontratuetatik, ehuneko 80 soz</w:t>
      </w:r>
      <w:r>
        <w:t>i</w:t>
      </w:r>
      <w:r>
        <w:t>etate publikoek adjudikatu zituztela. 8,45 milioi euro egiten dute, eta aldea gu</w:t>
      </w:r>
      <w:r>
        <w:t>z</w:t>
      </w:r>
      <w:r>
        <w:t>tizko zenbatekoaren ehuneko 90 dira. Gainerako kontratuak erakunde auton</w:t>
      </w:r>
      <w:r>
        <w:t>o</w:t>
      </w:r>
      <w:r>
        <w:t>moek eta fundazio batek adjudikatu zituzten.</w:t>
      </w:r>
    </w:p>
    <w:p w:rsidR="00EC4F97" w:rsidRPr="007E3BFE" w:rsidRDefault="00EC4F97" w:rsidP="00EC4F97">
      <w:pPr>
        <w:pStyle w:val="texto"/>
        <w:spacing w:before="240"/>
        <w:rPr>
          <w:w w:val="103"/>
        </w:rPr>
      </w:pPr>
      <w:r>
        <w:t xml:space="preserve">Laburbilduz, 2017an, toki </w:t>
      </w:r>
      <w:proofErr w:type="spellStart"/>
      <w:r>
        <w:t>enteek</w:t>
      </w:r>
      <w:proofErr w:type="spellEnd"/>
      <w:r>
        <w:t>, eta haien erakunde autonomoek, sozietate publikoek eta fundazioek 421 kontratu adjudikatu zituzten, eta kontratu horiek 48,45 milioi eurokoak izan ziren, guztira.</w:t>
      </w:r>
    </w:p>
    <w:p w:rsidR="00EC4F97" w:rsidRPr="00F03111" w:rsidRDefault="00EC4F97" w:rsidP="00EC4F97">
      <w:pPr>
        <w:pStyle w:val="texto"/>
        <w:spacing w:after="240"/>
      </w:pPr>
      <w:r>
        <w:t xml:space="preserve">Hona toki entitateek eta haien mendeko </w:t>
      </w:r>
      <w:proofErr w:type="spellStart"/>
      <w:r>
        <w:t>enteek</w:t>
      </w:r>
      <w:proofErr w:type="spellEnd"/>
      <w:r>
        <w:t xml:space="preserve"> egindako kontratuetan bali</w:t>
      </w:r>
      <w:r>
        <w:t>a</w:t>
      </w:r>
      <w:r>
        <w:t>tutako adjudikazio-prozedura eta -irizpideak:</w:t>
      </w:r>
    </w:p>
    <w:tbl>
      <w:tblPr>
        <w:tblW w:w="10168" w:type="dxa"/>
        <w:tblInd w:w="-497" w:type="dxa"/>
        <w:tblLayout w:type="fixed"/>
        <w:tblCellMar>
          <w:left w:w="70" w:type="dxa"/>
          <w:right w:w="70" w:type="dxa"/>
        </w:tblCellMar>
        <w:tblLook w:val="04A0" w:firstRow="1" w:lastRow="0" w:firstColumn="1" w:lastColumn="0" w:noHBand="0" w:noVBand="1"/>
      </w:tblPr>
      <w:tblGrid>
        <w:gridCol w:w="1135"/>
        <w:gridCol w:w="772"/>
        <w:gridCol w:w="555"/>
        <w:gridCol w:w="160"/>
        <w:gridCol w:w="724"/>
        <w:gridCol w:w="803"/>
        <w:gridCol w:w="813"/>
        <w:gridCol w:w="166"/>
        <w:gridCol w:w="1064"/>
        <w:gridCol w:w="160"/>
        <w:gridCol w:w="945"/>
        <w:gridCol w:w="160"/>
        <w:gridCol w:w="909"/>
        <w:gridCol w:w="166"/>
        <w:gridCol w:w="823"/>
        <w:gridCol w:w="169"/>
        <w:gridCol w:w="644"/>
      </w:tblGrid>
      <w:tr w:rsidR="005132A2" w:rsidRPr="00316A40" w:rsidTr="0084345B">
        <w:trPr>
          <w:trHeight w:val="20"/>
        </w:trPr>
        <w:tc>
          <w:tcPr>
            <w:tcW w:w="1135" w:type="dxa"/>
            <w:vMerge w:val="restart"/>
            <w:tcBorders>
              <w:top w:val="single" w:sz="4" w:space="0" w:color="auto"/>
              <w:left w:val="nil"/>
              <w:bottom w:val="single" w:sz="4" w:space="0" w:color="auto"/>
            </w:tcBorders>
            <w:shd w:val="clear" w:color="auto" w:fill="FBD4B4" w:themeFill="accent6" w:themeFillTint="66"/>
            <w:vAlign w:val="bottom"/>
            <w:hideMark/>
          </w:tcPr>
          <w:p w:rsidR="005132A2" w:rsidRDefault="005132A2" w:rsidP="0084345B">
            <w:pPr>
              <w:spacing w:before="20" w:after="20"/>
              <w:ind w:firstLine="0"/>
              <w:jc w:val="center"/>
              <w:rPr>
                <w:rFonts w:asciiTheme="minorHAnsi" w:hAnsiTheme="minorHAnsi"/>
                <w:color w:val="000000"/>
                <w:sz w:val="12"/>
                <w:szCs w:val="12"/>
              </w:rPr>
            </w:pPr>
            <w:r w:rsidRPr="00316A40">
              <w:rPr>
                <w:rFonts w:asciiTheme="minorHAnsi" w:hAnsiTheme="minorHAnsi"/>
                <w:color w:val="000000"/>
                <w:sz w:val="12"/>
                <w:szCs w:val="12"/>
              </w:rPr>
              <w:t> </w:t>
            </w:r>
          </w:p>
          <w:p w:rsidR="005132A2" w:rsidRPr="00316A40" w:rsidRDefault="005132A2" w:rsidP="0084345B">
            <w:pPr>
              <w:spacing w:before="20" w:after="20"/>
              <w:ind w:firstLine="0"/>
              <w:jc w:val="center"/>
              <w:rPr>
                <w:rFonts w:asciiTheme="minorHAnsi" w:hAnsiTheme="minorHAnsi" w:cs="Calibri"/>
                <w:color w:val="000000"/>
                <w:sz w:val="12"/>
                <w:szCs w:val="12"/>
              </w:rPr>
            </w:pPr>
          </w:p>
        </w:tc>
        <w:tc>
          <w:tcPr>
            <w:tcW w:w="1327" w:type="dxa"/>
            <w:gridSpan w:val="2"/>
            <w:tcBorders>
              <w:top w:val="single" w:sz="4" w:space="0" w:color="auto"/>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Irekia</w:t>
            </w:r>
          </w:p>
        </w:tc>
        <w:tc>
          <w:tcPr>
            <w:tcW w:w="160" w:type="dxa"/>
            <w:tcBorders>
              <w:top w:val="single" w:sz="4" w:space="0" w:color="auto"/>
            </w:tcBorders>
            <w:shd w:val="clear" w:color="auto" w:fill="FBD4B4" w:themeFill="accent6" w:themeFillTint="66"/>
          </w:tcPr>
          <w:p w:rsidR="005132A2" w:rsidRPr="00316A40" w:rsidRDefault="005132A2" w:rsidP="0084345B">
            <w:pPr>
              <w:spacing w:before="20" w:after="20"/>
              <w:ind w:firstLine="0"/>
              <w:jc w:val="center"/>
              <w:rPr>
                <w:rFonts w:ascii="Arial" w:hAnsi="Arial" w:cs="Arial"/>
                <w:color w:val="000000"/>
                <w:sz w:val="12"/>
                <w:szCs w:val="12"/>
                <w:lang w:val="es-ES" w:eastAsia="es-ES"/>
              </w:rPr>
            </w:pPr>
          </w:p>
        </w:tc>
        <w:tc>
          <w:tcPr>
            <w:tcW w:w="2340" w:type="dxa"/>
            <w:gridSpan w:val="3"/>
            <w:tcBorders>
              <w:top w:val="single" w:sz="4" w:space="0" w:color="auto"/>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Negoziatua, publizitaterik gabe</w:t>
            </w:r>
          </w:p>
        </w:tc>
        <w:tc>
          <w:tcPr>
            <w:tcW w:w="166" w:type="dxa"/>
            <w:tcBorders>
              <w:top w:val="single" w:sz="4" w:space="0" w:color="auto"/>
            </w:tcBorders>
            <w:shd w:val="clear" w:color="auto" w:fill="FBD4B4" w:themeFill="accent6" w:themeFillTint="66"/>
          </w:tcPr>
          <w:p w:rsidR="005132A2" w:rsidRPr="00316A40" w:rsidRDefault="005132A2" w:rsidP="0084345B">
            <w:pPr>
              <w:spacing w:before="20" w:after="20"/>
              <w:ind w:firstLine="0"/>
              <w:jc w:val="center"/>
              <w:rPr>
                <w:rFonts w:ascii="Arial" w:hAnsi="Arial" w:cs="Arial"/>
                <w:color w:val="000000"/>
                <w:sz w:val="12"/>
                <w:szCs w:val="12"/>
                <w:lang w:val="es-ES" w:eastAsia="es-ES"/>
              </w:rPr>
            </w:pPr>
          </w:p>
        </w:tc>
        <w:tc>
          <w:tcPr>
            <w:tcW w:w="1064" w:type="dxa"/>
            <w:tcBorders>
              <w:top w:val="single" w:sz="4" w:space="0" w:color="auto"/>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Negoziatua, publizitatear</w:t>
            </w:r>
            <w:r w:rsidRPr="00316A40">
              <w:rPr>
                <w:rFonts w:ascii="Arial" w:hAnsi="Arial"/>
                <w:color w:val="000000"/>
                <w:sz w:val="12"/>
                <w:szCs w:val="12"/>
              </w:rPr>
              <w:t>e</w:t>
            </w:r>
            <w:r w:rsidRPr="00316A40">
              <w:rPr>
                <w:rFonts w:ascii="Arial" w:hAnsi="Arial"/>
                <w:color w:val="000000"/>
                <w:sz w:val="12"/>
                <w:szCs w:val="12"/>
              </w:rPr>
              <w:t>kin</w:t>
            </w:r>
          </w:p>
        </w:tc>
        <w:tc>
          <w:tcPr>
            <w:tcW w:w="160" w:type="dxa"/>
            <w:tcBorders>
              <w:top w:val="single" w:sz="4" w:space="0" w:color="auto"/>
            </w:tcBorders>
            <w:shd w:val="clear" w:color="auto" w:fill="FBD4B4" w:themeFill="accent6" w:themeFillTint="66"/>
          </w:tcPr>
          <w:p w:rsidR="005132A2" w:rsidRPr="00316A40" w:rsidRDefault="005132A2" w:rsidP="0084345B">
            <w:pPr>
              <w:spacing w:before="20" w:after="20"/>
              <w:ind w:firstLine="0"/>
              <w:jc w:val="center"/>
              <w:rPr>
                <w:rFonts w:ascii="Arial" w:hAnsi="Arial" w:cs="Arial"/>
                <w:color w:val="000000"/>
                <w:sz w:val="12"/>
                <w:szCs w:val="12"/>
                <w:lang w:val="es-ES" w:eastAsia="es-ES"/>
              </w:rPr>
            </w:pPr>
          </w:p>
        </w:tc>
        <w:tc>
          <w:tcPr>
            <w:tcW w:w="945" w:type="dxa"/>
            <w:tcBorders>
              <w:top w:val="single" w:sz="4" w:space="0" w:color="auto"/>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Lehia-elkarrizketa</w:t>
            </w:r>
          </w:p>
        </w:tc>
        <w:tc>
          <w:tcPr>
            <w:tcW w:w="160" w:type="dxa"/>
            <w:tcBorders>
              <w:top w:val="single" w:sz="4" w:space="0" w:color="auto"/>
            </w:tcBorders>
            <w:shd w:val="clear" w:color="auto" w:fill="FBD4B4" w:themeFill="accent6" w:themeFillTint="66"/>
          </w:tcPr>
          <w:p w:rsidR="005132A2" w:rsidRPr="00316A40" w:rsidRDefault="005132A2" w:rsidP="0084345B">
            <w:pPr>
              <w:spacing w:before="20" w:after="20"/>
              <w:ind w:firstLine="0"/>
              <w:jc w:val="center"/>
              <w:rPr>
                <w:rFonts w:ascii="Arial" w:hAnsi="Arial" w:cs="Arial"/>
                <w:color w:val="000000"/>
                <w:sz w:val="12"/>
                <w:szCs w:val="12"/>
                <w:lang w:val="es-ES" w:eastAsia="es-ES"/>
              </w:rPr>
            </w:pPr>
          </w:p>
        </w:tc>
        <w:tc>
          <w:tcPr>
            <w:tcW w:w="909" w:type="dxa"/>
            <w:tcBorders>
              <w:top w:val="single" w:sz="4" w:space="0" w:color="auto"/>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Murriztua</w:t>
            </w:r>
          </w:p>
        </w:tc>
        <w:tc>
          <w:tcPr>
            <w:tcW w:w="166" w:type="dxa"/>
            <w:tcBorders>
              <w:top w:val="single" w:sz="4" w:space="0" w:color="auto"/>
            </w:tcBorders>
            <w:shd w:val="clear" w:color="auto" w:fill="FBD4B4" w:themeFill="accent6" w:themeFillTint="66"/>
          </w:tcPr>
          <w:p w:rsidR="005132A2" w:rsidRPr="00316A40" w:rsidRDefault="005132A2" w:rsidP="0084345B">
            <w:pPr>
              <w:spacing w:before="20" w:after="20"/>
              <w:ind w:firstLine="0"/>
              <w:jc w:val="center"/>
              <w:rPr>
                <w:rFonts w:ascii="Arial" w:hAnsi="Arial" w:cs="Arial"/>
                <w:color w:val="000000"/>
                <w:sz w:val="12"/>
                <w:szCs w:val="12"/>
                <w:lang w:val="es-ES" w:eastAsia="es-ES"/>
              </w:rPr>
            </w:pPr>
          </w:p>
        </w:tc>
        <w:tc>
          <w:tcPr>
            <w:tcW w:w="823" w:type="dxa"/>
            <w:tcBorders>
              <w:top w:val="single" w:sz="4" w:space="0" w:color="auto"/>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Proiektuen lehiaketa</w:t>
            </w:r>
          </w:p>
        </w:tc>
        <w:tc>
          <w:tcPr>
            <w:tcW w:w="169" w:type="dxa"/>
            <w:tcBorders>
              <w:top w:val="single" w:sz="4" w:space="0" w:color="auto"/>
            </w:tcBorders>
            <w:shd w:val="clear" w:color="auto" w:fill="FBD4B4" w:themeFill="accent6" w:themeFillTint="66"/>
          </w:tcPr>
          <w:p w:rsidR="005132A2" w:rsidRPr="00316A40" w:rsidRDefault="005132A2" w:rsidP="0084345B">
            <w:pPr>
              <w:spacing w:before="20" w:after="20"/>
              <w:ind w:firstLine="0"/>
              <w:jc w:val="center"/>
              <w:rPr>
                <w:rFonts w:ascii="Arial" w:hAnsi="Arial" w:cs="Arial"/>
                <w:color w:val="000000"/>
                <w:sz w:val="12"/>
                <w:szCs w:val="12"/>
                <w:lang w:val="es-ES" w:eastAsia="es-ES"/>
              </w:rPr>
            </w:pPr>
          </w:p>
        </w:tc>
        <w:tc>
          <w:tcPr>
            <w:tcW w:w="644" w:type="dxa"/>
            <w:vMerge w:val="restart"/>
            <w:tcBorders>
              <w:top w:val="single" w:sz="4" w:space="0" w:color="auto"/>
              <w:bottom w:val="single" w:sz="4" w:space="0" w:color="auto"/>
              <w:right w:val="nil"/>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Guztira, oro har</w:t>
            </w:r>
          </w:p>
        </w:tc>
      </w:tr>
      <w:tr w:rsidR="005132A2" w:rsidRPr="00316A40" w:rsidTr="0084345B">
        <w:trPr>
          <w:trHeight w:val="20"/>
        </w:trPr>
        <w:tc>
          <w:tcPr>
            <w:tcW w:w="1135" w:type="dxa"/>
            <w:vMerge/>
            <w:tcBorders>
              <w:top w:val="single" w:sz="4" w:space="0" w:color="auto"/>
              <w:left w:val="nil"/>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left"/>
              <w:rPr>
                <w:rFonts w:asciiTheme="minorHAnsi" w:hAnsiTheme="minorHAnsi" w:cs="Calibri"/>
                <w:color w:val="000000"/>
                <w:sz w:val="12"/>
                <w:szCs w:val="12"/>
                <w:lang w:val="es-ES" w:eastAsia="es-ES"/>
              </w:rPr>
            </w:pPr>
          </w:p>
        </w:tc>
        <w:tc>
          <w:tcPr>
            <w:tcW w:w="772" w:type="dxa"/>
            <w:tcBorders>
              <w:top w:val="single" w:sz="4" w:space="0" w:color="auto"/>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Eskaintz</w:t>
            </w:r>
            <w:r w:rsidRPr="00316A40">
              <w:rPr>
                <w:rFonts w:ascii="Arial" w:hAnsi="Arial"/>
                <w:color w:val="000000"/>
                <w:sz w:val="12"/>
                <w:szCs w:val="12"/>
              </w:rPr>
              <w:t>a</w:t>
            </w:r>
            <w:r w:rsidRPr="00316A40">
              <w:rPr>
                <w:rFonts w:ascii="Arial" w:hAnsi="Arial"/>
                <w:color w:val="000000"/>
                <w:sz w:val="12"/>
                <w:szCs w:val="12"/>
              </w:rPr>
              <w:t>rik onena</w:t>
            </w:r>
          </w:p>
        </w:tc>
        <w:tc>
          <w:tcPr>
            <w:tcW w:w="555" w:type="dxa"/>
            <w:tcBorders>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Prezi</w:t>
            </w:r>
            <w:r w:rsidRPr="00316A40">
              <w:rPr>
                <w:rFonts w:ascii="Arial" w:hAnsi="Arial"/>
                <w:color w:val="000000"/>
                <w:sz w:val="12"/>
                <w:szCs w:val="12"/>
              </w:rPr>
              <w:t>o</w:t>
            </w:r>
            <w:r w:rsidRPr="00316A40">
              <w:rPr>
                <w:rFonts w:ascii="Arial" w:hAnsi="Arial"/>
                <w:color w:val="000000"/>
                <w:sz w:val="12"/>
                <w:szCs w:val="12"/>
              </w:rPr>
              <w:t>rik merk</w:t>
            </w:r>
            <w:r w:rsidRPr="00316A40">
              <w:rPr>
                <w:rFonts w:ascii="Arial" w:hAnsi="Arial"/>
                <w:color w:val="000000"/>
                <w:sz w:val="12"/>
                <w:szCs w:val="12"/>
              </w:rPr>
              <w:t>e</w:t>
            </w:r>
            <w:r w:rsidRPr="00316A40">
              <w:rPr>
                <w:rFonts w:ascii="Arial" w:hAnsi="Arial"/>
                <w:color w:val="000000"/>
                <w:sz w:val="12"/>
                <w:szCs w:val="12"/>
              </w:rPr>
              <w:t>ena</w:t>
            </w:r>
          </w:p>
        </w:tc>
        <w:tc>
          <w:tcPr>
            <w:tcW w:w="160" w:type="dxa"/>
            <w:tcBorders>
              <w:bottom w:val="single" w:sz="4" w:space="0" w:color="auto"/>
            </w:tcBorders>
            <w:shd w:val="clear" w:color="auto" w:fill="FBD4B4" w:themeFill="accent6" w:themeFillTint="66"/>
          </w:tcPr>
          <w:p w:rsidR="005132A2" w:rsidRPr="00316A40" w:rsidRDefault="005132A2" w:rsidP="0084345B">
            <w:pPr>
              <w:spacing w:before="20" w:after="20"/>
              <w:ind w:firstLine="0"/>
              <w:jc w:val="center"/>
              <w:rPr>
                <w:rFonts w:ascii="Arial" w:hAnsi="Arial" w:cs="Arial"/>
                <w:color w:val="000000"/>
                <w:sz w:val="12"/>
                <w:szCs w:val="12"/>
                <w:lang w:val="es-ES" w:eastAsia="es-ES"/>
              </w:rPr>
            </w:pPr>
          </w:p>
        </w:tc>
        <w:tc>
          <w:tcPr>
            <w:tcW w:w="724" w:type="dxa"/>
            <w:tcBorders>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proofErr w:type="spellStart"/>
            <w:r w:rsidRPr="00316A40">
              <w:rPr>
                <w:rFonts w:ascii="Arial" w:hAnsi="Arial"/>
                <w:color w:val="000000"/>
                <w:sz w:val="12"/>
                <w:szCs w:val="12"/>
              </w:rPr>
              <w:t>Kalit</w:t>
            </w:r>
            <w:r w:rsidRPr="00316A40">
              <w:rPr>
                <w:rFonts w:ascii="Arial" w:hAnsi="Arial"/>
                <w:color w:val="000000"/>
                <w:sz w:val="12"/>
                <w:szCs w:val="12"/>
              </w:rPr>
              <w:t>a</w:t>
            </w:r>
            <w:r w:rsidRPr="00316A40">
              <w:rPr>
                <w:rFonts w:ascii="Arial" w:hAnsi="Arial"/>
                <w:color w:val="000000"/>
                <w:sz w:val="12"/>
                <w:szCs w:val="12"/>
              </w:rPr>
              <w:t>tea-prezioa</w:t>
            </w:r>
            <w:proofErr w:type="spellEnd"/>
            <w:r w:rsidRPr="00316A40">
              <w:rPr>
                <w:rFonts w:ascii="Arial" w:hAnsi="Arial"/>
                <w:color w:val="000000"/>
                <w:sz w:val="12"/>
                <w:szCs w:val="12"/>
              </w:rPr>
              <w:t xml:space="preserve"> erlaziorik onena</w:t>
            </w:r>
          </w:p>
        </w:tc>
        <w:tc>
          <w:tcPr>
            <w:tcW w:w="803" w:type="dxa"/>
            <w:tcBorders>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Eskaintz</w:t>
            </w:r>
            <w:r w:rsidRPr="00316A40">
              <w:rPr>
                <w:rFonts w:ascii="Arial" w:hAnsi="Arial"/>
                <w:color w:val="000000"/>
                <w:sz w:val="12"/>
                <w:szCs w:val="12"/>
              </w:rPr>
              <w:t>a</w:t>
            </w:r>
            <w:r w:rsidRPr="00316A40">
              <w:rPr>
                <w:rFonts w:ascii="Arial" w:hAnsi="Arial"/>
                <w:color w:val="000000"/>
                <w:sz w:val="12"/>
                <w:szCs w:val="12"/>
              </w:rPr>
              <w:t>rik onena</w:t>
            </w:r>
          </w:p>
        </w:tc>
        <w:tc>
          <w:tcPr>
            <w:tcW w:w="813" w:type="dxa"/>
            <w:tcBorders>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Prezi</w:t>
            </w:r>
            <w:r w:rsidRPr="00316A40">
              <w:rPr>
                <w:rFonts w:ascii="Arial" w:hAnsi="Arial"/>
                <w:color w:val="000000"/>
                <w:sz w:val="12"/>
                <w:szCs w:val="12"/>
              </w:rPr>
              <w:t>o</w:t>
            </w:r>
            <w:r w:rsidRPr="00316A40">
              <w:rPr>
                <w:rFonts w:ascii="Arial" w:hAnsi="Arial"/>
                <w:color w:val="000000"/>
                <w:sz w:val="12"/>
                <w:szCs w:val="12"/>
              </w:rPr>
              <w:t>rik merk</w:t>
            </w:r>
            <w:r w:rsidRPr="00316A40">
              <w:rPr>
                <w:rFonts w:ascii="Arial" w:hAnsi="Arial"/>
                <w:color w:val="000000"/>
                <w:sz w:val="12"/>
                <w:szCs w:val="12"/>
              </w:rPr>
              <w:t>e</w:t>
            </w:r>
            <w:r w:rsidRPr="00316A40">
              <w:rPr>
                <w:rFonts w:ascii="Arial" w:hAnsi="Arial"/>
                <w:color w:val="000000"/>
                <w:sz w:val="12"/>
                <w:szCs w:val="12"/>
              </w:rPr>
              <w:t>ena</w:t>
            </w:r>
          </w:p>
        </w:tc>
        <w:tc>
          <w:tcPr>
            <w:tcW w:w="166" w:type="dxa"/>
            <w:tcBorders>
              <w:bottom w:val="single" w:sz="4" w:space="0" w:color="auto"/>
            </w:tcBorders>
            <w:shd w:val="clear" w:color="auto" w:fill="FBD4B4" w:themeFill="accent6" w:themeFillTint="66"/>
          </w:tcPr>
          <w:p w:rsidR="005132A2" w:rsidRPr="00316A40" w:rsidRDefault="005132A2" w:rsidP="0084345B">
            <w:pPr>
              <w:spacing w:before="20" w:after="20"/>
              <w:ind w:firstLine="0"/>
              <w:jc w:val="center"/>
              <w:rPr>
                <w:rFonts w:ascii="Arial" w:hAnsi="Arial" w:cs="Arial"/>
                <w:color w:val="000000"/>
                <w:sz w:val="12"/>
                <w:szCs w:val="12"/>
                <w:lang w:val="es-ES" w:eastAsia="es-ES"/>
              </w:rPr>
            </w:pPr>
          </w:p>
        </w:tc>
        <w:tc>
          <w:tcPr>
            <w:tcW w:w="1064" w:type="dxa"/>
            <w:tcBorders>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Preziorik merk</w:t>
            </w:r>
            <w:r w:rsidRPr="00316A40">
              <w:rPr>
                <w:rFonts w:ascii="Arial" w:hAnsi="Arial"/>
                <w:color w:val="000000"/>
                <w:sz w:val="12"/>
                <w:szCs w:val="12"/>
              </w:rPr>
              <w:t>e</w:t>
            </w:r>
            <w:r w:rsidRPr="00316A40">
              <w:rPr>
                <w:rFonts w:ascii="Arial" w:hAnsi="Arial"/>
                <w:color w:val="000000"/>
                <w:sz w:val="12"/>
                <w:szCs w:val="12"/>
              </w:rPr>
              <w:t>ena</w:t>
            </w:r>
          </w:p>
        </w:tc>
        <w:tc>
          <w:tcPr>
            <w:tcW w:w="160" w:type="dxa"/>
            <w:tcBorders>
              <w:bottom w:val="single" w:sz="4" w:space="0" w:color="auto"/>
            </w:tcBorders>
            <w:shd w:val="clear" w:color="auto" w:fill="FBD4B4" w:themeFill="accent6" w:themeFillTint="66"/>
          </w:tcPr>
          <w:p w:rsidR="005132A2" w:rsidRPr="00316A40" w:rsidRDefault="005132A2" w:rsidP="0084345B">
            <w:pPr>
              <w:spacing w:before="20" w:after="20"/>
              <w:ind w:firstLine="0"/>
              <w:jc w:val="center"/>
              <w:rPr>
                <w:rFonts w:ascii="Arial" w:hAnsi="Arial" w:cs="Arial"/>
                <w:color w:val="000000"/>
                <w:sz w:val="12"/>
                <w:szCs w:val="12"/>
                <w:lang w:val="es-ES" w:eastAsia="es-ES"/>
              </w:rPr>
            </w:pPr>
          </w:p>
        </w:tc>
        <w:tc>
          <w:tcPr>
            <w:tcW w:w="945" w:type="dxa"/>
            <w:tcBorders>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Preziorik merkeena</w:t>
            </w:r>
          </w:p>
        </w:tc>
        <w:tc>
          <w:tcPr>
            <w:tcW w:w="160" w:type="dxa"/>
            <w:tcBorders>
              <w:bottom w:val="single" w:sz="4" w:space="0" w:color="auto"/>
            </w:tcBorders>
            <w:shd w:val="clear" w:color="auto" w:fill="FBD4B4" w:themeFill="accent6" w:themeFillTint="66"/>
          </w:tcPr>
          <w:p w:rsidR="005132A2" w:rsidRPr="00316A40" w:rsidRDefault="005132A2" w:rsidP="0084345B">
            <w:pPr>
              <w:spacing w:before="20" w:after="20"/>
              <w:ind w:firstLine="0"/>
              <w:jc w:val="center"/>
              <w:rPr>
                <w:rFonts w:ascii="Arial" w:hAnsi="Arial" w:cs="Arial"/>
                <w:color w:val="000000"/>
                <w:sz w:val="12"/>
                <w:szCs w:val="12"/>
                <w:lang w:val="es-ES" w:eastAsia="es-ES"/>
              </w:rPr>
            </w:pPr>
          </w:p>
        </w:tc>
        <w:tc>
          <w:tcPr>
            <w:tcW w:w="909" w:type="dxa"/>
            <w:tcBorders>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Eskaintzarik onena</w:t>
            </w:r>
          </w:p>
        </w:tc>
        <w:tc>
          <w:tcPr>
            <w:tcW w:w="166" w:type="dxa"/>
            <w:tcBorders>
              <w:bottom w:val="single" w:sz="4" w:space="0" w:color="auto"/>
            </w:tcBorders>
            <w:shd w:val="clear" w:color="auto" w:fill="FBD4B4" w:themeFill="accent6" w:themeFillTint="66"/>
          </w:tcPr>
          <w:p w:rsidR="005132A2" w:rsidRPr="00316A40" w:rsidRDefault="005132A2" w:rsidP="0084345B">
            <w:pPr>
              <w:spacing w:before="20" w:after="20"/>
              <w:ind w:firstLine="0"/>
              <w:jc w:val="center"/>
              <w:rPr>
                <w:rFonts w:ascii="Arial" w:hAnsi="Arial" w:cs="Arial"/>
                <w:color w:val="000000"/>
                <w:sz w:val="12"/>
                <w:szCs w:val="12"/>
                <w:lang w:val="es-ES" w:eastAsia="es-ES"/>
              </w:rPr>
            </w:pPr>
          </w:p>
        </w:tc>
        <w:tc>
          <w:tcPr>
            <w:tcW w:w="823" w:type="dxa"/>
            <w:tcBorders>
              <w:bottom w:val="single" w:sz="4" w:space="0" w:color="auto"/>
            </w:tcBorders>
            <w:shd w:val="clear" w:color="auto" w:fill="FBD4B4" w:themeFill="accent6" w:themeFillTint="66"/>
            <w:vAlign w:val="center"/>
            <w:hideMark/>
          </w:tcPr>
          <w:p w:rsidR="005132A2" w:rsidRPr="00316A40" w:rsidRDefault="005132A2" w:rsidP="0084345B">
            <w:pPr>
              <w:spacing w:before="20" w:after="20"/>
              <w:ind w:firstLine="0"/>
              <w:jc w:val="center"/>
              <w:rPr>
                <w:rFonts w:ascii="Arial" w:hAnsi="Arial" w:cs="Arial"/>
                <w:color w:val="000000"/>
                <w:sz w:val="12"/>
                <w:szCs w:val="12"/>
              </w:rPr>
            </w:pPr>
            <w:r w:rsidRPr="00316A40">
              <w:rPr>
                <w:rFonts w:ascii="Arial" w:hAnsi="Arial"/>
                <w:color w:val="000000"/>
                <w:sz w:val="12"/>
                <w:szCs w:val="12"/>
              </w:rPr>
              <w:t>Eskaintz</w:t>
            </w:r>
            <w:r w:rsidRPr="00316A40">
              <w:rPr>
                <w:rFonts w:ascii="Arial" w:hAnsi="Arial"/>
                <w:color w:val="000000"/>
                <w:sz w:val="12"/>
                <w:szCs w:val="12"/>
              </w:rPr>
              <w:t>a</w:t>
            </w:r>
            <w:r w:rsidRPr="00316A40">
              <w:rPr>
                <w:rFonts w:ascii="Arial" w:hAnsi="Arial"/>
                <w:color w:val="000000"/>
                <w:sz w:val="12"/>
                <w:szCs w:val="12"/>
              </w:rPr>
              <w:t>rik onena</w:t>
            </w:r>
          </w:p>
        </w:tc>
        <w:tc>
          <w:tcPr>
            <w:tcW w:w="169" w:type="dxa"/>
            <w:tcBorders>
              <w:bottom w:val="single" w:sz="4" w:space="0" w:color="auto"/>
            </w:tcBorders>
            <w:shd w:val="clear" w:color="auto" w:fill="FBD4B4" w:themeFill="accent6" w:themeFillTint="66"/>
          </w:tcPr>
          <w:p w:rsidR="005132A2" w:rsidRPr="00316A40" w:rsidRDefault="005132A2" w:rsidP="0084345B">
            <w:pPr>
              <w:spacing w:before="20" w:after="20"/>
              <w:ind w:firstLine="0"/>
              <w:jc w:val="left"/>
              <w:rPr>
                <w:rFonts w:ascii="Calibri" w:hAnsi="Calibri" w:cs="Calibri"/>
                <w:color w:val="000000"/>
                <w:sz w:val="12"/>
                <w:szCs w:val="12"/>
                <w:lang w:val="es-ES" w:eastAsia="es-ES"/>
              </w:rPr>
            </w:pPr>
          </w:p>
        </w:tc>
        <w:tc>
          <w:tcPr>
            <w:tcW w:w="644" w:type="dxa"/>
            <w:vMerge/>
            <w:tcBorders>
              <w:top w:val="single" w:sz="4" w:space="0" w:color="auto"/>
              <w:bottom w:val="single" w:sz="4" w:space="0" w:color="auto"/>
              <w:right w:val="nil"/>
            </w:tcBorders>
            <w:shd w:val="clear" w:color="auto" w:fill="FBD4B4" w:themeFill="accent6" w:themeFillTint="66"/>
            <w:vAlign w:val="center"/>
            <w:hideMark/>
          </w:tcPr>
          <w:p w:rsidR="005132A2" w:rsidRPr="00316A40" w:rsidRDefault="005132A2" w:rsidP="0084345B">
            <w:pPr>
              <w:spacing w:before="20" w:after="20"/>
              <w:ind w:firstLine="0"/>
              <w:jc w:val="left"/>
              <w:rPr>
                <w:rFonts w:ascii="Calibri" w:hAnsi="Calibri" w:cs="Calibri"/>
                <w:color w:val="000000"/>
                <w:sz w:val="12"/>
                <w:szCs w:val="12"/>
                <w:lang w:val="es-ES" w:eastAsia="es-ES"/>
              </w:rPr>
            </w:pPr>
          </w:p>
        </w:tc>
      </w:tr>
      <w:tr w:rsidR="005132A2" w:rsidRPr="00316A40" w:rsidTr="0084345B">
        <w:trPr>
          <w:trHeight w:val="20"/>
        </w:trPr>
        <w:tc>
          <w:tcPr>
            <w:tcW w:w="1135" w:type="dxa"/>
            <w:tcBorders>
              <w:top w:val="single" w:sz="4" w:space="0" w:color="auto"/>
              <w:left w:val="nil"/>
              <w:bottom w:val="single" w:sz="4" w:space="0" w:color="auto"/>
            </w:tcBorders>
            <w:shd w:val="clear" w:color="auto" w:fill="auto"/>
            <w:noWrap/>
            <w:vAlign w:val="center"/>
            <w:hideMark/>
          </w:tcPr>
          <w:p w:rsidR="005132A2" w:rsidRPr="00316A40" w:rsidRDefault="005132A2" w:rsidP="0084345B">
            <w:pPr>
              <w:spacing w:before="20" w:after="20"/>
              <w:ind w:firstLine="0"/>
              <w:jc w:val="left"/>
              <w:rPr>
                <w:rFonts w:ascii="Arial Narrow" w:hAnsi="Arial Narrow" w:cs="Calibri"/>
                <w:color w:val="000000"/>
                <w:sz w:val="12"/>
                <w:szCs w:val="12"/>
              </w:rPr>
            </w:pPr>
            <w:r w:rsidRPr="00316A40">
              <w:rPr>
                <w:rFonts w:ascii="Arial Narrow" w:hAnsi="Arial Narrow"/>
                <w:color w:val="000000"/>
                <w:sz w:val="12"/>
                <w:szCs w:val="12"/>
              </w:rPr>
              <w:t>Laguntza</w:t>
            </w:r>
          </w:p>
        </w:tc>
        <w:tc>
          <w:tcPr>
            <w:tcW w:w="772"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133</w:t>
            </w:r>
          </w:p>
        </w:tc>
        <w:tc>
          <w:tcPr>
            <w:tcW w:w="555"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8</w:t>
            </w:r>
          </w:p>
        </w:tc>
        <w:tc>
          <w:tcPr>
            <w:tcW w:w="160"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724"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2</w:t>
            </w:r>
          </w:p>
        </w:tc>
        <w:tc>
          <w:tcPr>
            <w:tcW w:w="803"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22</w:t>
            </w:r>
          </w:p>
        </w:tc>
        <w:tc>
          <w:tcPr>
            <w:tcW w:w="813"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4</w:t>
            </w:r>
          </w:p>
        </w:tc>
        <w:tc>
          <w:tcPr>
            <w:tcW w:w="166"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1064"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1</w:t>
            </w:r>
          </w:p>
        </w:tc>
        <w:tc>
          <w:tcPr>
            <w:tcW w:w="160"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945"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1</w:t>
            </w:r>
          </w:p>
        </w:tc>
        <w:tc>
          <w:tcPr>
            <w:tcW w:w="160"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909"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1</w:t>
            </w:r>
          </w:p>
        </w:tc>
        <w:tc>
          <w:tcPr>
            <w:tcW w:w="166"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823"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3</w:t>
            </w:r>
          </w:p>
        </w:tc>
        <w:tc>
          <w:tcPr>
            <w:tcW w:w="169" w:type="dxa"/>
          </w:tcPr>
          <w:p w:rsidR="005132A2" w:rsidRPr="00316A40" w:rsidRDefault="005132A2" w:rsidP="0084345B">
            <w:pPr>
              <w:spacing w:before="20" w:after="20"/>
              <w:ind w:firstLine="0"/>
              <w:jc w:val="right"/>
              <w:rPr>
                <w:rFonts w:ascii="Arial Narrow" w:hAnsi="Arial Narrow" w:cs="Calibri"/>
                <w:bCs/>
                <w:color w:val="000000"/>
                <w:sz w:val="12"/>
                <w:szCs w:val="12"/>
                <w:lang w:val="es-ES" w:eastAsia="es-ES"/>
              </w:rPr>
            </w:pPr>
          </w:p>
        </w:tc>
        <w:tc>
          <w:tcPr>
            <w:tcW w:w="644" w:type="dxa"/>
            <w:tcBorders>
              <w:top w:val="single" w:sz="4" w:space="0" w:color="auto"/>
              <w:bottom w:val="single" w:sz="4" w:space="0" w:color="auto"/>
              <w:right w:val="nil"/>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bCs/>
                <w:color w:val="000000"/>
                <w:sz w:val="12"/>
                <w:szCs w:val="12"/>
              </w:rPr>
            </w:pPr>
            <w:r w:rsidRPr="00316A40">
              <w:rPr>
                <w:rFonts w:ascii="Arial Narrow" w:hAnsi="Arial Narrow"/>
                <w:bCs/>
                <w:color w:val="000000"/>
                <w:sz w:val="12"/>
                <w:szCs w:val="12"/>
              </w:rPr>
              <w:t>175</w:t>
            </w:r>
          </w:p>
        </w:tc>
      </w:tr>
      <w:tr w:rsidR="005132A2" w:rsidRPr="00316A40" w:rsidTr="0084345B">
        <w:trPr>
          <w:trHeight w:val="20"/>
        </w:trPr>
        <w:tc>
          <w:tcPr>
            <w:tcW w:w="1135" w:type="dxa"/>
            <w:tcBorders>
              <w:top w:val="single" w:sz="4" w:space="0" w:color="auto"/>
              <w:left w:val="nil"/>
              <w:bottom w:val="single" w:sz="4" w:space="0" w:color="auto"/>
            </w:tcBorders>
            <w:shd w:val="clear" w:color="auto" w:fill="auto"/>
            <w:noWrap/>
            <w:vAlign w:val="center"/>
            <w:hideMark/>
          </w:tcPr>
          <w:p w:rsidR="005132A2" w:rsidRPr="00316A40" w:rsidRDefault="005132A2" w:rsidP="0084345B">
            <w:pPr>
              <w:spacing w:before="20" w:after="20"/>
              <w:ind w:firstLine="0"/>
              <w:jc w:val="left"/>
              <w:rPr>
                <w:rFonts w:ascii="Arial Narrow" w:hAnsi="Arial Narrow" w:cs="Calibri"/>
                <w:color w:val="000000"/>
                <w:sz w:val="12"/>
                <w:szCs w:val="12"/>
              </w:rPr>
            </w:pPr>
            <w:r w:rsidRPr="00316A40">
              <w:rPr>
                <w:rFonts w:ascii="Arial Narrow" w:hAnsi="Arial Narrow"/>
                <w:color w:val="000000"/>
                <w:sz w:val="12"/>
                <w:szCs w:val="12"/>
              </w:rPr>
              <w:t>Obrak</w:t>
            </w:r>
          </w:p>
        </w:tc>
        <w:tc>
          <w:tcPr>
            <w:tcW w:w="772"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73</w:t>
            </w:r>
          </w:p>
        </w:tc>
        <w:tc>
          <w:tcPr>
            <w:tcW w:w="555"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12</w:t>
            </w:r>
          </w:p>
        </w:tc>
        <w:tc>
          <w:tcPr>
            <w:tcW w:w="160"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724"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4</w:t>
            </w:r>
          </w:p>
        </w:tc>
        <w:tc>
          <w:tcPr>
            <w:tcW w:w="803"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42</w:t>
            </w:r>
          </w:p>
        </w:tc>
        <w:tc>
          <w:tcPr>
            <w:tcW w:w="813"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11</w:t>
            </w:r>
          </w:p>
        </w:tc>
        <w:tc>
          <w:tcPr>
            <w:tcW w:w="166"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1064"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160"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945"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160"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909"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2</w:t>
            </w:r>
          </w:p>
        </w:tc>
        <w:tc>
          <w:tcPr>
            <w:tcW w:w="166"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823"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169" w:type="dxa"/>
          </w:tcPr>
          <w:p w:rsidR="005132A2" w:rsidRPr="00316A40" w:rsidRDefault="005132A2" w:rsidP="0084345B">
            <w:pPr>
              <w:spacing w:before="20" w:after="20"/>
              <w:ind w:firstLine="0"/>
              <w:jc w:val="right"/>
              <w:rPr>
                <w:rFonts w:ascii="Arial Narrow" w:hAnsi="Arial Narrow" w:cs="Calibri"/>
                <w:bCs/>
                <w:color w:val="000000"/>
                <w:sz w:val="12"/>
                <w:szCs w:val="12"/>
                <w:lang w:val="es-ES" w:eastAsia="es-ES"/>
              </w:rPr>
            </w:pPr>
          </w:p>
        </w:tc>
        <w:tc>
          <w:tcPr>
            <w:tcW w:w="644" w:type="dxa"/>
            <w:tcBorders>
              <w:top w:val="single" w:sz="4" w:space="0" w:color="auto"/>
              <w:bottom w:val="single" w:sz="4" w:space="0" w:color="auto"/>
              <w:right w:val="nil"/>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bCs/>
                <w:color w:val="000000"/>
                <w:sz w:val="12"/>
                <w:szCs w:val="12"/>
              </w:rPr>
            </w:pPr>
            <w:r w:rsidRPr="00316A40">
              <w:rPr>
                <w:rFonts w:ascii="Arial Narrow" w:hAnsi="Arial Narrow"/>
                <w:bCs/>
                <w:color w:val="000000"/>
                <w:sz w:val="12"/>
                <w:szCs w:val="12"/>
              </w:rPr>
              <w:t>144</w:t>
            </w:r>
          </w:p>
        </w:tc>
      </w:tr>
      <w:tr w:rsidR="005132A2" w:rsidRPr="00316A40" w:rsidTr="0084345B">
        <w:trPr>
          <w:trHeight w:val="20"/>
        </w:trPr>
        <w:tc>
          <w:tcPr>
            <w:tcW w:w="1135" w:type="dxa"/>
            <w:tcBorders>
              <w:top w:val="single" w:sz="4" w:space="0" w:color="auto"/>
              <w:left w:val="nil"/>
              <w:bottom w:val="single" w:sz="4" w:space="0" w:color="auto"/>
            </w:tcBorders>
            <w:shd w:val="clear" w:color="auto" w:fill="auto"/>
            <w:noWrap/>
            <w:vAlign w:val="center"/>
            <w:hideMark/>
          </w:tcPr>
          <w:p w:rsidR="005132A2" w:rsidRPr="00316A40" w:rsidRDefault="005132A2" w:rsidP="0084345B">
            <w:pPr>
              <w:spacing w:before="20" w:after="20"/>
              <w:ind w:firstLine="0"/>
              <w:jc w:val="left"/>
              <w:rPr>
                <w:rFonts w:ascii="Arial Narrow" w:hAnsi="Arial Narrow" w:cs="Calibri"/>
                <w:color w:val="000000"/>
                <w:sz w:val="12"/>
                <w:szCs w:val="12"/>
              </w:rPr>
            </w:pPr>
            <w:r w:rsidRPr="00316A40">
              <w:rPr>
                <w:rFonts w:ascii="Arial Narrow" w:hAnsi="Arial Narrow"/>
                <w:color w:val="000000"/>
                <w:sz w:val="12"/>
                <w:szCs w:val="12"/>
              </w:rPr>
              <w:t>Hornidura</w:t>
            </w:r>
          </w:p>
        </w:tc>
        <w:tc>
          <w:tcPr>
            <w:tcW w:w="772"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38</w:t>
            </w:r>
          </w:p>
        </w:tc>
        <w:tc>
          <w:tcPr>
            <w:tcW w:w="555"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14</w:t>
            </w:r>
          </w:p>
        </w:tc>
        <w:tc>
          <w:tcPr>
            <w:tcW w:w="160"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724"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803"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17</w:t>
            </w:r>
          </w:p>
        </w:tc>
        <w:tc>
          <w:tcPr>
            <w:tcW w:w="813"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13</w:t>
            </w:r>
          </w:p>
        </w:tc>
        <w:tc>
          <w:tcPr>
            <w:tcW w:w="166"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1064"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160"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945"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160"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909"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3</w:t>
            </w:r>
          </w:p>
        </w:tc>
        <w:tc>
          <w:tcPr>
            <w:tcW w:w="166" w:type="dxa"/>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823"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169" w:type="dxa"/>
          </w:tcPr>
          <w:p w:rsidR="005132A2" w:rsidRPr="00316A40" w:rsidRDefault="005132A2" w:rsidP="0084345B">
            <w:pPr>
              <w:spacing w:before="20" w:after="20"/>
              <w:ind w:firstLine="0"/>
              <w:jc w:val="right"/>
              <w:rPr>
                <w:rFonts w:ascii="Arial Narrow" w:hAnsi="Arial Narrow" w:cs="Calibri"/>
                <w:bCs/>
                <w:color w:val="000000"/>
                <w:sz w:val="12"/>
                <w:szCs w:val="12"/>
                <w:lang w:val="es-ES" w:eastAsia="es-ES"/>
              </w:rPr>
            </w:pPr>
          </w:p>
        </w:tc>
        <w:tc>
          <w:tcPr>
            <w:tcW w:w="644" w:type="dxa"/>
            <w:tcBorders>
              <w:top w:val="single" w:sz="4" w:space="0" w:color="auto"/>
              <w:bottom w:val="single" w:sz="4" w:space="0" w:color="auto"/>
              <w:right w:val="nil"/>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bCs/>
                <w:color w:val="000000"/>
                <w:sz w:val="12"/>
                <w:szCs w:val="12"/>
              </w:rPr>
            </w:pPr>
            <w:r w:rsidRPr="00316A40">
              <w:rPr>
                <w:rFonts w:ascii="Arial Narrow" w:hAnsi="Arial Narrow"/>
                <w:bCs/>
                <w:color w:val="000000"/>
                <w:sz w:val="12"/>
                <w:szCs w:val="12"/>
              </w:rPr>
              <w:t>85</w:t>
            </w:r>
          </w:p>
        </w:tc>
      </w:tr>
      <w:tr w:rsidR="005132A2" w:rsidRPr="00316A40" w:rsidTr="0084345B">
        <w:trPr>
          <w:trHeight w:val="20"/>
        </w:trPr>
        <w:tc>
          <w:tcPr>
            <w:tcW w:w="1135" w:type="dxa"/>
            <w:tcBorders>
              <w:top w:val="single" w:sz="4" w:space="0" w:color="auto"/>
              <w:left w:val="nil"/>
              <w:bottom w:val="single" w:sz="4" w:space="0" w:color="auto"/>
            </w:tcBorders>
            <w:shd w:val="clear" w:color="auto" w:fill="auto"/>
            <w:noWrap/>
            <w:vAlign w:val="center"/>
            <w:hideMark/>
          </w:tcPr>
          <w:p w:rsidR="005132A2" w:rsidRPr="00316A40" w:rsidRDefault="005132A2" w:rsidP="0084345B">
            <w:pPr>
              <w:spacing w:before="20" w:after="20"/>
              <w:ind w:firstLine="0"/>
              <w:jc w:val="left"/>
              <w:rPr>
                <w:rFonts w:ascii="Arial Narrow" w:hAnsi="Arial Narrow" w:cs="Calibri"/>
                <w:color w:val="000000"/>
                <w:sz w:val="12"/>
                <w:szCs w:val="12"/>
              </w:rPr>
            </w:pPr>
            <w:r w:rsidRPr="00316A40">
              <w:rPr>
                <w:rFonts w:ascii="Arial Narrow" w:hAnsi="Arial Narrow"/>
                <w:color w:val="000000"/>
                <w:sz w:val="12"/>
                <w:szCs w:val="12"/>
              </w:rPr>
              <w:t>Zerbitzuen em</w:t>
            </w:r>
            <w:r w:rsidRPr="00316A40">
              <w:rPr>
                <w:rFonts w:ascii="Arial Narrow" w:hAnsi="Arial Narrow"/>
                <w:color w:val="000000"/>
                <w:sz w:val="12"/>
                <w:szCs w:val="12"/>
              </w:rPr>
              <w:t>a</w:t>
            </w:r>
            <w:r w:rsidRPr="00316A40">
              <w:rPr>
                <w:rFonts w:ascii="Arial Narrow" w:hAnsi="Arial Narrow"/>
                <w:color w:val="000000"/>
                <w:sz w:val="12"/>
                <w:szCs w:val="12"/>
              </w:rPr>
              <w:t>kida</w:t>
            </w:r>
          </w:p>
        </w:tc>
        <w:tc>
          <w:tcPr>
            <w:tcW w:w="772" w:type="dxa"/>
            <w:tcBorders>
              <w:top w:val="single" w:sz="4" w:space="0" w:color="auto"/>
              <w:bottom w:val="single" w:sz="4" w:space="0" w:color="auto"/>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16</w:t>
            </w:r>
          </w:p>
        </w:tc>
        <w:tc>
          <w:tcPr>
            <w:tcW w:w="555" w:type="dxa"/>
            <w:tcBorders>
              <w:top w:val="single" w:sz="4" w:space="0" w:color="auto"/>
              <w:bottom w:val="single" w:sz="4" w:space="0" w:color="000000"/>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160" w:type="dxa"/>
            <w:tcBorders>
              <w:bottom w:val="single" w:sz="4" w:space="0" w:color="000000"/>
            </w:tcBorders>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724" w:type="dxa"/>
            <w:tcBorders>
              <w:top w:val="single" w:sz="4" w:space="0" w:color="auto"/>
              <w:bottom w:val="single" w:sz="4" w:space="0" w:color="000000"/>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803" w:type="dxa"/>
            <w:tcBorders>
              <w:top w:val="single" w:sz="4" w:space="0" w:color="auto"/>
              <w:bottom w:val="single" w:sz="4" w:space="0" w:color="000000"/>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813" w:type="dxa"/>
            <w:tcBorders>
              <w:top w:val="single" w:sz="4" w:space="0" w:color="auto"/>
              <w:bottom w:val="single" w:sz="4" w:space="0" w:color="000000"/>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166" w:type="dxa"/>
            <w:tcBorders>
              <w:bottom w:val="single" w:sz="4" w:space="0" w:color="000000"/>
            </w:tcBorders>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1064" w:type="dxa"/>
            <w:tcBorders>
              <w:top w:val="single" w:sz="4" w:space="0" w:color="auto"/>
              <w:bottom w:val="single" w:sz="4" w:space="0" w:color="000000"/>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160" w:type="dxa"/>
            <w:tcBorders>
              <w:bottom w:val="single" w:sz="4" w:space="0" w:color="000000"/>
            </w:tcBorders>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945" w:type="dxa"/>
            <w:tcBorders>
              <w:top w:val="single" w:sz="4" w:space="0" w:color="auto"/>
              <w:bottom w:val="single" w:sz="4" w:space="0" w:color="000000"/>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160" w:type="dxa"/>
            <w:tcBorders>
              <w:bottom w:val="single" w:sz="4" w:space="0" w:color="000000"/>
            </w:tcBorders>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909" w:type="dxa"/>
            <w:tcBorders>
              <w:top w:val="single" w:sz="4" w:space="0" w:color="auto"/>
              <w:bottom w:val="single" w:sz="4" w:space="0" w:color="000000"/>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1</w:t>
            </w:r>
          </w:p>
        </w:tc>
        <w:tc>
          <w:tcPr>
            <w:tcW w:w="166" w:type="dxa"/>
            <w:tcBorders>
              <w:bottom w:val="single" w:sz="4" w:space="0" w:color="000000"/>
            </w:tcBorders>
          </w:tcPr>
          <w:p w:rsidR="005132A2" w:rsidRPr="00316A40" w:rsidRDefault="005132A2" w:rsidP="0084345B">
            <w:pPr>
              <w:spacing w:before="20" w:after="20"/>
              <w:ind w:firstLine="0"/>
              <w:jc w:val="right"/>
              <w:rPr>
                <w:rFonts w:ascii="Arial Narrow" w:hAnsi="Arial Narrow" w:cs="Calibri"/>
                <w:color w:val="000000"/>
                <w:sz w:val="12"/>
                <w:szCs w:val="12"/>
                <w:lang w:val="es-ES" w:eastAsia="es-ES"/>
              </w:rPr>
            </w:pPr>
          </w:p>
        </w:tc>
        <w:tc>
          <w:tcPr>
            <w:tcW w:w="823" w:type="dxa"/>
            <w:tcBorders>
              <w:top w:val="single" w:sz="4" w:space="0" w:color="auto"/>
              <w:bottom w:val="single" w:sz="4" w:space="0" w:color="000000"/>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color w:val="000000"/>
                <w:sz w:val="12"/>
                <w:szCs w:val="12"/>
              </w:rPr>
            </w:pPr>
            <w:r w:rsidRPr="00316A40">
              <w:rPr>
                <w:rFonts w:ascii="Arial Narrow" w:hAnsi="Arial Narrow"/>
                <w:color w:val="000000"/>
                <w:sz w:val="12"/>
                <w:szCs w:val="12"/>
              </w:rPr>
              <w:t> </w:t>
            </w:r>
          </w:p>
        </w:tc>
        <w:tc>
          <w:tcPr>
            <w:tcW w:w="169" w:type="dxa"/>
            <w:tcBorders>
              <w:bottom w:val="single" w:sz="4" w:space="0" w:color="000000"/>
            </w:tcBorders>
          </w:tcPr>
          <w:p w:rsidR="005132A2" w:rsidRPr="00316A40" w:rsidRDefault="005132A2" w:rsidP="0084345B">
            <w:pPr>
              <w:spacing w:before="20" w:after="20"/>
              <w:ind w:firstLine="0"/>
              <w:jc w:val="right"/>
              <w:rPr>
                <w:rFonts w:ascii="Arial Narrow" w:hAnsi="Arial Narrow" w:cs="Calibri"/>
                <w:bCs/>
                <w:color w:val="000000"/>
                <w:sz w:val="12"/>
                <w:szCs w:val="12"/>
                <w:lang w:val="es-ES" w:eastAsia="es-ES"/>
              </w:rPr>
            </w:pPr>
          </w:p>
        </w:tc>
        <w:tc>
          <w:tcPr>
            <w:tcW w:w="644" w:type="dxa"/>
            <w:tcBorders>
              <w:top w:val="single" w:sz="4" w:space="0" w:color="auto"/>
              <w:bottom w:val="single" w:sz="4" w:space="0" w:color="000000"/>
              <w:right w:val="nil"/>
            </w:tcBorders>
            <w:shd w:val="clear" w:color="auto" w:fill="auto"/>
            <w:noWrap/>
            <w:vAlign w:val="center"/>
            <w:hideMark/>
          </w:tcPr>
          <w:p w:rsidR="005132A2" w:rsidRPr="00316A40" w:rsidRDefault="005132A2" w:rsidP="0084345B">
            <w:pPr>
              <w:spacing w:before="20" w:after="20"/>
              <w:ind w:firstLine="0"/>
              <w:jc w:val="right"/>
              <w:rPr>
                <w:rFonts w:ascii="Arial Narrow" w:hAnsi="Arial Narrow" w:cs="Calibri"/>
                <w:bCs/>
                <w:color w:val="000000"/>
                <w:sz w:val="12"/>
                <w:szCs w:val="12"/>
              </w:rPr>
            </w:pPr>
            <w:r w:rsidRPr="00316A40">
              <w:rPr>
                <w:rFonts w:ascii="Arial Narrow" w:hAnsi="Arial Narrow"/>
                <w:bCs/>
                <w:color w:val="000000"/>
                <w:sz w:val="12"/>
                <w:szCs w:val="12"/>
              </w:rPr>
              <w:t>17</w:t>
            </w:r>
          </w:p>
        </w:tc>
      </w:tr>
      <w:tr w:rsidR="005132A2" w:rsidRPr="00316A40" w:rsidTr="0084345B">
        <w:trPr>
          <w:trHeight w:val="20"/>
        </w:trPr>
        <w:tc>
          <w:tcPr>
            <w:tcW w:w="1135" w:type="dxa"/>
            <w:tcBorders>
              <w:top w:val="single" w:sz="4" w:space="0" w:color="auto"/>
              <w:left w:val="nil"/>
              <w:bottom w:val="single" w:sz="4" w:space="0" w:color="auto"/>
            </w:tcBorders>
            <w:shd w:val="clear" w:color="auto" w:fill="FBD4B4" w:themeFill="accent6" w:themeFillTint="66"/>
            <w:noWrap/>
            <w:vAlign w:val="bottom"/>
            <w:hideMark/>
          </w:tcPr>
          <w:p w:rsidR="005132A2" w:rsidRPr="00316A40" w:rsidRDefault="005132A2" w:rsidP="0084345B">
            <w:pPr>
              <w:spacing w:before="20" w:after="20"/>
              <w:ind w:firstLine="0"/>
              <w:rPr>
                <w:rFonts w:ascii="Arial" w:hAnsi="Arial" w:cs="Arial"/>
                <w:color w:val="000000"/>
                <w:sz w:val="12"/>
                <w:szCs w:val="12"/>
              </w:rPr>
            </w:pPr>
            <w:r w:rsidRPr="00316A40">
              <w:rPr>
                <w:rFonts w:ascii="Arial" w:hAnsi="Arial"/>
                <w:color w:val="000000"/>
                <w:sz w:val="12"/>
                <w:szCs w:val="12"/>
              </w:rPr>
              <w:t>Guztira, oro har</w:t>
            </w:r>
          </w:p>
        </w:tc>
        <w:tc>
          <w:tcPr>
            <w:tcW w:w="772" w:type="dxa"/>
            <w:tcBorders>
              <w:top w:val="single" w:sz="4" w:space="0" w:color="auto"/>
              <w:bottom w:val="single" w:sz="4" w:space="0" w:color="auto"/>
            </w:tcBorders>
            <w:shd w:val="clear" w:color="auto" w:fill="FBD4B4" w:themeFill="accent6" w:themeFillTint="66"/>
            <w:noWrap/>
            <w:vAlign w:val="bottom"/>
            <w:hideMark/>
          </w:tcPr>
          <w:p w:rsidR="005132A2" w:rsidRPr="00316A40" w:rsidRDefault="005132A2" w:rsidP="0084345B">
            <w:pPr>
              <w:spacing w:before="20" w:after="20"/>
              <w:ind w:firstLine="0"/>
              <w:jc w:val="right"/>
              <w:rPr>
                <w:rFonts w:ascii="Arial" w:hAnsi="Arial" w:cs="Arial"/>
                <w:color w:val="000000"/>
                <w:sz w:val="12"/>
                <w:szCs w:val="12"/>
              </w:rPr>
            </w:pPr>
            <w:r w:rsidRPr="00316A40">
              <w:rPr>
                <w:rFonts w:ascii="Arial" w:hAnsi="Arial"/>
                <w:color w:val="000000"/>
                <w:sz w:val="12"/>
                <w:szCs w:val="12"/>
              </w:rPr>
              <w:t>260</w:t>
            </w:r>
          </w:p>
        </w:tc>
        <w:tc>
          <w:tcPr>
            <w:tcW w:w="555" w:type="dxa"/>
            <w:tcBorders>
              <w:top w:val="single" w:sz="4" w:space="0" w:color="000000"/>
              <w:bottom w:val="single" w:sz="4" w:space="0" w:color="auto"/>
            </w:tcBorders>
            <w:shd w:val="clear" w:color="auto" w:fill="FBD4B4" w:themeFill="accent6" w:themeFillTint="66"/>
            <w:noWrap/>
            <w:vAlign w:val="bottom"/>
            <w:hideMark/>
          </w:tcPr>
          <w:p w:rsidR="005132A2" w:rsidRPr="00316A40" w:rsidRDefault="005132A2" w:rsidP="0084345B">
            <w:pPr>
              <w:spacing w:before="20" w:after="20"/>
              <w:ind w:firstLine="0"/>
              <w:jc w:val="right"/>
              <w:rPr>
                <w:rFonts w:ascii="Arial" w:hAnsi="Arial" w:cs="Arial"/>
                <w:color w:val="000000"/>
                <w:sz w:val="12"/>
                <w:szCs w:val="12"/>
              </w:rPr>
            </w:pPr>
            <w:r w:rsidRPr="00316A40">
              <w:rPr>
                <w:rFonts w:ascii="Arial" w:hAnsi="Arial"/>
                <w:color w:val="000000"/>
                <w:sz w:val="12"/>
                <w:szCs w:val="12"/>
              </w:rPr>
              <w:t>34</w:t>
            </w:r>
          </w:p>
        </w:tc>
        <w:tc>
          <w:tcPr>
            <w:tcW w:w="160" w:type="dxa"/>
            <w:tcBorders>
              <w:top w:val="single" w:sz="4" w:space="0" w:color="000000"/>
              <w:bottom w:val="single" w:sz="4" w:space="0" w:color="auto"/>
            </w:tcBorders>
            <w:shd w:val="clear" w:color="auto" w:fill="FBD4B4" w:themeFill="accent6" w:themeFillTint="66"/>
          </w:tcPr>
          <w:p w:rsidR="005132A2" w:rsidRPr="00316A40" w:rsidRDefault="005132A2" w:rsidP="0084345B">
            <w:pPr>
              <w:spacing w:before="20" w:after="20"/>
              <w:ind w:firstLine="0"/>
              <w:jc w:val="right"/>
              <w:rPr>
                <w:rFonts w:ascii="Arial" w:hAnsi="Arial" w:cs="Arial"/>
                <w:color w:val="000000"/>
                <w:sz w:val="12"/>
                <w:szCs w:val="12"/>
                <w:lang w:val="es-ES" w:eastAsia="es-ES"/>
              </w:rPr>
            </w:pPr>
          </w:p>
        </w:tc>
        <w:tc>
          <w:tcPr>
            <w:tcW w:w="724" w:type="dxa"/>
            <w:tcBorders>
              <w:top w:val="single" w:sz="4" w:space="0" w:color="000000"/>
              <w:bottom w:val="single" w:sz="4" w:space="0" w:color="auto"/>
            </w:tcBorders>
            <w:shd w:val="clear" w:color="auto" w:fill="FBD4B4" w:themeFill="accent6" w:themeFillTint="66"/>
            <w:noWrap/>
            <w:vAlign w:val="bottom"/>
            <w:hideMark/>
          </w:tcPr>
          <w:p w:rsidR="005132A2" w:rsidRPr="00316A40" w:rsidRDefault="005132A2" w:rsidP="0084345B">
            <w:pPr>
              <w:spacing w:before="20" w:after="20"/>
              <w:ind w:firstLine="0"/>
              <w:jc w:val="right"/>
              <w:rPr>
                <w:rFonts w:ascii="Arial" w:hAnsi="Arial" w:cs="Arial"/>
                <w:color w:val="000000"/>
                <w:sz w:val="12"/>
                <w:szCs w:val="12"/>
              </w:rPr>
            </w:pPr>
            <w:r w:rsidRPr="00316A40">
              <w:rPr>
                <w:rFonts w:ascii="Arial" w:hAnsi="Arial"/>
                <w:color w:val="000000"/>
                <w:sz w:val="12"/>
                <w:szCs w:val="12"/>
              </w:rPr>
              <w:t>6</w:t>
            </w:r>
          </w:p>
        </w:tc>
        <w:tc>
          <w:tcPr>
            <w:tcW w:w="803" w:type="dxa"/>
            <w:tcBorders>
              <w:top w:val="single" w:sz="4" w:space="0" w:color="000000"/>
              <w:bottom w:val="single" w:sz="4" w:space="0" w:color="auto"/>
            </w:tcBorders>
            <w:shd w:val="clear" w:color="auto" w:fill="FBD4B4" w:themeFill="accent6" w:themeFillTint="66"/>
            <w:noWrap/>
            <w:vAlign w:val="bottom"/>
            <w:hideMark/>
          </w:tcPr>
          <w:p w:rsidR="005132A2" w:rsidRPr="00316A40" w:rsidRDefault="005132A2" w:rsidP="0084345B">
            <w:pPr>
              <w:spacing w:before="20" w:after="20"/>
              <w:ind w:firstLine="0"/>
              <w:jc w:val="right"/>
              <w:rPr>
                <w:rFonts w:ascii="Arial" w:hAnsi="Arial" w:cs="Arial"/>
                <w:color w:val="000000"/>
                <w:sz w:val="12"/>
                <w:szCs w:val="12"/>
              </w:rPr>
            </w:pPr>
            <w:r w:rsidRPr="00316A40">
              <w:rPr>
                <w:rFonts w:ascii="Arial" w:hAnsi="Arial"/>
                <w:color w:val="000000"/>
                <w:sz w:val="12"/>
                <w:szCs w:val="12"/>
              </w:rPr>
              <w:t>81</w:t>
            </w:r>
          </w:p>
        </w:tc>
        <w:tc>
          <w:tcPr>
            <w:tcW w:w="813" w:type="dxa"/>
            <w:tcBorders>
              <w:top w:val="single" w:sz="4" w:space="0" w:color="000000"/>
              <w:bottom w:val="single" w:sz="4" w:space="0" w:color="auto"/>
            </w:tcBorders>
            <w:shd w:val="clear" w:color="auto" w:fill="FBD4B4" w:themeFill="accent6" w:themeFillTint="66"/>
            <w:noWrap/>
            <w:vAlign w:val="bottom"/>
            <w:hideMark/>
          </w:tcPr>
          <w:p w:rsidR="005132A2" w:rsidRPr="00316A40" w:rsidRDefault="005132A2" w:rsidP="0084345B">
            <w:pPr>
              <w:spacing w:before="20" w:after="20"/>
              <w:ind w:firstLine="0"/>
              <w:jc w:val="right"/>
              <w:rPr>
                <w:rFonts w:ascii="Arial" w:hAnsi="Arial" w:cs="Arial"/>
                <w:color w:val="000000"/>
                <w:sz w:val="12"/>
                <w:szCs w:val="12"/>
              </w:rPr>
            </w:pPr>
            <w:r w:rsidRPr="00316A40">
              <w:rPr>
                <w:rFonts w:ascii="Arial" w:hAnsi="Arial"/>
                <w:color w:val="000000"/>
                <w:sz w:val="12"/>
                <w:szCs w:val="12"/>
              </w:rPr>
              <w:t>28</w:t>
            </w:r>
          </w:p>
        </w:tc>
        <w:tc>
          <w:tcPr>
            <w:tcW w:w="166" w:type="dxa"/>
            <w:tcBorders>
              <w:top w:val="single" w:sz="4" w:space="0" w:color="000000"/>
              <w:bottom w:val="single" w:sz="4" w:space="0" w:color="auto"/>
            </w:tcBorders>
            <w:shd w:val="clear" w:color="auto" w:fill="FBD4B4" w:themeFill="accent6" w:themeFillTint="66"/>
          </w:tcPr>
          <w:p w:rsidR="005132A2" w:rsidRPr="00316A40" w:rsidRDefault="005132A2" w:rsidP="0084345B">
            <w:pPr>
              <w:spacing w:before="20" w:after="20"/>
              <w:ind w:firstLine="0"/>
              <w:jc w:val="right"/>
              <w:rPr>
                <w:rFonts w:ascii="Arial" w:hAnsi="Arial" w:cs="Arial"/>
                <w:color w:val="000000"/>
                <w:sz w:val="12"/>
                <w:szCs w:val="12"/>
                <w:lang w:val="es-ES" w:eastAsia="es-ES"/>
              </w:rPr>
            </w:pPr>
          </w:p>
        </w:tc>
        <w:tc>
          <w:tcPr>
            <w:tcW w:w="1064" w:type="dxa"/>
            <w:tcBorders>
              <w:top w:val="single" w:sz="4" w:space="0" w:color="000000"/>
              <w:bottom w:val="single" w:sz="4" w:space="0" w:color="auto"/>
            </w:tcBorders>
            <w:shd w:val="clear" w:color="auto" w:fill="FBD4B4" w:themeFill="accent6" w:themeFillTint="66"/>
            <w:noWrap/>
            <w:vAlign w:val="bottom"/>
            <w:hideMark/>
          </w:tcPr>
          <w:p w:rsidR="005132A2" w:rsidRPr="00316A40" w:rsidRDefault="005132A2" w:rsidP="0084345B">
            <w:pPr>
              <w:spacing w:before="20" w:after="20"/>
              <w:ind w:firstLine="0"/>
              <w:jc w:val="right"/>
              <w:rPr>
                <w:rFonts w:ascii="Arial" w:hAnsi="Arial" w:cs="Arial"/>
                <w:color w:val="000000"/>
                <w:sz w:val="12"/>
                <w:szCs w:val="12"/>
              </w:rPr>
            </w:pPr>
            <w:r w:rsidRPr="00316A40">
              <w:rPr>
                <w:rFonts w:ascii="Arial" w:hAnsi="Arial"/>
                <w:color w:val="000000"/>
                <w:sz w:val="12"/>
                <w:szCs w:val="12"/>
              </w:rPr>
              <w:t>1</w:t>
            </w:r>
          </w:p>
        </w:tc>
        <w:tc>
          <w:tcPr>
            <w:tcW w:w="160" w:type="dxa"/>
            <w:tcBorders>
              <w:top w:val="single" w:sz="4" w:space="0" w:color="000000"/>
              <w:bottom w:val="single" w:sz="4" w:space="0" w:color="auto"/>
            </w:tcBorders>
            <w:shd w:val="clear" w:color="auto" w:fill="FBD4B4" w:themeFill="accent6" w:themeFillTint="66"/>
          </w:tcPr>
          <w:p w:rsidR="005132A2" w:rsidRPr="00316A40" w:rsidRDefault="005132A2" w:rsidP="0084345B">
            <w:pPr>
              <w:spacing w:before="20" w:after="20"/>
              <w:ind w:firstLine="0"/>
              <w:jc w:val="right"/>
              <w:rPr>
                <w:rFonts w:ascii="Arial" w:hAnsi="Arial" w:cs="Arial"/>
                <w:color w:val="000000"/>
                <w:sz w:val="12"/>
                <w:szCs w:val="12"/>
                <w:lang w:val="es-ES" w:eastAsia="es-ES"/>
              </w:rPr>
            </w:pPr>
          </w:p>
        </w:tc>
        <w:tc>
          <w:tcPr>
            <w:tcW w:w="945" w:type="dxa"/>
            <w:tcBorders>
              <w:top w:val="single" w:sz="4" w:space="0" w:color="000000"/>
              <w:bottom w:val="single" w:sz="4" w:space="0" w:color="auto"/>
            </w:tcBorders>
            <w:shd w:val="clear" w:color="auto" w:fill="FBD4B4" w:themeFill="accent6" w:themeFillTint="66"/>
            <w:noWrap/>
            <w:vAlign w:val="bottom"/>
            <w:hideMark/>
          </w:tcPr>
          <w:p w:rsidR="005132A2" w:rsidRPr="00316A40" w:rsidRDefault="005132A2" w:rsidP="0084345B">
            <w:pPr>
              <w:spacing w:before="20" w:after="20"/>
              <w:ind w:firstLine="0"/>
              <w:jc w:val="right"/>
              <w:rPr>
                <w:rFonts w:ascii="Arial" w:hAnsi="Arial" w:cs="Arial"/>
                <w:color w:val="000000"/>
                <w:sz w:val="12"/>
                <w:szCs w:val="12"/>
              </w:rPr>
            </w:pPr>
            <w:r w:rsidRPr="00316A40">
              <w:rPr>
                <w:rFonts w:ascii="Arial" w:hAnsi="Arial"/>
                <w:color w:val="000000"/>
                <w:sz w:val="12"/>
                <w:szCs w:val="12"/>
              </w:rPr>
              <w:t>1</w:t>
            </w:r>
          </w:p>
        </w:tc>
        <w:tc>
          <w:tcPr>
            <w:tcW w:w="160" w:type="dxa"/>
            <w:tcBorders>
              <w:top w:val="single" w:sz="4" w:space="0" w:color="000000"/>
              <w:bottom w:val="single" w:sz="4" w:space="0" w:color="auto"/>
            </w:tcBorders>
            <w:shd w:val="clear" w:color="auto" w:fill="FBD4B4" w:themeFill="accent6" w:themeFillTint="66"/>
          </w:tcPr>
          <w:p w:rsidR="005132A2" w:rsidRPr="00316A40" w:rsidRDefault="005132A2" w:rsidP="0084345B">
            <w:pPr>
              <w:spacing w:before="20" w:after="20"/>
              <w:ind w:firstLine="0"/>
              <w:jc w:val="right"/>
              <w:rPr>
                <w:rFonts w:ascii="Arial" w:hAnsi="Arial" w:cs="Arial"/>
                <w:color w:val="000000"/>
                <w:sz w:val="12"/>
                <w:szCs w:val="12"/>
                <w:lang w:val="es-ES" w:eastAsia="es-ES"/>
              </w:rPr>
            </w:pPr>
          </w:p>
        </w:tc>
        <w:tc>
          <w:tcPr>
            <w:tcW w:w="909" w:type="dxa"/>
            <w:tcBorders>
              <w:top w:val="single" w:sz="4" w:space="0" w:color="000000"/>
              <w:bottom w:val="single" w:sz="4" w:space="0" w:color="auto"/>
            </w:tcBorders>
            <w:shd w:val="clear" w:color="auto" w:fill="FBD4B4" w:themeFill="accent6" w:themeFillTint="66"/>
            <w:noWrap/>
            <w:vAlign w:val="bottom"/>
            <w:hideMark/>
          </w:tcPr>
          <w:p w:rsidR="005132A2" w:rsidRPr="00316A40" w:rsidRDefault="005132A2" w:rsidP="0084345B">
            <w:pPr>
              <w:spacing w:before="20" w:after="20"/>
              <w:ind w:firstLine="0"/>
              <w:jc w:val="right"/>
              <w:rPr>
                <w:rFonts w:ascii="Arial" w:hAnsi="Arial" w:cs="Arial"/>
                <w:color w:val="000000"/>
                <w:sz w:val="12"/>
                <w:szCs w:val="12"/>
              </w:rPr>
            </w:pPr>
            <w:r w:rsidRPr="00316A40">
              <w:rPr>
                <w:rFonts w:ascii="Arial" w:hAnsi="Arial"/>
                <w:color w:val="000000"/>
                <w:sz w:val="12"/>
                <w:szCs w:val="12"/>
              </w:rPr>
              <w:t>7</w:t>
            </w:r>
          </w:p>
        </w:tc>
        <w:tc>
          <w:tcPr>
            <w:tcW w:w="166" w:type="dxa"/>
            <w:tcBorders>
              <w:top w:val="single" w:sz="4" w:space="0" w:color="000000"/>
              <w:bottom w:val="single" w:sz="4" w:space="0" w:color="auto"/>
            </w:tcBorders>
            <w:shd w:val="clear" w:color="auto" w:fill="FBD4B4" w:themeFill="accent6" w:themeFillTint="66"/>
          </w:tcPr>
          <w:p w:rsidR="005132A2" w:rsidRPr="00316A40" w:rsidRDefault="005132A2" w:rsidP="0084345B">
            <w:pPr>
              <w:spacing w:before="20" w:after="20"/>
              <w:ind w:firstLine="0"/>
              <w:jc w:val="right"/>
              <w:rPr>
                <w:rFonts w:ascii="Arial" w:hAnsi="Arial" w:cs="Arial"/>
                <w:color w:val="000000"/>
                <w:sz w:val="12"/>
                <w:szCs w:val="12"/>
                <w:lang w:val="es-ES" w:eastAsia="es-ES"/>
              </w:rPr>
            </w:pPr>
          </w:p>
        </w:tc>
        <w:tc>
          <w:tcPr>
            <w:tcW w:w="823" w:type="dxa"/>
            <w:tcBorders>
              <w:top w:val="single" w:sz="4" w:space="0" w:color="000000"/>
              <w:bottom w:val="single" w:sz="4" w:space="0" w:color="auto"/>
            </w:tcBorders>
            <w:shd w:val="clear" w:color="auto" w:fill="FBD4B4" w:themeFill="accent6" w:themeFillTint="66"/>
            <w:noWrap/>
            <w:vAlign w:val="bottom"/>
            <w:hideMark/>
          </w:tcPr>
          <w:p w:rsidR="005132A2" w:rsidRPr="00316A40" w:rsidRDefault="005132A2" w:rsidP="0084345B">
            <w:pPr>
              <w:spacing w:before="20" w:after="20"/>
              <w:ind w:firstLine="0"/>
              <w:jc w:val="right"/>
              <w:rPr>
                <w:rFonts w:ascii="Arial" w:hAnsi="Arial" w:cs="Arial"/>
                <w:color w:val="000000"/>
                <w:sz w:val="12"/>
                <w:szCs w:val="12"/>
              </w:rPr>
            </w:pPr>
            <w:r w:rsidRPr="00316A40">
              <w:rPr>
                <w:rFonts w:ascii="Arial" w:hAnsi="Arial"/>
                <w:color w:val="000000"/>
                <w:sz w:val="12"/>
                <w:szCs w:val="12"/>
              </w:rPr>
              <w:t>3</w:t>
            </w:r>
          </w:p>
        </w:tc>
        <w:tc>
          <w:tcPr>
            <w:tcW w:w="169" w:type="dxa"/>
            <w:tcBorders>
              <w:top w:val="single" w:sz="4" w:space="0" w:color="000000"/>
              <w:bottom w:val="single" w:sz="4" w:space="0" w:color="auto"/>
            </w:tcBorders>
            <w:shd w:val="clear" w:color="auto" w:fill="FBD4B4" w:themeFill="accent6" w:themeFillTint="66"/>
          </w:tcPr>
          <w:p w:rsidR="005132A2" w:rsidRPr="00316A40" w:rsidRDefault="005132A2" w:rsidP="0084345B">
            <w:pPr>
              <w:spacing w:before="20" w:after="20"/>
              <w:ind w:firstLine="0"/>
              <w:jc w:val="right"/>
              <w:rPr>
                <w:rFonts w:ascii="Arial" w:hAnsi="Arial" w:cs="Arial"/>
                <w:color w:val="000000"/>
                <w:sz w:val="12"/>
                <w:szCs w:val="12"/>
                <w:lang w:val="es-ES" w:eastAsia="es-ES"/>
              </w:rPr>
            </w:pPr>
          </w:p>
        </w:tc>
        <w:tc>
          <w:tcPr>
            <w:tcW w:w="644" w:type="dxa"/>
            <w:tcBorders>
              <w:top w:val="single" w:sz="4" w:space="0" w:color="000000"/>
              <w:bottom w:val="single" w:sz="4" w:space="0" w:color="auto"/>
              <w:right w:val="single" w:sz="4" w:space="0" w:color="000000"/>
            </w:tcBorders>
            <w:shd w:val="clear" w:color="auto" w:fill="FBD4B4" w:themeFill="accent6" w:themeFillTint="66"/>
            <w:noWrap/>
            <w:vAlign w:val="bottom"/>
            <w:hideMark/>
          </w:tcPr>
          <w:p w:rsidR="005132A2" w:rsidRPr="00316A40" w:rsidRDefault="005132A2" w:rsidP="0084345B">
            <w:pPr>
              <w:spacing w:before="20" w:after="20"/>
              <w:ind w:firstLine="0"/>
              <w:jc w:val="right"/>
              <w:rPr>
                <w:rFonts w:ascii="Arial" w:hAnsi="Arial" w:cs="Arial"/>
                <w:color w:val="000000"/>
                <w:sz w:val="12"/>
                <w:szCs w:val="12"/>
              </w:rPr>
            </w:pPr>
            <w:r w:rsidRPr="00316A40">
              <w:rPr>
                <w:rFonts w:ascii="Arial" w:hAnsi="Arial"/>
                <w:color w:val="000000"/>
                <w:sz w:val="12"/>
                <w:szCs w:val="12"/>
              </w:rPr>
              <w:t>421</w:t>
            </w:r>
          </w:p>
        </w:tc>
      </w:tr>
    </w:tbl>
    <w:p w:rsidR="00EC4F97" w:rsidRPr="00A55281" w:rsidRDefault="00EC4F97" w:rsidP="00EC4F97">
      <w:pPr>
        <w:pStyle w:val="texto"/>
        <w:spacing w:before="240"/>
        <w:rPr>
          <w:w w:val="103"/>
          <w:highlight w:val="yellow"/>
        </w:rPr>
      </w:pPr>
      <w:bookmarkStart w:id="67" w:name="_GoBack"/>
      <w:bookmarkEnd w:id="67"/>
      <w:r>
        <w:t>Kontratuen ehuneko 70 prozedura irekiaren bidez adjudikatu zen; kasuen ehuneko 88an eskaintzarik aldekoenaren irizpidea baliatu zen, eta gainerako ehuneko hamabian, berriz, preziorik merkeenarena. Halaber, kontratu guztien ehuneko 27 publizitaterik gabeko prozedura negoziatuaren bidez adjudikatu z</w:t>
      </w:r>
      <w:r>
        <w:t>i</w:t>
      </w:r>
      <w:r>
        <w:t>ren; kasuen ehuneko 70ean eskaintzarik aldekoenaren irizpidea baliatu zen, k</w:t>
      </w:r>
      <w:r>
        <w:t>a</w:t>
      </w:r>
      <w:r>
        <w:t>suen ehuneko 24an, berriz, preziorik merkeenaren irizpidea, eta gainerako eh</w:t>
      </w:r>
      <w:r>
        <w:t>u</w:t>
      </w:r>
      <w:r>
        <w:t xml:space="preserve">neko seian, azkenik, </w:t>
      </w:r>
      <w:proofErr w:type="spellStart"/>
      <w:r>
        <w:t>kalitatea-prezioa</w:t>
      </w:r>
      <w:proofErr w:type="spellEnd"/>
      <w:r>
        <w:t xml:space="preserve"> erlaziorik onenaren irizpidea. </w:t>
      </w:r>
    </w:p>
    <w:p w:rsidR="00EC4F97" w:rsidRPr="000334D7" w:rsidRDefault="00EC4F97" w:rsidP="00EC4F97">
      <w:pPr>
        <w:pStyle w:val="texto"/>
        <w:spacing w:after="240"/>
      </w:pPr>
      <w:r>
        <w:t>Urteko adjudikazioen diru-zenbatekoak aztertuta, ikusten dugu 421 kontr</w:t>
      </w:r>
      <w:r>
        <w:t>a</w:t>
      </w:r>
      <w:r>
        <w:t>tuen guztizkotik 14 obra-kontratu eta laguntza-kontratu bat  600.000 eurotik gorakoak zirela, eta guztira 16,98 milioi euroko zenbatekoa zutela; sei obra-kontratu eta bi laguntza-kontratu, berriz, 400.000 eurotik gorako prezioan adj</w:t>
      </w:r>
      <w:r>
        <w:t>u</w:t>
      </w:r>
      <w:r>
        <w:t>dikatu ziren, eta guztira 3,94 milioi egin zuten; azkenik, 32 obra-kontratu, h</w:t>
      </w:r>
      <w:r>
        <w:t>a</w:t>
      </w:r>
      <w:r>
        <w:t>mar hornidura-kontratu eta zazpi laguntza-kontratu 150.000 eurotik gorakoak izan ziren, eta guztira 11,64 milioi egin zuten.</w:t>
      </w:r>
    </w:p>
    <w:p w:rsidR="00EC4F97" w:rsidRDefault="00EC4F97" w:rsidP="00EC4F97">
      <w:pPr>
        <w:pStyle w:val="texto"/>
        <w:spacing w:after="240"/>
      </w:pPr>
      <w:r>
        <w:t>Hona zenbatekoari erreparatuz gero garrantzitsuenak diren kontratu horien adjudikazioaren urteko zenbatekoa:</w:t>
      </w:r>
    </w:p>
    <w:p w:rsidR="00EC4F97" w:rsidRPr="007A4FF0" w:rsidRDefault="00EC4F97" w:rsidP="00EC4F97">
      <w:pPr>
        <w:pStyle w:val="texto"/>
        <w:spacing w:after="40"/>
        <w:rPr>
          <w:i/>
          <w:sz w:val="20"/>
        </w:rPr>
      </w:pPr>
      <w:r>
        <w:rPr>
          <w:i/>
          <w:sz w:val="20"/>
        </w:rPr>
        <w:t xml:space="preserve">                                                                                                                         (euroak, milakotan)</w:t>
      </w:r>
    </w:p>
    <w:tbl>
      <w:tblPr>
        <w:tblW w:w="5000" w:type="pct"/>
        <w:jc w:val="center"/>
        <w:tblCellMar>
          <w:left w:w="70" w:type="dxa"/>
          <w:right w:w="70" w:type="dxa"/>
        </w:tblCellMar>
        <w:tblLook w:val="04A0" w:firstRow="1" w:lastRow="0" w:firstColumn="1" w:lastColumn="0" w:noHBand="0" w:noVBand="1"/>
      </w:tblPr>
      <w:tblGrid>
        <w:gridCol w:w="4817"/>
        <w:gridCol w:w="1530"/>
        <w:gridCol w:w="2582"/>
      </w:tblGrid>
      <w:tr w:rsidR="00EC4F97" w:rsidRPr="00FD7A17" w:rsidTr="00422AD9">
        <w:trPr>
          <w:trHeight w:val="340"/>
          <w:jc w:val="center"/>
        </w:trPr>
        <w:tc>
          <w:tcPr>
            <w:tcW w:w="2697" w:type="pct"/>
            <w:tcBorders>
              <w:top w:val="single" w:sz="4" w:space="0" w:color="000000"/>
              <w:left w:val="nil"/>
              <w:bottom w:val="single" w:sz="4" w:space="0" w:color="000000"/>
              <w:right w:val="nil"/>
            </w:tcBorders>
            <w:shd w:val="clear" w:color="auto" w:fill="FBD4B4" w:themeFill="accent6" w:themeFillTint="66"/>
            <w:noWrap/>
            <w:vAlign w:val="center"/>
            <w:hideMark/>
          </w:tcPr>
          <w:p w:rsidR="00EC4F97" w:rsidRPr="00FD7A17" w:rsidRDefault="00EC4F97" w:rsidP="00422AD9">
            <w:pPr>
              <w:spacing w:after="0"/>
              <w:ind w:firstLine="0"/>
              <w:jc w:val="left"/>
              <w:rPr>
                <w:rFonts w:ascii="Arial" w:hAnsi="Arial" w:cs="Arial"/>
                <w:bCs/>
                <w:color w:val="000000"/>
                <w:sz w:val="18"/>
                <w:szCs w:val="18"/>
              </w:rPr>
            </w:pPr>
            <w:r>
              <w:rPr>
                <w:rFonts w:ascii="Arial" w:hAnsi="Arial"/>
                <w:bCs/>
                <w:color w:val="000000"/>
                <w:sz w:val="18"/>
                <w:szCs w:val="18"/>
              </w:rPr>
              <w:t>Kontratu-mota</w:t>
            </w:r>
          </w:p>
        </w:tc>
        <w:tc>
          <w:tcPr>
            <w:tcW w:w="857" w:type="pct"/>
            <w:tcBorders>
              <w:top w:val="single" w:sz="4" w:space="0" w:color="000000"/>
              <w:left w:val="nil"/>
              <w:bottom w:val="single" w:sz="4" w:space="0" w:color="000000"/>
              <w:right w:val="nil"/>
            </w:tcBorders>
            <w:shd w:val="clear" w:color="auto" w:fill="FBD4B4" w:themeFill="accent6" w:themeFillTint="66"/>
            <w:noWrap/>
            <w:vAlign w:val="center"/>
            <w:hideMark/>
          </w:tcPr>
          <w:p w:rsidR="00EC4F97" w:rsidRPr="00FD7A17" w:rsidRDefault="00EC4F97" w:rsidP="00422AD9">
            <w:pPr>
              <w:spacing w:after="0"/>
              <w:ind w:firstLine="0"/>
              <w:jc w:val="left"/>
              <w:rPr>
                <w:rFonts w:ascii="Arial" w:hAnsi="Arial" w:cs="Arial"/>
                <w:bCs/>
                <w:color w:val="000000"/>
                <w:sz w:val="18"/>
                <w:szCs w:val="18"/>
              </w:rPr>
            </w:pPr>
            <w:r>
              <w:rPr>
                <w:rFonts w:ascii="Arial" w:hAnsi="Arial"/>
                <w:bCs/>
                <w:color w:val="000000"/>
                <w:sz w:val="18"/>
                <w:szCs w:val="18"/>
              </w:rPr>
              <w:t>Zenbat</w:t>
            </w:r>
          </w:p>
        </w:tc>
        <w:tc>
          <w:tcPr>
            <w:tcW w:w="1446" w:type="pct"/>
            <w:tcBorders>
              <w:top w:val="single" w:sz="4" w:space="0" w:color="000000"/>
              <w:left w:val="nil"/>
              <w:bottom w:val="single" w:sz="4" w:space="0" w:color="000000"/>
            </w:tcBorders>
            <w:shd w:val="clear" w:color="auto" w:fill="FBD4B4" w:themeFill="accent6" w:themeFillTint="66"/>
            <w:vAlign w:val="center"/>
            <w:hideMark/>
          </w:tcPr>
          <w:p w:rsidR="00EC4F97" w:rsidRPr="00FD7A17" w:rsidRDefault="00EC4F97" w:rsidP="00422AD9">
            <w:pPr>
              <w:spacing w:after="0"/>
              <w:ind w:firstLine="0"/>
              <w:jc w:val="right"/>
              <w:rPr>
                <w:rFonts w:ascii="Arial" w:hAnsi="Arial" w:cs="Arial"/>
                <w:bCs/>
                <w:color w:val="000000"/>
                <w:sz w:val="18"/>
                <w:szCs w:val="18"/>
              </w:rPr>
            </w:pPr>
            <w:r>
              <w:rPr>
                <w:rFonts w:ascii="Arial" w:hAnsi="Arial"/>
                <w:bCs/>
                <w:color w:val="000000"/>
                <w:sz w:val="18"/>
                <w:szCs w:val="18"/>
              </w:rPr>
              <w:t>Adjudikazioaren zenbatekoa</w:t>
            </w:r>
          </w:p>
        </w:tc>
      </w:tr>
      <w:tr w:rsidR="00EC4F97" w:rsidRPr="002E2437" w:rsidTr="00422AD9">
        <w:trPr>
          <w:trHeight w:val="300"/>
          <w:jc w:val="center"/>
        </w:trPr>
        <w:tc>
          <w:tcPr>
            <w:tcW w:w="2697" w:type="pct"/>
            <w:tcBorders>
              <w:top w:val="single" w:sz="4"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Laguntza</w:t>
            </w:r>
          </w:p>
        </w:tc>
        <w:tc>
          <w:tcPr>
            <w:tcW w:w="857" w:type="pct"/>
            <w:tcBorders>
              <w:top w:val="single" w:sz="4"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w:t>
            </w:r>
          </w:p>
        </w:tc>
        <w:tc>
          <w:tcPr>
            <w:tcW w:w="1446" w:type="pct"/>
            <w:tcBorders>
              <w:top w:val="single" w:sz="4"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3.723</w:t>
            </w:r>
          </w:p>
        </w:tc>
      </w:tr>
      <w:tr w:rsidR="00EC4F97" w:rsidRPr="002E2437" w:rsidTr="00422AD9">
        <w:trPr>
          <w:trHeight w:val="300"/>
          <w:jc w:val="center"/>
        </w:trPr>
        <w:tc>
          <w:tcPr>
            <w:tcW w:w="2697" w:type="pct"/>
            <w:tcBorders>
              <w:top w:val="single" w:sz="2"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Obrak</w:t>
            </w:r>
          </w:p>
        </w:tc>
        <w:tc>
          <w:tcPr>
            <w:tcW w:w="857" w:type="pct"/>
            <w:tcBorders>
              <w:top w:val="single" w:sz="2"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52</w:t>
            </w:r>
          </w:p>
        </w:tc>
        <w:tc>
          <w:tcPr>
            <w:tcW w:w="1446" w:type="pct"/>
            <w:tcBorders>
              <w:top w:val="single" w:sz="2" w:space="0" w:color="000000"/>
              <w:left w:val="nil"/>
              <w:bottom w:val="single" w:sz="2" w:space="0" w:color="000000"/>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26.562</w:t>
            </w:r>
          </w:p>
        </w:tc>
      </w:tr>
      <w:tr w:rsidR="00EC4F97" w:rsidRPr="002E2437" w:rsidTr="00422AD9">
        <w:trPr>
          <w:trHeight w:val="300"/>
          <w:jc w:val="center"/>
        </w:trPr>
        <w:tc>
          <w:tcPr>
            <w:tcW w:w="2697" w:type="pct"/>
            <w:tcBorders>
              <w:top w:val="single" w:sz="2" w:space="0" w:color="000000"/>
              <w:left w:val="nil"/>
              <w:bottom w:val="single" w:sz="4" w:space="0" w:color="auto"/>
              <w:right w:val="nil"/>
            </w:tcBorders>
            <w:shd w:val="clear" w:color="auto" w:fill="auto"/>
            <w:noWrap/>
            <w:vAlign w:val="bottom"/>
            <w:hideMark/>
          </w:tcPr>
          <w:p w:rsidR="00EC4F97" w:rsidRPr="002E2437"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Hornidura</w:t>
            </w:r>
          </w:p>
        </w:tc>
        <w:tc>
          <w:tcPr>
            <w:tcW w:w="857" w:type="pct"/>
            <w:tcBorders>
              <w:top w:val="single" w:sz="2" w:space="0" w:color="000000"/>
              <w:left w:val="nil"/>
              <w:bottom w:val="single" w:sz="4" w:space="0" w:color="auto"/>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w:t>
            </w:r>
          </w:p>
        </w:tc>
        <w:tc>
          <w:tcPr>
            <w:tcW w:w="1446" w:type="pct"/>
            <w:tcBorders>
              <w:top w:val="single" w:sz="2" w:space="0" w:color="000000"/>
              <w:left w:val="nil"/>
              <w:bottom w:val="single" w:sz="4" w:space="0" w:color="auto"/>
              <w:right w:val="nil"/>
            </w:tcBorders>
            <w:shd w:val="clear" w:color="auto" w:fill="auto"/>
            <w:noWrap/>
            <w:vAlign w:val="bottom"/>
            <w:hideMark/>
          </w:tcPr>
          <w:p w:rsidR="00EC4F97" w:rsidRPr="002E2437"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2.278</w:t>
            </w:r>
          </w:p>
        </w:tc>
      </w:tr>
      <w:tr w:rsidR="00EC4F97" w:rsidRPr="00FD7A17" w:rsidTr="00422AD9">
        <w:trPr>
          <w:trHeight w:val="300"/>
          <w:jc w:val="center"/>
        </w:trPr>
        <w:tc>
          <w:tcPr>
            <w:tcW w:w="2697" w:type="pct"/>
            <w:tcBorders>
              <w:top w:val="single" w:sz="4" w:space="0" w:color="auto"/>
              <w:left w:val="nil"/>
              <w:bottom w:val="single" w:sz="4" w:space="0" w:color="000000"/>
              <w:right w:val="nil"/>
            </w:tcBorders>
            <w:shd w:val="clear" w:color="auto" w:fill="FBD4B4" w:themeFill="accent6" w:themeFillTint="66"/>
            <w:noWrap/>
            <w:vAlign w:val="bottom"/>
            <w:hideMark/>
          </w:tcPr>
          <w:p w:rsidR="00EC4F97" w:rsidRPr="00FD7A17" w:rsidRDefault="00EC4F97" w:rsidP="00422AD9">
            <w:pPr>
              <w:spacing w:after="0"/>
              <w:ind w:firstLine="0"/>
              <w:jc w:val="left"/>
              <w:rPr>
                <w:rFonts w:ascii="Arial" w:hAnsi="Arial" w:cs="Arial"/>
                <w:bCs/>
                <w:color w:val="000000"/>
                <w:sz w:val="18"/>
                <w:szCs w:val="18"/>
              </w:rPr>
            </w:pPr>
            <w:r>
              <w:rPr>
                <w:rFonts w:ascii="Arial" w:hAnsi="Arial"/>
                <w:bCs/>
                <w:color w:val="000000"/>
                <w:sz w:val="18"/>
                <w:szCs w:val="18"/>
              </w:rPr>
              <w:t>Guztira, oro har</w:t>
            </w:r>
          </w:p>
        </w:tc>
        <w:tc>
          <w:tcPr>
            <w:tcW w:w="857" w:type="pct"/>
            <w:tcBorders>
              <w:top w:val="single" w:sz="4" w:space="0" w:color="auto"/>
              <w:left w:val="nil"/>
              <w:bottom w:val="single" w:sz="4" w:space="0" w:color="000000"/>
              <w:right w:val="nil"/>
            </w:tcBorders>
            <w:shd w:val="clear" w:color="auto" w:fill="FBD4B4" w:themeFill="accent6" w:themeFillTint="66"/>
            <w:noWrap/>
            <w:vAlign w:val="bottom"/>
            <w:hideMark/>
          </w:tcPr>
          <w:p w:rsidR="00EC4F97" w:rsidRPr="00FD7A17" w:rsidRDefault="00EC4F97" w:rsidP="00422AD9">
            <w:pPr>
              <w:spacing w:after="0"/>
              <w:ind w:firstLine="0"/>
              <w:jc w:val="right"/>
              <w:rPr>
                <w:rFonts w:ascii="Arial" w:hAnsi="Arial" w:cs="Arial"/>
                <w:bCs/>
                <w:color w:val="000000"/>
                <w:sz w:val="18"/>
                <w:szCs w:val="18"/>
              </w:rPr>
            </w:pPr>
            <w:r>
              <w:rPr>
                <w:rFonts w:ascii="Arial" w:hAnsi="Arial"/>
                <w:bCs/>
                <w:color w:val="000000"/>
                <w:sz w:val="18"/>
                <w:szCs w:val="18"/>
              </w:rPr>
              <w:t>72</w:t>
            </w:r>
          </w:p>
        </w:tc>
        <w:tc>
          <w:tcPr>
            <w:tcW w:w="1446" w:type="pct"/>
            <w:tcBorders>
              <w:top w:val="single" w:sz="4" w:space="0" w:color="auto"/>
              <w:left w:val="nil"/>
              <w:bottom w:val="single" w:sz="4" w:space="0" w:color="000000"/>
            </w:tcBorders>
            <w:shd w:val="clear" w:color="auto" w:fill="FBD4B4" w:themeFill="accent6" w:themeFillTint="66"/>
            <w:noWrap/>
            <w:vAlign w:val="bottom"/>
            <w:hideMark/>
          </w:tcPr>
          <w:p w:rsidR="00EC4F97" w:rsidRPr="00FD7A17" w:rsidRDefault="00EC4F97" w:rsidP="00422AD9">
            <w:pPr>
              <w:spacing w:after="0"/>
              <w:ind w:firstLine="0"/>
              <w:jc w:val="right"/>
              <w:rPr>
                <w:rFonts w:ascii="Arial" w:hAnsi="Arial" w:cs="Arial"/>
                <w:bCs/>
                <w:color w:val="000000"/>
                <w:sz w:val="18"/>
                <w:szCs w:val="18"/>
              </w:rPr>
            </w:pPr>
            <w:r>
              <w:rPr>
                <w:rFonts w:ascii="Arial" w:hAnsi="Arial"/>
                <w:bCs/>
                <w:color w:val="000000"/>
                <w:sz w:val="18"/>
                <w:szCs w:val="18"/>
              </w:rPr>
              <w:t>32.563</w:t>
            </w:r>
          </w:p>
        </w:tc>
      </w:tr>
    </w:tbl>
    <w:p w:rsidR="00EC4F97" w:rsidRDefault="00EC4F97" w:rsidP="00EC4F97">
      <w:pPr>
        <w:pStyle w:val="texto"/>
        <w:spacing w:after="240"/>
      </w:pPr>
    </w:p>
    <w:p w:rsidR="00EC4F97" w:rsidRDefault="00EC4F97" w:rsidP="00EC4F97">
      <w:pPr>
        <w:pStyle w:val="texto"/>
        <w:spacing w:after="240"/>
      </w:pPr>
      <w:r>
        <w:t>Aurreko analisi bera egin dugu, baina adjudikazioaren gutizko zenbatekoak hartuz, kontratuak irauten duen urteetarako. Hartara, 421 kontratuetatik, 19 kontratu (14 obra-kontratu, lau laguntza-kontratu eta hornidura-kontratu bat) 600.000 eurotik gorakoak dira, eta guztia 21,66 milioi euro egiten dute. Lau kontratu 400.000 eurotik gorakoak dira, eta guztira 1,76 milioira iristen dira (bi laguntza-kontratu, hornidura-kontratu bat eta zerbitzuen emakidarako kontratu bat). Azkenik, 18 kontratu 150.000 eurotik gorakoak dira, eta guztira 4,31 mil</w:t>
      </w:r>
      <w:r>
        <w:t>i</w:t>
      </w:r>
      <w:r>
        <w:t>oira iristen dira (10 hornidura-kontratu, zazpi laguntza-kontratu eta zerbitzuen emakidarako kontratu bat).</w:t>
      </w:r>
    </w:p>
    <w:p w:rsidR="00EC4F97" w:rsidRDefault="00EC4F97" w:rsidP="00EC4F97">
      <w:pPr>
        <w:pStyle w:val="texto"/>
        <w:spacing w:after="240"/>
      </w:pPr>
      <w:r>
        <w:t>Hona zenbatekoari erreparatuz gero garrantzitsuenak diren kontratu horien esleipenaren zenbatekoa:</w:t>
      </w:r>
    </w:p>
    <w:p w:rsidR="00EC4F97" w:rsidRPr="00004975" w:rsidRDefault="00EC4F97" w:rsidP="00EC4F97">
      <w:pPr>
        <w:pStyle w:val="texto"/>
        <w:spacing w:after="40"/>
      </w:pPr>
      <w:r>
        <w:rPr>
          <w:i/>
          <w:sz w:val="20"/>
        </w:rPr>
        <w:t xml:space="preserve">                                                                                                                        </w:t>
      </w:r>
      <w:r>
        <w:rPr>
          <w:sz w:val="20"/>
        </w:rPr>
        <w:t xml:space="preserve">  (euroak, milak</w:t>
      </w:r>
      <w:r>
        <w:rPr>
          <w:sz w:val="20"/>
        </w:rPr>
        <w:t>o</w:t>
      </w:r>
      <w:r>
        <w:rPr>
          <w:sz w:val="20"/>
        </w:rPr>
        <w:t>tan)</w:t>
      </w:r>
    </w:p>
    <w:tbl>
      <w:tblPr>
        <w:tblW w:w="5000" w:type="pct"/>
        <w:jc w:val="center"/>
        <w:tblCellMar>
          <w:left w:w="70" w:type="dxa"/>
          <w:right w:w="70" w:type="dxa"/>
        </w:tblCellMar>
        <w:tblLook w:val="04A0" w:firstRow="1" w:lastRow="0" w:firstColumn="1" w:lastColumn="0" w:noHBand="0" w:noVBand="1"/>
      </w:tblPr>
      <w:tblGrid>
        <w:gridCol w:w="4817"/>
        <w:gridCol w:w="1530"/>
        <w:gridCol w:w="2582"/>
      </w:tblGrid>
      <w:tr w:rsidR="00EC4F97" w:rsidRPr="00004975" w:rsidTr="00422AD9">
        <w:trPr>
          <w:trHeight w:val="340"/>
          <w:jc w:val="center"/>
        </w:trPr>
        <w:tc>
          <w:tcPr>
            <w:tcW w:w="2697" w:type="pct"/>
            <w:tcBorders>
              <w:top w:val="single" w:sz="4" w:space="0" w:color="auto"/>
              <w:left w:val="nil"/>
              <w:bottom w:val="single" w:sz="4" w:space="0" w:color="auto"/>
              <w:right w:val="nil"/>
            </w:tcBorders>
            <w:shd w:val="clear" w:color="000000" w:fill="FBD4B4" w:themeFill="accent6" w:themeFillTint="66"/>
            <w:noWrap/>
            <w:vAlign w:val="center"/>
            <w:hideMark/>
          </w:tcPr>
          <w:p w:rsidR="00EC4F97" w:rsidRPr="00004975" w:rsidRDefault="00EC4F97" w:rsidP="00422AD9">
            <w:pPr>
              <w:spacing w:after="0"/>
              <w:ind w:firstLine="0"/>
              <w:jc w:val="left"/>
              <w:rPr>
                <w:rFonts w:ascii="Arial" w:hAnsi="Arial" w:cs="Arial"/>
                <w:bCs/>
                <w:color w:val="000000"/>
                <w:sz w:val="18"/>
                <w:szCs w:val="18"/>
              </w:rPr>
            </w:pPr>
            <w:r>
              <w:rPr>
                <w:rFonts w:ascii="Arial" w:hAnsi="Arial"/>
                <w:bCs/>
                <w:color w:val="000000"/>
                <w:sz w:val="18"/>
                <w:szCs w:val="18"/>
              </w:rPr>
              <w:t>Kontratu-mota</w:t>
            </w:r>
          </w:p>
        </w:tc>
        <w:tc>
          <w:tcPr>
            <w:tcW w:w="857" w:type="pct"/>
            <w:tcBorders>
              <w:top w:val="single" w:sz="4" w:space="0" w:color="auto"/>
              <w:left w:val="nil"/>
              <w:bottom w:val="single" w:sz="4" w:space="0" w:color="auto"/>
              <w:right w:val="nil"/>
            </w:tcBorders>
            <w:shd w:val="clear" w:color="000000" w:fill="FBD4B4" w:themeFill="accent6" w:themeFillTint="66"/>
            <w:noWrap/>
            <w:vAlign w:val="center"/>
            <w:hideMark/>
          </w:tcPr>
          <w:p w:rsidR="00EC4F97" w:rsidRPr="00004975" w:rsidRDefault="00EC4F97" w:rsidP="00422AD9">
            <w:pPr>
              <w:spacing w:after="0"/>
              <w:ind w:firstLine="0"/>
              <w:jc w:val="right"/>
              <w:rPr>
                <w:rFonts w:ascii="Arial" w:hAnsi="Arial" w:cs="Arial"/>
                <w:bCs/>
                <w:color w:val="000000"/>
                <w:sz w:val="18"/>
                <w:szCs w:val="18"/>
              </w:rPr>
            </w:pPr>
            <w:r>
              <w:rPr>
                <w:rFonts w:ascii="Arial" w:hAnsi="Arial"/>
                <w:bCs/>
                <w:color w:val="000000"/>
                <w:sz w:val="18"/>
                <w:szCs w:val="18"/>
              </w:rPr>
              <w:t>Zenbat</w:t>
            </w:r>
          </w:p>
        </w:tc>
        <w:tc>
          <w:tcPr>
            <w:tcW w:w="1447" w:type="pct"/>
            <w:tcBorders>
              <w:top w:val="single" w:sz="4" w:space="0" w:color="auto"/>
              <w:left w:val="nil"/>
              <w:bottom w:val="single" w:sz="4" w:space="0" w:color="auto"/>
              <w:right w:val="nil"/>
            </w:tcBorders>
            <w:shd w:val="clear" w:color="000000" w:fill="FBD4B4" w:themeFill="accent6" w:themeFillTint="66"/>
            <w:vAlign w:val="center"/>
            <w:hideMark/>
          </w:tcPr>
          <w:p w:rsidR="00EC4F97" w:rsidRPr="00004975" w:rsidRDefault="00EC4F97" w:rsidP="00422AD9">
            <w:pPr>
              <w:spacing w:after="0"/>
              <w:ind w:firstLine="0"/>
              <w:jc w:val="right"/>
              <w:rPr>
                <w:rFonts w:ascii="Arial" w:hAnsi="Arial" w:cs="Arial"/>
                <w:bCs/>
                <w:color w:val="000000"/>
                <w:sz w:val="18"/>
                <w:szCs w:val="18"/>
              </w:rPr>
            </w:pPr>
            <w:r>
              <w:rPr>
                <w:rFonts w:ascii="Arial" w:hAnsi="Arial"/>
                <w:bCs/>
                <w:color w:val="000000"/>
                <w:sz w:val="18"/>
                <w:szCs w:val="18"/>
              </w:rPr>
              <w:t>Adjudikazioaren zenbatekoa</w:t>
            </w:r>
          </w:p>
        </w:tc>
      </w:tr>
      <w:tr w:rsidR="00EC4F97" w:rsidRPr="00004975" w:rsidTr="00422AD9">
        <w:trPr>
          <w:trHeight w:val="300"/>
          <w:jc w:val="center"/>
        </w:trPr>
        <w:tc>
          <w:tcPr>
            <w:tcW w:w="2697" w:type="pct"/>
            <w:tcBorders>
              <w:top w:val="single" w:sz="4"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Laguntza</w:t>
            </w:r>
          </w:p>
        </w:tc>
        <w:tc>
          <w:tcPr>
            <w:tcW w:w="857" w:type="pct"/>
            <w:tcBorders>
              <w:top w:val="single" w:sz="4"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13</w:t>
            </w:r>
          </w:p>
        </w:tc>
        <w:tc>
          <w:tcPr>
            <w:tcW w:w="1447" w:type="pct"/>
            <w:tcBorders>
              <w:top w:val="single" w:sz="4"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6.992</w:t>
            </w:r>
          </w:p>
        </w:tc>
      </w:tr>
      <w:tr w:rsidR="00EC4F97" w:rsidRPr="00004975" w:rsidTr="00422AD9">
        <w:trPr>
          <w:trHeight w:val="300"/>
          <w:jc w:val="center"/>
        </w:trPr>
        <w:tc>
          <w:tcPr>
            <w:tcW w:w="269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Obrak</w:t>
            </w:r>
          </w:p>
        </w:tc>
        <w:tc>
          <w:tcPr>
            <w:tcW w:w="85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14</w:t>
            </w:r>
          </w:p>
        </w:tc>
        <w:tc>
          <w:tcPr>
            <w:tcW w:w="144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16.161</w:t>
            </w:r>
          </w:p>
        </w:tc>
      </w:tr>
      <w:tr w:rsidR="00EC4F97" w:rsidRPr="00004975" w:rsidTr="00422AD9">
        <w:trPr>
          <w:trHeight w:val="300"/>
          <w:jc w:val="center"/>
        </w:trPr>
        <w:tc>
          <w:tcPr>
            <w:tcW w:w="269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Hornidura</w:t>
            </w:r>
          </w:p>
        </w:tc>
        <w:tc>
          <w:tcPr>
            <w:tcW w:w="85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12</w:t>
            </w:r>
          </w:p>
        </w:tc>
        <w:tc>
          <w:tcPr>
            <w:tcW w:w="1447" w:type="pct"/>
            <w:tcBorders>
              <w:top w:val="single" w:sz="2" w:space="0" w:color="auto"/>
              <w:left w:val="nil"/>
              <w:bottom w:val="single" w:sz="2" w:space="0" w:color="auto"/>
              <w:right w:val="nil"/>
            </w:tcBorders>
            <w:shd w:val="clear" w:color="auto" w:fill="auto"/>
            <w:noWrap/>
            <w:vAlign w:val="center"/>
            <w:hideMark/>
          </w:tcPr>
          <w:p w:rsidR="00EC4F97" w:rsidRPr="00004975"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3.841</w:t>
            </w:r>
          </w:p>
        </w:tc>
      </w:tr>
      <w:tr w:rsidR="00EC4F97" w:rsidRPr="00004975" w:rsidTr="00422AD9">
        <w:trPr>
          <w:trHeight w:val="300"/>
          <w:jc w:val="center"/>
        </w:trPr>
        <w:tc>
          <w:tcPr>
            <w:tcW w:w="2697" w:type="pct"/>
            <w:tcBorders>
              <w:top w:val="single" w:sz="2" w:space="0" w:color="auto"/>
              <w:left w:val="nil"/>
              <w:bottom w:val="single" w:sz="4" w:space="0" w:color="auto"/>
              <w:right w:val="nil"/>
            </w:tcBorders>
            <w:shd w:val="clear" w:color="auto" w:fill="auto"/>
            <w:noWrap/>
            <w:vAlign w:val="center"/>
          </w:tcPr>
          <w:p w:rsidR="00EC4F97" w:rsidRPr="00004975"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Zerbitzuen emakida</w:t>
            </w:r>
          </w:p>
        </w:tc>
        <w:tc>
          <w:tcPr>
            <w:tcW w:w="857" w:type="pct"/>
            <w:tcBorders>
              <w:top w:val="single" w:sz="2" w:space="0" w:color="auto"/>
              <w:left w:val="nil"/>
              <w:bottom w:val="single" w:sz="4" w:space="0" w:color="auto"/>
              <w:right w:val="nil"/>
            </w:tcBorders>
            <w:shd w:val="clear" w:color="auto" w:fill="auto"/>
            <w:noWrap/>
            <w:vAlign w:val="center"/>
          </w:tcPr>
          <w:p w:rsidR="00EC4F97" w:rsidRPr="00004975"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w:t>
            </w:r>
          </w:p>
        </w:tc>
        <w:tc>
          <w:tcPr>
            <w:tcW w:w="1447" w:type="pct"/>
            <w:tcBorders>
              <w:top w:val="single" w:sz="2" w:space="0" w:color="auto"/>
              <w:left w:val="nil"/>
              <w:bottom w:val="single" w:sz="4" w:space="0" w:color="auto"/>
              <w:right w:val="nil"/>
            </w:tcBorders>
            <w:shd w:val="clear" w:color="auto" w:fill="auto"/>
            <w:noWrap/>
            <w:vAlign w:val="center"/>
          </w:tcPr>
          <w:p w:rsidR="00EC4F97" w:rsidRPr="00004975"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735</w:t>
            </w:r>
          </w:p>
        </w:tc>
      </w:tr>
      <w:tr w:rsidR="00EC4F97" w:rsidRPr="00004975" w:rsidTr="00422AD9">
        <w:trPr>
          <w:trHeight w:val="300"/>
          <w:jc w:val="center"/>
        </w:trPr>
        <w:tc>
          <w:tcPr>
            <w:tcW w:w="2697" w:type="pct"/>
            <w:tcBorders>
              <w:top w:val="single" w:sz="4" w:space="0" w:color="auto"/>
              <w:left w:val="nil"/>
              <w:bottom w:val="single" w:sz="4" w:space="0" w:color="auto"/>
              <w:right w:val="nil"/>
            </w:tcBorders>
            <w:shd w:val="clear" w:color="000000" w:fill="FBD4B4" w:themeFill="accent6" w:themeFillTint="66"/>
            <w:noWrap/>
            <w:vAlign w:val="center"/>
            <w:hideMark/>
          </w:tcPr>
          <w:p w:rsidR="00EC4F97" w:rsidRPr="00004975" w:rsidRDefault="00EC4F97" w:rsidP="00422AD9">
            <w:pPr>
              <w:spacing w:after="0"/>
              <w:ind w:firstLine="0"/>
              <w:jc w:val="left"/>
              <w:rPr>
                <w:rFonts w:ascii="Arial" w:hAnsi="Arial" w:cs="Arial"/>
                <w:bCs/>
                <w:color w:val="000000"/>
                <w:sz w:val="18"/>
                <w:szCs w:val="18"/>
              </w:rPr>
            </w:pPr>
            <w:r>
              <w:rPr>
                <w:rFonts w:ascii="Arial" w:hAnsi="Arial"/>
                <w:bCs/>
                <w:color w:val="000000"/>
                <w:sz w:val="18"/>
                <w:szCs w:val="18"/>
              </w:rPr>
              <w:t>Guztira, oro har</w:t>
            </w:r>
          </w:p>
        </w:tc>
        <w:tc>
          <w:tcPr>
            <w:tcW w:w="857" w:type="pct"/>
            <w:tcBorders>
              <w:top w:val="single" w:sz="4" w:space="0" w:color="auto"/>
              <w:left w:val="nil"/>
              <w:bottom w:val="single" w:sz="4" w:space="0" w:color="auto"/>
              <w:right w:val="nil"/>
            </w:tcBorders>
            <w:shd w:val="clear" w:color="000000" w:fill="FBD4B4" w:themeFill="accent6" w:themeFillTint="66"/>
            <w:noWrap/>
            <w:vAlign w:val="center"/>
            <w:hideMark/>
          </w:tcPr>
          <w:p w:rsidR="00EC4F97" w:rsidRPr="00004975" w:rsidRDefault="00EC4F97" w:rsidP="00422AD9">
            <w:pPr>
              <w:spacing w:after="0"/>
              <w:ind w:firstLine="0"/>
              <w:jc w:val="right"/>
              <w:rPr>
                <w:rFonts w:ascii="Arial" w:hAnsi="Arial" w:cs="Arial"/>
                <w:bCs/>
                <w:color w:val="000000"/>
                <w:sz w:val="18"/>
                <w:szCs w:val="18"/>
              </w:rPr>
            </w:pPr>
            <w:r>
              <w:rPr>
                <w:rFonts w:ascii="Arial" w:hAnsi="Arial"/>
                <w:bCs/>
                <w:color w:val="000000"/>
                <w:sz w:val="18"/>
                <w:szCs w:val="18"/>
              </w:rPr>
              <w:t>41</w:t>
            </w:r>
          </w:p>
        </w:tc>
        <w:tc>
          <w:tcPr>
            <w:tcW w:w="1447" w:type="pct"/>
            <w:tcBorders>
              <w:top w:val="single" w:sz="4" w:space="0" w:color="auto"/>
              <w:left w:val="nil"/>
              <w:bottom w:val="single" w:sz="4" w:space="0" w:color="auto"/>
              <w:right w:val="nil"/>
            </w:tcBorders>
            <w:shd w:val="clear" w:color="000000" w:fill="FBD4B4" w:themeFill="accent6" w:themeFillTint="66"/>
            <w:noWrap/>
            <w:vAlign w:val="center"/>
            <w:hideMark/>
          </w:tcPr>
          <w:p w:rsidR="00EC4F97" w:rsidRPr="00004975" w:rsidRDefault="00EC4F97" w:rsidP="00422AD9">
            <w:pPr>
              <w:spacing w:after="0"/>
              <w:ind w:firstLine="0"/>
              <w:jc w:val="right"/>
              <w:rPr>
                <w:rFonts w:ascii="Arial" w:hAnsi="Arial" w:cs="Arial"/>
                <w:bCs/>
                <w:color w:val="000000"/>
                <w:sz w:val="18"/>
                <w:szCs w:val="18"/>
              </w:rPr>
            </w:pPr>
            <w:r>
              <w:rPr>
                <w:rFonts w:ascii="Arial" w:hAnsi="Arial"/>
                <w:bCs/>
                <w:color w:val="000000"/>
                <w:sz w:val="18"/>
                <w:szCs w:val="18"/>
              </w:rPr>
              <w:t>27.729</w:t>
            </w:r>
          </w:p>
        </w:tc>
      </w:tr>
    </w:tbl>
    <w:p w:rsidR="005A1124" w:rsidRDefault="005A1124" w:rsidP="00EC4F97">
      <w:pPr>
        <w:pStyle w:val="atitulo1"/>
        <w:sectPr w:rsidR="005A1124" w:rsidSect="006C24EA">
          <w:headerReference w:type="even" r:id="rId14"/>
          <w:footerReference w:type="default" r:id="rId15"/>
          <w:type w:val="oddPage"/>
          <w:pgSz w:w="11907" w:h="16840" w:code="9"/>
          <w:pgMar w:top="2109" w:right="1559" w:bottom="1644" w:left="1559" w:header="369" w:footer="136" w:gutter="0"/>
          <w:pgNumType w:start="3"/>
          <w:cols w:space="720"/>
          <w:docGrid w:linePitch="360"/>
        </w:sectPr>
      </w:pPr>
      <w:bookmarkStart w:id="68" w:name="_Toc24100148"/>
      <w:bookmarkStart w:id="69" w:name="_Toc465686692"/>
      <w:bookmarkStart w:id="70" w:name="_Toc529773888"/>
    </w:p>
    <w:p w:rsidR="00EC4F97" w:rsidRPr="00CF078D" w:rsidRDefault="00EC4F97" w:rsidP="00CF078D">
      <w:pPr>
        <w:pStyle w:val="atitulo1"/>
        <w:spacing w:before="480"/>
      </w:pPr>
      <w:bookmarkStart w:id="71" w:name="_Toc27986322"/>
      <w:r>
        <w:t>VII. 9.000 biztanletik gorako udalen egoera ekonomiko finantzarioaren analisia</w:t>
      </w:r>
      <w:bookmarkEnd w:id="68"/>
      <w:bookmarkEnd w:id="71"/>
    </w:p>
    <w:p w:rsidR="00EC4F97" w:rsidRPr="00133E8C" w:rsidRDefault="00EC4F97" w:rsidP="00EC4F97">
      <w:pPr>
        <w:pStyle w:val="texto"/>
      </w:pPr>
      <w:r>
        <w:t xml:space="preserve">Atal honetan jaso dugu 2017an 9.000 biztanletik gorako populazioa zuten udalen egoera </w:t>
      </w:r>
      <w:proofErr w:type="spellStart"/>
      <w:r>
        <w:t>ekonomiko-finantzarioari</w:t>
      </w:r>
      <w:proofErr w:type="spellEnd"/>
      <w:r>
        <w:t xml:space="preserve"> buruz egin dugun analisia, Toki Administrazioaren eta Despopulazioaren Zuzendaritza Nagusiak igorritako inform</w:t>
      </w:r>
      <w:r>
        <w:t>a</w:t>
      </w:r>
      <w:r>
        <w:t xml:space="preserve">zioa aintzat hartuz, eta ez dugu hemen aipatutako kopuruen </w:t>
      </w:r>
      <w:proofErr w:type="spellStart"/>
      <w:r>
        <w:t>auditoretza</w:t>
      </w:r>
      <w:proofErr w:type="spellEnd"/>
      <w:r>
        <w:t xml:space="preserve"> egin, Iruñeko eta Barañaingo udalen kasuetan izan ezik. </w:t>
      </w:r>
    </w:p>
    <w:p w:rsidR="00EC4F97" w:rsidRDefault="00EC4F97" w:rsidP="00EC4F97">
      <w:pPr>
        <w:pStyle w:val="texto"/>
        <w:spacing w:after="240"/>
      </w:pPr>
      <w:r>
        <w:t>Ondoren, aztertutako udaletan 2017ko adierazle batzuek ematen dituzten balioak erakusten ditugu:</w:t>
      </w:r>
    </w:p>
    <w:tbl>
      <w:tblPr>
        <w:tblW w:w="14628" w:type="dxa"/>
        <w:tblInd w:w="-497" w:type="dxa"/>
        <w:tblBorders>
          <w:top w:val="single" w:sz="2" w:space="0" w:color="auto"/>
          <w:bottom w:val="single" w:sz="8" w:space="0" w:color="auto"/>
          <w:insideH w:val="single" w:sz="2" w:space="0" w:color="auto"/>
        </w:tblBorders>
        <w:tblCellMar>
          <w:left w:w="70" w:type="dxa"/>
          <w:right w:w="70" w:type="dxa"/>
        </w:tblCellMar>
        <w:tblLook w:val="00A0" w:firstRow="1" w:lastRow="0" w:firstColumn="1" w:lastColumn="0" w:noHBand="0" w:noVBand="0"/>
      </w:tblPr>
      <w:tblGrid>
        <w:gridCol w:w="2491"/>
        <w:gridCol w:w="1022"/>
        <w:gridCol w:w="981"/>
        <w:gridCol w:w="1032"/>
        <w:gridCol w:w="965"/>
        <w:gridCol w:w="960"/>
        <w:gridCol w:w="961"/>
        <w:gridCol w:w="1050"/>
        <w:gridCol w:w="1196"/>
        <w:gridCol w:w="999"/>
        <w:gridCol w:w="991"/>
        <w:gridCol w:w="989"/>
        <w:gridCol w:w="991"/>
      </w:tblGrid>
      <w:tr w:rsidR="00EC4F97" w:rsidRPr="00CA6933" w:rsidTr="00422AD9">
        <w:trPr>
          <w:trHeight w:val="230"/>
        </w:trPr>
        <w:tc>
          <w:tcPr>
            <w:tcW w:w="2500"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 </w:t>
            </w:r>
          </w:p>
        </w:tc>
        <w:tc>
          <w:tcPr>
            <w:tcW w:w="1023"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Antsoain</w:t>
            </w:r>
          </w:p>
        </w:tc>
        <w:tc>
          <w:tcPr>
            <w:tcW w:w="961"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Aranguren</w:t>
            </w:r>
          </w:p>
        </w:tc>
        <w:tc>
          <w:tcPr>
            <w:tcW w:w="1033"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Barañain</w:t>
            </w:r>
          </w:p>
        </w:tc>
        <w:tc>
          <w:tcPr>
            <w:tcW w:w="966"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Berriozar</w:t>
            </w:r>
          </w:p>
        </w:tc>
        <w:tc>
          <w:tcPr>
            <w:tcW w:w="961"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Burlata</w:t>
            </w:r>
          </w:p>
        </w:tc>
        <w:tc>
          <w:tcPr>
            <w:tcW w:w="961"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Eguesibar</w:t>
            </w:r>
          </w:p>
        </w:tc>
        <w:tc>
          <w:tcPr>
            <w:tcW w:w="1051"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Lizarra</w:t>
            </w:r>
          </w:p>
        </w:tc>
        <w:tc>
          <w:tcPr>
            <w:tcW w:w="1198"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Iruña</w:t>
            </w:r>
          </w:p>
        </w:tc>
        <w:tc>
          <w:tcPr>
            <w:tcW w:w="1000"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Tafalla</w:t>
            </w:r>
          </w:p>
        </w:tc>
        <w:tc>
          <w:tcPr>
            <w:tcW w:w="992"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Tutera</w:t>
            </w:r>
          </w:p>
        </w:tc>
        <w:tc>
          <w:tcPr>
            <w:tcW w:w="990"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Atarrabia</w:t>
            </w:r>
          </w:p>
        </w:tc>
        <w:tc>
          <w:tcPr>
            <w:tcW w:w="992" w:type="dxa"/>
            <w:vMerge w:val="restart"/>
            <w:tcBorders>
              <w:top w:val="single" w:sz="4" w:space="0" w:color="auto"/>
              <w:bottom w:val="single" w:sz="4"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Zizur N</w:t>
            </w:r>
            <w:r>
              <w:rPr>
                <w:rFonts w:ascii="Arial" w:hAnsi="Arial"/>
                <w:color w:val="000000"/>
                <w:sz w:val="18"/>
                <w:szCs w:val="18"/>
              </w:rPr>
              <w:t>a</w:t>
            </w:r>
            <w:r>
              <w:rPr>
                <w:rFonts w:ascii="Arial" w:hAnsi="Arial"/>
                <w:color w:val="000000"/>
                <w:sz w:val="18"/>
                <w:szCs w:val="18"/>
              </w:rPr>
              <w:t xml:space="preserve">gusia </w:t>
            </w:r>
          </w:p>
          <w:p w:rsidR="00EC4F97" w:rsidRPr="00CA6933" w:rsidRDefault="00EC4F97" w:rsidP="00422AD9">
            <w:pPr>
              <w:spacing w:after="0"/>
              <w:ind w:firstLine="0"/>
              <w:jc w:val="center"/>
              <w:rPr>
                <w:rFonts w:ascii="Arial" w:hAnsi="Arial" w:cs="Arial"/>
                <w:color w:val="000000"/>
                <w:sz w:val="18"/>
                <w:szCs w:val="18"/>
              </w:rPr>
            </w:pPr>
          </w:p>
        </w:tc>
      </w:tr>
      <w:tr w:rsidR="00EC4F97" w:rsidRPr="00F83EA0" w:rsidTr="00422AD9">
        <w:trPr>
          <w:trHeight w:val="300"/>
        </w:trPr>
        <w:tc>
          <w:tcPr>
            <w:tcW w:w="250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23"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33"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6"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5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198"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0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2"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2"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r>
      <w:tr w:rsidR="00EC4F97" w:rsidRPr="00F83EA0" w:rsidTr="00422AD9">
        <w:trPr>
          <w:trHeight w:val="229"/>
        </w:trPr>
        <w:tc>
          <w:tcPr>
            <w:tcW w:w="250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23"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33"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6"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6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51"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198"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100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2"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0"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c>
          <w:tcPr>
            <w:tcW w:w="992" w:type="dxa"/>
            <w:vMerge/>
            <w:tcBorders>
              <w:top w:val="nil"/>
              <w:bottom w:val="single" w:sz="4" w:space="0" w:color="auto"/>
            </w:tcBorders>
            <w:shd w:val="clear" w:color="000000" w:fill="FBD4B4" w:themeFill="accent6" w:themeFillTint="66"/>
            <w:vAlign w:val="center"/>
          </w:tcPr>
          <w:p w:rsidR="00EC4F97" w:rsidRPr="00F83EA0" w:rsidRDefault="00EC4F97" w:rsidP="00422AD9">
            <w:pPr>
              <w:spacing w:after="0"/>
              <w:ind w:firstLine="0"/>
              <w:jc w:val="left"/>
              <w:rPr>
                <w:rFonts w:ascii="Arial Narrow" w:hAnsi="Arial Narrow" w:cs="Calibri"/>
                <w:color w:val="000000"/>
                <w:lang w:val="es-ES" w:eastAsia="es-ES"/>
              </w:rPr>
            </w:pPr>
          </w:p>
        </w:tc>
      </w:tr>
      <w:tr w:rsidR="00EC4F97" w:rsidRPr="00CA6933" w:rsidTr="00422AD9">
        <w:trPr>
          <w:trHeight w:val="390"/>
        </w:trPr>
        <w:tc>
          <w:tcPr>
            <w:tcW w:w="2500" w:type="dxa"/>
            <w:tcBorders>
              <w:top w:val="single" w:sz="4"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Aitortutako eskubideak, guztira</w:t>
            </w:r>
          </w:p>
        </w:tc>
        <w:tc>
          <w:tcPr>
            <w:tcW w:w="1023"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8.392.008</w:t>
            </w:r>
          </w:p>
        </w:tc>
        <w:tc>
          <w:tcPr>
            <w:tcW w:w="961"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10.664.524</w:t>
            </w:r>
          </w:p>
        </w:tc>
        <w:tc>
          <w:tcPr>
            <w:tcW w:w="1033"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15.191.938</w:t>
            </w:r>
          </w:p>
        </w:tc>
        <w:tc>
          <w:tcPr>
            <w:tcW w:w="966"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6.168.250</w:t>
            </w:r>
          </w:p>
        </w:tc>
        <w:tc>
          <w:tcPr>
            <w:tcW w:w="961"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18.655.565</w:t>
            </w:r>
          </w:p>
        </w:tc>
        <w:tc>
          <w:tcPr>
            <w:tcW w:w="961"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14.917.343</w:t>
            </w:r>
          </w:p>
        </w:tc>
        <w:tc>
          <w:tcPr>
            <w:tcW w:w="1051"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12.150.122</w:t>
            </w:r>
          </w:p>
        </w:tc>
        <w:tc>
          <w:tcPr>
            <w:tcW w:w="1198"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198.960.850</w:t>
            </w:r>
          </w:p>
        </w:tc>
        <w:tc>
          <w:tcPr>
            <w:tcW w:w="1000"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10.261.442</w:t>
            </w:r>
          </w:p>
        </w:tc>
        <w:tc>
          <w:tcPr>
            <w:tcW w:w="992"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34.909.002</w:t>
            </w:r>
          </w:p>
        </w:tc>
        <w:tc>
          <w:tcPr>
            <w:tcW w:w="990"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9.499.798</w:t>
            </w:r>
          </w:p>
        </w:tc>
        <w:tc>
          <w:tcPr>
            <w:tcW w:w="992" w:type="dxa"/>
            <w:tcBorders>
              <w:top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10.275.786</w:t>
            </w:r>
          </w:p>
        </w:tc>
      </w:tr>
      <w:tr w:rsidR="00EC4F97" w:rsidRPr="00CA6933" w:rsidTr="00422AD9">
        <w:trPr>
          <w:trHeight w:val="390"/>
        </w:trPr>
        <w:tc>
          <w:tcPr>
            <w:tcW w:w="2500" w:type="dxa"/>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Aitortutako betebeharrak, guztira</w:t>
            </w:r>
          </w:p>
        </w:tc>
        <w:tc>
          <w:tcPr>
            <w:tcW w:w="1023"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8.066.463</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10.389.544</w:t>
            </w:r>
          </w:p>
        </w:tc>
        <w:tc>
          <w:tcPr>
            <w:tcW w:w="1033"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14.664.154</w:t>
            </w:r>
          </w:p>
        </w:tc>
        <w:tc>
          <w:tcPr>
            <w:tcW w:w="966"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5.988.737</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13.285.268</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12.002.986</w:t>
            </w:r>
          </w:p>
        </w:tc>
        <w:tc>
          <w:tcPr>
            <w:tcW w:w="105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10.767.669</w:t>
            </w:r>
          </w:p>
        </w:tc>
        <w:tc>
          <w:tcPr>
            <w:tcW w:w="1198"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199.620.015</w:t>
            </w:r>
          </w:p>
        </w:tc>
        <w:tc>
          <w:tcPr>
            <w:tcW w:w="1000"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9.759.458</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32.124.527</w:t>
            </w:r>
          </w:p>
        </w:tc>
        <w:tc>
          <w:tcPr>
            <w:tcW w:w="990"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9.131.779</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10.562.557</w:t>
            </w:r>
          </w:p>
        </w:tc>
      </w:tr>
      <w:tr w:rsidR="00EC4F97" w:rsidRPr="00CA6933" w:rsidTr="00422AD9">
        <w:trPr>
          <w:trHeight w:val="390"/>
        </w:trPr>
        <w:tc>
          <w:tcPr>
            <w:tcW w:w="2500" w:type="dxa"/>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Diru-sarrera arruntak </w:t>
            </w:r>
          </w:p>
        </w:tc>
        <w:tc>
          <w:tcPr>
            <w:tcW w:w="1023"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8.334.760</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9.814.125</w:t>
            </w:r>
          </w:p>
        </w:tc>
        <w:tc>
          <w:tcPr>
            <w:tcW w:w="1033"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15.181.163</w:t>
            </w:r>
          </w:p>
        </w:tc>
        <w:tc>
          <w:tcPr>
            <w:tcW w:w="966"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6.141.732</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12.748.272</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12.564.421</w:t>
            </w:r>
          </w:p>
        </w:tc>
        <w:tc>
          <w:tcPr>
            <w:tcW w:w="105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11.256.391</w:t>
            </w:r>
          </w:p>
        </w:tc>
        <w:tc>
          <w:tcPr>
            <w:tcW w:w="1198"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191.069.324</w:t>
            </w:r>
          </w:p>
        </w:tc>
        <w:tc>
          <w:tcPr>
            <w:tcW w:w="1000"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9.704.347</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34.062.905</w:t>
            </w:r>
          </w:p>
        </w:tc>
        <w:tc>
          <w:tcPr>
            <w:tcW w:w="990"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8.781.014</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10.215.783</w:t>
            </w:r>
          </w:p>
        </w:tc>
      </w:tr>
      <w:tr w:rsidR="00EC4F97" w:rsidRPr="00CA6933" w:rsidTr="00422AD9">
        <w:trPr>
          <w:trHeight w:val="390"/>
        </w:trPr>
        <w:tc>
          <w:tcPr>
            <w:tcW w:w="2500" w:type="dxa"/>
            <w:vAlign w:val="center"/>
          </w:tcPr>
          <w:p w:rsidR="00EC4F97" w:rsidRPr="00CA6933" w:rsidRDefault="00EC4F97" w:rsidP="00422AD9">
            <w:pPr>
              <w:spacing w:after="0"/>
              <w:ind w:firstLine="0"/>
              <w:rPr>
                <w:rFonts w:ascii="Arial Narrow" w:hAnsi="Arial Narrow" w:cs="Calibri"/>
                <w:color w:val="000000"/>
                <w:sz w:val="18"/>
                <w:szCs w:val="18"/>
              </w:rPr>
            </w:pPr>
            <w:r>
              <w:rPr>
                <w:rFonts w:ascii="Arial Narrow" w:hAnsi="Arial Narrow"/>
                <w:color w:val="000000"/>
                <w:sz w:val="18"/>
                <w:szCs w:val="18"/>
              </w:rPr>
              <w:t>Funtzionamendu gastuak</w:t>
            </w:r>
          </w:p>
        </w:tc>
        <w:tc>
          <w:tcPr>
            <w:tcW w:w="1023"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7.341.057</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8.176.678</w:t>
            </w:r>
          </w:p>
        </w:tc>
        <w:tc>
          <w:tcPr>
            <w:tcW w:w="1033"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13.696.394</w:t>
            </w:r>
          </w:p>
        </w:tc>
        <w:tc>
          <w:tcPr>
            <w:tcW w:w="966"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5.613.041</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11.903.731</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10.157.446</w:t>
            </w:r>
          </w:p>
        </w:tc>
        <w:tc>
          <w:tcPr>
            <w:tcW w:w="105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9.452.702</w:t>
            </w:r>
          </w:p>
        </w:tc>
        <w:tc>
          <w:tcPr>
            <w:tcW w:w="1198"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168.545.487</w:t>
            </w:r>
          </w:p>
        </w:tc>
        <w:tc>
          <w:tcPr>
            <w:tcW w:w="1000"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8.820.621</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28.449.701</w:t>
            </w:r>
          </w:p>
        </w:tc>
        <w:tc>
          <w:tcPr>
            <w:tcW w:w="990"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7.366.139</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9.710.402</w:t>
            </w:r>
          </w:p>
        </w:tc>
      </w:tr>
      <w:tr w:rsidR="00EC4F97" w:rsidRPr="00CA6933" w:rsidTr="00422AD9">
        <w:trPr>
          <w:trHeight w:val="390"/>
        </w:trPr>
        <w:tc>
          <w:tcPr>
            <w:tcW w:w="2500" w:type="dxa"/>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Kapitaleko diru-sarrerak</w:t>
            </w:r>
          </w:p>
        </w:tc>
        <w:tc>
          <w:tcPr>
            <w:tcW w:w="1023"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57.221</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850.399</w:t>
            </w:r>
          </w:p>
        </w:tc>
        <w:tc>
          <w:tcPr>
            <w:tcW w:w="1033"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10.775</w:t>
            </w:r>
          </w:p>
        </w:tc>
        <w:tc>
          <w:tcPr>
            <w:tcW w:w="966"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24.718</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5.894.234</w:t>
            </w:r>
          </w:p>
        </w:tc>
        <w:tc>
          <w:tcPr>
            <w:tcW w:w="96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627.412</w:t>
            </w:r>
          </w:p>
        </w:tc>
        <w:tc>
          <w:tcPr>
            <w:tcW w:w="1051"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893.731</w:t>
            </w:r>
          </w:p>
        </w:tc>
        <w:tc>
          <w:tcPr>
            <w:tcW w:w="1198"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7.723.012</w:t>
            </w:r>
          </w:p>
        </w:tc>
        <w:tc>
          <w:tcPr>
            <w:tcW w:w="1000"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284.095</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846.097</w:t>
            </w:r>
          </w:p>
        </w:tc>
        <w:tc>
          <w:tcPr>
            <w:tcW w:w="990"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718.783</w:t>
            </w:r>
          </w:p>
        </w:tc>
        <w:tc>
          <w:tcPr>
            <w:tcW w:w="992" w:type="dxa"/>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48.612</w:t>
            </w:r>
          </w:p>
        </w:tc>
      </w:tr>
      <w:tr w:rsidR="00EC4F97" w:rsidRPr="00CA6933" w:rsidTr="00422AD9">
        <w:trPr>
          <w:trHeight w:val="390"/>
        </w:trPr>
        <w:tc>
          <w:tcPr>
            <w:tcW w:w="2500" w:type="dxa"/>
            <w:tcBorders>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Kapitaleko gastuak</w:t>
            </w:r>
          </w:p>
        </w:tc>
        <w:tc>
          <w:tcPr>
            <w:tcW w:w="1023"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608.130</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2.212.866</w:t>
            </w:r>
          </w:p>
        </w:tc>
        <w:tc>
          <w:tcPr>
            <w:tcW w:w="1033"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685.010</w:t>
            </w:r>
          </w:p>
        </w:tc>
        <w:tc>
          <w:tcPr>
            <w:tcW w:w="966"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375.229</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1.327.679</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1.844.509</w:t>
            </w:r>
          </w:p>
        </w:tc>
        <w:tc>
          <w:tcPr>
            <w:tcW w:w="105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1.248.509</w:t>
            </w:r>
          </w:p>
        </w:tc>
        <w:tc>
          <w:tcPr>
            <w:tcW w:w="1198"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16.266.257</w:t>
            </w:r>
          </w:p>
        </w:tc>
        <w:tc>
          <w:tcPr>
            <w:tcW w:w="1000"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437.428</w:t>
            </w:r>
          </w:p>
        </w:tc>
        <w:tc>
          <w:tcPr>
            <w:tcW w:w="992"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878.682</w:t>
            </w:r>
          </w:p>
        </w:tc>
        <w:tc>
          <w:tcPr>
            <w:tcW w:w="990"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1.367.620</w:t>
            </w:r>
          </w:p>
        </w:tc>
        <w:tc>
          <w:tcPr>
            <w:tcW w:w="992"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840.338</w:t>
            </w:r>
          </w:p>
        </w:tc>
      </w:tr>
      <w:tr w:rsidR="00EC4F97" w:rsidRPr="00CA6933" w:rsidTr="00422AD9">
        <w:trPr>
          <w:trHeight w:val="390"/>
        </w:trPr>
        <w:tc>
          <w:tcPr>
            <w:tcW w:w="2500" w:type="dxa"/>
            <w:tcBorders>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Saldo ez-finantzarioa</w:t>
            </w:r>
          </w:p>
        </w:tc>
        <w:tc>
          <w:tcPr>
            <w:tcW w:w="1023"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442.793</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274.980</w:t>
            </w:r>
          </w:p>
        </w:tc>
        <w:tc>
          <w:tcPr>
            <w:tcW w:w="1033"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810.534</w:t>
            </w:r>
          </w:p>
        </w:tc>
        <w:tc>
          <w:tcPr>
            <w:tcW w:w="966"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178.180</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5.411.096</w:t>
            </w:r>
          </w:p>
        </w:tc>
        <w:tc>
          <w:tcPr>
            <w:tcW w:w="96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1.189.878</w:t>
            </w:r>
          </w:p>
        </w:tc>
        <w:tc>
          <w:tcPr>
            <w:tcW w:w="1051"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1.448.911</w:t>
            </w:r>
          </w:p>
        </w:tc>
        <w:tc>
          <w:tcPr>
            <w:tcW w:w="1198"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12.918.331</w:t>
            </w:r>
          </w:p>
        </w:tc>
        <w:tc>
          <w:tcPr>
            <w:tcW w:w="1000"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730.393</w:t>
            </w:r>
          </w:p>
        </w:tc>
        <w:tc>
          <w:tcPr>
            <w:tcW w:w="992"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5.580.620</w:t>
            </w:r>
          </w:p>
        </w:tc>
        <w:tc>
          <w:tcPr>
            <w:tcW w:w="990"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766.039</w:t>
            </w:r>
          </w:p>
        </w:tc>
        <w:tc>
          <w:tcPr>
            <w:tcW w:w="992" w:type="dxa"/>
            <w:tcBorders>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-286.345</w:t>
            </w:r>
          </w:p>
        </w:tc>
      </w:tr>
      <w:tr w:rsidR="00EC4F97" w:rsidRPr="00CA6933" w:rsidTr="00422AD9">
        <w:trPr>
          <w:trHeight w:val="390"/>
        </w:trPr>
        <w:tc>
          <w:tcPr>
            <w:tcW w:w="2500" w:type="dxa"/>
            <w:tcBorders>
              <w:top w:val="single" w:sz="2" w:space="0" w:color="auto"/>
              <w:bottom w:val="single" w:sz="4"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Aurrekontu-emaitza doitua</w:t>
            </w:r>
          </w:p>
        </w:tc>
        <w:tc>
          <w:tcPr>
            <w:tcW w:w="1023"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820.376</w:t>
            </w:r>
          </w:p>
        </w:tc>
        <w:tc>
          <w:tcPr>
            <w:tcW w:w="961"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698.064</w:t>
            </w:r>
          </w:p>
        </w:tc>
        <w:tc>
          <w:tcPr>
            <w:tcW w:w="1033"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829.154</w:t>
            </w:r>
          </w:p>
        </w:tc>
        <w:tc>
          <w:tcPr>
            <w:tcW w:w="966"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319.954</w:t>
            </w:r>
          </w:p>
        </w:tc>
        <w:tc>
          <w:tcPr>
            <w:tcW w:w="961"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808.052</w:t>
            </w:r>
          </w:p>
        </w:tc>
        <w:tc>
          <w:tcPr>
            <w:tcW w:w="961"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1.908.405</w:t>
            </w:r>
          </w:p>
        </w:tc>
        <w:tc>
          <w:tcPr>
            <w:tcW w:w="1051"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2.030.258</w:t>
            </w:r>
          </w:p>
        </w:tc>
        <w:tc>
          <w:tcPr>
            <w:tcW w:w="1198"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8.646.760</w:t>
            </w:r>
          </w:p>
        </w:tc>
        <w:tc>
          <w:tcPr>
            <w:tcW w:w="1000"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603.957</w:t>
            </w:r>
          </w:p>
        </w:tc>
        <w:tc>
          <w:tcPr>
            <w:tcW w:w="992"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2.156.583</w:t>
            </w:r>
          </w:p>
        </w:tc>
        <w:tc>
          <w:tcPr>
            <w:tcW w:w="990"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616.270</w:t>
            </w:r>
          </w:p>
        </w:tc>
        <w:tc>
          <w:tcPr>
            <w:tcW w:w="992" w:type="dxa"/>
            <w:tcBorders>
              <w:top w:val="single" w:sz="2" w:space="0" w:color="auto"/>
              <w:bottom w:val="single" w:sz="4"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545.395</w:t>
            </w:r>
          </w:p>
        </w:tc>
      </w:tr>
    </w:tbl>
    <w:p w:rsidR="00EC4F97" w:rsidRDefault="00EC4F97" w:rsidP="00EC4F97">
      <w:pPr>
        <w:pStyle w:val="texto"/>
        <w:ind w:left="-567"/>
      </w:pPr>
    </w:p>
    <w:p w:rsidR="00EC4F97" w:rsidRDefault="00EC4F97" w:rsidP="00EC4F97">
      <w:pPr>
        <w:pStyle w:val="texto"/>
        <w:ind w:left="-567"/>
      </w:pPr>
    </w:p>
    <w:p w:rsidR="00EC4F97" w:rsidRDefault="00EC4F97" w:rsidP="00EC4F97">
      <w:pPr>
        <w:pStyle w:val="texto"/>
        <w:ind w:left="-567"/>
      </w:pPr>
    </w:p>
    <w:p w:rsidR="005A1124" w:rsidRDefault="005A1124">
      <w:pPr>
        <w:spacing w:after="0"/>
        <w:ind w:firstLine="0"/>
        <w:jc w:val="left"/>
        <w:rPr>
          <w:spacing w:val="6"/>
          <w:sz w:val="26"/>
          <w:szCs w:val="24"/>
        </w:rPr>
      </w:pPr>
      <w:r>
        <w:br w:type="page"/>
      </w:r>
    </w:p>
    <w:p w:rsidR="00EC4F97" w:rsidRDefault="00EC4F97" w:rsidP="00EC4F97">
      <w:pPr>
        <w:pStyle w:val="texto"/>
        <w:ind w:left="-567"/>
      </w:pPr>
    </w:p>
    <w:tbl>
      <w:tblPr>
        <w:tblW w:w="13804" w:type="dxa"/>
        <w:tblInd w:w="55" w:type="dxa"/>
        <w:tblCellMar>
          <w:left w:w="70" w:type="dxa"/>
          <w:right w:w="70" w:type="dxa"/>
        </w:tblCellMar>
        <w:tblLook w:val="00A0" w:firstRow="1" w:lastRow="0" w:firstColumn="1" w:lastColumn="0" w:noHBand="0" w:noVBand="0"/>
      </w:tblPr>
      <w:tblGrid>
        <w:gridCol w:w="2475"/>
        <w:gridCol w:w="895"/>
        <w:gridCol w:w="981"/>
        <w:gridCol w:w="935"/>
        <w:gridCol w:w="871"/>
        <w:gridCol w:w="967"/>
        <w:gridCol w:w="991"/>
        <w:gridCol w:w="868"/>
        <w:gridCol w:w="1107"/>
        <w:gridCol w:w="987"/>
        <w:gridCol w:w="988"/>
        <w:gridCol w:w="871"/>
        <w:gridCol w:w="868"/>
      </w:tblGrid>
      <w:tr w:rsidR="00EC4F97" w:rsidRPr="00CA6933" w:rsidTr="00422AD9">
        <w:trPr>
          <w:trHeight w:val="300"/>
        </w:trPr>
        <w:tc>
          <w:tcPr>
            <w:tcW w:w="2520"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 </w:t>
            </w:r>
          </w:p>
        </w:tc>
        <w:tc>
          <w:tcPr>
            <w:tcW w:w="897"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Antsoain</w:t>
            </w:r>
          </w:p>
        </w:tc>
        <w:tc>
          <w:tcPr>
            <w:tcW w:w="906"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Aranguren</w:t>
            </w:r>
          </w:p>
        </w:tc>
        <w:tc>
          <w:tcPr>
            <w:tcW w:w="937"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Barañain</w:t>
            </w:r>
          </w:p>
        </w:tc>
        <w:tc>
          <w:tcPr>
            <w:tcW w:w="870"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Berriozar</w:t>
            </w:r>
          </w:p>
        </w:tc>
        <w:tc>
          <w:tcPr>
            <w:tcW w:w="973"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Burlata</w:t>
            </w:r>
          </w:p>
        </w:tc>
        <w:tc>
          <w:tcPr>
            <w:tcW w:w="992"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Eguesibar</w:t>
            </w:r>
          </w:p>
        </w:tc>
        <w:tc>
          <w:tcPr>
            <w:tcW w:w="870"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Lizarra</w:t>
            </w:r>
          </w:p>
        </w:tc>
        <w:tc>
          <w:tcPr>
            <w:tcW w:w="1114"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Iruña</w:t>
            </w:r>
          </w:p>
        </w:tc>
        <w:tc>
          <w:tcPr>
            <w:tcW w:w="993"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Tafalla</w:t>
            </w:r>
          </w:p>
        </w:tc>
        <w:tc>
          <w:tcPr>
            <w:tcW w:w="992"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Tutera</w:t>
            </w:r>
          </w:p>
        </w:tc>
        <w:tc>
          <w:tcPr>
            <w:tcW w:w="870"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Atarrabia</w:t>
            </w:r>
          </w:p>
        </w:tc>
        <w:tc>
          <w:tcPr>
            <w:tcW w:w="870" w:type="dxa"/>
            <w:vMerge w:val="restart"/>
            <w:tcBorders>
              <w:top w:val="single" w:sz="2" w:space="0" w:color="auto"/>
              <w:bottom w:val="single" w:sz="2" w:space="0" w:color="auto"/>
            </w:tcBorders>
            <w:shd w:val="clear" w:color="000000" w:fill="FBD4B4" w:themeFill="accent6" w:themeFillTint="66"/>
            <w:vAlign w:val="center"/>
          </w:tcPr>
          <w:p w:rsidR="00EC4F97" w:rsidRPr="00CA6933" w:rsidRDefault="00EC4F97" w:rsidP="00422AD9">
            <w:pPr>
              <w:spacing w:after="0"/>
              <w:ind w:firstLine="0"/>
              <w:jc w:val="center"/>
              <w:rPr>
                <w:rFonts w:ascii="Arial" w:hAnsi="Arial" w:cs="Arial"/>
                <w:color w:val="000000"/>
                <w:sz w:val="18"/>
                <w:szCs w:val="18"/>
              </w:rPr>
            </w:pPr>
            <w:r>
              <w:rPr>
                <w:rFonts w:ascii="Arial" w:hAnsi="Arial"/>
                <w:color w:val="000000"/>
                <w:sz w:val="18"/>
                <w:szCs w:val="18"/>
              </w:rPr>
              <w:t>Zizur Nagusia</w:t>
            </w:r>
          </w:p>
        </w:tc>
      </w:tr>
      <w:tr w:rsidR="00EC4F97" w:rsidRPr="007D7E8A" w:rsidTr="00422AD9">
        <w:trPr>
          <w:trHeight w:val="300"/>
        </w:trPr>
        <w:tc>
          <w:tcPr>
            <w:tcW w:w="252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97"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06"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37"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73"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2"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1114"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3"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2"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r>
      <w:tr w:rsidR="00EC4F97" w:rsidRPr="007D7E8A" w:rsidTr="00422AD9">
        <w:trPr>
          <w:trHeight w:val="315"/>
        </w:trPr>
        <w:tc>
          <w:tcPr>
            <w:tcW w:w="252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97"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06"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37"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73"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2"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1114"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3"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992"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c>
          <w:tcPr>
            <w:tcW w:w="870" w:type="dxa"/>
            <w:vMerge/>
            <w:tcBorders>
              <w:top w:val="single" w:sz="8" w:space="0" w:color="auto"/>
              <w:bottom w:val="single" w:sz="2" w:space="0" w:color="auto"/>
            </w:tcBorders>
            <w:shd w:val="clear" w:color="000000" w:fill="FBD4B4" w:themeFill="accent6" w:themeFillTint="66"/>
            <w:vAlign w:val="center"/>
          </w:tcPr>
          <w:p w:rsidR="00EC4F97" w:rsidRPr="007D7E8A" w:rsidRDefault="00EC4F97" w:rsidP="00422AD9">
            <w:pPr>
              <w:spacing w:after="0"/>
              <w:ind w:firstLine="0"/>
              <w:jc w:val="left"/>
              <w:rPr>
                <w:rFonts w:ascii="Arial Narrow" w:hAnsi="Arial Narrow"/>
                <w:color w:val="000000"/>
                <w:lang w:val="es-ES" w:eastAsia="es-ES"/>
              </w:rPr>
            </w:pP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Aurrezki gordina</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993.702</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1.637.447</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1.484.769</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528.691</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844.541</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2.406.974</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1.803.689</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22.523.838</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883.726</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5.613.204</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1.414.876</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505.381</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Finantza-zama</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113.975</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 xml:space="preserve"> -   </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282.750</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466</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45.776</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1.031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66.458</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14.628.256</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501.409</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2.796.144</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398.020</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 xml:space="preserve"> -   </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Aurrezki garbia</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879.727</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1.637.447</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1.202.019</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528.225</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798.765</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2.405.943</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1.737.231</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7.895.582</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382.317</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2.817.060</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1.016.855</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505.381</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Finantza-zamaren adierazlea</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1,37</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1,86</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0,01</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0,36</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0,01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0,59</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7,66</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5,17</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8,21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4,53</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EC4F97" w:rsidRPr="00CA6933" w:rsidTr="00422AD9">
        <w:trPr>
          <w:trHeight w:val="55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Aurrezki gordinak diru-sarrera arrunten gainean egiten duen eh</w:t>
            </w:r>
            <w:r>
              <w:rPr>
                <w:rFonts w:ascii="Arial Narrow" w:hAnsi="Arial Narrow"/>
                <w:color w:val="000000"/>
                <w:sz w:val="18"/>
                <w:szCs w:val="18"/>
              </w:rPr>
              <w:t>u</w:t>
            </w:r>
            <w:r>
              <w:rPr>
                <w:rFonts w:ascii="Arial Narrow" w:hAnsi="Arial Narrow"/>
                <w:color w:val="000000"/>
                <w:sz w:val="18"/>
                <w:szCs w:val="18"/>
              </w:rPr>
              <w:t>nekoa</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11,92</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16,68</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9,77</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8,61</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6,62</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19,16</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16,02</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11,79</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9,11</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16,48</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16,11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4,95</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Zor bizia</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759.988</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793.750</w:t>
            </w:r>
          </w:p>
        </w:tc>
        <w:tc>
          <w:tcPr>
            <w:tcW w:w="870" w:type="dxa"/>
            <w:tcBorders>
              <w:top w:val="single" w:sz="2" w:space="0" w:color="auto"/>
              <w:bottom w:val="single" w:sz="2" w:space="0" w:color="auto"/>
            </w:tcBorders>
            <w:vAlign w:val="center"/>
          </w:tcPr>
          <w:p w:rsidR="00EC4F97" w:rsidRPr="00CA6933" w:rsidRDefault="00EC4F97" w:rsidP="00C56A3A">
            <w:pPr>
              <w:spacing w:after="0"/>
              <w:ind w:firstLine="0"/>
              <w:jc w:val="right"/>
              <w:rPr>
                <w:rFonts w:ascii="Arial Narrow" w:hAnsi="Arial Narrow" w:cs="Calibri"/>
                <w:color w:val="000000"/>
                <w:sz w:val="18"/>
                <w:szCs w:val="18"/>
              </w:rPr>
            </w:pPr>
            <w:r>
              <w:rPr>
                <w:rFonts w:ascii="Arial Narrow" w:hAnsi="Arial Narrow"/>
                <w:color w:val="000000"/>
                <w:sz w:val="18"/>
                <w:szCs w:val="18"/>
              </w:rPr>
              <w:t xml:space="preserve">0 </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6.625</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1.725.510</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5.097.010</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72.354.390</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3.974.880</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20.316.201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2.688.347</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Zorpetze-maila </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9,12</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5,22</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7,83</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0,05</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13,73</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45,28</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37,77</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40,96</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59,64</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30,62</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EC4F97" w:rsidRPr="00CA6933" w:rsidTr="00422AD9">
        <w:trPr>
          <w:trHeight w:val="52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Gastu orokorretarako </w:t>
            </w:r>
            <w:proofErr w:type="spellStart"/>
            <w:r>
              <w:rPr>
                <w:rFonts w:ascii="Arial Narrow" w:hAnsi="Arial Narrow"/>
                <w:color w:val="000000"/>
                <w:sz w:val="18"/>
                <w:szCs w:val="18"/>
              </w:rPr>
              <w:t>diruzaintza-gerakina</w:t>
            </w:r>
            <w:proofErr w:type="spellEnd"/>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2.628.525</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625.815</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7.845.672</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2.039.312</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-3.345.883</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4.385.988</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5.783.515</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15.110.639</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472.765</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3.068.958</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1.159.403</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2.813.965</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Autonomia fiskala </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60,37</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66,96</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36,71</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50,14</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32,08</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51,25</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48,15</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45,34</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47,98</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53,45</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45,56</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56,45</w:t>
            </w:r>
          </w:p>
        </w:tc>
      </w:tr>
      <w:tr w:rsidR="00EC4F97" w:rsidRPr="00CA6933" w:rsidTr="00422AD9">
        <w:trPr>
          <w:trHeight w:val="315"/>
        </w:trPr>
        <w:tc>
          <w:tcPr>
            <w:tcW w:w="2520" w:type="dxa"/>
            <w:tcBorders>
              <w:top w:val="single" w:sz="2" w:space="0" w:color="auto"/>
              <w:bottom w:val="single" w:sz="2" w:space="0" w:color="auto"/>
            </w:tcBorders>
            <w:vAlign w:val="center"/>
          </w:tcPr>
          <w:p w:rsidR="00EC4F97" w:rsidRPr="00CA6933" w:rsidRDefault="00EC4F97" w:rsidP="00422AD9">
            <w:pPr>
              <w:spacing w:after="0"/>
              <w:ind w:firstLine="0"/>
              <w:jc w:val="left"/>
              <w:rPr>
                <w:rFonts w:ascii="Arial Narrow" w:hAnsi="Arial Narrow" w:cs="Calibri"/>
                <w:color w:val="000000"/>
                <w:sz w:val="18"/>
                <w:szCs w:val="18"/>
              </w:rPr>
            </w:pPr>
            <w:r>
              <w:rPr>
                <w:rFonts w:ascii="Arial Narrow" w:hAnsi="Arial Narrow"/>
                <w:color w:val="000000"/>
                <w:sz w:val="18"/>
                <w:szCs w:val="18"/>
              </w:rPr>
              <w:t>Kobrantza zalantzagarriko zord</w:t>
            </w:r>
            <w:r>
              <w:rPr>
                <w:rFonts w:ascii="Arial Narrow" w:hAnsi="Arial Narrow"/>
                <w:color w:val="000000"/>
                <w:sz w:val="18"/>
                <w:szCs w:val="18"/>
              </w:rPr>
              <w:t>u</w:t>
            </w:r>
            <w:r>
              <w:rPr>
                <w:rFonts w:ascii="Arial Narrow" w:hAnsi="Arial Narrow"/>
                <w:color w:val="000000"/>
                <w:sz w:val="18"/>
                <w:szCs w:val="18"/>
              </w:rPr>
              <w:t xml:space="preserve">nen adierazlea </w:t>
            </w:r>
          </w:p>
        </w:tc>
        <w:tc>
          <w:tcPr>
            <w:tcW w:w="89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69,93</w:t>
            </w:r>
          </w:p>
        </w:tc>
        <w:tc>
          <w:tcPr>
            <w:tcW w:w="906"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63,72</w:t>
            </w:r>
          </w:p>
        </w:tc>
        <w:tc>
          <w:tcPr>
            <w:tcW w:w="937"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59,78</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72,14</w:t>
            </w:r>
          </w:p>
        </w:tc>
        <w:tc>
          <w:tcPr>
            <w:tcW w:w="97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62,46</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72,55</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91,82</w:t>
            </w:r>
          </w:p>
        </w:tc>
        <w:tc>
          <w:tcPr>
            <w:tcW w:w="1114"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41,31</w:t>
            </w:r>
          </w:p>
        </w:tc>
        <w:tc>
          <w:tcPr>
            <w:tcW w:w="993"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52,99</w:t>
            </w:r>
          </w:p>
        </w:tc>
        <w:tc>
          <w:tcPr>
            <w:tcW w:w="992"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59,6</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65,45</w:t>
            </w:r>
          </w:p>
        </w:tc>
        <w:tc>
          <w:tcPr>
            <w:tcW w:w="870" w:type="dxa"/>
            <w:tcBorders>
              <w:top w:val="single" w:sz="2" w:space="0" w:color="auto"/>
              <w:bottom w:val="single" w:sz="2" w:space="0" w:color="auto"/>
            </w:tcBorders>
            <w:vAlign w:val="center"/>
          </w:tcPr>
          <w:p w:rsidR="00EC4F97" w:rsidRPr="00CA6933" w:rsidRDefault="00EC4F97" w:rsidP="00422AD9">
            <w:pPr>
              <w:spacing w:after="0"/>
              <w:ind w:firstLine="0"/>
              <w:jc w:val="right"/>
              <w:rPr>
                <w:rFonts w:ascii="Arial Narrow" w:hAnsi="Arial Narrow" w:cs="Calibri"/>
                <w:color w:val="000000"/>
                <w:sz w:val="18"/>
                <w:szCs w:val="18"/>
              </w:rPr>
            </w:pPr>
            <w:r>
              <w:rPr>
                <w:rFonts w:ascii="Arial Narrow" w:hAnsi="Arial Narrow"/>
                <w:color w:val="000000"/>
                <w:sz w:val="18"/>
                <w:szCs w:val="18"/>
              </w:rPr>
              <w:t>67,15</w:t>
            </w:r>
          </w:p>
        </w:tc>
      </w:tr>
    </w:tbl>
    <w:p w:rsidR="00EC4F97" w:rsidRPr="007D7E8A" w:rsidRDefault="00EC4F97" w:rsidP="00EC4F97">
      <w:pPr>
        <w:spacing w:after="0"/>
        <w:ind w:firstLine="0"/>
        <w:jc w:val="left"/>
        <w:rPr>
          <w:rFonts w:ascii="Calibri" w:hAnsi="Calibri" w:cs="Calibri"/>
          <w:color w:val="000000"/>
          <w:sz w:val="18"/>
          <w:szCs w:val="18"/>
          <w:lang w:val="es-ES" w:eastAsia="es-ES"/>
        </w:rPr>
      </w:pPr>
    </w:p>
    <w:p w:rsidR="005A1124" w:rsidRDefault="005A1124" w:rsidP="00EC4F97">
      <w:pPr>
        <w:pStyle w:val="texto"/>
        <w:sectPr w:rsidR="005A1124" w:rsidSect="005A1124">
          <w:footerReference w:type="default" r:id="rId16"/>
          <w:pgSz w:w="16840" w:h="11907" w:orient="landscape" w:code="9"/>
          <w:pgMar w:top="1559" w:right="2109" w:bottom="1559" w:left="1644" w:header="369" w:footer="136" w:gutter="0"/>
          <w:cols w:space="720"/>
          <w:docGrid w:linePitch="360"/>
        </w:sectPr>
      </w:pPr>
    </w:p>
    <w:p w:rsidR="00EC4F97" w:rsidRPr="00382752" w:rsidRDefault="005A1124" w:rsidP="00EC4F97">
      <w:pPr>
        <w:pStyle w:val="texto"/>
      </w:pPr>
      <w:r>
        <w:t>Aurreko taulako datuak aztertuta, honako alderdi hauek azpimarratu behar ditugu:</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Udal guztietan, diru-sarrera arruntak nahikoak dira funtzionamendu gastuei aurre egiteko, eta balio positiboak dituzten aurrezki gordinak ageri dituzte; n</w:t>
      </w:r>
      <w:r>
        <w:t>a</w:t>
      </w:r>
      <w:r>
        <w:t xml:space="preserve">hikotasun horri eusten zaio baita finantza-zama deskontatuta ere, eta aurrezki garbiak ere positiboak dira. </w:t>
      </w:r>
    </w:p>
    <w:p w:rsidR="00EC4F97" w:rsidRPr="00701725"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Saldo ez-finantzarioa positiboa da udal guztietan, Zizur Nagusiko Udalaren salbuespenarekin.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Aurrekontu-emaitza doitua positiboa da, halaber, udal guztietan.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Aranguren Ibarreko, Berriozarko eta Zizur Nagusiko udalek ez dute zorrik, eta Burlatakoak aipatzeko modukoa ez den zorra dauka, 2018an muga-eguna duena. Zorpetze-maila </w:t>
      </w:r>
      <w:proofErr w:type="spellStart"/>
      <w:r>
        <w:t>—zor</w:t>
      </w:r>
      <w:proofErr w:type="spellEnd"/>
      <w:r>
        <w:t xml:space="preserve"> bizia zati diru-sarrera </w:t>
      </w:r>
      <w:proofErr w:type="spellStart"/>
      <w:r>
        <w:t>arruntak—</w:t>
      </w:r>
      <w:proofErr w:type="spellEnd"/>
      <w:r>
        <w:t xml:space="preserve"> oso askotarikoa da; hartara, Barañainek ehuneko bosteko adierazlea du eta Tuterakoak, berriz, ehuneko 60ko zorpetze-maila dauka. Nolanahi ere, guztiak zor publikoaren iraunkortasun-arauak ezarritako ehuneko 110etik urrun daude.</w:t>
      </w:r>
    </w:p>
    <w:p w:rsidR="00EC4F97" w:rsidRPr="000F7916"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Gastu orokorretarako diruzaintzako </w:t>
      </w:r>
      <w:proofErr w:type="spellStart"/>
      <w:r>
        <w:t>gerakina</w:t>
      </w:r>
      <w:proofErr w:type="spellEnd"/>
      <w:r>
        <w:t xml:space="preserve"> positiboa da kasu guztietan, Burlatako Udalaren kasuan izan ezik, horretan 3,35 miloi euroko balio negat</w:t>
      </w:r>
      <w:r>
        <w:t>i</w:t>
      </w:r>
      <w:r>
        <w:t>boa ageri baita; halere, magnitudeak hobera egin du 2016koarekin alderatuta.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Autonomia fiskalaren adierazlea ehuneko 32tik </w:t>
      </w:r>
      <w:proofErr w:type="spellStart"/>
      <w:r>
        <w:t>—Burlatako</w:t>
      </w:r>
      <w:proofErr w:type="spellEnd"/>
      <w:r>
        <w:t xml:space="preserve"> </w:t>
      </w:r>
      <w:proofErr w:type="spellStart"/>
      <w:r>
        <w:t>kasuan—</w:t>
      </w:r>
      <w:proofErr w:type="spellEnd"/>
      <w:r>
        <w:t xml:space="preserve"> eh</w:t>
      </w:r>
      <w:r>
        <w:t>u</w:t>
      </w:r>
      <w:r>
        <w:t xml:space="preserve">neko 67ra </w:t>
      </w:r>
      <w:proofErr w:type="spellStart"/>
      <w:r>
        <w:t>—Arangurengo</w:t>
      </w:r>
      <w:proofErr w:type="spellEnd"/>
      <w:r>
        <w:t xml:space="preserve"> </w:t>
      </w:r>
      <w:proofErr w:type="spellStart"/>
      <w:r>
        <w:t>kasuan—</w:t>
      </w:r>
      <w:proofErr w:type="spellEnd"/>
      <w:r>
        <w:t xml:space="preserve"> bitartekoa da. </w:t>
      </w:r>
    </w:p>
    <w:p w:rsidR="00EC4F97" w:rsidRPr="004E7F8A" w:rsidRDefault="00EC4F97" w:rsidP="00EC4F97">
      <w:pPr>
        <w:pStyle w:val="texto"/>
      </w:pPr>
      <w:r>
        <w:t xml:space="preserve">Azken batean, oro har, udal horien 2017ko egoera </w:t>
      </w:r>
      <w:proofErr w:type="spellStart"/>
      <w:r>
        <w:t>ekonomiko-finantzarioa</w:t>
      </w:r>
      <w:proofErr w:type="spellEnd"/>
      <w:r>
        <w:t xml:space="preserve"> ona zen; diru-sarrerak nahikoak izan ziren gastu arruntei aurre egiteko, eta b</w:t>
      </w:r>
      <w:r>
        <w:t>e</w:t>
      </w:r>
      <w:r>
        <w:t xml:space="preserve">har adina baliabide bazeuden ondorengo ekitaldietan gastuei ekiteko, zeren eta gastu orokorretarako diruzaintzako </w:t>
      </w:r>
      <w:proofErr w:type="spellStart"/>
      <w:r>
        <w:t>gerakinek</w:t>
      </w:r>
      <w:proofErr w:type="spellEnd"/>
      <w:r>
        <w:t>, gutxi-asko, balio positiboak ba</w:t>
      </w:r>
      <w:r>
        <w:t>i</w:t>
      </w:r>
      <w:r>
        <w:t>tzeuzkaten. Nabarmentzekoa da, gainera, zorrik ez dagoela, edo, dagoenean, araudian ezarritako mugatik oso beherako balioak dituela.</w:t>
      </w:r>
    </w:p>
    <w:p w:rsidR="00EC4F97" w:rsidRDefault="00EC4F97" w:rsidP="00EC4F97">
      <w:pPr>
        <w:spacing w:after="0"/>
        <w:ind w:firstLine="0"/>
        <w:jc w:val="left"/>
        <w:rPr>
          <w:rFonts w:ascii="Arial" w:hAnsi="Arial"/>
          <w:b/>
          <w:color w:val="000000"/>
          <w:kern w:val="28"/>
          <w:sz w:val="25"/>
          <w:szCs w:val="26"/>
        </w:rPr>
      </w:pPr>
      <w:r>
        <w:br w:type="page"/>
      </w:r>
    </w:p>
    <w:p w:rsidR="00EC4F97" w:rsidRPr="007E3BFE" w:rsidRDefault="00EC4F97" w:rsidP="00EC4F97">
      <w:pPr>
        <w:pStyle w:val="atitulo1"/>
      </w:pPr>
      <w:bookmarkStart w:id="72" w:name="_Toc24100149"/>
      <w:bookmarkStart w:id="73" w:name="_Toc27986323"/>
      <w:r>
        <w:t>VIII. Konklusioak eta gomendioak</w:t>
      </w:r>
      <w:bookmarkEnd w:id="72"/>
      <w:bookmarkEnd w:id="73"/>
    </w:p>
    <w:p w:rsidR="00EC4F97" w:rsidRPr="004E7F8A" w:rsidRDefault="00EC4F97" w:rsidP="00EC4F97">
      <w:pPr>
        <w:pStyle w:val="texto"/>
        <w:spacing w:before="120" w:after="120"/>
      </w:pPr>
      <w:r>
        <w:t>Honako hauek dira 2017an toki sektore publikoak izan duen antolamenduari, fiskalizazioari eta egoera finantzarioari buruzko konklusio nagusiak:</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20" w:after="120"/>
        <w:ind w:left="0" w:firstLine="289"/>
        <w:rPr>
          <w:rFonts w:cs="Arial"/>
        </w:rPr>
      </w:pPr>
      <w:r>
        <w:t>Toki sektore publikoa 703 toki entitatek osatzen dute: 272 udal, 346 ko</w:t>
      </w:r>
      <w:r>
        <w:t>n</w:t>
      </w:r>
      <w:r>
        <w:t xml:space="preserve">tzeju, 62 mankomunitate eta 23 udal-batasun. Toki </w:t>
      </w:r>
      <w:proofErr w:type="spellStart"/>
      <w:r>
        <w:t>ente</w:t>
      </w:r>
      <w:proofErr w:type="spellEnd"/>
      <w:r>
        <w:t xml:space="preserve"> horiek 122 menpeko </w:t>
      </w:r>
      <w:proofErr w:type="spellStart"/>
      <w:r>
        <w:t>ente</w:t>
      </w:r>
      <w:proofErr w:type="spellEnd"/>
      <w:r>
        <w:t xml:space="preserve"> sortu dituzte zerbitzuak emateko, eta 17 partzuergotan parte hartzen dute.</w:t>
      </w:r>
    </w:p>
    <w:bookmarkEnd w:id="69"/>
    <w:bookmarkEnd w:id="70"/>
    <w:p w:rsidR="00EC4F97" w:rsidRDefault="00EC4F97" w:rsidP="00EC4F97">
      <w:pPr>
        <w:pStyle w:val="texto"/>
        <w:spacing w:before="120" w:after="120"/>
        <w:rPr>
          <w:szCs w:val="26"/>
        </w:rPr>
      </w:pPr>
      <w:r>
        <w:t>Bere horretan dirau Nafarroako udalen egungo plantaren arrazionalizazio fa</w:t>
      </w:r>
      <w:r>
        <w:t>l</w:t>
      </w:r>
      <w:r>
        <w:t>taren arazoak, Ganbera honek behin eta berriz adierazi duenak, bai udalerri</w:t>
      </w:r>
      <w:r>
        <w:t>e</w:t>
      </w:r>
      <w:r>
        <w:t>tako populazioaren dimentsio txikiarenak ere; alderdi horiek eragina dute bai baliabideen zuzkiduran, bai eskumenak kudeatzeko egitura administratibo eg</w:t>
      </w:r>
      <w:r>
        <w:t>o</w:t>
      </w:r>
      <w:r>
        <w:t>kia eta nahikoa falta izatean ere, eta zaildu egiten du zerbitzu publiko efizie</w:t>
      </w:r>
      <w:r>
        <w:t>n</w:t>
      </w:r>
      <w:r>
        <w:t>teak eta kalitatezkoak ematea.</w:t>
      </w:r>
    </w:p>
    <w:p w:rsidR="00EC4F97" w:rsidRDefault="00EC4F97" w:rsidP="00EC4F97">
      <w:pPr>
        <w:pStyle w:val="texto"/>
        <w:spacing w:before="120" w:after="120"/>
      </w:pPr>
      <w:r>
        <w:t>Horri dagokionez, gaur egun, Nafarroako Toki Administrazioaren Errefo</w:t>
      </w:r>
      <w:r>
        <w:t>r</w:t>
      </w:r>
      <w:r>
        <w:t xml:space="preserve">marako Foru Legea onetsita dago, baina eskatzen du arau-aldaketak egin eta onestea, planteatutako erreforma behin betiko zehazten joateko. </w:t>
      </w:r>
    </w:p>
    <w:p w:rsidR="00EC4F97" w:rsidRPr="00F25EBD" w:rsidRDefault="00EC4F97" w:rsidP="00F25EB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20" w:after="120"/>
        <w:ind w:left="0" w:firstLine="289"/>
        <w:rPr>
          <w:rFonts w:cs="Arial"/>
        </w:rPr>
      </w:pPr>
      <w:r>
        <w:t>Araudian ezarritako epean kontuak ematearen portzentajea ehuneko 66 i</w:t>
      </w:r>
      <w:r>
        <w:t>n</w:t>
      </w:r>
      <w:r>
        <w:t>gurukoa da udalen kasuan eta ehuneko 62koa, berriz, kontzejuen kasuan. Eh</w:t>
      </w:r>
      <w:r>
        <w:t>u</w:t>
      </w:r>
      <w:r>
        <w:t xml:space="preserve">neko zazpi eta bederatzi egin du hobera, hurrenez </w:t>
      </w:r>
      <w:proofErr w:type="spellStart"/>
      <w:r>
        <w:t>hurren</w:t>
      </w:r>
      <w:proofErr w:type="spellEnd"/>
      <w:r>
        <w:t>, aurreko urtekoarekin alderatuta. 2019ko irailaren 30ean, kontu-ematea ehuneko 95 ingurukoa zen udalen kasuan eta ehuneko 93koa, berriz, kontzejuen kasuan.</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20" w:after="120"/>
        <w:ind w:left="0" w:firstLine="289"/>
        <w:rPr>
          <w:rFonts w:cs="Arial"/>
        </w:rPr>
      </w:pPr>
      <w:r>
        <w:t xml:space="preserve">2017an, Iruñeko, Barañaingo eta Fiteroko udalak fiskalizatu ziren. </w:t>
      </w:r>
    </w:p>
    <w:p w:rsidR="00EC4F97" w:rsidRDefault="00EC4F97" w:rsidP="00EC4F97">
      <w:pPr>
        <w:pStyle w:val="texto"/>
        <w:spacing w:before="120" w:after="120"/>
        <w:rPr>
          <w:w w:val="103"/>
        </w:rPr>
      </w:pPr>
      <w:r>
        <w:t>Fiskalizazioetan detektatutako gabezia nagusiak honako hauek dira: gastuen ordainketa, dagokion kontratazio-espedientea izapidetu gabe, edo kontratuaren indarraldia aldez aurretik amaitu ondoren; lan-eskaintza publikoak ez onartzea eta baimendutako lanpostu hutsen deialdia ez egitea; eta udalak bere mendeko organismo eta erakundeek garatutako jardueren gaineko barne-kontrolerako prozedurarik ez izatea edo prozedura horiek eskasak izatea.</w:t>
      </w:r>
    </w:p>
    <w:p w:rsidR="00EC4F97" w:rsidRDefault="00EC4F97" w:rsidP="00EC4F97">
      <w:pPr>
        <w:pStyle w:val="texto"/>
        <w:spacing w:before="120" w:after="120"/>
        <w:rPr>
          <w:szCs w:val="26"/>
        </w:rPr>
      </w:pPr>
      <w:r>
        <w:t xml:space="preserve">Halaber, toki sektoreko entitateen 2017ko jardueran eragina zuten zazpi txosten egin ziren, zeinak txosten honen IV. epigrafean zehaztu baitira. </w:t>
      </w:r>
    </w:p>
    <w:p w:rsidR="00EC4F97" w:rsidRPr="004E7F8A" w:rsidRDefault="00EC4F97" w:rsidP="00EC4F97">
      <w:pPr>
        <w:pStyle w:val="texto"/>
        <w:spacing w:before="120" w:after="120"/>
        <w:rPr>
          <w:rFonts w:cs="Arial"/>
        </w:rPr>
      </w:pPr>
      <w:r>
        <w:t>Finantzen egoera bateratuari dagokionez, 2017an diru-sarrerak 778,12 milioi eurokoak izan ziren, eta ehuneko bi egin zuten gora 2016koekiko; gastuak, b</w:t>
      </w:r>
      <w:r>
        <w:t>e</w:t>
      </w:r>
      <w:r>
        <w:t>rriz, 752,03 milioi eurokoak izan ziren, eta ehuneko bost egin zuten gora. 2013. urtearekiko bilakaerak zeinu bera du, baina diru-sarrerak ehuneko bost igo z</w:t>
      </w:r>
      <w:r>
        <w:t>i</w:t>
      </w:r>
      <w:r>
        <w:t>ren eta gastuak ehuneko lau.</w:t>
      </w:r>
    </w:p>
    <w:p w:rsidR="00EC4F97" w:rsidRPr="00F54CF1" w:rsidRDefault="00EC4F97" w:rsidP="00EC4F97">
      <w:pPr>
        <w:pStyle w:val="texto"/>
        <w:spacing w:before="120" w:after="120"/>
      </w:pPr>
      <w:r>
        <w:t>Aurrekontuko gastu eta diru-sarrera garrantzitsuenen osaerari dagokionez, funtzionamendu-gastuak 605,09 milioi eurora iritsi ziren; hau da, 2013an baino ehuneko lau eta 2016koak baino ehuneko bat handiagoak dira. Bestalde, trib</w:t>
      </w:r>
      <w:r>
        <w:t>u</w:t>
      </w:r>
      <w:r>
        <w:t>tuen bidezko diru-sarrerak 365,4 milioi eurora iritsi ziren, eta azken urte hon</w:t>
      </w:r>
      <w:r>
        <w:t>e</w:t>
      </w:r>
      <w:r>
        <w:t>tan joera-aldaketa gertatu da aurreko lau urteekiko, 2017an ehuneko bi murriztu baitira; aurreko urteetako bakoitzean, ordea, diru-sarrera horiek handitzen ari ziren. Jokabide hori bera gertatu da aurrekontu-emaitza ez-finantzarioan, 2013tik lehen aldiz % 20 murriztu baita 2016arekin alderatuta.</w:t>
      </w:r>
    </w:p>
    <w:p w:rsidR="00EC4F97" w:rsidRPr="00F54CF1" w:rsidRDefault="00EC4F97" w:rsidP="00EC4F97">
      <w:pPr>
        <w:pStyle w:val="texto"/>
        <w:spacing w:before="120" w:after="120"/>
      </w:pPr>
      <w:r>
        <w:t xml:space="preserve">Toki sektore publikoak 62,35 milioi euroko emaitza ez-finantzarioa eta 63,95 milioiko aurrezki garbia lortu zituen, bai eta gastu orokorretarako 238.45 milioiko </w:t>
      </w:r>
      <w:proofErr w:type="spellStart"/>
      <w:r>
        <w:t>diruzaintza-gerakina</w:t>
      </w:r>
      <w:proofErr w:type="spellEnd"/>
      <w:r>
        <w:t xml:space="preserve"> ere.</w:t>
      </w:r>
    </w:p>
    <w:p w:rsidR="00EC4F97" w:rsidRPr="00F54CF1" w:rsidRDefault="00EC4F97" w:rsidP="00EC4F97">
      <w:pPr>
        <w:pStyle w:val="texto"/>
        <w:spacing w:before="120" w:after="120"/>
      </w:pPr>
      <w:r>
        <w:t>2016ko zor bizia 228,70 milioi eurokoa zen, eta 2013kotik ehuneko 40 ja</w:t>
      </w:r>
      <w:r>
        <w:t>i</w:t>
      </w:r>
      <w:r>
        <w:t xml:space="preserve">tsia zen, eta 2016kotik, berriz, ehuneko 18; toki </w:t>
      </w:r>
      <w:proofErr w:type="spellStart"/>
      <w:r>
        <w:t>enteek</w:t>
      </w:r>
      <w:proofErr w:type="spellEnd"/>
      <w:r>
        <w:t xml:space="preserve"> ehuneko bederatziko zorpetze ahalmena zuten.</w:t>
      </w:r>
    </w:p>
    <w:p w:rsidR="00EC4F97" w:rsidRPr="00F54CF1" w:rsidRDefault="00EC4F97" w:rsidP="00EC4F97">
      <w:pPr>
        <w:pStyle w:val="texto"/>
        <w:spacing w:before="120" w:after="120"/>
      </w:pPr>
      <w:r>
        <w:t>Gainera, 59,06 milioi euroko finantza-ahalmena lortu zuen eta zor bizia diru-sarrera arrunten ehuneko 32 egiten zuen, legez ezarritako ehuneko 110eko m</w:t>
      </w:r>
      <w:r>
        <w:t>u</w:t>
      </w:r>
      <w:r>
        <w:t>garen oso behera.</w:t>
      </w:r>
    </w:p>
    <w:p w:rsidR="00EC4F97" w:rsidRPr="00F54CF1" w:rsidRDefault="00EC4F97" w:rsidP="00EC4F97">
      <w:pPr>
        <w:pStyle w:val="texto"/>
        <w:spacing w:before="120" w:after="120"/>
      </w:pPr>
      <w:r>
        <w:t xml:space="preserve">Azken batean, toki sektore publikoaren egoera ekonomikoa saneatua da, eta adierazle </w:t>
      </w:r>
      <w:proofErr w:type="spellStart"/>
      <w:r>
        <w:t>ekonomiko-finantzario</w:t>
      </w:r>
      <w:proofErr w:type="spellEnd"/>
      <w:r>
        <w:t xml:space="preserve"> guztiek aldeko bilakaera erakusten dute; h</w:t>
      </w:r>
      <w:r>
        <w:t>a</w:t>
      </w:r>
      <w:r>
        <w:t>lere, gastu ez finantzarioak egiteko eta zorpetzeko muga batzuk badaude, fina</w:t>
      </w:r>
      <w:r>
        <w:t>n</w:t>
      </w:r>
      <w:r>
        <w:t>tza-egonkortasuneko eta -iraunkortasuneko helburuek ezarritakoak. Toki se</w:t>
      </w:r>
      <w:r>
        <w:t>k</w:t>
      </w:r>
      <w:r>
        <w:t>tore publikoa, bere osotasunean, helburu horiek bete egin zituen 2017ko ekita</w:t>
      </w:r>
      <w:r>
        <w:t>l</w:t>
      </w:r>
      <w:r>
        <w:t>dian.</w:t>
      </w:r>
    </w:p>
    <w:p w:rsidR="00EC4F97" w:rsidRPr="000F21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20" w:after="120"/>
        <w:ind w:left="0" w:firstLine="289"/>
        <w:rPr>
          <w:rFonts w:cs="Arial"/>
        </w:rPr>
      </w:pPr>
      <w:r>
        <w:t xml:space="preserve">Toki entitateek eta haren menpeko </w:t>
      </w:r>
      <w:proofErr w:type="spellStart"/>
      <w:r>
        <w:t>enteek</w:t>
      </w:r>
      <w:proofErr w:type="spellEnd"/>
      <w:r>
        <w:t xml:space="preserve"> 2017an, guztira, 48,54 milioi euro egiten duten 421 kontratu adjudikatu zituzten; horietatik, ehuneko 42 l</w:t>
      </w:r>
      <w:r>
        <w:t>a</w:t>
      </w:r>
      <w:r>
        <w:t>guntza-kontratuei dagozkie (aipatutako kopuru osoaren ehuneko 21</w:t>
      </w:r>
      <w:proofErr w:type="spellStart"/>
      <w:r>
        <w:t>),</w:t>
      </w:r>
      <w:proofErr w:type="spellEnd"/>
      <w:r>
        <w:t xml:space="preserve"> ehuneko 35 obra-kontratuenak dira (guztizko kopuruaren ehuneko 66), ehuneko 20 ho</w:t>
      </w:r>
      <w:r>
        <w:t>r</w:t>
      </w:r>
      <w:r>
        <w:t>niduretara bideratu ziren (guztizko kopuruaren ehuneko 11) eta gainerako eh</w:t>
      </w:r>
      <w:r>
        <w:t>u</w:t>
      </w:r>
      <w:r>
        <w:t xml:space="preserve">neko laua zerbitzu-emakidak dira (guztizko kopuruaren ehuneko bat). </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rPr>
      </w:pPr>
      <w:r>
        <w:t xml:space="preserve">9.000 biztanletik gorako populazioa duten udalen 2017ko egoera </w:t>
      </w:r>
      <w:proofErr w:type="spellStart"/>
      <w:r>
        <w:t>ekon</w:t>
      </w:r>
      <w:r>
        <w:t>o</w:t>
      </w:r>
      <w:r>
        <w:t>miko-finantzarioari</w:t>
      </w:r>
      <w:proofErr w:type="spellEnd"/>
      <w:r>
        <w:t xml:space="preserve"> buruzko azterketatik, atera dezakegun konklusioa da ezen, oro har, egoera saneatua zela, eta hala aurrezki gordinak nola aurrezki garbiak eta gastu orokorretarako diruzaintzako </w:t>
      </w:r>
      <w:proofErr w:type="spellStart"/>
      <w:r>
        <w:t>gerakinak</w:t>
      </w:r>
      <w:proofErr w:type="spellEnd"/>
      <w:r>
        <w:t xml:space="preserve"> balio positiboak zituztela. Gainera, 2017ko abenduaren 31n edo zor bizirik ez zegoen, edo arrazoizko b</w:t>
      </w:r>
      <w:r>
        <w:t>a</w:t>
      </w:r>
      <w:r>
        <w:t>lioetan zegoen.</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100" w:after="100"/>
        <w:ind w:left="0" w:firstLine="289"/>
        <w:rPr>
          <w:rFonts w:cs="Arial"/>
        </w:rPr>
      </w:pPr>
      <w:r>
        <w:t>Toki ogasunei buruzko erregulazioak berrikuspen sakona behar du, aurr</w:t>
      </w:r>
      <w:r>
        <w:t>e</w:t>
      </w:r>
      <w:r>
        <w:t>kontuko eta kontabilitateko araubideari, barne kontroleko sistemari eta fina</w:t>
      </w:r>
      <w:r>
        <w:t>n</w:t>
      </w:r>
      <w:r>
        <w:t xml:space="preserve">tzaketa-ereduari dagokienez. </w:t>
      </w:r>
    </w:p>
    <w:p w:rsidR="00EC4F97" w:rsidRDefault="00EC4F97" w:rsidP="00EC4F97">
      <w:pPr>
        <w:pStyle w:val="texto"/>
        <w:spacing w:before="100" w:after="100"/>
      </w:pPr>
      <w:r>
        <w:tab/>
        <w:t>Era berean, Nafarroako tokiko kontabilitatea Kontabilitate Publikoko Plan Orokorraren oinarriaren arabera araututa dago, 1990eko uztailaren 17ko Mini</w:t>
      </w:r>
      <w:r>
        <w:t>s</w:t>
      </w:r>
      <w:r>
        <w:t>terio Aginduaren bidez toki-administrazioarentzat egindako egokitzearen ar</w:t>
      </w:r>
      <w:r>
        <w:t>a</w:t>
      </w:r>
      <w:r>
        <w:t>bera.</w:t>
      </w:r>
    </w:p>
    <w:p w:rsidR="00EC4F97" w:rsidRDefault="00EC4F97" w:rsidP="00EC4F97">
      <w:pPr>
        <w:pStyle w:val="texto"/>
        <w:spacing w:before="80" w:after="80"/>
        <w:rPr>
          <w:szCs w:val="26"/>
        </w:rPr>
      </w:pPr>
      <w:r>
        <w:t>Arlo hau dela eta egin den azken eguneratzea 2015ekoa da, toki entitateen aurrekontu-egitura berria onetsi zenekoa. Egitura berri hori araubide komuneko toki entitateek aplikatutakoari egokitzen zaio.</w:t>
      </w:r>
    </w:p>
    <w:p w:rsidR="00EC4F97" w:rsidRDefault="00EC4F97" w:rsidP="00EC4F97">
      <w:pPr>
        <w:pStyle w:val="texto"/>
        <w:spacing w:before="80" w:after="80"/>
      </w:pPr>
      <w:r>
        <w:t xml:space="preserve">Ez da araurik eman toki entitatearen eta haren menpeko </w:t>
      </w:r>
      <w:proofErr w:type="spellStart"/>
      <w:r>
        <w:t>enteen</w:t>
      </w:r>
      <w:proofErr w:type="spellEnd"/>
      <w:r>
        <w:t xml:space="preserve"> kontabilit</w:t>
      </w:r>
      <w:r>
        <w:t>a</w:t>
      </w:r>
      <w:r>
        <w:t xml:space="preserve">tearen egoera-orriak bateratzeari buruz. </w:t>
      </w:r>
    </w:p>
    <w:p w:rsidR="00EC4F97" w:rsidRPr="007E3BFE" w:rsidRDefault="00EC4F97" w:rsidP="00EC4F97">
      <w:pPr>
        <w:pStyle w:val="texto"/>
        <w:spacing w:before="80" w:after="80"/>
        <w:rPr>
          <w:w w:val="103"/>
        </w:rPr>
      </w:pPr>
      <w:r>
        <w:t>Honako hauek dira Ganbera honek Foru Komunitateko Administrazioari eta Parlamentuari egiten dizkion gomendioak:</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Nafarroako Toki Administrazioaren Erreformari buruzko otsailaren 4ko 4/2019 Foru Legea onetsiz hasitako prozesuarekin jarraitzea, eta foru lege h</w:t>
      </w:r>
      <w:r>
        <w:rPr>
          <w:i/>
        </w:rPr>
        <w:t>o</w:t>
      </w:r>
      <w:r>
        <w:rPr>
          <w:i/>
        </w:rPr>
        <w:t>rrek jasotzen duen Nafarroako toki administrazioaren berregituraketa osatzeko behar diren legegintza- eta administrazio-neurriak hartzea, kudeaketa publiko efiziente eta eraginkorra lortze aldera.</w:t>
      </w:r>
    </w:p>
    <w:p w:rsidR="00EC4F97" w:rsidRPr="000A024E"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 xml:space="preserve"> Tokiko kontabilitatea urgentziaz berritzea eta 2010eko Kontabilitate P</w:t>
      </w:r>
      <w:r>
        <w:rPr>
          <w:i/>
        </w:rPr>
        <w:t>u</w:t>
      </w:r>
      <w:r>
        <w:rPr>
          <w:i/>
        </w:rPr>
        <w:t>blikorako Plan Orokor indardunera egokitzea</w:t>
      </w:r>
    </w:p>
    <w:p w:rsidR="00EC4F97" w:rsidRPr="005F591B"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spacing w:val="4"/>
        </w:rPr>
      </w:pPr>
      <w:r>
        <w:rPr>
          <w:i/>
        </w:rPr>
        <w:t xml:space="preserve">Toki entitateen eta horien menpeko </w:t>
      </w:r>
      <w:proofErr w:type="spellStart"/>
      <w:r>
        <w:rPr>
          <w:i/>
        </w:rPr>
        <w:t>enteen</w:t>
      </w:r>
      <w:proofErr w:type="spellEnd"/>
      <w:r>
        <w:rPr>
          <w:i/>
        </w:rPr>
        <w:t xml:space="preserve"> kontabilitateko egoera-orriak bateratzeko metodologiari buruzko arauak taxutzea, toki sektore publiko osoak egindako jardueraren erabateko ikuspegia emateko helburuarekin.</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Tokiko zerbitzuen kostuak eta kudeaketari buruzko adierazleak lortzeko metodologia osatzea.</w:t>
      </w:r>
    </w:p>
    <w:p w:rsidR="00EC4F97" w:rsidRPr="004E7F8A" w:rsidRDefault="00F25EBD"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Toki ogasunen esparrua eguneratzea, hartan jasotzeko toki entitateei aplika dakizkiela araudiaren betekizun eta eskakizunak.</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iCs/>
        </w:rPr>
        <w:t>Toki erakundeen barne-kontrolaren araubide juridikoari buruzko araudia prestatzea, beste helburu batzuen artean, ekonomia- eta aurrekontu-kontrol z</w:t>
      </w:r>
      <w:r>
        <w:rPr>
          <w:i/>
          <w:iCs/>
        </w:rPr>
        <w:t>o</w:t>
      </w:r>
      <w:r>
        <w:rPr>
          <w:i/>
          <w:iCs/>
        </w:rPr>
        <w:t xml:space="preserve">rrotzagoa lortzeko eta </w:t>
      </w:r>
      <w:proofErr w:type="spellStart"/>
      <w:r>
        <w:rPr>
          <w:i/>
          <w:iCs/>
        </w:rPr>
        <w:t>kontu-hartzailetzak</w:t>
      </w:r>
      <w:proofErr w:type="spellEnd"/>
      <w:r>
        <w:rPr>
          <w:i/>
          <w:iCs/>
        </w:rPr>
        <w:t xml:space="preserve"> toki erakundeetan duen eginkizuna indartzeko</w:t>
      </w:r>
      <w:r>
        <w:rPr>
          <w:rFonts w:ascii="Lucida Sans Unicode" w:hAnsi="Lucida Sans Unicode"/>
          <w:i/>
          <w:iCs/>
          <w:color w:val="222222"/>
          <w:sz w:val="20"/>
          <w:szCs w:val="20"/>
          <w:shd w:val="clear" w:color="auto" w:fill="FFFFFF"/>
        </w:rPr>
        <w:t>.</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Behar diren araudia eta prozedurak ezartzea Foru Administrazioak bete behar duen tutoretza finantzarioa bete ahal dadin, Aurrekontu-egonkortasunari eta Finantza-iraunkortasunari buruzko apirilaren 27ko 2/2012 Lege Organikoa Foru Komunitateko toki entitateei aplikatzeari dagokionez.</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Toki entitateek kontuak emateari eta haien edukiari buruzko informazioa Toki Administrazioko departamentu eskudunaren web-orrian osatzea, Garde</w:t>
      </w:r>
      <w:r>
        <w:rPr>
          <w:i/>
        </w:rPr>
        <w:t>n</w:t>
      </w:r>
      <w:r>
        <w:rPr>
          <w:i/>
        </w:rPr>
        <w:t>tasunari buruzko Legea betetze aldera.</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Toki entitateen erregistroa amaitzea sozietate publikoei eta tokiko fundaz</w:t>
      </w:r>
      <w:r>
        <w:rPr>
          <w:i/>
        </w:rPr>
        <w:t>i</w:t>
      </w:r>
      <w:r>
        <w:rPr>
          <w:i/>
        </w:rPr>
        <w:t>oei buruzko informazioarekin, eta jada existitzen den informazioa zuzena dela egiaztatzea.</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Toki sektore publikoaren finantza-egoerari buruzko txostena, Nafarroako Gobernuak egindakoa, osatzea sozietate publikoei, fundazioei eta partzuergo publikoei buruzko informazioarekin.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Toki entitateek kontuak emateko duten legezko betebeharra betetzen dela bermatzeko tresnak sendotzea, araudian ezarritako epean.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 xml:space="preserve">Langileen </w:t>
      </w:r>
      <w:proofErr w:type="spellStart"/>
      <w:r>
        <w:rPr>
          <w:i/>
        </w:rPr>
        <w:t>plantilla</w:t>
      </w:r>
      <w:proofErr w:type="spellEnd"/>
      <w:r>
        <w:rPr>
          <w:i/>
        </w:rPr>
        <w:t xml:space="preserve"> organikoaren eredu bat egitea, zeinak argitasunez eta zehaztasunez jasoko baititu dokumentu horrek bete behar dituen baldintzak eta eduki behar duen informazioa; eredu horrek, halaber, aukera emanen du toki entitateek informazio-betekizunak bete ditzaten.</w:t>
      </w:r>
    </w:p>
    <w:p w:rsidR="00EC4F97" w:rsidRPr="004E7F8A" w:rsidRDefault="00EC4F97" w:rsidP="006D2778">
      <w:pPr>
        <w:pStyle w:val="texto"/>
        <w:spacing w:before="120" w:after="120"/>
      </w:pPr>
      <w:r>
        <w:t>Toki entitateentzako aholkuak:</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Egungo arau-testuinguruan, gutxitzea, deialdi egokien bitartez, toki entit</w:t>
      </w:r>
      <w:r>
        <w:rPr>
          <w:i/>
        </w:rPr>
        <w:t>a</w:t>
      </w:r>
      <w:r>
        <w:rPr>
          <w:i/>
        </w:rPr>
        <w:t>teetako langileen behin-behinekotasun maila handia.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 xml:space="preserve">Udal-ondasun eta -eskubide guztien inbentario balioztatua eta eguneratua ezartzeko prozesua osatzea, eta hura ibilgetuaren kontuekin lotzea. </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Lurzoruaren udal ondarearen erregistroa eta inbentarioa sortzea, bai eta hirigintza-hitzarmenen gaineko erregistroa ere.</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Udalaren barne kontrola egitea, aplikatzekoa den legerian ezarritako h</w:t>
      </w:r>
      <w:r>
        <w:rPr>
          <w:i/>
        </w:rPr>
        <w:t>e</w:t>
      </w:r>
      <w:r>
        <w:rPr>
          <w:i/>
        </w:rPr>
        <w:t xml:space="preserve">dapenarekin, menpeko </w:t>
      </w:r>
      <w:proofErr w:type="spellStart"/>
      <w:r>
        <w:rPr>
          <w:i/>
        </w:rPr>
        <w:t>enteen</w:t>
      </w:r>
      <w:proofErr w:type="spellEnd"/>
      <w:r>
        <w:rPr>
          <w:i/>
        </w:rPr>
        <w:t xml:space="preserve"> kudeaketa ekonomikoaren gaineko kontrolari dagokionez, bere eginkizun hirukoitzaren arabera: </w:t>
      </w:r>
      <w:proofErr w:type="spellStart"/>
      <w:r>
        <w:rPr>
          <w:i/>
        </w:rPr>
        <w:t>kontu-hartzailetza</w:t>
      </w:r>
      <w:proofErr w:type="spellEnd"/>
      <w:r>
        <w:rPr>
          <w:i/>
        </w:rPr>
        <w:t>, finantza-kontrola eta eraginkortasunaren kontrola.</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Toki entitateek beren burua antolatzeko ahalmena erabiliz, tokiko zerbitzu publikoak eraginkortasunez, ekonomiaz eta efizientziaz kudeatzeko antol</w:t>
      </w:r>
      <w:r>
        <w:rPr>
          <w:i/>
        </w:rPr>
        <w:t>a</w:t>
      </w:r>
      <w:r>
        <w:rPr>
          <w:i/>
        </w:rPr>
        <w:t>mendu-egitura arrazoizkoena diseinatzea.</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Zerbitzu publikoen kostuen metodologia ezartzen jarraitzea eta erabakiak hartzeko kudeaketa-adierazle baliagarriak definitzea.</w:t>
      </w:r>
    </w:p>
    <w:p w:rsidR="00EC4F97" w:rsidRPr="004E7F8A"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Aurrekontua eta kontu orokorra ezarritako epeetan onestea.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80" w:after="80"/>
        <w:ind w:left="0" w:firstLine="289"/>
        <w:rPr>
          <w:rFonts w:cs="Arial"/>
          <w:i/>
        </w:rPr>
      </w:pPr>
      <w:r>
        <w:rPr>
          <w:i/>
        </w:rPr>
        <w:t>Balorazio-ponentzietarako epea gaurkotzea.</w:t>
      </w:r>
    </w:p>
    <w:p w:rsidR="00EC4F97" w:rsidRPr="009E1946" w:rsidRDefault="00EC4F97" w:rsidP="006D2778">
      <w:pPr>
        <w:pStyle w:val="texto"/>
        <w:spacing w:before="240" w:after="240"/>
      </w:pPr>
      <w:r>
        <w:t xml:space="preserve">Txosten hau, indarrean dagoen araudiak ezarritako izapideak bete ondoren, Edurne Martinikorena </w:t>
      </w:r>
      <w:proofErr w:type="spellStart"/>
      <w:r>
        <w:t>Matxain</w:t>
      </w:r>
      <w:proofErr w:type="spellEnd"/>
      <w:r>
        <w:t xml:space="preserve"> auditoreak proposatuta egin da, bera izan baita lan honen arduraduna.</w:t>
      </w:r>
    </w:p>
    <w:p w:rsidR="00EC4F97" w:rsidRPr="009E1946" w:rsidRDefault="00EC4F97" w:rsidP="006D2778">
      <w:pPr>
        <w:pStyle w:val="texto"/>
        <w:spacing w:after="0"/>
        <w:jc w:val="center"/>
      </w:pPr>
      <w:r>
        <w:t>Iruñean, 2019ko azaroaren 13an</w:t>
      </w:r>
    </w:p>
    <w:p w:rsidR="00EC4F97" w:rsidRDefault="00EC4F97" w:rsidP="00EC4F97">
      <w:pPr>
        <w:pStyle w:val="texto"/>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EC4F97" w:rsidRDefault="00EC4F97" w:rsidP="00EC4F97">
      <w:pPr>
        <w:pStyle w:val="texto"/>
        <w:tabs>
          <w:tab w:val="clear" w:pos="2835"/>
          <w:tab w:val="clear" w:pos="3969"/>
          <w:tab w:val="clear" w:pos="5103"/>
          <w:tab w:val="clear" w:pos="6237"/>
          <w:tab w:val="clear" w:pos="7371"/>
          <w:tab w:val="left" w:pos="480"/>
          <w:tab w:val="num" w:pos="720"/>
          <w:tab w:val="num" w:pos="1320"/>
          <w:tab w:val="num" w:pos="1948"/>
        </w:tabs>
        <w:spacing w:before="80" w:after="80"/>
        <w:rPr>
          <w:rFonts w:cs="Arial"/>
          <w:i/>
        </w:rPr>
      </w:pPr>
    </w:p>
    <w:p w:rsidR="00EC4F97" w:rsidRDefault="00EC4F97" w:rsidP="00EC4F97">
      <w:pPr>
        <w:pStyle w:val="texto"/>
        <w:spacing w:after="0"/>
        <w:jc w:val="center"/>
      </w:pPr>
    </w:p>
    <w:p w:rsidR="00EC4F97" w:rsidRDefault="00EC4F97" w:rsidP="00EC4F97">
      <w:pPr>
        <w:spacing w:before="360" w:after="180"/>
        <w:ind w:firstLine="0"/>
        <w:jc w:val="left"/>
        <w:rPr>
          <w:b/>
          <w:bCs/>
          <w:sz w:val="24"/>
          <w:szCs w:val="24"/>
          <w:lang w:val="es-ES" w:eastAsia="es-ES"/>
        </w:rPr>
      </w:pPr>
    </w:p>
    <w:p w:rsidR="00EC4F97" w:rsidRDefault="00EC4F97" w:rsidP="00EC4F97">
      <w:pPr>
        <w:pStyle w:val="atitulo1"/>
        <w:ind w:left="851"/>
        <w:rPr>
          <w:sz w:val="32"/>
          <w:szCs w:val="32"/>
        </w:rPr>
      </w:pPr>
      <w:bookmarkStart w:id="74" w:name="_Toc24100150"/>
      <w:bookmarkStart w:id="75" w:name="_Toc27986324"/>
      <w:r>
        <w:rPr>
          <w:sz w:val="32"/>
          <w:szCs w:val="32"/>
        </w:rPr>
        <w:t xml:space="preserve">1. eranskina </w:t>
      </w:r>
      <w:bookmarkStart w:id="76" w:name="_Toc529773890"/>
      <w:r>
        <w:rPr>
          <w:sz w:val="32"/>
          <w:szCs w:val="32"/>
        </w:rPr>
        <w:t>Toki entitateei 2017ko ekitaldian aplik</w:t>
      </w:r>
      <w:r>
        <w:rPr>
          <w:sz w:val="32"/>
          <w:szCs w:val="32"/>
        </w:rPr>
        <w:t>a</w:t>
      </w:r>
      <w:r>
        <w:rPr>
          <w:sz w:val="32"/>
          <w:szCs w:val="32"/>
        </w:rPr>
        <w:t>tzekoa zaien</w:t>
      </w:r>
      <w:r>
        <w:t xml:space="preserve"> </w:t>
      </w:r>
      <w:bookmarkEnd w:id="76"/>
      <w:r>
        <w:rPr>
          <w:sz w:val="32"/>
          <w:szCs w:val="32"/>
        </w:rPr>
        <w:t>araudia</w:t>
      </w:r>
      <w:bookmarkEnd w:id="74"/>
      <w:bookmarkEnd w:id="75"/>
    </w:p>
    <w:p w:rsidR="00EC4F97" w:rsidRDefault="00EC4F97" w:rsidP="00EC4F97">
      <w:pPr>
        <w:spacing w:after="0"/>
        <w:ind w:firstLine="0"/>
        <w:jc w:val="left"/>
        <w:rPr>
          <w:rFonts w:ascii="Arial" w:hAnsi="Arial"/>
          <w:b/>
          <w:color w:val="000000"/>
          <w:kern w:val="28"/>
          <w:sz w:val="32"/>
          <w:szCs w:val="32"/>
        </w:rPr>
      </w:pPr>
      <w:r>
        <w:br w:type="page"/>
      </w:r>
    </w:p>
    <w:p w:rsidR="00EC4F97" w:rsidRPr="00CD4E82" w:rsidRDefault="00EC4F97" w:rsidP="00EC4F97">
      <w:pPr>
        <w:pStyle w:val="atitulo1"/>
        <w:ind w:left="851"/>
        <w:rPr>
          <w:sz w:val="32"/>
          <w:szCs w:val="32"/>
        </w:rPr>
      </w:pPr>
    </w:p>
    <w:p w:rsidR="00EC4F97" w:rsidRPr="0090093E" w:rsidRDefault="00EC4F97" w:rsidP="00EC4F97">
      <w:pPr>
        <w:pStyle w:val="texto"/>
        <w:rPr>
          <w:b/>
          <w:szCs w:val="26"/>
        </w:rPr>
      </w:pPr>
      <w:r>
        <w:rPr>
          <w:b/>
          <w:szCs w:val="26"/>
        </w:rPr>
        <w:t xml:space="preserve">a) Toki administrazioa eta araubidea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7/1985 Foru Legea, apirilaren 2koa, Toki Araubideko Oinarriak arautzen dituena.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6/1990 Foru Legea, uztailaren 2koa, Nafarroako Toki Administrazioari b</w:t>
      </w:r>
      <w:r>
        <w:t>u</w:t>
      </w:r>
      <w:r>
        <w:t xml:space="preserve">ruzkoa.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19/2013 Legea, abenduaren 9koa, Gardentasunari, informazio publikoa e</w:t>
      </w:r>
      <w:r>
        <w:t>s</w:t>
      </w:r>
      <w:r>
        <w:t xml:space="preserve">kuratzeari eta gobernu onari buruzkoa.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39/2015 Legea, urriaren 1ekoa, Herri Administrazioen </w:t>
      </w:r>
      <w:proofErr w:type="spellStart"/>
      <w:r>
        <w:t>Administrazio</w:t>
      </w:r>
      <w:proofErr w:type="spellEnd"/>
      <w:r>
        <w:t xml:space="preserve"> Pr</w:t>
      </w:r>
      <w:r>
        <w:t>o</w:t>
      </w:r>
      <w:r>
        <w:t xml:space="preserve">zedura Erkideari buruzkoa.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40/2015 Legea, urriaren 1ekoa, Sektore Publikoaren Araubide Juridikoari buruzkoa. </w:t>
      </w:r>
    </w:p>
    <w:p w:rsidR="00EC4F97" w:rsidRPr="007C22B5"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24/2016 Foru Legea, abenduaren 28koa, 2017rako Nafarroako Aurrekontu Orokorrei buruzkoa.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3/2017 Legea, ekainaren 27koa, 2017rako Estatuko Aurrekontu Orokorrei buruzkoa,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13/2017 Foru Legea, azaroaren 16koa, Osasunaren eta Gizarte Zerbitzuen arloetako itun sozialak arautzen dituen</w:t>
      </w:r>
    </w:p>
    <w:p w:rsidR="00EC4F97" w:rsidRPr="0090093E" w:rsidRDefault="00EC4F97" w:rsidP="00EC4F97">
      <w:pPr>
        <w:pStyle w:val="texto"/>
        <w:spacing w:before="240"/>
        <w:rPr>
          <w:b/>
          <w:szCs w:val="26"/>
        </w:rPr>
      </w:pPr>
      <w:r>
        <w:rPr>
          <w:b/>
          <w:szCs w:val="26"/>
        </w:rPr>
        <w:t xml:space="preserve">b) Araubide ekonomikoa, aurrekontukoa eta kontabilitatekoa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2/1995 Foru Legea, martxoaren 10ekoa, Nafarroako toki ogasunei buru</w:t>
      </w:r>
      <w:r>
        <w:t>z</w:t>
      </w:r>
      <w:r>
        <w:t xml:space="preserve">koa.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7/1996 Foru Legea, maiatzaren 28koa, Jarduera Ekonomikoen gaineko Zergaren Tarifei eta Jarraibideei buruzkoa. </w:t>
      </w:r>
    </w:p>
    <w:p w:rsidR="00EC4F97" w:rsidRPr="00825E09" w:rsidRDefault="00EC4F97" w:rsidP="00EC4F97">
      <w:pPr>
        <w:pStyle w:val="texto"/>
        <w:numPr>
          <w:ilvl w:val="0"/>
          <w:numId w:val="2"/>
        </w:numPr>
        <w:tabs>
          <w:tab w:val="clear" w:pos="1948"/>
          <w:tab w:val="clear" w:pos="2835"/>
          <w:tab w:val="num" w:pos="644"/>
          <w:tab w:val="center" w:pos="709"/>
        </w:tabs>
        <w:ind w:left="114"/>
        <w:rPr>
          <w:szCs w:val="26"/>
        </w:rPr>
      </w:pPr>
      <w:r>
        <w:t>270/1998 Foru Dekretua, irailaren 21ekoa; 234/2015 Foru Dekretua, ira</w:t>
      </w:r>
      <w:r>
        <w:t>i</w:t>
      </w:r>
      <w:r>
        <w:t>laren 23koa; 272/1998 Foru Dekretua eta 273/1998 Foru Dekretua, irailaren 21ekoak, aurrekontuari eta gastu publikoari, aurrekontuen egiturari, Naf</w:t>
      </w:r>
      <w:r>
        <w:t>a</w:t>
      </w:r>
      <w:r>
        <w:t>rroako Toki Administrazioarentzat Kontabilitate Orokorreko Instrukzio Or</w:t>
      </w:r>
      <w:r>
        <w:t>o</w:t>
      </w:r>
      <w:r>
        <w:t xml:space="preserve">korrari eta Kontabilitate Bakunari buruzkoak, hurrenez </w:t>
      </w:r>
      <w:proofErr w:type="spellStart"/>
      <w:r>
        <w:t>hurren</w:t>
      </w:r>
      <w:proofErr w:type="spellEnd"/>
      <w:r>
        <w:t>.</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Kontabilitate Publikoaren Plan Orokorra, toki-administrazioari egokitua, Ekonomia eta Ogasun Ministerioak 1990eko uztailaren 17ko aginduaz onetsit</w:t>
      </w:r>
      <w:r>
        <w:t>a</w:t>
      </w:r>
      <w:r>
        <w:t xml:space="preserve">koa. (272/1998 FD 425 Araua, Kontularitzako Instrukzio orokorra).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12/2006 Foru Legea, azaroaren 21ekoa, Nafarroako Lurralde Aberastas</w:t>
      </w:r>
      <w:r>
        <w:t>u</w:t>
      </w:r>
      <w:r>
        <w:t xml:space="preserve">naren Erregistroari eta Katastroei buruzkoa. </w:t>
      </w:r>
    </w:p>
    <w:p w:rsidR="00EC4F97" w:rsidRPr="007C22B5"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3/2016 Foru Legea, martxoaren 1ekoa, toki inbertsioetarako indarreko plana antolatu eta sustatzeko neurriei buruzkoa.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18/2016 Foru Legea, abenduaren 13koa, 2017-2019 aldirako Toki Inberts</w:t>
      </w:r>
      <w:r>
        <w:t>i</w:t>
      </w:r>
      <w:r>
        <w:t xml:space="preserve">oen Plana arautzen duena. </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21/2016 Foru Legea, abenduaren 21ekoa, toki ogasunek transferentzia arrunten bidez Nafarroako tributuetan parte hartzeko duten funtsaren zenbat</w:t>
      </w:r>
      <w:r>
        <w:t>e</w:t>
      </w:r>
      <w:r>
        <w:t>koa eta banaketa 2017ko aurrekontu-ekitaldirako ezartzen dituena.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84/2017 Foru Agindua, otsailaren 16koa, Landa Garapeneko, Ingurum</w:t>
      </w:r>
      <w:r>
        <w:t>e</w:t>
      </w:r>
      <w:r>
        <w:t>neko eta Toki Administrazioko kontseilariak emana, 2017-2019 aldirako Toki Inbertsioen Plana arautzen duen abenduaren 13ko 18/2016 Foru Legearen 20. artikuluan aurreikusitako klausula soziala aplikatzeko modua arautzen duena.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16/2017 Foru Legea, abenduaren 27koa, Zenbait zerga aldatu beste tributu-neurri batzuk hartzeari buruzkoa.</w:t>
      </w:r>
    </w:p>
    <w:p w:rsidR="00EC4F97" w:rsidRPr="007C22B5"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24/2016 Foru Legea, abenduaren 28koa, 2017rako Nafarroako Aurrekontu Orokorrei buruzkoa.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3/2017 Legea, ekainaren 27koa, 2017rako Estatuko Aurrekontu Orokorrei buruzkoa,</w:t>
      </w:r>
    </w:p>
    <w:p w:rsidR="00EC4F97" w:rsidRPr="0090093E" w:rsidRDefault="00EC4F97" w:rsidP="00EC4F97">
      <w:pPr>
        <w:pStyle w:val="texto"/>
        <w:spacing w:before="240"/>
        <w:rPr>
          <w:b/>
          <w:szCs w:val="26"/>
        </w:rPr>
      </w:pPr>
      <w:r>
        <w:rPr>
          <w:b/>
          <w:szCs w:val="26"/>
        </w:rPr>
        <w:t xml:space="preserve">c) Aurrekontu-egonkortasuna eta finantza-iraunkortasuna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 2/2012 Lege Organikoa, apirilaren 27koa, Aurrekontu Egonkortasunari eta Finantza Iraunkortasunari buruzkoa (irailaren 28ko 4/2012 Lege Organikoaz aldatu zen)</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6/2015 Lege Organikoa, ekainaren 12koa, ondoko hauek aldatzen dituena: irailaren 22ko 8/1980 Lege Organikoa, Autonomia Erkidegoen Finantzaketari buruzkoa, eta apirilaren 27ko 2/2012 Lege organikoa, Aurrekontu-egonkortasunari eta Finantza-iraunkortasunari buruzkoa.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9/2013 Lege Organikoa, abenduaren 20koa, Sektore publikoan merkatar</w:t>
      </w:r>
      <w:r>
        <w:t>i</w:t>
      </w:r>
      <w:r>
        <w:t>tza-zorra kontrolatzeari buruzkoa.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27/2012 Foru Legea, abenduaren 28koa, zeinaren bidez Nafarroako Foru Komunitatean neurriak hartzen baitira aurrekontu-oreka bermatzeko eta lehi</w:t>
      </w:r>
      <w:r>
        <w:t>a</w:t>
      </w:r>
      <w:r>
        <w:t>kortasuna sustatzeko.</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25/2013 Legea, abenduaren 27koa, Sektore publikoan faktura elektronikoa bultzatzeari eta fakturen kontabilitate-erregistroa sortzeari buruzkoa.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27/2013 Legea, abenduaren 27koa, Toki Administrazioaren Arrazionaliz</w:t>
      </w:r>
      <w:r>
        <w:t>a</w:t>
      </w:r>
      <w:r>
        <w:t>zio eta Iraunkortasunari buruzkoa.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8/2013 Errege Lege-dekretua, ekainaren 28koa, Administrazio publikoen berankortasunaren aurkako neurri urgenteei eta finantza-arazoak dituzten toki entitateei laguntzeari buruzkoa.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 17/2014 Errege Lege-dekretua, abenduaren 26koa, Autonomia-erkidegoen eta toki-erakundeen finantza-iraunkortasunerako neurriei eta bestelako neurri ekonomikoei buruzkoa.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HAP/2105/2012 Agindua, urriaren 1ekoa, Aurrekontu-egonkortasun eta Finantza-iraunkortasunari buruzko apirilaren 27ko 2/2012 Lege Organikoan i</w:t>
      </w:r>
      <w:r>
        <w:t>n</w:t>
      </w:r>
      <w:r>
        <w:t>formazioa emateko aurreikusitako betebeharrak garatzekoa.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2016ko irailaren 16ko Ebazpena, Altxorraren eta Finantza Politikaren Idazkaritza Nagusiarena, zeinaren bidez definitzen baita zorpetze-eragiketei eta autonomia erkidegoetatik eta toki entitateetatik heldutakoei aplikatzekoa zaien zuhurtasun finantzarioa.</w:t>
      </w:r>
    </w:p>
    <w:p w:rsidR="00EC4F97" w:rsidRPr="008B251C"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2017ko uztailaren 4ko Ebazpena, Altxorraren eta Finantza Politikaren Idazkaritza Nagusiarena, zeinaren bidez definitzen baita zorpetze-eragiketei eta autonomia erkidegoetatik eta toki entitateetatik heldutakoei aplikatzekoa zaien zuhurtasun finantzarioa.</w:t>
      </w:r>
    </w:p>
    <w:p w:rsidR="00EC4F97" w:rsidRPr="008B251C" w:rsidRDefault="00EC4F97" w:rsidP="00EC4F97">
      <w:pPr>
        <w:pStyle w:val="texto"/>
        <w:tabs>
          <w:tab w:val="clear" w:pos="2835"/>
          <w:tab w:val="clear" w:pos="3969"/>
          <w:tab w:val="clear" w:pos="5103"/>
          <w:tab w:val="clear" w:pos="6237"/>
          <w:tab w:val="clear" w:pos="7371"/>
          <w:tab w:val="left" w:pos="480"/>
          <w:tab w:val="num" w:pos="720"/>
        </w:tabs>
        <w:ind w:left="290" w:firstLine="0"/>
        <w:rPr>
          <w:b/>
          <w:szCs w:val="26"/>
        </w:rPr>
      </w:pPr>
      <w:r>
        <w:rPr>
          <w:b/>
          <w:szCs w:val="26"/>
        </w:rPr>
        <w:t>d) Kontratazio administratiboa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6/2006 Foru Legea, ekainaren 9koa, Kontratu Publikoei buruzkoa, otsail</w:t>
      </w:r>
      <w:r>
        <w:t>a</w:t>
      </w:r>
      <w:r>
        <w:t>ren 14ko 1/2007 Foru Legean zehaztutako berezitasunekin.</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1/2015 Foru Legea, urtarrilaren 22koa, Kontratu Publikoei buruzko ekain</w:t>
      </w:r>
      <w:r>
        <w:t>a</w:t>
      </w:r>
      <w:r>
        <w:t>ren 9ko 6/2006 Foru Legea aldatzen duena klausula administratiboen agirietan klausula sozialak sartzeko.</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3/2016 Foru Dekretua, urtarrilaren 27koa, Kontratuei buruzko ekainaren 9ko 6/2006 Foru Legearen Europar Batasuneko atalaseak eguneratzen dituena.</w:t>
      </w:r>
    </w:p>
    <w:p w:rsidR="00EC4F97" w:rsidRPr="0090093E" w:rsidRDefault="00EC4F97" w:rsidP="00EC4F97">
      <w:pPr>
        <w:pStyle w:val="texto"/>
        <w:spacing w:before="240"/>
        <w:rPr>
          <w:b/>
          <w:szCs w:val="26"/>
        </w:rPr>
      </w:pPr>
      <w:r>
        <w:rPr>
          <w:b/>
          <w:szCs w:val="26"/>
        </w:rPr>
        <w:t>e) Langileak</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251/1993 Legegintzako Foru Dekretua, abuztuaren 30ekoa, Nafarroako Administrazio Publikoen zerbitzuko Langileen Estatutuaren testu </w:t>
      </w:r>
      <w:proofErr w:type="spellStart"/>
      <w:r>
        <w:t>bategina</w:t>
      </w:r>
      <w:proofErr w:type="spellEnd"/>
      <w:r>
        <w:t xml:space="preserve"> onesten duena, bai eta haiek garatzeko xedapenak ere.</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158/1984 Errege Dekretua, uztailaren 4koa, Nafarroako Administrazio P</w:t>
      </w:r>
      <w:r>
        <w:t>u</w:t>
      </w:r>
      <w:r>
        <w:t>blikoen zerbitzuko langileen ordainsariei buruzko behin-behineko Erregel</w:t>
      </w:r>
      <w:r>
        <w:t>a</w:t>
      </w:r>
      <w:r>
        <w:t>mendua onetsi zuena (martxoaren 29ko 21/2017 Foru Dekretuaren bidez aldatu zen).</w:t>
      </w:r>
    </w:p>
    <w:p w:rsidR="00EC4F97" w:rsidRPr="00F86E05"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215/1985 Foru Dekretua, azaroaren 6koa, Nafarroako Administrazio Publ</w:t>
      </w:r>
      <w:r>
        <w:t>i</w:t>
      </w:r>
      <w:r>
        <w:t>koetako lanpostuak betetzeko erregelamendua onetsi zuena (maiatzaren 17ko 29/2017 Foru Dekretuaren bidez aldatu zen).</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13/2012 Foru Legea, ekainaren 21ekoa, Nafarroako administrazio publ</w:t>
      </w:r>
      <w:r>
        <w:t>i</w:t>
      </w:r>
      <w:r>
        <w:t>koen zerbitzuko langileen arloan presako zenbait neurri hartzeari buruzkoa.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12/2015 Foru Legea, apirilaren 10ekoa, zeinaren bitartez Nafarroako adm</w:t>
      </w:r>
      <w:r>
        <w:t>i</w:t>
      </w:r>
      <w:r>
        <w:t xml:space="preserve">nistrazio publikoen zerbitzuko langileen arloko presako neurri jakin batzuen indarraldia 2015. urtera luzatzen baita eta langile horien </w:t>
      </w:r>
      <w:proofErr w:type="spellStart"/>
      <w:r>
        <w:t>montepioetako</w:t>
      </w:r>
      <w:proofErr w:type="spellEnd"/>
      <w:r>
        <w:t xml:space="preserve"> klase pasiboen pentsioak eguneratzen baitira.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13/2015 Foru Legea, apirilaren 10ekoa, Nafarroako Administrazio Publ</w:t>
      </w:r>
      <w:r>
        <w:t>i</w:t>
      </w:r>
      <w:r>
        <w:t xml:space="preserve">koen Zerbitzuko Langileen Estatutuaren testu </w:t>
      </w:r>
      <w:proofErr w:type="spellStart"/>
      <w:r>
        <w:t>bategina</w:t>
      </w:r>
      <w:proofErr w:type="spellEnd"/>
      <w:r>
        <w:t xml:space="preserve"> aldatzen duena, </w:t>
      </w:r>
      <w:proofErr w:type="spellStart"/>
      <w:r>
        <w:t>desga</w:t>
      </w:r>
      <w:r>
        <w:t>i</w:t>
      </w:r>
      <w:r>
        <w:t>tasuna</w:t>
      </w:r>
      <w:proofErr w:type="spellEnd"/>
      <w:r>
        <w:t xml:space="preserve"> dutenek enplegu publikoa eskuratzeari dagokionez.</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15/2015 Foru Legea, apirilaren 10ekoa, Nafarroako Polizia buruzko ma</w:t>
      </w:r>
      <w:r>
        <w:t>r</w:t>
      </w:r>
      <w:r>
        <w:t>txoaren 23ko 8/2007 Foru Legea aldatzen duena</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25/2015 Foru Legea, abenduaren 28koa, Nafarroako Poliziei buruzko ma</w:t>
      </w:r>
      <w:r>
        <w:t>r</w:t>
      </w:r>
      <w:r>
        <w:t>txoaren 23ko 8/2007 Foru Legea aldatzen duen apirilaren 10eko 15/2015 Foru Legea aldatzekoa.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4/2015 Errege Lege-dekretua, martxoaren 22koa, Lan arloan enplegurako lanbide heziketako sistemaren urgentziazko erreformarakoa.</w:t>
      </w:r>
    </w:p>
    <w:p w:rsidR="00EC4F97" w:rsidRPr="0090093E" w:rsidRDefault="00EC4F97" w:rsidP="00EC4F97">
      <w:pPr>
        <w:pStyle w:val="texto"/>
        <w:spacing w:before="240"/>
        <w:rPr>
          <w:b/>
          <w:szCs w:val="26"/>
        </w:rPr>
      </w:pPr>
      <w:r>
        <w:rPr>
          <w:b/>
          <w:szCs w:val="26"/>
        </w:rPr>
        <w:t>f) Hirigintza</w:t>
      </w:r>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 1/2017 Legegintzako Foru Dekretua, uztailaren 26koa, Lurraldearen Ant</w:t>
      </w:r>
      <w:r>
        <w:t>o</w:t>
      </w:r>
      <w:r>
        <w:t xml:space="preserve">lamenduari eta Hirigintzari buruzko Foru Legearen testu </w:t>
      </w:r>
      <w:proofErr w:type="spellStart"/>
      <w:r>
        <w:t>bategina</w:t>
      </w:r>
      <w:proofErr w:type="spellEnd"/>
      <w:r>
        <w:t xml:space="preserve"> onesten d</w:t>
      </w:r>
      <w:r>
        <w:t>u</w:t>
      </w:r>
      <w:r>
        <w:t>ena.</w:t>
      </w:r>
    </w:p>
    <w:p w:rsidR="00EC4F97" w:rsidRPr="0090093E" w:rsidRDefault="00EC4F97" w:rsidP="00EC4F97">
      <w:pPr>
        <w:pStyle w:val="texto"/>
        <w:spacing w:before="240"/>
        <w:rPr>
          <w:b/>
          <w:szCs w:val="26"/>
        </w:rPr>
      </w:pPr>
      <w:r>
        <w:rPr>
          <w:b/>
          <w:szCs w:val="26"/>
        </w:rPr>
        <w:t xml:space="preserve">g) </w:t>
      </w:r>
      <w:proofErr w:type="spellStart"/>
      <w:r>
        <w:rPr>
          <w:b/>
          <w:szCs w:val="26"/>
        </w:rPr>
        <w:t>Dirulaguntzak</w:t>
      </w:r>
      <w:proofErr w:type="spellEnd"/>
    </w:p>
    <w:p w:rsidR="00EC4F97"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38/2003 Lege Orokorra, azaroaren 17koa, </w:t>
      </w:r>
      <w:proofErr w:type="spellStart"/>
      <w:r>
        <w:t>Dirulaguntzei</w:t>
      </w:r>
      <w:proofErr w:type="spellEnd"/>
      <w:r>
        <w:t xml:space="preserve"> buruzkoa, eta hura garatzeko erregelamendua, uztailaren 21eko 887/2006 Errege Dekretuaren b</w:t>
      </w:r>
      <w:r>
        <w:t>i</w:t>
      </w:r>
      <w:r>
        <w:t>dez onetsia.</w:t>
      </w:r>
    </w:p>
    <w:p w:rsidR="00EC4F97" w:rsidRPr="0090093E" w:rsidRDefault="00EC4F97" w:rsidP="00EC4F97">
      <w:pPr>
        <w:pStyle w:val="texto"/>
        <w:rPr>
          <w:b/>
          <w:szCs w:val="26"/>
        </w:rPr>
      </w:pPr>
      <w:r>
        <w:rPr>
          <w:b/>
          <w:szCs w:val="26"/>
        </w:rPr>
        <w:t xml:space="preserve"> h) Toki entitateen barne araubidea </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Toki entitateen aurrekontuen exekuzio oinarriak, 2017rako.</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Zergak eta prezio publikoak arautzen dituzten ordenantzak eta akordioak.</w:t>
      </w:r>
    </w:p>
    <w:p w:rsidR="00EC4F97" w:rsidRPr="0090093E" w:rsidRDefault="00EC4F97" w:rsidP="00EC4F97">
      <w:pPr>
        <w:pStyle w:val="texto"/>
        <w:numPr>
          <w:ilvl w:val="0"/>
          <w:numId w:val="2"/>
        </w:numPr>
        <w:tabs>
          <w:tab w:val="clear" w:pos="1948"/>
          <w:tab w:val="clear" w:pos="2835"/>
          <w:tab w:val="clear" w:pos="3969"/>
          <w:tab w:val="clear" w:pos="5103"/>
          <w:tab w:val="clear" w:pos="6237"/>
          <w:tab w:val="clear" w:pos="7371"/>
          <w:tab w:val="left" w:pos="480"/>
          <w:tab w:val="num" w:pos="600"/>
          <w:tab w:val="num" w:pos="644"/>
          <w:tab w:val="num" w:pos="720"/>
        </w:tabs>
        <w:ind w:left="0" w:firstLine="290"/>
        <w:rPr>
          <w:szCs w:val="26"/>
        </w:rPr>
      </w:pPr>
      <w:r>
        <w:t>Berariazko hitzarmen kolektiboak.</w:t>
      </w:r>
    </w:p>
    <w:p w:rsidR="00EC4F97" w:rsidRDefault="00EC4F97" w:rsidP="00EC4F97">
      <w:pPr>
        <w:pStyle w:val="texto"/>
        <w:rPr>
          <w:szCs w:val="26"/>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Default="00EC4F97" w:rsidP="00EC4F97">
      <w:pPr>
        <w:spacing w:before="360" w:after="180"/>
        <w:ind w:firstLine="0"/>
        <w:jc w:val="left"/>
        <w:rPr>
          <w:b/>
          <w:bCs/>
          <w:sz w:val="24"/>
          <w:szCs w:val="24"/>
          <w:lang w:val="es-ES" w:eastAsia="es-ES"/>
        </w:rPr>
      </w:pPr>
    </w:p>
    <w:p w:rsidR="00EC4F97" w:rsidRPr="00B15970" w:rsidRDefault="00EC4F97" w:rsidP="00EC4F97">
      <w:pPr>
        <w:spacing w:before="360" w:after="180"/>
        <w:ind w:firstLine="0"/>
        <w:jc w:val="left"/>
        <w:rPr>
          <w:b/>
          <w:bCs/>
          <w:sz w:val="24"/>
          <w:szCs w:val="24"/>
        </w:rPr>
      </w:pPr>
      <w:bookmarkStart w:id="77" w:name="_Toc402257034"/>
      <w:bookmarkStart w:id="78" w:name="_Toc465686694"/>
      <w:bookmarkStart w:id="79" w:name="_Toc529773891"/>
    </w:p>
    <w:p w:rsidR="00EC4F97" w:rsidRPr="00310593" w:rsidRDefault="00EC4F97" w:rsidP="00EC4F97">
      <w:pPr>
        <w:pStyle w:val="atitulo1"/>
        <w:ind w:left="426"/>
        <w:rPr>
          <w:spacing w:val="6"/>
          <w:w w:val="103"/>
          <w:sz w:val="32"/>
          <w:szCs w:val="32"/>
        </w:rPr>
      </w:pPr>
      <w:bookmarkStart w:id="80" w:name="_Toc24100151"/>
      <w:bookmarkStart w:id="81" w:name="_Toc27986325"/>
      <w:r>
        <w:t>2.</w:t>
      </w:r>
      <w:bookmarkEnd w:id="77"/>
      <w:r>
        <w:rPr>
          <w:sz w:val="32"/>
          <w:szCs w:val="32"/>
        </w:rPr>
        <w:t xml:space="preserve"> eranskina Nafarroako toki sektore publikoaren eg</w:t>
      </w:r>
      <w:r>
        <w:rPr>
          <w:sz w:val="32"/>
          <w:szCs w:val="32"/>
        </w:rPr>
        <w:t>o</w:t>
      </w:r>
      <w:r>
        <w:rPr>
          <w:sz w:val="32"/>
          <w:szCs w:val="32"/>
        </w:rPr>
        <w:t>era finantzarioa 201</w:t>
      </w:r>
      <w:bookmarkEnd w:id="78"/>
      <w:bookmarkEnd w:id="79"/>
      <w:r>
        <w:rPr>
          <w:sz w:val="32"/>
          <w:szCs w:val="32"/>
        </w:rPr>
        <w:t>7an</w:t>
      </w:r>
      <w:bookmarkEnd w:id="80"/>
      <w:bookmarkEnd w:id="81"/>
      <w:r>
        <w:rPr>
          <w:sz w:val="32"/>
          <w:szCs w:val="32"/>
        </w:rPr>
        <w:t xml:space="preserve"> </w:t>
      </w:r>
    </w:p>
    <w:p w:rsidR="00564F2D" w:rsidRPr="004B2F01" w:rsidRDefault="00564F2D" w:rsidP="00EC4F97">
      <w:pPr>
        <w:keepNext/>
        <w:spacing w:after="240"/>
        <w:ind w:firstLine="0"/>
      </w:pPr>
    </w:p>
    <w:sectPr w:rsidR="00564F2D" w:rsidRPr="004B2F01" w:rsidSect="005A1124">
      <w:footerReference w:type="default" r:id="rId17"/>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5B" w:rsidRDefault="00FF435B">
      <w:r>
        <w:separator/>
      </w:r>
    </w:p>
    <w:p w:rsidR="00FF435B" w:rsidRDefault="00FF435B"/>
    <w:p w:rsidR="00FF435B" w:rsidRDefault="00FF435B"/>
    <w:p w:rsidR="00FF435B" w:rsidRDefault="00FF435B"/>
  </w:endnote>
  <w:endnote w:type="continuationSeparator" w:id="0">
    <w:p w:rsidR="00FF435B" w:rsidRDefault="00FF435B">
      <w:r>
        <w:continuationSeparator/>
      </w:r>
    </w:p>
    <w:p w:rsidR="00FF435B" w:rsidRDefault="00FF435B"/>
    <w:p w:rsidR="00FF435B" w:rsidRDefault="00FF435B"/>
    <w:p w:rsidR="00FF435B" w:rsidRDefault="00FF4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Sans Light">
    <w:altName w:val="Courier New"/>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5B" w:rsidRDefault="00FF435B"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35</w:t>
    </w:r>
    <w:r>
      <w:rPr>
        <w:rStyle w:val="Nmerodepgina"/>
      </w:rPr>
      <w:fldChar w:fldCharType="end"/>
    </w:r>
  </w:p>
  <w:p w:rsidR="00FF435B" w:rsidRDefault="00FF435B"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5B" w:rsidRPr="00F03814" w:rsidRDefault="00FF435B"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CBBE79E" wp14:editId="3FB15F0E">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5B" w:rsidRDefault="00FF435B"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5B" w:rsidRPr="00F03814" w:rsidRDefault="00FF435B" w:rsidP="00422AD9">
    <w:pPr>
      <w:pStyle w:val="Piedepgina"/>
      <w:tabs>
        <w:tab w:val="clear" w:pos="2835"/>
        <w:tab w:val="clear" w:pos="3969"/>
        <w:tab w:val="clear" w:pos="4252"/>
        <w:tab w:val="clear" w:pos="5103"/>
        <w:tab w:val="clear" w:pos="6237"/>
        <w:tab w:val="clear" w:pos="7371"/>
        <w:tab w:val="clear" w:pos="8504"/>
        <w:tab w:val="center" w:pos="4395"/>
      </w:tabs>
      <w:spacing w:after="0"/>
      <w:ind w:right="29"/>
      <w:jc w:val="left"/>
      <w:rPr>
        <w:rFonts w:ascii="Trajan" w:hAnsi="Trajan"/>
        <w:sz w:val="24"/>
        <w:szCs w:val="24"/>
      </w:rPr>
    </w:pPr>
    <w:r>
      <w:rPr>
        <w:rFonts w:ascii="GillSans" w:hAnsi="GillSans"/>
        <w:noProof/>
        <w:lang w:val="es-ES" w:eastAsia="es-ES"/>
      </w:rPr>
      <w:drawing>
        <wp:inline distT="0" distB="0" distL="0" distR="0" wp14:anchorId="67FE909E" wp14:editId="2BFEFEE0">
          <wp:extent cx="213100" cy="3714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132A2">
      <w:rPr>
        <w:rStyle w:val="Nmerodepgina"/>
        <w:noProof/>
        <w:szCs w:val="24"/>
      </w:rPr>
      <w:t>23</w:t>
    </w:r>
    <w:r w:rsidRPr="001D4F09">
      <w:rPr>
        <w:rStyle w:val="Nmerodepgina"/>
        <w:szCs w:val="24"/>
      </w:rPr>
      <w:fldChar w:fldCharType="end"/>
    </w:r>
    <w:r>
      <w:rPr>
        <w:rStyle w:val="Nmerodepgina"/>
        <w:szCs w:val="24"/>
      </w:rPr>
      <w:t xml:space="preserve"> -</w:t>
    </w:r>
  </w:p>
  <w:p w:rsidR="00FF435B" w:rsidRDefault="00FF435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5B" w:rsidRPr="00F03814" w:rsidRDefault="00FF435B" w:rsidP="005A1124">
    <w:pPr>
      <w:pStyle w:val="Piedepgina"/>
      <w:tabs>
        <w:tab w:val="clear" w:pos="2835"/>
        <w:tab w:val="clear" w:pos="3969"/>
        <w:tab w:val="clear" w:pos="4252"/>
        <w:tab w:val="clear" w:pos="5103"/>
        <w:tab w:val="clear" w:pos="6237"/>
        <w:tab w:val="clear" w:pos="7371"/>
        <w:tab w:val="clear" w:pos="8504"/>
        <w:tab w:val="center" w:pos="6521"/>
      </w:tabs>
      <w:spacing w:after="0"/>
      <w:ind w:right="29"/>
      <w:jc w:val="left"/>
      <w:rPr>
        <w:rFonts w:ascii="Trajan" w:hAnsi="Trajan"/>
        <w:sz w:val="24"/>
        <w:szCs w:val="24"/>
      </w:rPr>
    </w:pPr>
    <w:r>
      <w:rPr>
        <w:rFonts w:ascii="GillSans" w:hAnsi="GillSans"/>
        <w:noProof/>
        <w:lang w:val="es-ES" w:eastAsia="es-ES"/>
      </w:rPr>
      <w:drawing>
        <wp:inline distT="0" distB="0" distL="0" distR="0" wp14:anchorId="37ACDD51" wp14:editId="7DB33EFE">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132A2">
      <w:rPr>
        <w:rStyle w:val="Nmerodepgina"/>
        <w:noProof/>
        <w:szCs w:val="24"/>
      </w:rPr>
      <w:t>25</w:t>
    </w:r>
    <w:r w:rsidRPr="001D4F09">
      <w:rPr>
        <w:rStyle w:val="Nmerodepgina"/>
        <w:szCs w:val="24"/>
      </w:rPr>
      <w:fldChar w:fldCharType="end"/>
    </w:r>
    <w:r>
      <w:rPr>
        <w:rStyle w:val="Nmerodepgina"/>
        <w:szCs w:val="24"/>
      </w:rPr>
      <w:t xml:space="preserve"> -</w:t>
    </w:r>
  </w:p>
  <w:p w:rsidR="00FF435B" w:rsidRDefault="00FF435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5B" w:rsidRPr="00F03814" w:rsidRDefault="00FF435B" w:rsidP="005A1124">
    <w:pPr>
      <w:pStyle w:val="Piedepgina"/>
      <w:tabs>
        <w:tab w:val="clear" w:pos="2835"/>
        <w:tab w:val="clear" w:pos="3969"/>
        <w:tab w:val="clear" w:pos="4252"/>
        <w:tab w:val="clear" w:pos="5103"/>
        <w:tab w:val="clear" w:pos="6237"/>
        <w:tab w:val="clear" w:pos="7371"/>
        <w:tab w:val="clear" w:pos="8504"/>
        <w:tab w:val="center" w:pos="4395"/>
      </w:tabs>
      <w:spacing w:after="0"/>
      <w:ind w:right="29"/>
      <w:jc w:val="left"/>
      <w:rPr>
        <w:rFonts w:ascii="Trajan" w:hAnsi="Trajan"/>
        <w:sz w:val="24"/>
        <w:szCs w:val="24"/>
      </w:rPr>
    </w:pPr>
    <w:r>
      <w:rPr>
        <w:rFonts w:ascii="GillSans" w:hAnsi="GillSans"/>
        <w:noProof/>
        <w:lang w:val="es-ES" w:eastAsia="es-ES"/>
      </w:rPr>
      <w:drawing>
        <wp:inline distT="0" distB="0" distL="0" distR="0" wp14:anchorId="6DE4B19E" wp14:editId="797EE04C">
          <wp:extent cx="213100" cy="37147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0709F">
      <w:rPr>
        <w:rStyle w:val="Nmerodepgina"/>
        <w:noProof/>
        <w:szCs w:val="24"/>
      </w:rPr>
      <w:t>35</w:t>
    </w:r>
    <w:r w:rsidRPr="001D4F09">
      <w:rPr>
        <w:rStyle w:val="Nmerodepgina"/>
        <w:szCs w:val="24"/>
      </w:rPr>
      <w:fldChar w:fldCharType="end"/>
    </w:r>
    <w:r>
      <w:rPr>
        <w:rStyle w:val="Nmerodepgina"/>
        <w:szCs w:val="24"/>
      </w:rPr>
      <w:t xml:space="preserve"> -</w:t>
    </w:r>
  </w:p>
  <w:p w:rsidR="00FF435B" w:rsidRDefault="00FF43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5B" w:rsidRDefault="00FF435B">
      <w:r>
        <w:separator/>
      </w:r>
    </w:p>
    <w:p w:rsidR="00FF435B" w:rsidRDefault="00FF435B"/>
    <w:p w:rsidR="00FF435B" w:rsidRDefault="00FF435B"/>
    <w:p w:rsidR="00FF435B" w:rsidRDefault="00FF435B"/>
  </w:footnote>
  <w:footnote w:type="continuationSeparator" w:id="0">
    <w:p w:rsidR="00FF435B" w:rsidRDefault="00FF435B">
      <w:r>
        <w:continuationSeparator/>
      </w:r>
    </w:p>
    <w:p w:rsidR="00FF435B" w:rsidRDefault="00FF435B"/>
    <w:p w:rsidR="00FF435B" w:rsidRDefault="00FF435B"/>
    <w:p w:rsidR="00FF435B" w:rsidRDefault="00FF435B"/>
  </w:footnote>
  <w:footnote w:id="1">
    <w:p w:rsidR="00FF435B" w:rsidRDefault="00FF435B" w:rsidP="00EC4F97">
      <w:pPr>
        <w:pStyle w:val="Textonotapie"/>
      </w:pPr>
      <w:r>
        <w:rPr>
          <w:rStyle w:val="Refdenotaalpie"/>
        </w:rPr>
        <w:footnoteRef/>
      </w:r>
      <w:r>
        <w:t xml:space="preserve"> 2019ko uztailetik aurrera Departamentuak hartu duen izena.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5B" w:rsidRDefault="00FF435B" w:rsidP="007C36BE">
    <w:pPr>
      <w:pStyle w:val="Encabezado"/>
      <w:pBdr>
        <w:bottom w:val="single" w:sz="4" w:space="1" w:color="auto"/>
      </w:pBdr>
      <w:spacing w:after="40"/>
      <w:ind w:firstLine="0"/>
      <w:jc w:val="left"/>
    </w:pPr>
    <w:r>
      <w:rPr>
        <w:b/>
        <w:noProof/>
        <w:lang w:val="es-ES" w:eastAsia="es-ES"/>
      </w:rPr>
      <w:drawing>
        <wp:inline distT="0" distB="0" distL="0" distR="0" wp14:anchorId="797146D8" wp14:editId="09B7CC86">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FF435B" w:rsidRPr="0059650E" w:rsidRDefault="00FF435B" w:rsidP="00991627">
    <w:pPr>
      <w:pStyle w:val="Encabezado"/>
      <w:pBdr>
        <w:bottom w:val="single" w:sz="4" w:space="1" w:color="auto"/>
      </w:pBdr>
      <w:ind w:firstLine="0"/>
    </w:pPr>
    <w:r>
      <w:t>Nafarroako toki sektore publikoari buruzko FISKALIZAZIO TXOSTENA, 2017ko ekitaldia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5B" w:rsidRDefault="00FF435B" w:rsidP="006A2D41">
    <w:pPr>
      <w:pStyle w:val="Encabezado"/>
      <w:ind w:firstLine="0"/>
      <w:jc w:val="left"/>
    </w:pPr>
    <w:r>
      <w:rPr>
        <w:noProof/>
        <w:lang w:val="es-ES" w:eastAsia="es-ES"/>
      </w:rPr>
      <w:drawing>
        <wp:inline distT="0" distB="0" distL="0" distR="0" wp14:anchorId="77F6A77A" wp14:editId="4C83DD91">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5B" w:rsidRDefault="00FF435B"/>
  <w:p w:rsidR="00FF435B" w:rsidRDefault="00FF435B"/>
  <w:p w:rsidR="00FF435B" w:rsidRDefault="00FF435B"/>
  <w:p w:rsidR="00FF435B" w:rsidRDefault="00FF43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6EC02D5"/>
    <w:multiLevelType w:val="hybridMultilevel"/>
    <w:tmpl w:val="9886E87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20662CA4"/>
    <w:multiLevelType w:val="hybridMultilevel"/>
    <w:tmpl w:val="9C7CEFA8"/>
    <w:lvl w:ilvl="0" w:tplc="88BAC694">
      <w:start w:val="2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16B87"/>
    <w:multiLevelType w:val="hybridMultilevel"/>
    <w:tmpl w:val="E9ECC3E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309863DD"/>
    <w:multiLevelType w:val="hybridMultilevel"/>
    <w:tmpl w:val="D3F60BDA"/>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431332"/>
    <w:multiLevelType w:val="hybridMultilevel"/>
    <w:tmpl w:val="53045440"/>
    <w:lvl w:ilvl="0" w:tplc="E8B861A2">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8">
    <w:nsid w:val="3DF06E15"/>
    <w:multiLevelType w:val="hybridMultilevel"/>
    <w:tmpl w:val="6316A2F2"/>
    <w:lvl w:ilvl="0" w:tplc="5A7EF408">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4FEC520A"/>
    <w:multiLevelType w:val="hybridMultilevel"/>
    <w:tmpl w:val="0F1ABE42"/>
    <w:lvl w:ilvl="0" w:tplc="0C0A0019">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13">
    <w:nsid w:val="5C46281B"/>
    <w:multiLevelType w:val="hybridMultilevel"/>
    <w:tmpl w:val="9E1AFB4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5">
    <w:nsid w:val="6AC132E2"/>
    <w:multiLevelType w:val="hybridMultilevel"/>
    <w:tmpl w:val="976EF910"/>
    <w:lvl w:ilvl="0" w:tplc="04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6B6E28F5"/>
    <w:multiLevelType w:val="hybridMultilevel"/>
    <w:tmpl w:val="02640322"/>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1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74E65DF5"/>
    <w:multiLevelType w:val="hybridMultilevel"/>
    <w:tmpl w:val="B204B4E8"/>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nsid w:val="790D47F0"/>
    <w:multiLevelType w:val="hybridMultilevel"/>
    <w:tmpl w:val="B1E4F76A"/>
    <w:lvl w:ilvl="0" w:tplc="0C0A0011">
      <w:start w:val="1"/>
      <w:numFmt w:val="decimal"/>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0"/>
  </w:num>
  <w:num w:numId="2">
    <w:abstractNumId w:val="14"/>
  </w:num>
  <w:num w:numId="3">
    <w:abstractNumId w:val="0"/>
  </w:num>
  <w:num w:numId="4">
    <w:abstractNumId w:val="10"/>
  </w:num>
  <w:num w:numId="5">
    <w:abstractNumId w:val="17"/>
  </w:num>
  <w:num w:numId="6">
    <w:abstractNumId w:val="0"/>
  </w:num>
  <w:num w:numId="7">
    <w:abstractNumId w:val="0"/>
  </w:num>
  <w:num w:numId="8">
    <w:abstractNumId w:val="0"/>
  </w:num>
  <w:num w:numId="9">
    <w:abstractNumId w:val="8"/>
  </w:num>
  <w:num w:numId="10">
    <w:abstractNumId w:val="2"/>
  </w:num>
  <w:num w:numId="11">
    <w:abstractNumId w:val="18"/>
  </w:num>
  <w:num w:numId="12">
    <w:abstractNumId w:val="7"/>
  </w:num>
  <w:num w:numId="13">
    <w:abstractNumId w:val="1"/>
  </w:num>
  <w:num w:numId="14">
    <w:abstractNumId w:val="6"/>
  </w:num>
  <w:num w:numId="15">
    <w:abstractNumId w:val="19"/>
  </w:num>
  <w:num w:numId="16">
    <w:abstractNumId w:val="5"/>
  </w:num>
  <w:num w:numId="17">
    <w:abstractNumId w:val="9"/>
  </w:num>
  <w:num w:numId="18">
    <w:abstractNumId w:val="15"/>
  </w:num>
  <w:num w:numId="19">
    <w:abstractNumId w:val="11"/>
  </w:num>
  <w:num w:numId="20">
    <w:abstractNumId w:val="13"/>
  </w:num>
  <w:num w:numId="21">
    <w:abstractNumId w:val="4"/>
  </w:num>
  <w:num w:numId="22">
    <w:abstractNumId w:val="12"/>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97"/>
    <w:rsid w:val="000019D8"/>
    <w:rsid w:val="00006736"/>
    <w:rsid w:val="00006A97"/>
    <w:rsid w:val="0001123B"/>
    <w:rsid w:val="00012A7F"/>
    <w:rsid w:val="00017A3A"/>
    <w:rsid w:val="00036E42"/>
    <w:rsid w:val="0004373B"/>
    <w:rsid w:val="000448FA"/>
    <w:rsid w:val="00053A42"/>
    <w:rsid w:val="0005517D"/>
    <w:rsid w:val="0006133D"/>
    <w:rsid w:val="00063585"/>
    <w:rsid w:val="00071CD0"/>
    <w:rsid w:val="00075692"/>
    <w:rsid w:val="00087B8D"/>
    <w:rsid w:val="00091A43"/>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426B"/>
    <w:rsid w:val="00185A37"/>
    <w:rsid w:val="00194309"/>
    <w:rsid w:val="0019660E"/>
    <w:rsid w:val="001B39E2"/>
    <w:rsid w:val="001C2B26"/>
    <w:rsid w:val="001C3A32"/>
    <w:rsid w:val="001D4F09"/>
    <w:rsid w:val="001F1482"/>
    <w:rsid w:val="001F20D7"/>
    <w:rsid w:val="001F7744"/>
    <w:rsid w:val="002014EB"/>
    <w:rsid w:val="00202B1A"/>
    <w:rsid w:val="00204979"/>
    <w:rsid w:val="00211D69"/>
    <w:rsid w:val="00214F3F"/>
    <w:rsid w:val="002179DB"/>
    <w:rsid w:val="0022600B"/>
    <w:rsid w:val="00227E48"/>
    <w:rsid w:val="00230577"/>
    <w:rsid w:val="0023159D"/>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972"/>
    <w:rsid w:val="00281DCA"/>
    <w:rsid w:val="00297B04"/>
    <w:rsid w:val="002A056C"/>
    <w:rsid w:val="002A66A5"/>
    <w:rsid w:val="002A6EBB"/>
    <w:rsid w:val="002B21E9"/>
    <w:rsid w:val="002B2B87"/>
    <w:rsid w:val="002B4E0F"/>
    <w:rsid w:val="002B5754"/>
    <w:rsid w:val="002C26E1"/>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57E2"/>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7228C"/>
    <w:rsid w:val="003738FD"/>
    <w:rsid w:val="003810BE"/>
    <w:rsid w:val="00386F6C"/>
    <w:rsid w:val="00387709"/>
    <w:rsid w:val="00387794"/>
    <w:rsid w:val="00397162"/>
    <w:rsid w:val="003A189D"/>
    <w:rsid w:val="003A335E"/>
    <w:rsid w:val="003A3DD2"/>
    <w:rsid w:val="003B3573"/>
    <w:rsid w:val="003B5813"/>
    <w:rsid w:val="003C03EA"/>
    <w:rsid w:val="003C196B"/>
    <w:rsid w:val="003C6858"/>
    <w:rsid w:val="003C6E1D"/>
    <w:rsid w:val="003D058C"/>
    <w:rsid w:val="003D76B1"/>
    <w:rsid w:val="003E17A6"/>
    <w:rsid w:val="003E4AA5"/>
    <w:rsid w:val="003F1CEC"/>
    <w:rsid w:val="003F43BF"/>
    <w:rsid w:val="003F6BE4"/>
    <w:rsid w:val="00403CF8"/>
    <w:rsid w:val="00407459"/>
    <w:rsid w:val="00414D01"/>
    <w:rsid w:val="004170FE"/>
    <w:rsid w:val="004209E6"/>
    <w:rsid w:val="00422AD9"/>
    <w:rsid w:val="0042324B"/>
    <w:rsid w:val="004234E8"/>
    <w:rsid w:val="00426805"/>
    <w:rsid w:val="00430150"/>
    <w:rsid w:val="004302F9"/>
    <w:rsid w:val="0043229B"/>
    <w:rsid w:val="00435287"/>
    <w:rsid w:val="00440A22"/>
    <w:rsid w:val="0045550E"/>
    <w:rsid w:val="00456456"/>
    <w:rsid w:val="00462367"/>
    <w:rsid w:val="0046490C"/>
    <w:rsid w:val="00470287"/>
    <w:rsid w:val="00470733"/>
    <w:rsid w:val="00477C53"/>
    <w:rsid w:val="00485380"/>
    <w:rsid w:val="00493D04"/>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F7C93"/>
    <w:rsid w:val="00506105"/>
    <w:rsid w:val="00513162"/>
    <w:rsid w:val="005132A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1124"/>
    <w:rsid w:val="005A6030"/>
    <w:rsid w:val="005B57AD"/>
    <w:rsid w:val="005B722E"/>
    <w:rsid w:val="005C02FE"/>
    <w:rsid w:val="005C50AC"/>
    <w:rsid w:val="005C6406"/>
    <w:rsid w:val="005D69D1"/>
    <w:rsid w:val="005E210D"/>
    <w:rsid w:val="005F2425"/>
    <w:rsid w:val="005F5EC7"/>
    <w:rsid w:val="005F7207"/>
    <w:rsid w:val="005F7FCF"/>
    <w:rsid w:val="00604980"/>
    <w:rsid w:val="00606DBE"/>
    <w:rsid w:val="00607691"/>
    <w:rsid w:val="0061062C"/>
    <w:rsid w:val="00613183"/>
    <w:rsid w:val="006133F0"/>
    <w:rsid w:val="00616888"/>
    <w:rsid w:val="006176BE"/>
    <w:rsid w:val="006212CB"/>
    <w:rsid w:val="006279F9"/>
    <w:rsid w:val="006369EE"/>
    <w:rsid w:val="0064700E"/>
    <w:rsid w:val="00650183"/>
    <w:rsid w:val="00650677"/>
    <w:rsid w:val="006736A9"/>
    <w:rsid w:val="00673BC7"/>
    <w:rsid w:val="00674975"/>
    <w:rsid w:val="00675D39"/>
    <w:rsid w:val="0068560B"/>
    <w:rsid w:val="006A1277"/>
    <w:rsid w:val="006A2602"/>
    <w:rsid w:val="006A2D41"/>
    <w:rsid w:val="006A67E1"/>
    <w:rsid w:val="006A6BF4"/>
    <w:rsid w:val="006C24EA"/>
    <w:rsid w:val="006C36FB"/>
    <w:rsid w:val="006C7D62"/>
    <w:rsid w:val="006D0B23"/>
    <w:rsid w:val="006D2778"/>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7292"/>
    <w:rsid w:val="00741F9A"/>
    <w:rsid w:val="00742F6A"/>
    <w:rsid w:val="007446E8"/>
    <w:rsid w:val="00750D3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594"/>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6622C"/>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480C"/>
    <w:rsid w:val="008C56B9"/>
    <w:rsid w:val="008D05E0"/>
    <w:rsid w:val="008D2600"/>
    <w:rsid w:val="008E0AC0"/>
    <w:rsid w:val="008E221A"/>
    <w:rsid w:val="008E3FFE"/>
    <w:rsid w:val="008E60BE"/>
    <w:rsid w:val="008E6B74"/>
    <w:rsid w:val="008E7EF5"/>
    <w:rsid w:val="008F0FAF"/>
    <w:rsid w:val="008F46CD"/>
    <w:rsid w:val="008F6480"/>
    <w:rsid w:val="008F7740"/>
    <w:rsid w:val="00900CA2"/>
    <w:rsid w:val="00903653"/>
    <w:rsid w:val="0090677A"/>
    <w:rsid w:val="0090709F"/>
    <w:rsid w:val="00910A52"/>
    <w:rsid w:val="00911479"/>
    <w:rsid w:val="0091484D"/>
    <w:rsid w:val="00925E71"/>
    <w:rsid w:val="0093035F"/>
    <w:rsid w:val="0093329F"/>
    <w:rsid w:val="00937043"/>
    <w:rsid w:val="009445D3"/>
    <w:rsid w:val="0095021C"/>
    <w:rsid w:val="00955A8A"/>
    <w:rsid w:val="0096400D"/>
    <w:rsid w:val="00966600"/>
    <w:rsid w:val="009671D9"/>
    <w:rsid w:val="00971352"/>
    <w:rsid w:val="00975E5B"/>
    <w:rsid w:val="00977C8F"/>
    <w:rsid w:val="00977F94"/>
    <w:rsid w:val="009863E9"/>
    <w:rsid w:val="00991627"/>
    <w:rsid w:val="00992E20"/>
    <w:rsid w:val="009936FC"/>
    <w:rsid w:val="00993925"/>
    <w:rsid w:val="00993977"/>
    <w:rsid w:val="009A05D1"/>
    <w:rsid w:val="009A0920"/>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2792"/>
    <w:rsid w:val="00A74207"/>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D2C92"/>
    <w:rsid w:val="00AD7671"/>
    <w:rsid w:val="00AE53E8"/>
    <w:rsid w:val="00AE6FE4"/>
    <w:rsid w:val="00AF2059"/>
    <w:rsid w:val="00AF3D84"/>
    <w:rsid w:val="00AF4161"/>
    <w:rsid w:val="00AF580B"/>
    <w:rsid w:val="00B007C8"/>
    <w:rsid w:val="00B14410"/>
    <w:rsid w:val="00B15E61"/>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A1018"/>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2B66"/>
    <w:rsid w:val="00C13453"/>
    <w:rsid w:val="00C220F9"/>
    <w:rsid w:val="00C2541C"/>
    <w:rsid w:val="00C26862"/>
    <w:rsid w:val="00C30458"/>
    <w:rsid w:val="00C31DA6"/>
    <w:rsid w:val="00C33260"/>
    <w:rsid w:val="00C350CC"/>
    <w:rsid w:val="00C4598F"/>
    <w:rsid w:val="00C50360"/>
    <w:rsid w:val="00C54E12"/>
    <w:rsid w:val="00C55468"/>
    <w:rsid w:val="00C56A3A"/>
    <w:rsid w:val="00C622C3"/>
    <w:rsid w:val="00C63BD5"/>
    <w:rsid w:val="00C74906"/>
    <w:rsid w:val="00C81B40"/>
    <w:rsid w:val="00C81FEA"/>
    <w:rsid w:val="00C83969"/>
    <w:rsid w:val="00C86C95"/>
    <w:rsid w:val="00C969B6"/>
    <w:rsid w:val="00CA05EB"/>
    <w:rsid w:val="00CA3515"/>
    <w:rsid w:val="00CA3A05"/>
    <w:rsid w:val="00CB14E9"/>
    <w:rsid w:val="00CB6D90"/>
    <w:rsid w:val="00CB72C3"/>
    <w:rsid w:val="00CC45E4"/>
    <w:rsid w:val="00CD019F"/>
    <w:rsid w:val="00CD27C5"/>
    <w:rsid w:val="00CE4169"/>
    <w:rsid w:val="00CE7894"/>
    <w:rsid w:val="00CF06A1"/>
    <w:rsid w:val="00CF078D"/>
    <w:rsid w:val="00CF1467"/>
    <w:rsid w:val="00CF2D7C"/>
    <w:rsid w:val="00CF48D6"/>
    <w:rsid w:val="00CF57D6"/>
    <w:rsid w:val="00CF6C1B"/>
    <w:rsid w:val="00D00EF2"/>
    <w:rsid w:val="00D019D5"/>
    <w:rsid w:val="00D040FE"/>
    <w:rsid w:val="00D168FD"/>
    <w:rsid w:val="00D16F64"/>
    <w:rsid w:val="00D21054"/>
    <w:rsid w:val="00D2472C"/>
    <w:rsid w:val="00D279BA"/>
    <w:rsid w:val="00D404B5"/>
    <w:rsid w:val="00D447CB"/>
    <w:rsid w:val="00D47D16"/>
    <w:rsid w:val="00D505F4"/>
    <w:rsid w:val="00D51CE1"/>
    <w:rsid w:val="00D562F2"/>
    <w:rsid w:val="00D61B93"/>
    <w:rsid w:val="00D67E4A"/>
    <w:rsid w:val="00D763FD"/>
    <w:rsid w:val="00D77FC7"/>
    <w:rsid w:val="00D90AD1"/>
    <w:rsid w:val="00D941F7"/>
    <w:rsid w:val="00DA4DDF"/>
    <w:rsid w:val="00DB0804"/>
    <w:rsid w:val="00DB2FC4"/>
    <w:rsid w:val="00DC0A57"/>
    <w:rsid w:val="00DC382A"/>
    <w:rsid w:val="00DE1923"/>
    <w:rsid w:val="00DE2B33"/>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4F97"/>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22134"/>
    <w:rsid w:val="00F25EBD"/>
    <w:rsid w:val="00F36A1D"/>
    <w:rsid w:val="00F44278"/>
    <w:rsid w:val="00F51B65"/>
    <w:rsid w:val="00F52AAB"/>
    <w:rsid w:val="00F52EB6"/>
    <w:rsid w:val="00F53537"/>
    <w:rsid w:val="00F544E8"/>
    <w:rsid w:val="00F55260"/>
    <w:rsid w:val="00F6316B"/>
    <w:rsid w:val="00F65AE0"/>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35B"/>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uiPriority="99"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
    <w:rsid w:val="00EC4F97"/>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
    <w:rsid w:val="00EC4F97"/>
    <w:rPr>
      <w:rFonts w:ascii="Arial" w:hAnsi="Arial" w:cs="Arial"/>
      <w:b/>
      <w:bCs/>
      <w:i/>
      <w:iCs/>
      <w:sz w:val="28"/>
      <w:szCs w:val="28"/>
      <w:lang w:val="eu-ES" w:eastAsia="en-US"/>
    </w:rPr>
  </w:style>
  <w:style w:type="character" w:customStyle="1" w:styleId="Ttulo3Car">
    <w:name w:val="Título 3 Car"/>
    <w:basedOn w:val="Fuentedeprrafopredeter"/>
    <w:link w:val="Ttulo3"/>
    <w:uiPriority w:val="9"/>
    <w:rsid w:val="00EC4F97"/>
    <w:rPr>
      <w:rFonts w:ascii="Arial" w:hAnsi="Arial" w:cs="Arial"/>
      <w:b/>
      <w:bCs/>
      <w:szCs w:val="26"/>
      <w:lang w:val="eu-ES" w:eastAsia="en-US"/>
    </w:rPr>
  </w:style>
  <w:style w:type="character" w:customStyle="1" w:styleId="Ttulo5Car">
    <w:name w:val="Título 5 Car"/>
    <w:basedOn w:val="Fuentedeprrafopredeter"/>
    <w:link w:val="Ttulo5"/>
    <w:uiPriority w:val="9"/>
    <w:rsid w:val="00EC4F97"/>
    <w:rPr>
      <w:b/>
      <w:sz w:val="28"/>
      <w:lang w:eastAsia="en-US"/>
    </w:rPr>
  </w:style>
  <w:style w:type="character" w:customStyle="1" w:styleId="TextodegloboCar">
    <w:name w:val="Texto de globo Car"/>
    <w:basedOn w:val="Fuentedeprrafopredeter"/>
    <w:link w:val="Textodeglobo"/>
    <w:uiPriority w:val="99"/>
    <w:semiHidden/>
    <w:rsid w:val="00EC4F97"/>
    <w:rPr>
      <w:rFonts w:ascii="Tahoma" w:hAnsi="Tahoma" w:cs="Tahoma"/>
      <w:sz w:val="16"/>
      <w:szCs w:val="16"/>
      <w:lang w:val="eu-ES" w:eastAsia="en-US"/>
    </w:rPr>
  </w:style>
  <w:style w:type="character" w:customStyle="1" w:styleId="EncabezadoCar">
    <w:name w:val="Encabezado Car"/>
    <w:basedOn w:val="Fuentedeprrafopredeter"/>
    <w:link w:val="Encabezado"/>
    <w:uiPriority w:val="99"/>
    <w:rsid w:val="00EC4F97"/>
    <w:rPr>
      <w:bCs/>
      <w:caps/>
      <w:sz w:val="14"/>
      <w:szCs w:val="12"/>
      <w:lang w:val="eu-ES" w:eastAsia="en-US"/>
    </w:rPr>
  </w:style>
  <w:style w:type="character" w:customStyle="1" w:styleId="PiedepginaCar">
    <w:name w:val="Pie de página Car"/>
    <w:basedOn w:val="Fuentedeprrafopredeter"/>
    <w:link w:val="Piedepgina"/>
    <w:uiPriority w:val="99"/>
    <w:rsid w:val="00EC4F97"/>
    <w:rPr>
      <w:spacing w:val="6"/>
      <w:lang w:val="eu-ES" w:eastAsia="en-US"/>
    </w:rPr>
  </w:style>
  <w:style w:type="character" w:customStyle="1" w:styleId="atitulo1Car">
    <w:name w:val="atitulo1 Car"/>
    <w:basedOn w:val="Fuentedeprrafopredeter"/>
    <w:link w:val="atitulo1"/>
    <w:uiPriority w:val="99"/>
    <w:locked/>
    <w:rsid w:val="00EC4F97"/>
    <w:rPr>
      <w:rFonts w:ascii="Arial" w:hAnsi="Arial"/>
      <w:b/>
      <w:color w:val="000000"/>
      <w:kern w:val="28"/>
      <w:sz w:val="25"/>
      <w:szCs w:val="26"/>
      <w:lang w:val="eu-ES" w:eastAsia="en-US"/>
    </w:rPr>
  </w:style>
  <w:style w:type="character" w:customStyle="1" w:styleId="atitulo2Car">
    <w:name w:val="atitulo2 Car"/>
    <w:link w:val="atitulo2"/>
    <w:uiPriority w:val="99"/>
    <w:locked/>
    <w:rsid w:val="00EC4F97"/>
    <w:rPr>
      <w:rFonts w:ascii="Arial" w:hAnsi="Arial"/>
      <w:bCs/>
      <w:iCs/>
      <w:color w:val="000000"/>
      <w:spacing w:val="10"/>
      <w:kern w:val="28"/>
      <w:sz w:val="25"/>
      <w:szCs w:val="26"/>
      <w:lang w:val="eu-ES" w:eastAsia="en-US"/>
    </w:rPr>
  </w:style>
  <w:style w:type="paragraph" w:styleId="Prrafodelista">
    <w:name w:val="List Paragraph"/>
    <w:basedOn w:val="Normal"/>
    <w:uiPriority w:val="99"/>
    <w:qFormat/>
    <w:rsid w:val="00EC4F97"/>
    <w:pPr>
      <w:ind w:left="720"/>
      <w:contextualSpacing/>
    </w:pPr>
  </w:style>
  <w:style w:type="paragraph" w:styleId="Textonotapie">
    <w:name w:val="footnote text"/>
    <w:basedOn w:val="Normal"/>
    <w:link w:val="TextonotapieCar"/>
    <w:uiPriority w:val="99"/>
    <w:rsid w:val="00EC4F97"/>
  </w:style>
  <w:style w:type="character" w:customStyle="1" w:styleId="TextonotapieCar">
    <w:name w:val="Texto nota pie Car"/>
    <w:basedOn w:val="Fuentedeprrafopredeter"/>
    <w:link w:val="Textonotapie"/>
    <w:uiPriority w:val="99"/>
    <w:rsid w:val="00EC4F97"/>
    <w:rPr>
      <w:lang w:val="eu-ES" w:eastAsia="en-US"/>
    </w:rPr>
  </w:style>
  <w:style w:type="character" w:styleId="Refdenotaalpie">
    <w:name w:val="footnote reference"/>
    <w:basedOn w:val="Fuentedeprrafopredeter"/>
    <w:uiPriority w:val="99"/>
    <w:rsid w:val="00EC4F97"/>
    <w:rPr>
      <w:rFonts w:cs="Times New Roman"/>
      <w:vertAlign w:val="superscript"/>
    </w:rPr>
  </w:style>
  <w:style w:type="character" w:styleId="nfasis">
    <w:name w:val="Emphasis"/>
    <w:basedOn w:val="Fuentedeprrafopredeter"/>
    <w:uiPriority w:val="99"/>
    <w:qFormat/>
    <w:rsid w:val="00EC4F97"/>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uiPriority="99"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
    <w:rsid w:val="00EC4F97"/>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
    <w:rsid w:val="00EC4F97"/>
    <w:rPr>
      <w:rFonts w:ascii="Arial" w:hAnsi="Arial" w:cs="Arial"/>
      <w:b/>
      <w:bCs/>
      <w:i/>
      <w:iCs/>
      <w:sz w:val="28"/>
      <w:szCs w:val="28"/>
      <w:lang w:val="eu-ES" w:eastAsia="en-US"/>
    </w:rPr>
  </w:style>
  <w:style w:type="character" w:customStyle="1" w:styleId="Ttulo3Car">
    <w:name w:val="Título 3 Car"/>
    <w:basedOn w:val="Fuentedeprrafopredeter"/>
    <w:link w:val="Ttulo3"/>
    <w:uiPriority w:val="9"/>
    <w:rsid w:val="00EC4F97"/>
    <w:rPr>
      <w:rFonts w:ascii="Arial" w:hAnsi="Arial" w:cs="Arial"/>
      <w:b/>
      <w:bCs/>
      <w:szCs w:val="26"/>
      <w:lang w:val="eu-ES" w:eastAsia="en-US"/>
    </w:rPr>
  </w:style>
  <w:style w:type="character" w:customStyle="1" w:styleId="Ttulo5Car">
    <w:name w:val="Título 5 Car"/>
    <w:basedOn w:val="Fuentedeprrafopredeter"/>
    <w:link w:val="Ttulo5"/>
    <w:uiPriority w:val="9"/>
    <w:rsid w:val="00EC4F97"/>
    <w:rPr>
      <w:b/>
      <w:sz w:val="28"/>
      <w:lang w:eastAsia="en-US"/>
    </w:rPr>
  </w:style>
  <w:style w:type="character" w:customStyle="1" w:styleId="TextodegloboCar">
    <w:name w:val="Texto de globo Car"/>
    <w:basedOn w:val="Fuentedeprrafopredeter"/>
    <w:link w:val="Textodeglobo"/>
    <w:uiPriority w:val="99"/>
    <w:semiHidden/>
    <w:rsid w:val="00EC4F97"/>
    <w:rPr>
      <w:rFonts w:ascii="Tahoma" w:hAnsi="Tahoma" w:cs="Tahoma"/>
      <w:sz w:val="16"/>
      <w:szCs w:val="16"/>
      <w:lang w:val="eu-ES" w:eastAsia="en-US"/>
    </w:rPr>
  </w:style>
  <w:style w:type="character" w:customStyle="1" w:styleId="EncabezadoCar">
    <w:name w:val="Encabezado Car"/>
    <w:basedOn w:val="Fuentedeprrafopredeter"/>
    <w:link w:val="Encabezado"/>
    <w:uiPriority w:val="99"/>
    <w:rsid w:val="00EC4F97"/>
    <w:rPr>
      <w:bCs/>
      <w:caps/>
      <w:sz w:val="14"/>
      <w:szCs w:val="12"/>
      <w:lang w:val="eu-ES" w:eastAsia="en-US"/>
    </w:rPr>
  </w:style>
  <w:style w:type="character" w:customStyle="1" w:styleId="PiedepginaCar">
    <w:name w:val="Pie de página Car"/>
    <w:basedOn w:val="Fuentedeprrafopredeter"/>
    <w:link w:val="Piedepgina"/>
    <w:uiPriority w:val="99"/>
    <w:rsid w:val="00EC4F97"/>
    <w:rPr>
      <w:spacing w:val="6"/>
      <w:lang w:val="eu-ES" w:eastAsia="en-US"/>
    </w:rPr>
  </w:style>
  <w:style w:type="character" w:customStyle="1" w:styleId="atitulo1Car">
    <w:name w:val="atitulo1 Car"/>
    <w:basedOn w:val="Fuentedeprrafopredeter"/>
    <w:link w:val="atitulo1"/>
    <w:uiPriority w:val="99"/>
    <w:locked/>
    <w:rsid w:val="00EC4F97"/>
    <w:rPr>
      <w:rFonts w:ascii="Arial" w:hAnsi="Arial"/>
      <w:b/>
      <w:color w:val="000000"/>
      <w:kern w:val="28"/>
      <w:sz w:val="25"/>
      <w:szCs w:val="26"/>
      <w:lang w:val="eu-ES" w:eastAsia="en-US"/>
    </w:rPr>
  </w:style>
  <w:style w:type="character" w:customStyle="1" w:styleId="atitulo2Car">
    <w:name w:val="atitulo2 Car"/>
    <w:link w:val="atitulo2"/>
    <w:uiPriority w:val="99"/>
    <w:locked/>
    <w:rsid w:val="00EC4F97"/>
    <w:rPr>
      <w:rFonts w:ascii="Arial" w:hAnsi="Arial"/>
      <w:bCs/>
      <w:iCs/>
      <w:color w:val="000000"/>
      <w:spacing w:val="10"/>
      <w:kern w:val="28"/>
      <w:sz w:val="25"/>
      <w:szCs w:val="26"/>
      <w:lang w:val="eu-ES" w:eastAsia="en-US"/>
    </w:rPr>
  </w:style>
  <w:style w:type="paragraph" w:styleId="Prrafodelista">
    <w:name w:val="List Paragraph"/>
    <w:basedOn w:val="Normal"/>
    <w:uiPriority w:val="99"/>
    <w:qFormat/>
    <w:rsid w:val="00EC4F97"/>
    <w:pPr>
      <w:ind w:left="720"/>
      <w:contextualSpacing/>
    </w:pPr>
  </w:style>
  <w:style w:type="paragraph" w:styleId="Textonotapie">
    <w:name w:val="footnote text"/>
    <w:basedOn w:val="Normal"/>
    <w:link w:val="TextonotapieCar"/>
    <w:uiPriority w:val="99"/>
    <w:rsid w:val="00EC4F97"/>
  </w:style>
  <w:style w:type="character" w:customStyle="1" w:styleId="TextonotapieCar">
    <w:name w:val="Texto nota pie Car"/>
    <w:basedOn w:val="Fuentedeprrafopredeter"/>
    <w:link w:val="Textonotapie"/>
    <w:uiPriority w:val="99"/>
    <w:rsid w:val="00EC4F97"/>
    <w:rPr>
      <w:lang w:val="eu-ES" w:eastAsia="en-US"/>
    </w:rPr>
  </w:style>
  <w:style w:type="character" w:styleId="Refdenotaalpie">
    <w:name w:val="footnote reference"/>
    <w:basedOn w:val="Fuentedeprrafopredeter"/>
    <w:uiPriority w:val="99"/>
    <w:rsid w:val="00EC4F97"/>
    <w:rPr>
      <w:rFonts w:cs="Times New Roman"/>
      <w:vertAlign w:val="superscript"/>
    </w:rPr>
  </w:style>
  <w:style w:type="character" w:styleId="nfasis">
    <w:name w:val="Emphasis"/>
    <w:basedOn w:val="Fuentedeprrafopredeter"/>
    <w:uiPriority w:val="99"/>
    <w:qFormat/>
    <w:rsid w:val="00EC4F9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084F-2EB7-4D18-836F-D9BB1103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7594</Words>
  <Characters>56193</Characters>
  <Application>Microsoft Office Word</Application>
  <DocSecurity>0</DocSecurity>
  <Lines>468</Lines>
  <Paragraphs>127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Erburu Elizondo, Fernando (Cámara de Comptos)</dc:creator>
  <cp:lastModifiedBy>Iñaki De Santiago</cp:lastModifiedBy>
  <cp:revision>11</cp:revision>
  <cp:lastPrinted>2012-11-09T08:07:00Z</cp:lastPrinted>
  <dcterms:created xsi:type="dcterms:W3CDTF">2019-12-23T08:38:00Z</dcterms:created>
  <dcterms:modified xsi:type="dcterms:W3CDTF">2019-12-23T09:13:00Z</dcterms:modified>
</cp:coreProperties>
</file>