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Erriberan lanpostuen behin-behinekotasunari aurre egiteko hartu beharreko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Garapen Ekonomiko eta Enpresarialeko kontseilariak hurrengo Osoko Bilkuran ahoz erantzun dezan: </w:t>
      </w:r>
    </w:p>
    <w:p>
      <w:pPr>
        <w:pStyle w:val="0"/>
        <w:suppressAutoHyphens w:val="false"/>
        <w:rPr>
          <w:rStyle w:val="1"/>
        </w:rPr>
      </w:pPr>
      <w:r>
        <w:rPr>
          <w:rStyle w:val="1"/>
        </w:rPr>
        <w:t xml:space="preserve">CCOO sindikatuak Erriberako laneko behin-behinekotasuna % 90 ingurukoa dela salatu ondoren, zer neurri hartuko ditu Gobernuak kopuru horiei konponbidea emateko? </w:t>
      </w:r>
    </w:p>
    <w:p>
      <w:pPr>
        <w:pStyle w:val="0"/>
        <w:suppressAutoHyphens w:val="false"/>
        <w:rPr>
          <w:rStyle w:val="1"/>
        </w:rPr>
      </w:pPr>
      <w:r>
        <w:rPr>
          <w:rStyle w:val="1"/>
        </w:rPr>
        <w:t xml:space="preserve">Iruñean, 2019ko abenduaren 20an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