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Gaturi (Gastronomía y Alimentación por un Destino Único Internacional) e incidencia en el sector turístico de Navarra,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dispuesto en el Reglamento de esta Cámara, presenta la siguiente pregunta oral con el fin de que sea respondida en el Pleno por el consejero de Desarrollo Económico y Empresarial. </w:t>
      </w:r>
    </w:p>
    <w:p>
      <w:pPr>
        <w:pStyle w:val="0"/>
        <w:suppressAutoHyphens w:val="false"/>
        <w:rPr>
          <w:rStyle w:val="1"/>
        </w:rPr>
      </w:pPr>
      <w:r>
        <w:rPr>
          <w:rStyle w:val="1"/>
        </w:rPr>
        <w:t xml:space="preserve">¿Con qué objetivos y expectativas nace Gaturi (Gastronomía y agroalimentación por un destino turístico único internacional) y qué incidencia tendrá en el sector turístico de Navarra? </w:t>
      </w:r>
    </w:p>
    <w:p>
      <w:pPr>
        <w:pStyle w:val="0"/>
        <w:suppressAutoHyphens w:val="false"/>
        <w:rPr>
          <w:rStyle w:val="1"/>
        </w:rPr>
      </w:pPr>
      <w:r>
        <w:rPr>
          <w:rStyle w:val="1"/>
        </w:rPr>
        <w:t xml:space="preserve">En Pamplona-Iruña, a 24 de enero de 2020</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