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7" w:rsidRPr="00F51CFF" w:rsidRDefault="00E06D27">
      <w:pPr>
        <w:rPr>
          <w:sz w:val="22"/>
          <w:szCs w:val="22"/>
          <w:lang w:val="es-ES_tradnl"/>
        </w:rPr>
      </w:pPr>
      <w:bookmarkStart w:id="0" w:name="_GoBack"/>
      <w:bookmarkEnd w:id="0"/>
      <w:r w:rsidRPr="00F51CFF">
        <w:rPr>
          <w:sz w:val="22"/>
          <w:szCs w:val="22"/>
          <w:lang w:val="es-ES_tradnl"/>
        </w:rPr>
        <w:t>19 de diciembre</w:t>
      </w:r>
    </w:p>
    <w:p w:rsidR="00E06D27" w:rsidRPr="00F51CFF" w:rsidRDefault="00A711C6"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La Consejera de Salud del Gobierno de Navarra, en relación con la pregunta escrita (10-19-PES-00</w:t>
      </w:r>
      <w:r w:rsidR="005C50B3" w:rsidRPr="00F51CFF">
        <w:rPr>
          <w:rFonts w:ascii="Century Gothic" w:hAnsi="Century Gothic"/>
          <w:sz w:val="22"/>
          <w:szCs w:val="22"/>
        </w:rPr>
        <w:t>158</w:t>
      </w:r>
      <w:r w:rsidRPr="00F51CFF">
        <w:rPr>
          <w:rFonts w:ascii="Century Gothic" w:hAnsi="Century Gothic"/>
          <w:sz w:val="22"/>
          <w:szCs w:val="22"/>
        </w:rPr>
        <w:t xml:space="preserve">) presentada por </w:t>
      </w:r>
      <w:r w:rsidR="005C50B3" w:rsidRPr="00F51CFF">
        <w:rPr>
          <w:rFonts w:ascii="Century Gothic" w:hAnsi="Century Gothic"/>
          <w:sz w:val="22"/>
          <w:szCs w:val="22"/>
        </w:rPr>
        <w:t>la Parlamentaria Foral Ilma</w:t>
      </w:r>
      <w:r w:rsidRPr="00F51CFF">
        <w:rPr>
          <w:rFonts w:ascii="Century Gothic" w:hAnsi="Century Gothic"/>
          <w:sz w:val="22"/>
          <w:szCs w:val="22"/>
        </w:rPr>
        <w:t>. Sr</w:t>
      </w:r>
      <w:r w:rsidR="005C50B3" w:rsidRPr="00F51CFF">
        <w:rPr>
          <w:rFonts w:ascii="Century Gothic" w:hAnsi="Century Gothic"/>
          <w:sz w:val="22"/>
          <w:szCs w:val="22"/>
        </w:rPr>
        <w:t>a</w:t>
      </w:r>
      <w:r w:rsidRPr="00F51CFF">
        <w:rPr>
          <w:rFonts w:ascii="Century Gothic" w:hAnsi="Century Gothic"/>
          <w:sz w:val="22"/>
          <w:szCs w:val="22"/>
        </w:rPr>
        <w:t xml:space="preserve">. </w:t>
      </w:r>
      <w:r w:rsidR="005C50B3" w:rsidRPr="00F51CFF">
        <w:rPr>
          <w:rFonts w:ascii="Century Gothic" w:hAnsi="Century Gothic"/>
          <w:sz w:val="22"/>
          <w:szCs w:val="22"/>
        </w:rPr>
        <w:t>Cristina Ibarrola Guillén</w:t>
      </w:r>
      <w:r w:rsidRPr="00F51CFF">
        <w:rPr>
          <w:rFonts w:ascii="Century Gothic" w:hAnsi="Century Gothic"/>
          <w:sz w:val="22"/>
          <w:szCs w:val="22"/>
        </w:rPr>
        <w:t xml:space="preserve">, adscrito al Grupo Parlamentario de </w:t>
      </w:r>
      <w:r w:rsidR="005C50B3" w:rsidRPr="00F51CFF">
        <w:rPr>
          <w:rFonts w:ascii="Century Gothic" w:hAnsi="Century Gothic"/>
          <w:sz w:val="22"/>
          <w:szCs w:val="22"/>
        </w:rPr>
        <w:t>Navarra Suma</w:t>
      </w:r>
      <w:r w:rsidRPr="00F51CFF">
        <w:rPr>
          <w:rFonts w:ascii="Century Gothic" w:hAnsi="Century Gothic"/>
          <w:sz w:val="22"/>
          <w:szCs w:val="22"/>
        </w:rPr>
        <w:t>, tiene el honor de remitirle la siguiente información:</w:t>
      </w:r>
    </w:p>
    <w:p w:rsidR="005C50B3" w:rsidRPr="00F51CFF" w:rsidRDefault="001974B9"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 xml:space="preserve">En relación con la información solicitada, </w:t>
      </w:r>
      <w:r w:rsidR="00067159" w:rsidRPr="00F51CFF">
        <w:rPr>
          <w:rFonts w:ascii="Century Gothic" w:hAnsi="Century Gothic"/>
          <w:sz w:val="22"/>
          <w:szCs w:val="22"/>
        </w:rPr>
        <w:t>les in</w:t>
      </w:r>
      <w:r w:rsidR="00E20ACD" w:rsidRPr="00F51CFF">
        <w:rPr>
          <w:rFonts w:ascii="Century Gothic" w:hAnsi="Century Gothic"/>
          <w:sz w:val="22"/>
          <w:szCs w:val="22"/>
        </w:rPr>
        <w:t>dico</w:t>
      </w:r>
      <w:r w:rsidR="00067159" w:rsidRPr="00F51CFF">
        <w:rPr>
          <w:rFonts w:ascii="Century Gothic" w:hAnsi="Century Gothic"/>
          <w:sz w:val="22"/>
          <w:szCs w:val="22"/>
        </w:rPr>
        <w:t xml:space="preserve"> que </w:t>
      </w:r>
      <w:r w:rsidRPr="00F51CFF">
        <w:rPr>
          <w:rFonts w:ascii="Century Gothic" w:hAnsi="Century Gothic"/>
          <w:sz w:val="22"/>
          <w:szCs w:val="22"/>
        </w:rPr>
        <w:t>e</w:t>
      </w:r>
      <w:r w:rsidR="005C50B3" w:rsidRPr="00F51CFF">
        <w:rPr>
          <w:rFonts w:ascii="Century Gothic" w:hAnsi="Century Gothic"/>
          <w:sz w:val="22"/>
          <w:szCs w:val="22"/>
        </w:rPr>
        <w:t xml:space="preserve">l real Decreto 137/1984, de 11 de enero, sobre estructuras básicas de salud,   establece en su artículo 1 la delimitación del marco territorial que abarcará cada Zona de Salud y en concreto expone lo siguiente: </w:t>
      </w:r>
    </w:p>
    <w:p w:rsidR="005C50B3" w:rsidRPr="00F51CFF" w:rsidRDefault="005C50B3"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 xml:space="preserve"> </w:t>
      </w:r>
    </w:p>
    <w:p w:rsidR="00E06D27" w:rsidRPr="00F51CFF" w:rsidRDefault="005C50B3" w:rsidP="005806B5">
      <w:pPr>
        <w:spacing w:line="288" w:lineRule="auto"/>
        <w:jc w:val="both"/>
        <w:rPr>
          <w:rFonts w:ascii="Century Gothic" w:hAnsi="Century Gothic"/>
          <w:i/>
          <w:sz w:val="22"/>
          <w:szCs w:val="22"/>
        </w:rPr>
      </w:pPr>
      <w:r w:rsidRPr="00F51CFF">
        <w:rPr>
          <w:rFonts w:ascii="Century Gothic" w:hAnsi="Century Gothic"/>
          <w:i/>
          <w:sz w:val="22"/>
          <w:szCs w:val="22"/>
        </w:rPr>
        <w:t>“Artículo 1. Delimitación de la Zona de Salud.</w:t>
      </w:r>
    </w:p>
    <w:p w:rsidR="00E06D27" w:rsidRPr="00F51CFF" w:rsidRDefault="005C50B3" w:rsidP="005806B5">
      <w:pPr>
        <w:spacing w:line="288" w:lineRule="auto"/>
        <w:jc w:val="both"/>
        <w:rPr>
          <w:rFonts w:ascii="Century Gothic" w:hAnsi="Century Gothic"/>
          <w:i/>
          <w:sz w:val="22"/>
          <w:szCs w:val="22"/>
        </w:rPr>
      </w:pPr>
      <w:r w:rsidRPr="00F51CFF">
        <w:rPr>
          <w:rFonts w:ascii="Century Gothic" w:hAnsi="Century Gothic"/>
          <w:i/>
          <w:sz w:val="22"/>
          <w:szCs w:val="22"/>
        </w:rPr>
        <w:t>1. La Zona de Salud, marco territorial de la atención primaria de salud, es la demarcación poblacional y geográfica fundamental: delimitada a una determinada población, siendo accesible desde todos los puntos y capaz de proporcionar una atención de salud continuada, integral y permanente con el fin de coordinar las funciones sanitarias afines.</w:t>
      </w:r>
    </w:p>
    <w:p w:rsidR="00E06D27" w:rsidRPr="00F51CFF" w:rsidRDefault="005C50B3" w:rsidP="005806B5">
      <w:pPr>
        <w:spacing w:line="288" w:lineRule="auto"/>
        <w:jc w:val="both"/>
        <w:rPr>
          <w:rFonts w:ascii="Century Gothic" w:hAnsi="Century Gothic"/>
          <w:i/>
          <w:sz w:val="22"/>
          <w:szCs w:val="22"/>
        </w:rPr>
      </w:pPr>
      <w:r w:rsidRPr="00F51CFF">
        <w:rPr>
          <w:rFonts w:ascii="Century Gothic" w:hAnsi="Century Gothic"/>
          <w:i/>
          <w:sz w:val="22"/>
          <w:szCs w:val="22"/>
        </w:rPr>
        <w:t>2. La delimitación del marco territorial que abarcará cada Zona de Salud se hará por la Comunidad Autónoma, teniendo en cuenta criterios demográficos, geográficos y sociales. En aplicación de estos criterios, la población protegida por la Seguridad Social a atender en cada Zona de Salud podrá oscilar entre 5.000 y 25.000 habitantes, tanto en el medio rural como en el medio urbano.</w:t>
      </w:r>
    </w:p>
    <w:p w:rsidR="00E06D27" w:rsidRPr="00F51CFF" w:rsidRDefault="005C50B3" w:rsidP="005806B5">
      <w:pPr>
        <w:spacing w:line="288" w:lineRule="auto"/>
        <w:jc w:val="both"/>
        <w:rPr>
          <w:rFonts w:ascii="Century Gothic" w:hAnsi="Century Gothic"/>
          <w:sz w:val="22"/>
          <w:szCs w:val="22"/>
        </w:rPr>
      </w:pPr>
      <w:r w:rsidRPr="00F51CFF">
        <w:rPr>
          <w:rFonts w:ascii="Century Gothic" w:hAnsi="Century Gothic"/>
          <w:i/>
          <w:sz w:val="22"/>
          <w:szCs w:val="22"/>
        </w:rPr>
        <w:t>No obstante, y con carácter excepcional, podrá determinarse una Zona cuya cifra de población sea inferior a 5.000 habitantes para medios rurales, donde la dispersión geográfica u otras condiciones del medio lo aconsejen. Asimismo, y también con carácter excepcional, podrá abarcar una población mayor cuando las circunstancias poblacionales lo aconsejen.</w:t>
      </w:r>
      <w:r w:rsidRPr="00F51CFF">
        <w:rPr>
          <w:rFonts w:ascii="Century Gothic" w:hAnsi="Century Gothic"/>
          <w:sz w:val="22"/>
          <w:szCs w:val="22"/>
        </w:rPr>
        <w:t>”</w:t>
      </w:r>
    </w:p>
    <w:p w:rsidR="00E06D27" w:rsidRPr="00F51CFF" w:rsidRDefault="005C50B3" w:rsidP="005806B5">
      <w:pPr>
        <w:tabs>
          <w:tab w:val="left" w:pos="3780"/>
        </w:tabs>
        <w:spacing w:line="288" w:lineRule="auto"/>
        <w:jc w:val="both"/>
        <w:rPr>
          <w:rFonts w:ascii="Century Gothic" w:hAnsi="Century Gothic"/>
          <w:i/>
          <w:sz w:val="22"/>
          <w:szCs w:val="22"/>
        </w:rPr>
      </w:pPr>
      <w:r w:rsidRPr="00F51CFF">
        <w:rPr>
          <w:rFonts w:ascii="Century Gothic" w:hAnsi="Century Gothic"/>
          <w:sz w:val="22"/>
          <w:szCs w:val="22"/>
        </w:rPr>
        <w:t xml:space="preserve">En este sentido y con el fin de abordar las prestaciones de Atención Primaria del núcleo urbano de Tudela, así como de algunos Servicios Comunitarios del Área de Salud, se constituyó un grupo de trabajo multidisciplinar compuesto por representantes del AST y del Ayuntamiento de Tudela, enfocado al análisis y estudio de alternativas para la reordenación asistencial de la zona urbana, partiendo de un análisis de </w:t>
      </w:r>
      <w:r w:rsidR="0031649F" w:rsidRPr="00F51CFF">
        <w:rPr>
          <w:rFonts w:ascii="Century Gothic" w:hAnsi="Century Gothic"/>
          <w:sz w:val="22"/>
          <w:szCs w:val="22"/>
        </w:rPr>
        <w:t xml:space="preserve">la situación en base a </w:t>
      </w:r>
      <w:r w:rsidRPr="00F51CFF">
        <w:rPr>
          <w:rFonts w:ascii="Century Gothic" w:hAnsi="Century Gothic"/>
          <w:sz w:val="22"/>
          <w:szCs w:val="22"/>
        </w:rPr>
        <w:t xml:space="preserve">criterios demográficos, geográficos y sociales </w:t>
      </w:r>
      <w:r w:rsidR="0031649F" w:rsidRPr="00F51CFF">
        <w:rPr>
          <w:rFonts w:ascii="Century Gothic" w:hAnsi="Century Gothic"/>
          <w:sz w:val="22"/>
          <w:szCs w:val="22"/>
        </w:rPr>
        <w:t xml:space="preserve">así como de infraestructuras y recursos actuales,  en el que también participó el Servicio de Planificación, </w:t>
      </w:r>
      <w:r w:rsidR="004157A3" w:rsidRPr="00F51CFF">
        <w:rPr>
          <w:rFonts w:ascii="Century Gothic" w:hAnsi="Century Gothic"/>
          <w:sz w:val="22"/>
          <w:szCs w:val="22"/>
        </w:rPr>
        <w:t>E</w:t>
      </w:r>
      <w:r w:rsidR="0031649F" w:rsidRPr="00F51CFF">
        <w:rPr>
          <w:rFonts w:ascii="Century Gothic" w:hAnsi="Century Gothic"/>
          <w:sz w:val="22"/>
          <w:szCs w:val="22"/>
        </w:rPr>
        <w:t xml:space="preserve">valuación y Gestión del Conocimiento del Departamento de Salud y  </w:t>
      </w:r>
      <w:r w:rsidRPr="00F51CFF">
        <w:rPr>
          <w:rFonts w:ascii="Century Gothic" w:hAnsi="Century Gothic"/>
          <w:sz w:val="22"/>
          <w:szCs w:val="22"/>
        </w:rPr>
        <w:t xml:space="preserve">que </w:t>
      </w:r>
      <w:r w:rsidR="00136A9A" w:rsidRPr="00F51CFF">
        <w:rPr>
          <w:rFonts w:ascii="Century Gothic" w:hAnsi="Century Gothic"/>
          <w:sz w:val="22"/>
          <w:szCs w:val="22"/>
        </w:rPr>
        <w:t xml:space="preserve">concluyó </w:t>
      </w:r>
      <w:r w:rsidR="00511154" w:rsidRPr="00F51CFF">
        <w:rPr>
          <w:rFonts w:ascii="Century Gothic" w:hAnsi="Century Gothic"/>
          <w:sz w:val="22"/>
          <w:szCs w:val="22"/>
        </w:rPr>
        <w:t>con</w:t>
      </w:r>
      <w:r w:rsidRPr="00F51CFF">
        <w:rPr>
          <w:rFonts w:ascii="Century Gothic" w:hAnsi="Century Gothic"/>
          <w:sz w:val="22"/>
          <w:szCs w:val="22"/>
        </w:rPr>
        <w:t xml:space="preserve"> el informe ejecutivo que se adjunta. </w:t>
      </w:r>
      <w:r w:rsidR="0031649F" w:rsidRPr="00F51CFF">
        <w:rPr>
          <w:rFonts w:ascii="Century Gothic" w:hAnsi="Century Gothic"/>
          <w:i/>
          <w:sz w:val="22"/>
          <w:szCs w:val="22"/>
        </w:rPr>
        <w:t xml:space="preserve">(Informe ejecutivo de la ordenación sanitaria y estado actual de los centros de Atención Primaria y Comunitaria del </w:t>
      </w:r>
      <w:r w:rsidR="00E06D27" w:rsidRPr="00F51CFF">
        <w:rPr>
          <w:rFonts w:ascii="Century Gothic" w:hAnsi="Century Gothic"/>
          <w:i/>
          <w:sz w:val="22"/>
          <w:szCs w:val="22"/>
        </w:rPr>
        <w:t>Área</w:t>
      </w:r>
      <w:r w:rsidR="0031649F" w:rsidRPr="00F51CFF">
        <w:rPr>
          <w:rFonts w:ascii="Century Gothic" w:hAnsi="Century Gothic"/>
          <w:i/>
          <w:sz w:val="22"/>
          <w:szCs w:val="22"/>
        </w:rPr>
        <w:t xml:space="preserve"> de Salud de Tudela).</w:t>
      </w:r>
    </w:p>
    <w:p w:rsidR="00E06D27" w:rsidRPr="00F51CFF" w:rsidRDefault="00136A9A"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E</w:t>
      </w:r>
      <w:r w:rsidR="005C50B3" w:rsidRPr="00F51CFF">
        <w:rPr>
          <w:rFonts w:ascii="Century Gothic" w:hAnsi="Century Gothic"/>
          <w:sz w:val="22"/>
          <w:szCs w:val="22"/>
        </w:rPr>
        <w:t xml:space="preserve">n dicho informe </w:t>
      </w:r>
      <w:r w:rsidRPr="00F51CFF">
        <w:rPr>
          <w:rFonts w:ascii="Century Gothic" w:hAnsi="Century Gothic"/>
          <w:sz w:val="22"/>
          <w:szCs w:val="22"/>
        </w:rPr>
        <w:t>s</w:t>
      </w:r>
      <w:r w:rsidR="005C50B3" w:rsidRPr="00F51CFF">
        <w:rPr>
          <w:rFonts w:ascii="Century Gothic" w:hAnsi="Century Gothic"/>
          <w:sz w:val="22"/>
          <w:szCs w:val="22"/>
        </w:rPr>
        <w:t>e detallan y valoran diferentes alternativas de reordenación sanitaria</w:t>
      </w:r>
      <w:r w:rsidRPr="00F51CFF">
        <w:rPr>
          <w:rFonts w:ascii="Century Gothic" w:hAnsi="Century Gothic"/>
          <w:sz w:val="22"/>
          <w:szCs w:val="22"/>
        </w:rPr>
        <w:t xml:space="preserve"> de la zona urbana de Tudela </w:t>
      </w:r>
      <w:r w:rsidR="005C50B3" w:rsidRPr="00F51CFF">
        <w:rPr>
          <w:rFonts w:ascii="Century Gothic" w:hAnsi="Century Gothic"/>
          <w:sz w:val="22"/>
          <w:szCs w:val="22"/>
        </w:rPr>
        <w:t>, que incluye</w:t>
      </w:r>
      <w:r w:rsidRPr="00F51CFF">
        <w:rPr>
          <w:rFonts w:ascii="Century Gothic" w:hAnsi="Century Gothic"/>
          <w:sz w:val="22"/>
          <w:szCs w:val="22"/>
        </w:rPr>
        <w:t>n</w:t>
      </w:r>
      <w:r w:rsidR="005C50B3" w:rsidRPr="00F51CFF">
        <w:rPr>
          <w:rFonts w:ascii="Century Gothic" w:hAnsi="Century Gothic"/>
          <w:sz w:val="22"/>
          <w:szCs w:val="22"/>
        </w:rPr>
        <w:t xml:space="preserve"> tanto la valoración de una tercera zona básica </w:t>
      </w:r>
      <w:r w:rsidRPr="00F51CFF">
        <w:rPr>
          <w:rFonts w:ascii="Century Gothic" w:hAnsi="Century Gothic"/>
          <w:sz w:val="22"/>
          <w:szCs w:val="22"/>
        </w:rPr>
        <w:t xml:space="preserve">de salud,  </w:t>
      </w:r>
      <w:r w:rsidR="005C50B3" w:rsidRPr="00F51CFF">
        <w:rPr>
          <w:rFonts w:ascii="Century Gothic" w:hAnsi="Century Gothic"/>
          <w:sz w:val="22"/>
          <w:szCs w:val="22"/>
        </w:rPr>
        <w:t>como la posibilidad de un consultorio en el Barrio de Lourdes dependiente del Centro de Salud de Tudela Este</w:t>
      </w:r>
      <w:r w:rsidRPr="00F51CFF">
        <w:rPr>
          <w:rFonts w:ascii="Century Gothic" w:hAnsi="Century Gothic"/>
          <w:sz w:val="22"/>
          <w:szCs w:val="22"/>
        </w:rPr>
        <w:t>, así como otras opciones de reordenación</w:t>
      </w:r>
      <w:r w:rsidR="00067159" w:rsidRPr="00F51CFF">
        <w:rPr>
          <w:rFonts w:ascii="Century Gothic" w:hAnsi="Century Gothic"/>
          <w:sz w:val="22"/>
          <w:szCs w:val="22"/>
        </w:rPr>
        <w:t>:</w:t>
      </w:r>
      <w:r w:rsidR="005C50B3" w:rsidRPr="00F51CFF">
        <w:rPr>
          <w:rFonts w:ascii="Century Gothic" w:hAnsi="Century Gothic"/>
          <w:sz w:val="22"/>
          <w:szCs w:val="22"/>
        </w:rPr>
        <w:t xml:space="preserve"> </w:t>
      </w:r>
    </w:p>
    <w:p w:rsidR="005C50B3" w:rsidRPr="00F51CFF" w:rsidRDefault="005C50B3" w:rsidP="005806B5">
      <w:pPr>
        <w:spacing w:line="288" w:lineRule="auto"/>
        <w:jc w:val="both"/>
        <w:rPr>
          <w:rFonts w:ascii="Century Gothic" w:hAnsi="Century Gothic"/>
          <w:i/>
          <w:sz w:val="22"/>
          <w:szCs w:val="22"/>
        </w:rPr>
      </w:pPr>
      <w:r w:rsidRPr="00F51CFF">
        <w:rPr>
          <w:rFonts w:ascii="Century Gothic" w:hAnsi="Century Gothic"/>
          <w:i/>
          <w:sz w:val="22"/>
          <w:szCs w:val="22"/>
        </w:rPr>
        <w:lastRenderedPageBreak/>
        <w:t xml:space="preserve">“En cuanto a la zonificación sanitaria caben dos posibles planteamientos futuros: </w:t>
      </w:r>
    </w:p>
    <w:p w:rsidR="005C50B3" w:rsidRPr="00F51CFF" w:rsidRDefault="005C50B3" w:rsidP="005806B5">
      <w:pPr>
        <w:pStyle w:val="Prrafodelista"/>
        <w:numPr>
          <w:ilvl w:val="0"/>
          <w:numId w:val="1"/>
        </w:numPr>
        <w:spacing w:line="288" w:lineRule="auto"/>
        <w:jc w:val="both"/>
        <w:rPr>
          <w:rFonts w:ascii="Century Gothic" w:hAnsi="Century Gothic"/>
          <w:i/>
        </w:rPr>
      </w:pPr>
      <w:r w:rsidRPr="00F51CFF">
        <w:rPr>
          <w:rFonts w:ascii="Century Gothic" w:hAnsi="Century Gothic"/>
          <w:i/>
        </w:rPr>
        <w:t xml:space="preserve"> Mantener dos zonas básicas de Salud </w:t>
      </w:r>
    </w:p>
    <w:p w:rsidR="00E06D27" w:rsidRPr="00F51CFF" w:rsidRDefault="005C50B3" w:rsidP="005806B5">
      <w:pPr>
        <w:pStyle w:val="Prrafodelista"/>
        <w:numPr>
          <w:ilvl w:val="0"/>
          <w:numId w:val="1"/>
        </w:numPr>
        <w:spacing w:line="288" w:lineRule="auto"/>
        <w:jc w:val="both"/>
        <w:rPr>
          <w:rFonts w:ascii="Century Gothic" w:hAnsi="Century Gothic"/>
          <w:i/>
        </w:rPr>
      </w:pPr>
      <w:r w:rsidRPr="00F51CFF">
        <w:rPr>
          <w:rFonts w:ascii="Century Gothic" w:hAnsi="Century Gothic"/>
          <w:i/>
        </w:rPr>
        <w:t xml:space="preserve"> Crear una nueva, tercera zona. </w:t>
      </w:r>
    </w:p>
    <w:p w:rsidR="005C50B3" w:rsidRPr="00F51CFF" w:rsidRDefault="005C50B3" w:rsidP="005806B5">
      <w:pPr>
        <w:spacing w:line="288" w:lineRule="auto"/>
        <w:jc w:val="both"/>
        <w:rPr>
          <w:rFonts w:ascii="Century Gothic" w:hAnsi="Century Gothic"/>
          <w:i/>
          <w:sz w:val="22"/>
          <w:szCs w:val="22"/>
        </w:rPr>
      </w:pPr>
      <w:r w:rsidRPr="00F51CFF">
        <w:rPr>
          <w:rFonts w:ascii="Century Gothic" w:hAnsi="Century Gothic"/>
          <w:i/>
          <w:sz w:val="22"/>
          <w:szCs w:val="22"/>
        </w:rPr>
        <w:t xml:space="preserve">En la Z.B.S de Tudela-Este (22.947 TIS, dato actualizado a 30-9-2019) no se espera mucho crecimiento en la próxima década. Sin embargo, la Z.B.S de Tudela Oeste (13.601 TIS dato actualizado a 30-9-2019) será la principal zona de crecimiento urbano con una previsión de entre 1.750 y 2.000 TIS nuevas. </w:t>
      </w:r>
    </w:p>
    <w:p w:rsidR="005C50B3" w:rsidRPr="00F51CFF" w:rsidRDefault="005C50B3" w:rsidP="005806B5">
      <w:pPr>
        <w:spacing w:line="288" w:lineRule="auto"/>
        <w:jc w:val="both"/>
        <w:rPr>
          <w:rFonts w:ascii="Century Gothic" w:hAnsi="Century Gothic"/>
          <w:i/>
          <w:sz w:val="22"/>
          <w:szCs w:val="22"/>
        </w:rPr>
      </w:pPr>
      <w:r w:rsidRPr="00F51CFF">
        <w:rPr>
          <w:rFonts w:ascii="Century Gothic" w:hAnsi="Century Gothic"/>
          <w:i/>
          <w:sz w:val="22"/>
          <w:szCs w:val="22"/>
        </w:rPr>
        <w:t xml:space="preserve">El equipo de trabajo de la ordenación sanitaria de Tudela no observa necesidad actual de crear una tercera ZBS, puesto que no se proyecta un crecimiento de población importante ni desarrollos urbanísticos que empeoraran la accesibilidad. Dado que en términos de planificación sanitaria, la creación de una zona básica de salud urbana necesita una adscripción poblacional de entre 5000 y 25.000 TIS, no se ha de contemplar para los próximos años la creación de una nueva zona con prioridad actual, sino una reasignación de población en base a accesibilidad basada en isócronas de las dos zonas básicas existentes. </w:t>
      </w:r>
    </w:p>
    <w:p w:rsidR="00E06D27" w:rsidRPr="00F51CFF" w:rsidRDefault="005C50B3" w:rsidP="005806B5">
      <w:pPr>
        <w:spacing w:line="288" w:lineRule="auto"/>
        <w:jc w:val="both"/>
        <w:rPr>
          <w:rFonts w:ascii="Century Gothic" w:hAnsi="Century Gothic"/>
          <w:i/>
          <w:sz w:val="22"/>
          <w:szCs w:val="22"/>
        </w:rPr>
      </w:pPr>
      <w:r w:rsidRPr="00F51CFF">
        <w:rPr>
          <w:rFonts w:ascii="Century Gothic" w:hAnsi="Century Gothic"/>
          <w:i/>
          <w:sz w:val="22"/>
          <w:szCs w:val="22"/>
        </w:rPr>
        <w:t xml:space="preserve">También se analizó la posibilidad de crear un consultorio en el barrio de Lourdes, dependiente del Centro de Salud de </w:t>
      </w:r>
      <w:r w:rsidR="0017213A" w:rsidRPr="00F51CFF">
        <w:rPr>
          <w:rFonts w:ascii="Century Gothic" w:hAnsi="Century Gothic"/>
          <w:i/>
          <w:sz w:val="22"/>
          <w:szCs w:val="22"/>
        </w:rPr>
        <w:t>Tudela E</w:t>
      </w:r>
      <w:r w:rsidRPr="00F51CFF">
        <w:rPr>
          <w:rFonts w:ascii="Century Gothic" w:hAnsi="Century Gothic"/>
          <w:i/>
          <w:sz w:val="22"/>
          <w:szCs w:val="22"/>
        </w:rPr>
        <w:t>ste; esta idea no prosperó porque no se detectaba un problema de accesibilidad en comunicaciones y la creación de dicho consultorio fracciona al Equipo de Atención Primaria.</w:t>
      </w:r>
      <w:r w:rsidR="004157A3" w:rsidRPr="00F51CFF">
        <w:rPr>
          <w:rFonts w:ascii="Century Gothic" w:hAnsi="Century Gothic"/>
          <w:i/>
          <w:sz w:val="22"/>
          <w:szCs w:val="22"/>
        </w:rPr>
        <w:t>”</w:t>
      </w:r>
    </w:p>
    <w:p w:rsidR="00E06D27" w:rsidRPr="00F51CFF" w:rsidRDefault="004157A3"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En este sentido, la comisión hace una serie de propuestas, que se detallan y se presentan comparativamente en la tabla 18 de la página 26 en adelante</w:t>
      </w:r>
      <w:r w:rsidR="00AF6B4E" w:rsidRPr="00F51CFF">
        <w:rPr>
          <w:rFonts w:ascii="Century Gothic" w:hAnsi="Century Gothic"/>
          <w:sz w:val="22"/>
          <w:szCs w:val="22"/>
        </w:rPr>
        <w:t xml:space="preserve">, </w:t>
      </w:r>
      <w:r w:rsidR="00934B1C" w:rsidRPr="00F51CFF">
        <w:rPr>
          <w:rFonts w:ascii="Century Gothic" w:hAnsi="Century Gothic"/>
          <w:sz w:val="22"/>
          <w:szCs w:val="22"/>
        </w:rPr>
        <w:t xml:space="preserve">bajo el epígrafe </w:t>
      </w:r>
      <w:r w:rsidRPr="00F51CFF">
        <w:rPr>
          <w:rFonts w:ascii="Century Gothic" w:hAnsi="Century Gothic"/>
          <w:sz w:val="22"/>
          <w:szCs w:val="22"/>
        </w:rPr>
        <w:t xml:space="preserve"> “</w:t>
      </w:r>
      <w:r w:rsidRPr="00F51CFF">
        <w:rPr>
          <w:rFonts w:ascii="Century Gothic" w:hAnsi="Century Gothic"/>
          <w:i/>
          <w:sz w:val="22"/>
          <w:szCs w:val="22"/>
        </w:rPr>
        <w:t>Cuadro resumen de propuestas c</w:t>
      </w:r>
      <w:r w:rsidR="00E06D27" w:rsidRPr="00F51CFF">
        <w:rPr>
          <w:rFonts w:ascii="Century Gothic" w:hAnsi="Century Gothic"/>
          <w:i/>
          <w:sz w:val="22"/>
          <w:szCs w:val="22"/>
        </w:rPr>
        <w:t>on ventajas e inconvenientes… “</w:t>
      </w:r>
      <w:r w:rsidRPr="00F51CFF">
        <w:rPr>
          <w:rFonts w:ascii="Century Gothic" w:hAnsi="Century Gothic"/>
          <w:sz w:val="22"/>
          <w:szCs w:val="22"/>
        </w:rPr>
        <w:t xml:space="preserve">del informe adjunto.  “Informe ejecutivo de la ordenación sanitaria y estado actual de los centros de Atención Primaria y Comunitaria del </w:t>
      </w:r>
      <w:r w:rsidR="00E06D27" w:rsidRPr="00F51CFF">
        <w:rPr>
          <w:rFonts w:ascii="Century Gothic" w:hAnsi="Century Gothic"/>
          <w:sz w:val="22"/>
          <w:szCs w:val="22"/>
        </w:rPr>
        <w:t>Área</w:t>
      </w:r>
      <w:r w:rsidRPr="00F51CFF">
        <w:rPr>
          <w:rFonts w:ascii="Century Gothic" w:hAnsi="Century Gothic"/>
          <w:sz w:val="22"/>
          <w:szCs w:val="22"/>
        </w:rPr>
        <w:t xml:space="preserve"> de Salud de Tudela.</w:t>
      </w:r>
    </w:p>
    <w:p w:rsidR="00E06D27" w:rsidRPr="00F51CFF" w:rsidRDefault="00B1674D"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 xml:space="preserve">En </w:t>
      </w:r>
      <w:r w:rsidR="00830997" w:rsidRPr="00F51CFF">
        <w:rPr>
          <w:rFonts w:ascii="Century Gothic" w:hAnsi="Century Gothic"/>
          <w:sz w:val="22"/>
          <w:szCs w:val="22"/>
        </w:rPr>
        <w:t>la misma línea</w:t>
      </w:r>
      <w:r w:rsidR="004157A3" w:rsidRPr="00F51CFF">
        <w:rPr>
          <w:rFonts w:ascii="Century Gothic" w:hAnsi="Century Gothic"/>
          <w:sz w:val="22"/>
          <w:szCs w:val="22"/>
        </w:rPr>
        <w:t xml:space="preserve"> se pronuncia de nuevo el S</w:t>
      </w:r>
      <w:r w:rsidRPr="00F51CFF">
        <w:rPr>
          <w:rFonts w:ascii="Century Gothic" w:hAnsi="Century Gothic"/>
          <w:sz w:val="22"/>
          <w:szCs w:val="22"/>
        </w:rPr>
        <w:t xml:space="preserve">ervicio de Planificación </w:t>
      </w:r>
      <w:r w:rsidR="004157A3" w:rsidRPr="00F51CFF">
        <w:rPr>
          <w:rFonts w:ascii="Century Gothic" w:hAnsi="Century Gothic"/>
          <w:sz w:val="22"/>
          <w:szCs w:val="22"/>
        </w:rPr>
        <w:t>E</w:t>
      </w:r>
      <w:r w:rsidR="00FC690F" w:rsidRPr="00F51CFF">
        <w:rPr>
          <w:rFonts w:ascii="Century Gothic" w:hAnsi="Century Gothic"/>
          <w:sz w:val="22"/>
          <w:szCs w:val="22"/>
        </w:rPr>
        <w:t>valuación y Gestión del Conocimiento del Departamento de Salud en el informe e</w:t>
      </w:r>
      <w:r w:rsidR="004157A3" w:rsidRPr="00F51CFF">
        <w:rPr>
          <w:rFonts w:ascii="Century Gothic" w:hAnsi="Century Gothic"/>
          <w:sz w:val="22"/>
          <w:szCs w:val="22"/>
        </w:rPr>
        <w:t xml:space="preserve">mitido </w:t>
      </w:r>
      <w:r w:rsidR="00934B1C" w:rsidRPr="00F51CFF">
        <w:rPr>
          <w:rFonts w:ascii="Century Gothic" w:hAnsi="Century Gothic"/>
          <w:sz w:val="22"/>
          <w:szCs w:val="22"/>
        </w:rPr>
        <w:t xml:space="preserve">y que se adjunta, </w:t>
      </w:r>
      <w:r w:rsidR="00FC690F" w:rsidRPr="00F51CFF">
        <w:rPr>
          <w:rFonts w:ascii="Century Gothic" w:hAnsi="Century Gothic"/>
          <w:sz w:val="22"/>
          <w:szCs w:val="22"/>
        </w:rPr>
        <w:t xml:space="preserve">para dar respuesta a </w:t>
      </w:r>
      <w:r w:rsidR="004157A3" w:rsidRPr="00F51CFF">
        <w:rPr>
          <w:rFonts w:ascii="Century Gothic" w:hAnsi="Century Gothic"/>
          <w:sz w:val="22"/>
          <w:szCs w:val="22"/>
        </w:rPr>
        <w:t xml:space="preserve">la </w:t>
      </w:r>
      <w:r w:rsidR="00FC690F" w:rsidRPr="00F51CFF">
        <w:rPr>
          <w:rFonts w:ascii="Century Gothic" w:hAnsi="Century Gothic"/>
          <w:sz w:val="22"/>
          <w:szCs w:val="22"/>
        </w:rPr>
        <w:t xml:space="preserve">solicitud </w:t>
      </w:r>
      <w:r w:rsidR="004157A3" w:rsidRPr="00F51CFF">
        <w:rPr>
          <w:rFonts w:ascii="Century Gothic" w:hAnsi="Century Gothic"/>
          <w:sz w:val="22"/>
          <w:szCs w:val="22"/>
        </w:rPr>
        <w:t>del Servicio de Territorio y Paisaje del Departamento de Desarrollo Rural, Medio Ambiente y Administración Local</w:t>
      </w:r>
      <w:r w:rsidR="00FC690F" w:rsidRPr="00F51CFF">
        <w:rPr>
          <w:rFonts w:ascii="Century Gothic" w:hAnsi="Century Gothic"/>
          <w:sz w:val="22"/>
          <w:szCs w:val="22"/>
        </w:rPr>
        <w:t xml:space="preserve">, </w:t>
      </w:r>
      <w:r w:rsidR="004157A3" w:rsidRPr="00F51CFF">
        <w:rPr>
          <w:rFonts w:ascii="Century Gothic" w:hAnsi="Century Gothic"/>
          <w:sz w:val="22"/>
          <w:szCs w:val="22"/>
        </w:rPr>
        <w:t xml:space="preserve">respecto a una petición formulada por el </w:t>
      </w:r>
      <w:r w:rsidR="00FC690F" w:rsidRPr="00F51CFF">
        <w:rPr>
          <w:rFonts w:ascii="Century Gothic" w:hAnsi="Century Gothic"/>
          <w:sz w:val="22"/>
          <w:szCs w:val="22"/>
        </w:rPr>
        <w:t xml:space="preserve">Ayuntamiento de Tudela </w:t>
      </w:r>
      <w:r w:rsidR="004157A3" w:rsidRPr="00F51CFF">
        <w:rPr>
          <w:rFonts w:ascii="Century Gothic" w:hAnsi="Century Gothic"/>
          <w:sz w:val="22"/>
          <w:szCs w:val="22"/>
        </w:rPr>
        <w:t xml:space="preserve">para la </w:t>
      </w:r>
      <w:r w:rsidR="00FC690F" w:rsidRPr="00F51CFF">
        <w:rPr>
          <w:rFonts w:ascii="Century Gothic" w:hAnsi="Century Gothic"/>
          <w:sz w:val="22"/>
          <w:szCs w:val="22"/>
        </w:rPr>
        <w:t>tramita</w:t>
      </w:r>
      <w:r w:rsidR="004157A3" w:rsidRPr="00F51CFF">
        <w:rPr>
          <w:rFonts w:ascii="Century Gothic" w:hAnsi="Century Gothic"/>
          <w:sz w:val="22"/>
          <w:szCs w:val="22"/>
        </w:rPr>
        <w:t xml:space="preserve">ción de </w:t>
      </w:r>
      <w:r w:rsidR="00FC690F" w:rsidRPr="00F51CFF">
        <w:rPr>
          <w:rFonts w:ascii="Century Gothic" w:hAnsi="Century Gothic"/>
          <w:sz w:val="22"/>
          <w:szCs w:val="22"/>
        </w:rPr>
        <w:t>un expediente para la aprobación del Plan General Municipal (Fase EMOT)</w:t>
      </w:r>
      <w:r w:rsidR="00EA64F3" w:rsidRPr="00F51CFF">
        <w:rPr>
          <w:rFonts w:ascii="Century Gothic" w:hAnsi="Century Gothic"/>
          <w:sz w:val="22"/>
          <w:szCs w:val="22"/>
        </w:rPr>
        <w:t>:</w:t>
      </w:r>
      <w:r w:rsidR="00934B1C" w:rsidRPr="00F51CFF">
        <w:rPr>
          <w:rFonts w:ascii="Century Gothic" w:hAnsi="Century Gothic"/>
          <w:sz w:val="22"/>
          <w:szCs w:val="22"/>
        </w:rPr>
        <w:t xml:space="preserve"> </w:t>
      </w:r>
    </w:p>
    <w:p w:rsidR="00E06D27" w:rsidRPr="00F51CFF" w:rsidRDefault="00E06D27" w:rsidP="005806B5">
      <w:pPr>
        <w:tabs>
          <w:tab w:val="left" w:pos="3780"/>
        </w:tabs>
        <w:spacing w:line="288" w:lineRule="auto"/>
        <w:jc w:val="both"/>
        <w:rPr>
          <w:rFonts w:ascii="Century Gothic" w:hAnsi="Century Gothic"/>
          <w:i/>
          <w:sz w:val="22"/>
          <w:szCs w:val="22"/>
        </w:rPr>
      </w:pPr>
      <w:r w:rsidRPr="00F51CFF">
        <w:rPr>
          <w:rFonts w:ascii="Century Gothic" w:hAnsi="Century Gothic"/>
          <w:i/>
          <w:sz w:val="22"/>
          <w:szCs w:val="22"/>
        </w:rPr>
        <w:t>“</w:t>
      </w:r>
      <w:r w:rsidR="004157A3" w:rsidRPr="00F51CFF">
        <w:rPr>
          <w:rFonts w:ascii="Century Gothic" w:hAnsi="Century Gothic"/>
          <w:i/>
          <w:sz w:val="22"/>
          <w:szCs w:val="22"/>
        </w:rPr>
        <w:t>Valoración: Existe un Plan de Ordenación del Área de Salud de Tudela recientemente presentado</w:t>
      </w:r>
      <w:r w:rsidR="00EA64F3" w:rsidRPr="00F51CFF">
        <w:rPr>
          <w:rFonts w:ascii="Century Gothic" w:hAnsi="Century Gothic"/>
          <w:i/>
          <w:sz w:val="22"/>
          <w:szCs w:val="22"/>
        </w:rPr>
        <w:t xml:space="preserve"> </w:t>
      </w:r>
      <w:r w:rsidR="004157A3" w:rsidRPr="00F51CFF">
        <w:rPr>
          <w:rFonts w:ascii="Century Gothic" w:hAnsi="Century Gothic"/>
          <w:i/>
          <w:sz w:val="22"/>
          <w:szCs w:val="22"/>
        </w:rPr>
        <w:t>(octubre 2018) que incluye un proyecto de remodelación del centro Este con la optimización de los</w:t>
      </w:r>
      <w:r w:rsidR="00EA64F3" w:rsidRPr="00F51CFF">
        <w:rPr>
          <w:rFonts w:ascii="Century Gothic" w:hAnsi="Century Gothic"/>
          <w:i/>
          <w:sz w:val="22"/>
          <w:szCs w:val="22"/>
        </w:rPr>
        <w:t xml:space="preserve"> </w:t>
      </w:r>
      <w:r w:rsidR="004157A3" w:rsidRPr="00F51CFF">
        <w:rPr>
          <w:rFonts w:ascii="Century Gothic" w:hAnsi="Century Gothic"/>
          <w:i/>
          <w:sz w:val="22"/>
          <w:szCs w:val="22"/>
        </w:rPr>
        <w:t>espacios y mejora de la atención continuada. El centro Oeste está en una parcela que permite la</w:t>
      </w:r>
      <w:r w:rsidR="00EA64F3" w:rsidRPr="00F51CFF">
        <w:rPr>
          <w:rFonts w:ascii="Century Gothic" w:hAnsi="Century Gothic"/>
          <w:i/>
          <w:sz w:val="22"/>
          <w:szCs w:val="22"/>
        </w:rPr>
        <w:t xml:space="preserve"> </w:t>
      </w:r>
      <w:r w:rsidR="004157A3" w:rsidRPr="00F51CFF">
        <w:rPr>
          <w:rFonts w:ascii="Century Gothic" w:hAnsi="Century Gothic"/>
          <w:i/>
          <w:sz w:val="22"/>
          <w:szCs w:val="22"/>
        </w:rPr>
        <w:t>implantación de servicios ligados a la Salud Comunitaria, pudiendo absorber nuevas necesidades en el</w:t>
      </w:r>
      <w:r w:rsidR="00EA64F3" w:rsidRPr="00F51CFF">
        <w:rPr>
          <w:rFonts w:ascii="Century Gothic" w:hAnsi="Century Gothic"/>
          <w:i/>
          <w:sz w:val="22"/>
          <w:szCs w:val="22"/>
        </w:rPr>
        <w:t xml:space="preserve"> </w:t>
      </w:r>
      <w:r w:rsidR="004157A3" w:rsidRPr="00F51CFF">
        <w:rPr>
          <w:rFonts w:ascii="Century Gothic" w:hAnsi="Century Gothic"/>
          <w:i/>
          <w:sz w:val="22"/>
          <w:szCs w:val="22"/>
        </w:rPr>
        <w:t>corto, medio y largo plazo.</w:t>
      </w:r>
    </w:p>
    <w:p w:rsidR="00E06D27" w:rsidRPr="00F51CFF" w:rsidRDefault="004157A3" w:rsidP="005806B5">
      <w:pPr>
        <w:tabs>
          <w:tab w:val="left" w:pos="3780"/>
        </w:tabs>
        <w:spacing w:line="288" w:lineRule="auto"/>
        <w:jc w:val="both"/>
        <w:rPr>
          <w:rFonts w:ascii="Century Gothic" w:hAnsi="Century Gothic"/>
          <w:i/>
          <w:sz w:val="22"/>
          <w:szCs w:val="22"/>
        </w:rPr>
      </w:pPr>
      <w:r w:rsidRPr="00F51CFF">
        <w:rPr>
          <w:rFonts w:ascii="Century Gothic" w:hAnsi="Century Gothic"/>
          <w:i/>
          <w:sz w:val="22"/>
          <w:szCs w:val="22"/>
        </w:rPr>
        <w:lastRenderedPageBreak/>
        <w:t>El período tan lejano en que se plantea el incremento total de la población (año 2037) no permite</w:t>
      </w:r>
      <w:r w:rsidR="00EA64F3" w:rsidRPr="00F51CFF">
        <w:rPr>
          <w:rFonts w:ascii="Century Gothic" w:hAnsi="Century Gothic"/>
          <w:i/>
          <w:sz w:val="22"/>
          <w:szCs w:val="22"/>
        </w:rPr>
        <w:t xml:space="preserve"> </w:t>
      </w:r>
      <w:r w:rsidRPr="00F51CFF">
        <w:rPr>
          <w:rFonts w:ascii="Century Gothic" w:hAnsi="Century Gothic"/>
          <w:i/>
          <w:sz w:val="22"/>
          <w:szCs w:val="22"/>
        </w:rPr>
        <w:t>pensar en actuaciones más concretas.</w:t>
      </w:r>
      <w:r w:rsidR="00EA64F3" w:rsidRPr="00F51CFF">
        <w:rPr>
          <w:rFonts w:ascii="Century Gothic" w:hAnsi="Century Gothic"/>
          <w:i/>
          <w:sz w:val="22"/>
          <w:szCs w:val="22"/>
        </w:rPr>
        <w:t>”</w:t>
      </w:r>
    </w:p>
    <w:p w:rsidR="00E06D27" w:rsidRPr="00F51CFF" w:rsidRDefault="004B774F"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 xml:space="preserve">Así mismo les indico que en los últimos años el Servicio de Planificación ha analizado y elaborado los </w:t>
      </w:r>
      <w:r w:rsidR="00934B1C" w:rsidRPr="00F51CFF">
        <w:rPr>
          <w:rFonts w:ascii="Century Gothic" w:hAnsi="Century Gothic"/>
          <w:sz w:val="22"/>
          <w:szCs w:val="22"/>
        </w:rPr>
        <w:t>in</w:t>
      </w:r>
      <w:r w:rsidRPr="00F51CFF">
        <w:rPr>
          <w:rFonts w:ascii="Century Gothic" w:hAnsi="Century Gothic"/>
          <w:sz w:val="22"/>
          <w:szCs w:val="22"/>
        </w:rPr>
        <w:t xml:space="preserve">formes </w:t>
      </w:r>
      <w:r w:rsidR="00934B1C" w:rsidRPr="00F51CFF">
        <w:rPr>
          <w:rFonts w:ascii="Century Gothic" w:hAnsi="Century Gothic"/>
          <w:sz w:val="22"/>
          <w:szCs w:val="22"/>
        </w:rPr>
        <w:t xml:space="preserve">correspondientes </w:t>
      </w:r>
      <w:r w:rsidRPr="00F51CFF">
        <w:rPr>
          <w:rFonts w:ascii="Century Gothic" w:hAnsi="Century Gothic"/>
          <w:sz w:val="22"/>
          <w:szCs w:val="22"/>
        </w:rPr>
        <w:t xml:space="preserve">para la creación o modificación de las siguientes zonas básicas: </w:t>
      </w:r>
    </w:p>
    <w:p w:rsidR="004B774F" w:rsidRPr="00F51CFF" w:rsidRDefault="004B774F" w:rsidP="005806B5">
      <w:pPr>
        <w:pStyle w:val="Prrafodelista"/>
        <w:numPr>
          <w:ilvl w:val="0"/>
          <w:numId w:val="3"/>
        </w:numPr>
        <w:tabs>
          <w:tab w:val="left" w:pos="3780"/>
        </w:tabs>
        <w:spacing w:after="0" w:line="288" w:lineRule="auto"/>
        <w:jc w:val="both"/>
        <w:rPr>
          <w:rFonts w:ascii="Century Gothic" w:hAnsi="Century Gothic"/>
        </w:rPr>
      </w:pPr>
      <w:r w:rsidRPr="00F51CFF">
        <w:rPr>
          <w:rFonts w:ascii="Century Gothic" w:hAnsi="Century Gothic"/>
        </w:rPr>
        <w:t>La Zona</w:t>
      </w:r>
      <w:r w:rsidR="00E06D27" w:rsidRPr="00F51CFF">
        <w:rPr>
          <w:rFonts w:ascii="Century Gothic" w:hAnsi="Century Gothic"/>
        </w:rPr>
        <w:t xml:space="preserve"> Básica (ZB) de Aranguren, que </w:t>
      </w:r>
      <w:r w:rsidRPr="00F51CFF">
        <w:rPr>
          <w:rFonts w:ascii="Century Gothic" w:hAnsi="Century Gothic"/>
        </w:rPr>
        <w:t xml:space="preserve">incluye al Municipio de Aranguren y con Centro de Salud en Mutilva, anteriormente incluido en la ZB de Mendillorri. </w:t>
      </w:r>
    </w:p>
    <w:p w:rsidR="004B774F" w:rsidRPr="00F51CFF" w:rsidRDefault="004B774F" w:rsidP="005806B5">
      <w:pPr>
        <w:pStyle w:val="Prrafodelista"/>
        <w:numPr>
          <w:ilvl w:val="0"/>
          <w:numId w:val="3"/>
        </w:numPr>
        <w:tabs>
          <w:tab w:val="left" w:pos="3780"/>
        </w:tabs>
        <w:spacing w:after="0" w:line="288" w:lineRule="auto"/>
        <w:jc w:val="both"/>
        <w:rPr>
          <w:rFonts w:ascii="Century Gothic" w:hAnsi="Century Gothic"/>
        </w:rPr>
      </w:pPr>
      <w:r w:rsidRPr="00F51CFF">
        <w:rPr>
          <w:rFonts w:ascii="Century Gothic" w:hAnsi="Century Gothic"/>
        </w:rPr>
        <w:t>ZB de Lezkairu, corresponde al distrito de Pamplona que incluye al barrio de nueva creación de Lezkairu. Centro de Salud en fase de construcción</w:t>
      </w:r>
    </w:p>
    <w:p w:rsidR="00E06D27" w:rsidRPr="00F51CFF" w:rsidRDefault="004B774F" w:rsidP="005806B5">
      <w:pPr>
        <w:pStyle w:val="Prrafodelista"/>
        <w:numPr>
          <w:ilvl w:val="0"/>
          <w:numId w:val="3"/>
        </w:numPr>
        <w:tabs>
          <w:tab w:val="left" w:pos="3780"/>
        </w:tabs>
        <w:spacing w:after="0" w:line="288" w:lineRule="auto"/>
        <w:jc w:val="both"/>
        <w:rPr>
          <w:rFonts w:ascii="Century Gothic" w:hAnsi="Century Gothic"/>
        </w:rPr>
      </w:pPr>
      <w:r w:rsidRPr="00F51CFF">
        <w:rPr>
          <w:rFonts w:ascii="Century Gothic" w:hAnsi="Century Gothic"/>
        </w:rPr>
        <w:t>ZB de Erripagaina, comprende el término de Erripagaina, perteneciente a los municipios de Pamplona/Iruña, Burlada/Burlat</w:t>
      </w:r>
      <w:r w:rsidR="00E06D27" w:rsidRPr="00F51CFF">
        <w:rPr>
          <w:rFonts w:ascii="Century Gothic" w:hAnsi="Century Gothic"/>
        </w:rPr>
        <w:t>a, Huarte/Uharte y Valle de Egüé</w:t>
      </w:r>
      <w:r w:rsidRPr="00F51CFF">
        <w:rPr>
          <w:rFonts w:ascii="Century Gothic" w:hAnsi="Century Gothic"/>
        </w:rPr>
        <w:t>s/Eguesibarko Udala. Centro de Salud pendiente de realizar el anteproyecto.</w:t>
      </w:r>
    </w:p>
    <w:p w:rsidR="00E06D27" w:rsidRPr="00F51CFF" w:rsidRDefault="004B774F" w:rsidP="005806B5">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 xml:space="preserve">Y ha elaborado los informes </w:t>
      </w:r>
      <w:r w:rsidR="004E236D" w:rsidRPr="00F51CFF">
        <w:rPr>
          <w:rFonts w:ascii="Century Gothic" w:hAnsi="Century Gothic"/>
          <w:sz w:val="22"/>
          <w:szCs w:val="22"/>
        </w:rPr>
        <w:t xml:space="preserve">correspondientes en base a su competencia en planificación y ordenación territorial de los recursos sanitarios, a petición del Departamento de Ordenación Territorial, cuya relación se reproduce a continuación: </w:t>
      </w:r>
    </w:p>
    <w:p w:rsidR="004E236D" w:rsidRPr="00F51CFF" w:rsidRDefault="004E236D" w:rsidP="004B774F">
      <w:pPr>
        <w:tabs>
          <w:tab w:val="left" w:pos="3780"/>
        </w:tabs>
        <w:spacing w:line="288" w:lineRule="auto"/>
        <w:jc w:val="both"/>
        <w:rPr>
          <w:rFonts w:ascii="Century Gothic" w:hAnsi="Century Gothic"/>
          <w:sz w:val="22"/>
          <w:szCs w:val="22"/>
        </w:rPr>
      </w:pPr>
    </w:p>
    <w:tbl>
      <w:tblPr>
        <w:tblW w:w="8441" w:type="dxa"/>
        <w:tblInd w:w="55" w:type="dxa"/>
        <w:tblCellMar>
          <w:left w:w="70" w:type="dxa"/>
          <w:right w:w="70" w:type="dxa"/>
        </w:tblCellMar>
        <w:tblLook w:val="04A0" w:firstRow="1" w:lastRow="0" w:firstColumn="1" w:lastColumn="0" w:noHBand="0" w:noVBand="1"/>
      </w:tblPr>
      <w:tblGrid>
        <w:gridCol w:w="1498"/>
        <w:gridCol w:w="3021"/>
        <w:gridCol w:w="2740"/>
        <w:gridCol w:w="1242"/>
      </w:tblGrid>
      <w:tr w:rsidR="00C157AA" w:rsidRPr="00F51CFF" w:rsidTr="00C157AA">
        <w:trPr>
          <w:trHeight w:val="255"/>
        </w:trPr>
        <w:tc>
          <w:tcPr>
            <w:tcW w:w="1480" w:type="dxa"/>
            <w:shd w:val="clear" w:color="auto" w:fill="C00000"/>
            <w:noWrap/>
            <w:vAlign w:val="bottom"/>
            <w:hideMark/>
          </w:tcPr>
          <w:p w:rsidR="00C157AA" w:rsidRPr="00F51CFF" w:rsidRDefault="00C157AA">
            <w:pPr>
              <w:rPr>
                <w:rFonts w:ascii="Arial" w:hAnsi="Arial" w:cs="Arial"/>
                <w:b/>
                <w:bCs/>
                <w:color w:val="FFFFFF"/>
                <w:sz w:val="22"/>
                <w:szCs w:val="22"/>
              </w:rPr>
            </w:pPr>
            <w:r w:rsidRPr="00F51CFF">
              <w:rPr>
                <w:rFonts w:ascii="Arial" w:hAnsi="Arial" w:cs="Arial"/>
                <w:b/>
                <w:bCs/>
                <w:color w:val="FFFFFF"/>
                <w:sz w:val="22"/>
                <w:szCs w:val="22"/>
              </w:rPr>
              <w:t>Entrada Sº. Planificación</w:t>
            </w:r>
          </w:p>
        </w:tc>
        <w:tc>
          <w:tcPr>
            <w:tcW w:w="3021" w:type="dxa"/>
            <w:shd w:val="clear" w:color="auto" w:fill="C00000"/>
            <w:noWrap/>
            <w:vAlign w:val="bottom"/>
            <w:hideMark/>
          </w:tcPr>
          <w:p w:rsidR="00C157AA" w:rsidRPr="00F51CFF" w:rsidRDefault="00C157AA">
            <w:pPr>
              <w:jc w:val="center"/>
              <w:rPr>
                <w:rFonts w:ascii="Arial" w:hAnsi="Arial" w:cs="Arial"/>
                <w:b/>
                <w:bCs/>
                <w:color w:val="FFFFFF"/>
                <w:sz w:val="22"/>
                <w:szCs w:val="22"/>
              </w:rPr>
            </w:pPr>
            <w:r w:rsidRPr="00F51CFF">
              <w:rPr>
                <w:rFonts w:ascii="Arial" w:hAnsi="Arial" w:cs="Arial"/>
                <w:b/>
                <w:bCs/>
                <w:color w:val="FFFFFF"/>
                <w:sz w:val="22"/>
                <w:szCs w:val="22"/>
              </w:rPr>
              <w:t>Municipio</w:t>
            </w:r>
          </w:p>
        </w:tc>
        <w:tc>
          <w:tcPr>
            <w:tcW w:w="2740" w:type="dxa"/>
            <w:shd w:val="clear" w:color="auto" w:fill="C00000"/>
            <w:noWrap/>
            <w:vAlign w:val="bottom"/>
            <w:hideMark/>
          </w:tcPr>
          <w:p w:rsidR="00C157AA" w:rsidRPr="00F51CFF" w:rsidRDefault="00C157AA">
            <w:pPr>
              <w:rPr>
                <w:rFonts w:ascii="Arial" w:hAnsi="Arial" w:cs="Arial"/>
                <w:b/>
                <w:bCs/>
                <w:color w:val="FFFFFF"/>
                <w:sz w:val="22"/>
                <w:szCs w:val="22"/>
              </w:rPr>
            </w:pPr>
            <w:r w:rsidRPr="00F51CFF">
              <w:rPr>
                <w:rFonts w:ascii="Arial" w:hAnsi="Arial" w:cs="Arial"/>
                <w:b/>
                <w:bCs/>
                <w:color w:val="FFFFFF"/>
                <w:sz w:val="22"/>
                <w:szCs w:val="22"/>
              </w:rPr>
              <w:t>ZB Salud</w:t>
            </w:r>
          </w:p>
        </w:tc>
        <w:tc>
          <w:tcPr>
            <w:tcW w:w="1200" w:type="dxa"/>
            <w:shd w:val="clear" w:color="auto" w:fill="C00000"/>
            <w:noWrap/>
            <w:vAlign w:val="bottom"/>
            <w:hideMark/>
          </w:tcPr>
          <w:p w:rsidR="00C157AA" w:rsidRPr="00F51CFF" w:rsidRDefault="00C157AA">
            <w:pPr>
              <w:rPr>
                <w:rFonts w:ascii="Arial" w:hAnsi="Arial" w:cs="Arial"/>
                <w:b/>
                <w:bCs/>
                <w:color w:val="FFFFFF"/>
                <w:sz w:val="22"/>
                <w:szCs w:val="22"/>
              </w:rPr>
            </w:pPr>
            <w:r w:rsidRPr="00F51CFF">
              <w:rPr>
                <w:rFonts w:ascii="Arial" w:hAnsi="Arial" w:cs="Arial"/>
                <w:b/>
                <w:bCs/>
                <w:color w:val="FFFFFF"/>
                <w:sz w:val="22"/>
                <w:szCs w:val="22"/>
              </w:rPr>
              <w:t>Enviado OT</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04/01/2011</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Castejó</w:t>
            </w:r>
            <w:r w:rsidR="00C157AA" w:rsidRPr="00F51CFF">
              <w:rPr>
                <w:rFonts w:ascii="Arial" w:hAnsi="Arial" w:cs="Arial"/>
                <w:sz w:val="22"/>
                <w:szCs w:val="22"/>
              </w:rPr>
              <w:t>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Corella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13/06/2011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17/02/2011</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Ló</w:t>
            </w:r>
            <w:r w:rsidR="00C157AA" w:rsidRPr="00F51CFF">
              <w:rPr>
                <w:rFonts w:ascii="Arial" w:hAnsi="Arial" w:cs="Arial"/>
                <w:sz w:val="22"/>
                <w:szCs w:val="22"/>
              </w:rPr>
              <w:t>nguida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Aoiz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28/02/2011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Etxauri</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Orcoyen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28/02/2011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Ciriza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Orcoyen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01/03/2011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Ituren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Santesteban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27/04/2011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Tulebras</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Cascante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13/06/2011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27/04/2011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Bargota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Los Arcos</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27/04/2011</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Mendigorrí</w:t>
            </w:r>
            <w:r w:rsidR="00C157AA" w:rsidRPr="00F51CFF">
              <w:rPr>
                <w:rFonts w:ascii="Arial" w:hAnsi="Arial" w:cs="Arial"/>
                <w:sz w:val="22"/>
                <w:szCs w:val="22"/>
              </w:rPr>
              <w:t xml:space="preserve">a, Andión </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xml:space="preserve">Puente la </w:t>
            </w:r>
            <w:r w:rsidR="00E06D27" w:rsidRPr="00F51CFF">
              <w:rPr>
                <w:rFonts w:ascii="Arial" w:hAnsi="Arial" w:cs="Arial"/>
                <w:sz w:val="22"/>
                <w:szCs w:val="22"/>
              </w:rPr>
              <w:t>Reina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27/04/2011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Urrotz</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Santesteban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03/05/2011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Peralta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Peralta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10/05/2011</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Lazagurrí</w:t>
            </w:r>
            <w:r w:rsidR="00C157AA" w:rsidRPr="00F51CFF">
              <w:rPr>
                <w:rFonts w:ascii="Arial" w:hAnsi="Arial" w:cs="Arial"/>
                <w:sz w:val="22"/>
                <w:szCs w:val="22"/>
              </w:rPr>
              <w:t>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Lodosa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10/05/2011</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Torres de Rí</w:t>
            </w:r>
            <w:r w:rsidR="00C157AA" w:rsidRPr="00F51CFF">
              <w:rPr>
                <w:rFonts w:ascii="Arial" w:hAnsi="Arial" w:cs="Arial"/>
                <w:sz w:val="22"/>
                <w:szCs w:val="22"/>
              </w:rPr>
              <w:t>o</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Los Arcos</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29/07/2011</w:t>
            </w:r>
          </w:p>
        </w:tc>
      </w:tr>
      <w:tr w:rsidR="00C157AA" w:rsidRPr="00F51CFF" w:rsidTr="00C157AA">
        <w:trPr>
          <w:trHeight w:val="255"/>
        </w:trPr>
        <w:tc>
          <w:tcPr>
            <w:tcW w:w="148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Artajona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Larraga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02/12/2011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20/09/2011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Valle de Elortz</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Noá</w:t>
            </w:r>
            <w:r w:rsidR="00C157AA" w:rsidRPr="00F51CFF">
              <w:rPr>
                <w:rFonts w:ascii="Arial" w:hAnsi="Arial" w:cs="Arial"/>
                <w:sz w:val="22"/>
                <w:szCs w:val="22"/>
              </w:rPr>
              <w:t>in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01/02/2012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17/11/2011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Fustiñana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Buñuel</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23/05/2012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17/11/2011</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Belascoá</w:t>
            </w:r>
            <w:r w:rsidR="00C157AA" w:rsidRPr="00F51CFF">
              <w:rPr>
                <w:rFonts w:ascii="Arial" w:hAnsi="Arial" w:cs="Arial"/>
                <w:sz w:val="22"/>
                <w:szCs w:val="22"/>
              </w:rPr>
              <w:t>in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Orcoyen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26/03/2012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05/12/2011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Ablitas</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Cascante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23/05/2012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05/12/2011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Cintruénigo</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Cintruénigo</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23/05/2012</w:t>
            </w:r>
          </w:p>
        </w:tc>
      </w:tr>
      <w:tr w:rsidR="00C157AA" w:rsidRPr="00F51CFF" w:rsidTr="00C157AA">
        <w:trPr>
          <w:trHeight w:val="19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16/12/2011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Villafranca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Valtierra-Cadreita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23/05/2012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02/02/2012</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Urraú</w:t>
            </w:r>
            <w:r w:rsidR="00C157AA" w:rsidRPr="00F51CFF">
              <w:rPr>
                <w:rFonts w:ascii="Arial" w:hAnsi="Arial" w:cs="Arial"/>
                <w:sz w:val="22"/>
                <w:szCs w:val="22"/>
              </w:rPr>
              <w:t>l bajo</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Sangüesa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26/03/2012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10/02/2012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Cortes</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Buñuel</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23/05/2012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12/04/2012</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Muruzá</w:t>
            </w:r>
            <w:r w:rsidR="00C157AA" w:rsidRPr="00F51CFF">
              <w:rPr>
                <w:rFonts w:ascii="Arial" w:hAnsi="Arial" w:cs="Arial"/>
                <w:sz w:val="22"/>
                <w:szCs w:val="22"/>
              </w:rPr>
              <w:t>bal</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Puente la Reina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29/06/2012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03/09/2012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Miranda de Arga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Artajona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13/02/2013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03/09/2012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Estella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Estella</w:t>
            </w:r>
          </w:p>
        </w:tc>
        <w:tc>
          <w:tcPr>
            <w:tcW w:w="120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04/09/2012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Santesteban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Santesteban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07/03/2013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04/09/2012</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Ansoá</w:t>
            </w:r>
            <w:r w:rsidR="00C157AA" w:rsidRPr="00F51CFF">
              <w:rPr>
                <w:rFonts w:ascii="Arial" w:hAnsi="Arial" w:cs="Arial"/>
                <w:sz w:val="22"/>
                <w:szCs w:val="22"/>
              </w:rPr>
              <w:t>in</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Ansoá</w:t>
            </w:r>
            <w:r w:rsidR="00C157AA" w:rsidRPr="00F51CFF">
              <w:rPr>
                <w:rFonts w:ascii="Arial" w:hAnsi="Arial" w:cs="Arial"/>
                <w:sz w:val="22"/>
                <w:szCs w:val="22"/>
              </w:rPr>
              <w:t>in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13/02/2013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25/09/2012</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Ork</w:t>
            </w:r>
            <w:r w:rsidR="00C157AA" w:rsidRPr="00F51CFF">
              <w:rPr>
                <w:rFonts w:ascii="Arial" w:hAnsi="Arial" w:cs="Arial"/>
                <w:sz w:val="22"/>
                <w:szCs w:val="22"/>
              </w:rPr>
              <w:t>oien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Orcoyen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07/03/2013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08/10/2012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Araitz</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Irur</w:t>
            </w:r>
            <w:r w:rsidR="00E06D27" w:rsidRPr="00F51CFF">
              <w:rPr>
                <w:rFonts w:ascii="Arial" w:hAnsi="Arial" w:cs="Arial"/>
                <w:sz w:val="22"/>
                <w:szCs w:val="22"/>
              </w:rPr>
              <w:t>t</w:t>
            </w:r>
            <w:r w:rsidRPr="00F51CFF">
              <w:rPr>
                <w:rFonts w:ascii="Arial" w:hAnsi="Arial" w:cs="Arial"/>
                <w:sz w:val="22"/>
                <w:szCs w:val="22"/>
              </w:rPr>
              <w:t>zun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13/02/2013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05/11/2012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Aranguren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Mendillorri</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13/02/2013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07/11/2012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Navascues</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Salazar</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13/02/2013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12/12/2012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Zizur Mayor</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Zizur</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07/03/2013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21/01/2013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Santacara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xml:space="preserve">Carcastillo </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07/03/2013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11/02/2013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Abaurrea Baja</w:t>
            </w:r>
          </w:p>
        </w:tc>
        <w:tc>
          <w:tcPr>
            <w:tcW w:w="2740" w:type="dxa"/>
            <w:tcBorders>
              <w:top w:val="nil"/>
              <w:left w:val="nil"/>
              <w:bottom w:val="nil"/>
              <w:right w:val="single" w:sz="8" w:space="0" w:color="auto"/>
            </w:tcBorders>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Auritz/Burguete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28/02/2013</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Garí</w:t>
            </w:r>
            <w:r w:rsidR="00C157AA" w:rsidRPr="00F51CFF">
              <w:rPr>
                <w:rFonts w:ascii="Arial" w:hAnsi="Arial" w:cs="Arial"/>
                <w:sz w:val="22"/>
                <w:szCs w:val="22"/>
              </w:rPr>
              <w:t>noain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Tafalla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09/09/2013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09/04/2013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Corella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Corella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12/04/2013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Bertizarana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Santesteban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18/04/2013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Lakuntza</w:t>
            </w:r>
          </w:p>
        </w:tc>
        <w:tc>
          <w:tcPr>
            <w:tcW w:w="2740" w:type="dxa"/>
            <w:tcBorders>
              <w:top w:val="nil"/>
              <w:left w:val="nil"/>
              <w:bottom w:val="nil"/>
              <w:right w:val="single" w:sz="8" w:space="0" w:color="auto"/>
            </w:tcBorders>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Etxarri Aranatz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02/05/2013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Yesa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Sangüesa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09/09/2013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03/06/2013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Falces</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Peralta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09/09/2013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01/08/2013</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Ancí</w:t>
            </w:r>
            <w:r w:rsidR="00C157AA" w:rsidRPr="00F51CFF">
              <w:rPr>
                <w:rFonts w:ascii="Arial" w:hAnsi="Arial" w:cs="Arial"/>
                <w:sz w:val="22"/>
                <w:szCs w:val="22"/>
              </w:rPr>
              <w:t>n</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Ancín Amé</w:t>
            </w:r>
            <w:r w:rsidR="00C157AA" w:rsidRPr="00F51CFF">
              <w:rPr>
                <w:rFonts w:ascii="Arial" w:hAnsi="Arial" w:cs="Arial"/>
                <w:sz w:val="22"/>
                <w:szCs w:val="22"/>
              </w:rPr>
              <w:t>scoa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01/08/2013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Olejua</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Ancín Amé</w:t>
            </w:r>
            <w:r w:rsidR="00C157AA" w:rsidRPr="00F51CFF">
              <w:rPr>
                <w:rFonts w:ascii="Arial" w:hAnsi="Arial" w:cs="Arial"/>
                <w:sz w:val="22"/>
                <w:szCs w:val="22"/>
              </w:rPr>
              <w:t>scoa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01/08/2013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Larraga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Artajona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09/09/2013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23/08/2013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Zubieta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Santesteban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23/08/2013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Etayo</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Ancín Amé</w:t>
            </w:r>
            <w:r w:rsidR="00C157AA" w:rsidRPr="00F51CFF">
              <w:rPr>
                <w:rFonts w:ascii="Arial" w:hAnsi="Arial" w:cs="Arial"/>
                <w:sz w:val="22"/>
                <w:szCs w:val="22"/>
              </w:rPr>
              <w:t>scoa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04/09/2013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17/09/2013</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Noá</w:t>
            </w:r>
            <w:r w:rsidR="00C157AA" w:rsidRPr="00F51CFF">
              <w:rPr>
                <w:rFonts w:ascii="Arial" w:hAnsi="Arial" w:cs="Arial"/>
                <w:sz w:val="22"/>
                <w:szCs w:val="22"/>
              </w:rPr>
              <w:t>in</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Noá</w:t>
            </w:r>
            <w:r w:rsidR="00C157AA" w:rsidRPr="00F51CFF">
              <w:rPr>
                <w:rFonts w:ascii="Arial" w:hAnsi="Arial" w:cs="Arial"/>
                <w:sz w:val="22"/>
                <w:szCs w:val="22"/>
              </w:rPr>
              <w:t>in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24/12/2013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04/10/2013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Zizur Mayor</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Zizur</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27/01/2014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05/11/2013</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Oláib</w:t>
            </w:r>
            <w:r w:rsidR="00C157AA" w:rsidRPr="00F51CFF">
              <w:rPr>
                <w:rFonts w:ascii="Arial" w:hAnsi="Arial" w:cs="Arial"/>
                <w:sz w:val="22"/>
                <w:szCs w:val="22"/>
              </w:rPr>
              <w:t>ar</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Villava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27/01/2014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11/11/2013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Juslapeña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Berriozar</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27/01/2014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11/11/2013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Baztan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Elizondo</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27/01/2014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19/11/2013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Eulate</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Ancín Améscoa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27/01/2014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19/11/2013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Sumbilla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Doneztebe/Santesteban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27/01/2014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22/01/2014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Larraun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Irur</w:t>
            </w:r>
            <w:r w:rsidR="00E06D27" w:rsidRPr="00F51CFF">
              <w:rPr>
                <w:rFonts w:ascii="Arial" w:hAnsi="Arial" w:cs="Arial"/>
                <w:sz w:val="22"/>
                <w:szCs w:val="22"/>
              </w:rPr>
              <w:t>t</w:t>
            </w:r>
            <w:r w:rsidRPr="00F51CFF">
              <w:rPr>
                <w:rFonts w:ascii="Arial" w:hAnsi="Arial" w:cs="Arial"/>
                <w:sz w:val="22"/>
                <w:szCs w:val="22"/>
              </w:rPr>
              <w:t>zun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14/07/2014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03/02/2014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Garralda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Auritz/Burguete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14/07/2014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21/02/2014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Cabanillas</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Buñuel</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14/07/2014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14/03/2014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Orbara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Auritz/Burguete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14/07/2014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14/03/2014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Orbaizeta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Auritz/Burguete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14/07/2014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21/03/2014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Ezcabarte</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Villava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14/07/2014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29/05/2014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Pitillas</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Olite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12/09/2014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03/06/2014</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Urraú</w:t>
            </w:r>
            <w:r w:rsidR="00C157AA" w:rsidRPr="00F51CFF">
              <w:rPr>
                <w:rFonts w:ascii="Arial" w:hAnsi="Arial" w:cs="Arial"/>
                <w:sz w:val="22"/>
                <w:szCs w:val="22"/>
              </w:rPr>
              <w:t>l Alto</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Sangüesa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12/09/2014</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31/07/2014</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 xml:space="preserve">Palacio de Arozteguia en Lekaroz </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Elizondo</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04/11/2014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07/08/2014</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Guendulá</w:t>
            </w:r>
            <w:r w:rsidR="00C157AA" w:rsidRPr="00F51CFF">
              <w:rPr>
                <w:rFonts w:ascii="Arial" w:hAnsi="Arial" w:cs="Arial"/>
                <w:sz w:val="22"/>
                <w:szCs w:val="22"/>
              </w:rPr>
              <w:t>in</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26/09/2014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02/12/2014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Eulate</w:t>
            </w:r>
          </w:p>
        </w:tc>
        <w:tc>
          <w:tcPr>
            <w:tcW w:w="2740" w:type="dxa"/>
            <w:shd w:val="clear" w:color="auto" w:fill="FFCC99"/>
            <w:noWrap/>
            <w:vAlign w:val="bottom"/>
            <w:hideMark/>
          </w:tcPr>
          <w:p w:rsidR="00C157AA" w:rsidRPr="00F51CFF" w:rsidRDefault="00E06D27">
            <w:pPr>
              <w:rPr>
                <w:rFonts w:ascii="Arial" w:hAnsi="Arial" w:cs="Arial"/>
                <w:sz w:val="22"/>
                <w:szCs w:val="22"/>
              </w:rPr>
            </w:pPr>
            <w:r w:rsidRPr="00F51CFF">
              <w:rPr>
                <w:rFonts w:ascii="Arial" w:hAnsi="Arial" w:cs="Arial"/>
                <w:sz w:val="22"/>
                <w:szCs w:val="22"/>
              </w:rPr>
              <w:t>Ancín Améscoa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23/04/2015</w:t>
            </w:r>
          </w:p>
        </w:tc>
      </w:tr>
      <w:tr w:rsidR="00C157AA" w:rsidRPr="00F51CFF" w:rsidTr="00C157AA">
        <w:trPr>
          <w:trHeight w:val="255"/>
        </w:trPr>
        <w:tc>
          <w:tcPr>
            <w:tcW w:w="148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Villafranca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Valtierra-Cadreita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23/04/2015</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18/02/2015</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Cendea Cizur</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xml:space="preserve">Zizur </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03/06/2015</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03/03/2015</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Isaba</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Isaba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03/06/2015</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03/03/2015</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Igantzi</w:t>
            </w:r>
          </w:p>
        </w:tc>
        <w:tc>
          <w:tcPr>
            <w:tcW w:w="2740" w:type="dxa"/>
            <w:shd w:val="clear" w:color="auto" w:fill="FFCC99"/>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Lesaka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28/04/2015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03/03/2015</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Arguedas</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Valtierra-Cadreita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01/10/2015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09/03/2015</w:t>
            </w:r>
          </w:p>
        </w:tc>
        <w:tc>
          <w:tcPr>
            <w:tcW w:w="3021" w:type="dxa"/>
            <w:shd w:val="clear" w:color="auto" w:fill="FCD5B4"/>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Adió</w:t>
            </w:r>
            <w:r w:rsidR="00C157AA" w:rsidRPr="00F51CFF">
              <w:rPr>
                <w:rFonts w:ascii="Arial" w:hAnsi="Arial" w:cs="Arial"/>
                <w:sz w:val="22"/>
                <w:szCs w:val="22"/>
              </w:rPr>
              <w:t>s</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Puente la Reina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01/10/2015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11/03/2015</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Galar Donapea</w:t>
            </w:r>
          </w:p>
        </w:tc>
        <w:tc>
          <w:tcPr>
            <w:tcW w:w="2740" w:type="dxa"/>
            <w:shd w:val="clear" w:color="auto" w:fill="FCD5B4"/>
            <w:noWrap/>
            <w:vAlign w:val="bottom"/>
            <w:hideMark/>
          </w:tcPr>
          <w:p w:rsidR="00C157AA" w:rsidRPr="00F51CFF" w:rsidRDefault="00C157AA" w:rsidP="00E06D27">
            <w:pPr>
              <w:rPr>
                <w:rFonts w:ascii="Arial" w:hAnsi="Arial" w:cs="Arial"/>
                <w:sz w:val="22"/>
                <w:szCs w:val="22"/>
              </w:rPr>
            </w:pPr>
            <w:r w:rsidRPr="00F51CFF">
              <w:rPr>
                <w:rFonts w:ascii="Arial" w:hAnsi="Arial" w:cs="Arial"/>
                <w:sz w:val="22"/>
                <w:szCs w:val="22"/>
              </w:rPr>
              <w:t>No</w:t>
            </w:r>
            <w:r w:rsidR="00E06D27" w:rsidRPr="00F51CFF">
              <w:rPr>
                <w:rFonts w:ascii="Arial" w:hAnsi="Arial" w:cs="Arial"/>
                <w:sz w:val="22"/>
                <w:szCs w:val="22"/>
              </w:rPr>
              <w:t>á</w:t>
            </w:r>
            <w:r w:rsidRPr="00F51CFF">
              <w:rPr>
                <w:rFonts w:ascii="Arial" w:hAnsi="Arial" w:cs="Arial"/>
                <w:sz w:val="22"/>
                <w:szCs w:val="22"/>
              </w:rPr>
              <w:t>in</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17/06/2015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18/03/2015</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Cendea Cizur</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xml:space="preserve">Zizur </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01/10/2015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27/04/2015</w:t>
            </w:r>
          </w:p>
        </w:tc>
        <w:tc>
          <w:tcPr>
            <w:tcW w:w="3021" w:type="dxa"/>
            <w:shd w:val="clear" w:color="auto" w:fill="FCD5B4"/>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Lié</w:t>
            </w:r>
            <w:r w:rsidR="00C157AA" w:rsidRPr="00F51CFF">
              <w:rPr>
                <w:rFonts w:ascii="Arial" w:hAnsi="Arial" w:cs="Arial"/>
                <w:sz w:val="22"/>
                <w:szCs w:val="22"/>
              </w:rPr>
              <w:t>dena</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Sangüesa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01/10/2015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14/05/2015</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Pamplona (antiguos Maristas)</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II Ensanche</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01/10/2015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29/07/2015</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Villava</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Villava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22/12/2015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20/08/2015</w:t>
            </w:r>
          </w:p>
        </w:tc>
        <w:tc>
          <w:tcPr>
            <w:tcW w:w="3021" w:type="dxa"/>
            <w:shd w:val="clear" w:color="auto" w:fill="FCD5B4"/>
            <w:noWrap/>
            <w:vAlign w:val="bottom"/>
            <w:hideMark/>
          </w:tcPr>
          <w:p w:rsidR="00C157AA" w:rsidRPr="00F51CFF" w:rsidRDefault="00E06D27">
            <w:pPr>
              <w:jc w:val="center"/>
              <w:rPr>
                <w:rFonts w:ascii="Arial" w:hAnsi="Arial" w:cs="Arial"/>
                <w:sz w:val="22"/>
                <w:szCs w:val="22"/>
              </w:rPr>
            </w:pPr>
            <w:r w:rsidRPr="00F51CFF">
              <w:rPr>
                <w:rFonts w:ascii="Arial" w:hAnsi="Arial" w:cs="Arial"/>
                <w:sz w:val="22"/>
                <w:szCs w:val="22"/>
              </w:rPr>
              <w:t>Uztá</w:t>
            </w:r>
            <w:r w:rsidR="00C157AA" w:rsidRPr="00F51CFF">
              <w:rPr>
                <w:rFonts w:ascii="Arial" w:hAnsi="Arial" w:cs="Arial"/>
                <w:sz w:val="22"/>
                <w:szCs w:val="22"/>
              </w:rPr>
              <w:t>rroz</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Isaba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22/12/2015</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22/06/2016</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Lerga</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Sangüesa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14/10/2016</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29/07/2016</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Betelu</w:t>
            </w:r>
          </w:p>
        </w:tc>
        <w:tc>
          <w:tcPr>
            <w:tcW w:w="2740" w:type="dxa"/>
            <w:shd w:val="clear" w:color="auto" w:fill="FCD5B4"/>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Irurtzun</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14/10/2016</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06/03/2017</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Aranguren</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Mendillorri</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14/08/2019</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21/02/2019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Villatuerta</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Villatuerta</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22/11/2017</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26/02/2019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Allo</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Allo</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20/11/2018</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21/02/2019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 xml:space="preserve">Tudela </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Tudela E y O</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03/05/2019</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25/04/2019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Corella</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Corella</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25/04/2019</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06/03/2019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Ergoiena</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Etxarri</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13/05/2019</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12/04/2019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Cascante</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Cascante</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17/05/2019</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06/11/2019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Aranguren</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Aranguren</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14/08/2019</w:t>
            </w:r>
          </w:p>
        </w:tc>
      </w:tr>
      <w:tr w:rsidR="00C157AA" w:rsidRPr="00F51CFF" w:rsidTr="00C157AA">
        <w:trPr>
          <w:trHeight w:val="255"/>
        </w:trPr>
        <w:tc>
          <w:tcPr>
            <w:tcW w:w="1480" w:type="dxa"/>
            <w:shd w:val="clear" w:color="auto" w:fill="FFFFFF"/>
            <w:noWrap/>
            <w:hideMark/>
          </w:tcPr>
          <w:p w:rsidR="00C157AA" w:rsidRPr="00F51CFF" w:rsidRDefault="00C157AA">
            <w:pPr>
              <w:jc w:val="right"/>
              <w:rPr>
                <w:rFonts w:ascii="Arial" w:hAnsi="Arial" w:cs="Arial"/>
                <w:sz w:val="22"/>
                <w:szCs w:val="22"/>
              </w:rPr>
            </w:pPr>
            <w:r w:rsidRPr="00F51CFF">
              <w:rPr>
                <w:rFonts w:ascii="Arial" w:hAnsi="Arial" w:cs="Arial"/>
                <w:sz w:val="22"/>
                <w:szCs w:val="22"/>
              </w:rPr>
              <w:t>11/11/2019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Ituren</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Doneztebe-Santesteban</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08/11/2019</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sidRPr="00F51CFF">
              <w:rPr>
                <w:rFonts w:ascii="Arial" w:hAnsi="Arial" w:cs="Arial"/>
                <w:sz w:val="22"/>
                <w:szCs w:val="22"/>
              </w:rPr>
              <w:t>06/12/2019</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sidRPr="00F51CFF">
              <w:rPr>
                <w:rFonts w:ascii="Arial" w:hAnsi="Arial" w:cs="Arial"/>
                <w:sz w:val="22"/>
                <w:szCs w:val="22"/>
              </w:rPr>
              <w:t xml:space="preserve">Carcastillo y Figarol </w:t>
            </w:r>
          </w:p>
        </w:tc>
        <w:tc>
          <w:tcPr>
            <w:tcW w:w="274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xml:space="preserve">Carcastillo </w:t>
            </w:r>
          </w:p>
        </w:tc>
        <w:tc>
          <w:tcPr>
            <w:tcW w:w="1200" w:type="dxa"/>
            <w:shd w:val="clear" w:color="auto" w:fill="FFFFFF"/>
            <w:noWrap/>
            <w:vAlign w:val="bottom"/>
            <w:hideMark/>
          </w:tcPr>
          <w:p w:rsidR="00C157AA" w:rsidRPr="00F51CFF" w:rsidRDefault="00C157AA">
            <w:pPr>
              <w:rPr>
                <w:rFonts w:ascii="Arial" w:hAnsi="Arial" w:cs="Arial"/>
                <w:sz w:val="22"/>
                <w:szCs w:val="22"/>
              </w:rPr>
            </w:pPr>
            <w:r w:rsidRPr="00F51CFF">
              <w:rPr>
                <w:rFonts w:ascii="Arial" w:hAnsi="Arial" w:cs="Arial"/>
                <w:sz w:val="22"/>
                <w:szCs w:val="22"/>
              </w:rPr>
              <w:t> </w:t>
            </w:r>
          </w:p>
        </w:tc>
      </w:tr>
    </w:tbl>
    <w:p w:rsidR="00E06D27" w:rsidRPr="00F51CFF" w:rsidRDefault="00E06D27" w:rsidP="00EA64F3">
      <w:pPr>
        <w:tabs>
          <w:tab w:val="left" w:pos="3780"/>
        </w:tabs>
        <w:spacing w:line="288" w:lineRule="auto"/>
        <w:jc w:val="both"/>
        <w:rPr>
          <w:rFonts w:ascii="Century Gothic" w:hAnsi="Century Gothic"/>
          <w:sz w:val="22"/>
          <w:szCs w:val="22"/>
        </w:rPr>
      </w:pPr>
    </w:p>
    <w:p w:rsidR="00E06D27" w:rsidRPr="00F51CFF" w:rsidRDefault="00067159" w:rsidP="00EA64F3">
      <w:pPr>
        <w:tabs>
          <w:tab w:val="left" w:pos="3780"/>
        </w:tabs>
        <w:spacing w:line="288" w:lineRule="auto"/>
        <w:jc w:val="both"/>
        <w:rPr>
          <w:rFonts w:ascii="Century Gothic" w:hAnsi="Century Gothic"/>
          <w:sz w:val="22"/>
          <w:szCs w:val="22"/>
        </w:rPr>
      </w:pPr>
      <w:r w:rsidRPr="00F51CFF">
        <w:rPr>
          <w:rFonts w:ascii="Century Gothic" w:hAnsi="Century Gothic"/>
          <w:sz w:val="22"/>
          <w:szCs w:val="22"/>
        </w:rPr>
        <w:t xml:space="preserve">Por </w:t>
      </w:r>
      <w:r w:rsidR="008B5B0A" w:rsidRPr="00F51CFF">
        <w:rPr>
          <w:rFonts w:ascii="Century Gothic" w:hAnsi="Century Gothic"/>
          <w:sz w:val="22"/>
          <w:szCs w:val="22"/>
        </w:rPr>
        <w:t>ú</w:t>
      </w:r>
      <w:r w:rsidRPr="00F51CFF">
        <w:rPr>
          <w:rFonts w:ascii="Century Gothic" w:hAnsi="Century Gothic"/>
          <w:sz w:val="22"/>
          <w:szCs w:val="22"/>
        </w:rPr>
        <w:t xml:space="preserve">ltimo, </w:t>
      </w:r>
      <w:r w:rsidR="001974B9" w:rsidRPr="00F51CFF">
        <w:rPr>
          <w:rFonts w:ascii="Century Gothic" w:hAnsi="Century Gothic"/>
          <w:sz w:val="22"/>
          <w:szCs w:val="22"/>
        </w:rPr>
        <w:t xml:space="preserve">detallamos a continuación </w:t>
      </w:r>
      <w:r w:rsidR="004E236D" w:rsidRPr="00F51CFF">
        <w:rPr>
          <w:rFonts w:ascii="Century Gothic" w:hAnsi="Century Gothic"/>
          <w:sz w:val="22"/>
          <w:szCs w:val="22"/>
        </w:rPr>
        <w:t>u</w:t>
      </w:r>
      <w:r w:rsidR="001974B9" w:rsidRPr="00F51CFF">
        <w:rPr>
          <w:rFonts w:ascii="Century Gothic" w:hAnsi="Century Gothic"/>
          <w:sz w:val="22"/>
          <w:szCs w:val="22"/>
        </w:rPr>
        <w:t xml:space="preserve">na tabla informativa en </w:t>
      </w:r>
      <w:r w:rsidR="009D4E21" w:rsidRPr="00F51CFF">
        <w:rPr>
          <w:rFonts w:ascii="Century Gothic" w:hAnsi="Century Gothic"/>
          <w:sz w:val="22"/>
          <w:szCs w:val="22"/>
        </w:rPr>
        <w:t>la</w:t>
      </w:r>
      <w:r w:rsidR="001974B9" w:rsidRPr="00F51CFF">
        <w:rPr>
          <w:rFonts w:ascii="Century Gothic" w:hAnsi="Century Gothic"/>
          <w:sz w:val="22"/>
          <w:szCs w:val="22"/>
        </w:rPr>
        <w:t xml:space="preserve"> que se indica el número de TIS </w:t>
      </w:r>
      <w:r w:rsidR="009D4E21" w:rsidRPr="00F51CFF">
        <w:rPr>
          <w:rFonts w:ascii="Century Gothic" w:hAnsi="Century Gothic"/>
          <w:sz w:val="22"/>
          <w:szCs w:val="22"/>
        </w:rPr>
        <w:t>y número de TIS reconvertidas adscritas a cada centro de salud de Navarra</w:t>
      </w:r>
      <w:r w:rsidR="004E236D" w:rsidRPr="00F51CFF">
        <w:rPr>
          <w:rFonts w:ascii="Century Gothic" w:hAnsi="Century Gothic"/>
          <w:sz w:val="22"/>
          <w:szCs w:val="22"/>
        </w:rPr>
        <w:t xml:space="preserve"> a fecha 30 de septiembre de 2019</w:t>
      </w:r>
      <w:r w:rsidR="009D4E21" w:rsidRPr="00F51CFF">
        <w:rPr>
          <w:rFonts w:ascii="Century Gothic" w:hAnsi="Century Gothic"/>
          <w:sz w:val="22"/>
          <w:szCs w:val="22"/>
        </w:rPr>
        <w:t xml:space="preserve">: </w:t>
      </w:r>
      <w:r w:rsidR="005C50B3" w:rsidRPr="00F51CFF">
        <w:rPr>
          <w:rFonts w:ascii="Century Gothic" w:hAnsi="Century Gothic"/>
          <w:sz w:val="22"/>
          <w:szCs w:val="22"/>
        </w:rPr>
        <w:t xml:space="preserve">    </w:t>
      </w:r>
    </w:p>
    <w:p w:rsidR="00623B25" w:rsidRPr="00F51CFF" w:rsidRDefault="00623B25" w:rsidP="005C50B3">
      <w:pPr>
        <w:jc w:val="both"/>
        <w:rPr>
          <w:rFonts w:ascii="Century Gothic" w:hAnsi="Century Gothic"/>
          <w:sz w:val="22"/>
          <w:szCs w:val="22"/>
        </w:rPr>
      </w:pPr>
    </w:p>
    <w:tbl>
      <w:tblPr>
        <w:tblW w:w="9012" w:type="dxa"/>
        <w:tblInd w:w="55" w:type="dxa"/>
        <w:tblCellMar>
          <w:left w:w="70" w:type="dxa"/>
          <w:right w:w="70" w:type="dxa"/>
        </w:tblCellMar>
        <w:tblLook w:val="04A0" w:firstRow="1" w:lastRow="0" w:firstColumn="1" w:lastColumn="0" w:noHBand="0" w:noVBand="1"/>
      </w:tblPr>
      <w:tblGrid>
        <w:gridCol w:w="3417"/>
        <w:gridCol w:w="936"/>
        <w:gridCol w:w="936"/>
        <w:gridCol w:w="822"/>
        <w:gridCol w:w="850"/>
        <w:gridCol w:w="1242"/>
        <w:gridCol w:w="1200"/>
      </w:tblGrid>
      <w:tr w:rsidR="000A199A" w:rsidRPr="00F51CFF" w:rsidTr="000A199A">
        <w:trPr>
          <w:trHeight w:val="255"/>
        </w:trPr>
        <w:tc>
          <w:tcPr>
            <w:tcW w:w="3417" w:type="dxa"/>
            <w:tcBorders>
              <w:top w:val="nil"/>
              <w:left w:val="nil"/>
              <w:bottom w:val="nil"/>
              <w:right w:val="nil"/>
            </w:tcBorders>
            <w:shd w:val="clear" w:color="auto" w:fill="auto"/>
            <w:noWrap/>
            <w:vAlign w:val="center"/>
            <w:hideMark/>
          </w:tcPr>
          <w:p w:rsidR="000A199A" w:rsidRPr="00F51CFF" w:rsidRDefault="000A199A" w:rsidP="000A199A">
            <w:pPr>
              <w:jc w:val="center"/>
              <w:rPr>
                <w:rFonts w:ascii="Arial" w:hAnsi="Arial" w:cs="Arial"/>
                <w:b/>
                <w:bCs/>
                <w:color w:val="FF0000"/>
                <w:sz w:val="22"/>
                <w:szCs w:val="22"/>
              </w:rPr>
            </w:pPr>
            <w:r w:rsidRPr="00F51CFF">
              <w:rPr>
                <w:rFonts w:ascii="Arial" w:hAnsi="Arial" w:cs="Arial"/>
                <w:b/>
                <w:bCs/>
                <w:color w:val="FF0000"/>
                <w:sz w:val="22"/>
                <w:szCs w:val="22"/>
              </w:rPr>
              <w:t>TIS A 30 DE SEPTIEMBRE DE 2019</w:t>
            </w:r>
          </w:p>
        </w:tc>
        <w:tc>
          <w:tcPr>
            <w:tcW w:w="936"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936"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822"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850"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851"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1200"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r>
      <w:tr w:rsidR="000A199A" w:rsidRPr="00F51CFF" w:rsidTr="000A199A">
        <w:trPr>
          <w:trHeight w:val="34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99A" w:rsidRPr="00F51CFF" w:rsidRDefault="000A199A" w:rsidP="000A199A">
            <w:pPr>
              <w:rPr>
                <w:rFonts w:ascii="Arial" w:hAnsi="Arial" w:cs="Arial"/>
                <w:sz w:val="22"/>
                <w:szCs w:val="22"/>
              </w:rPr>
            </w:pPr>
            <w:r w:rsidRPr="00F51CFF">
              <w:rPr>
                <w:rFonts w:ascii="Arial" w:hAnsi="Arial" w:cs="Arial"/>
                <w:sz w:val="22"/>
                <w:szCs w:val="22"/>
              </w:rPr>
              <w:t> </w:t>
            </w:r>
          </w:p>
        </w:tc>
        <w:tc>
          <w:tcPr>
            <w:tcW w:w="1872"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0A199A" w:rsidRPr="00F51CFF" w:rsidRDefault="000A199A" w:rsidP="000A199A">
            <w:pPr>
              <w:jc w:val="center"/>
              <w:rPr>
                <w:rFonts w:ascii="Arial" w:hAnsi="Arial" w:cs="Arial"/>
                <w:sz w:val="22"/>
                <w:szCs w:val="22"/>
              </w:rPr>
            </w:pPr>
            <w:r w:rsidRPr="00F51CFF">
              <w:rPr>
                <w:rFonts w:ascii="Arial" w:hAnsi="Arial" w:cs="Arial"/>
                <w:sz w:val="22"/>
                <w:szCs w:val="22"/>
              </w:rPr>
              <w:t>M GENERAL</w:t>
            </w:r>
          </w:p>
        </w:tc>
        <w:tc>
          <w:tcPr>
            <w:tcW w:w="1672"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A199A" w:rsidRPr="00F51CFF" w:rsidRDefault="000A199A" w:rsidP="000A199A">
            <w:pPr>
              <w:jc w:val="center"/>
              <w:rPr>
                <w:rFonts w:ascii="Arial" w:hAnsi="Arial" w:cs="Arial"/>
                <w:sz w:val="22"/>
                <w:szCs w:val="22"/>
              </w:rPr>
            </w:pPr>
            <w:r w:rsidRPr="00F51CFF">
              <w:rPr>
                <w:rFonts w:ascii="Arial" w:hAnsi="Arial" w:cs="Arial"/>
                <w:sz w:val="22"/>
                <w:szCs w:val="22"/>
              </w:rPr>
              <w:t>PEDIATRIA</w:t>
            </w:r>
          </w:p>
        </w:tc>
        <w:tc>
          <w:tcPr>
            <w:tcW w:w="2051"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0A199A" w:rsidRPr="00F51CFF" w:rsidRDefault="000A199A" w:rsidP="000A199A">
            <w:pPr>
              <w:jc w:val="center"/>
              <w:rPr>
                <w:rFonts w:ascii="Arial" w:hAnsi="Arial" w:cs="Arial"/>
                <w:sz w:val="22"/>
                <w:szCs w:val="22"/>
              </w:rPr>
            </w:pPr>
            <w:r w:rsidRPr="00F51CFF">
              <w:rPr>
                <w:rFonts w:ascii="Arial" w:hAnsi="Arial" w:cs="Arial"/>
                <w:sz w:val="22"/>
                <w:szCs w:val="22"/>
              </w:rPr>
              <w:t>MG+PEDI</w:t>
            </w:r>
          </w:p>
        </w:tc>
      </w:tr>
      <w:tr w:rsidR="000A199A" w:rsidRPr="00F51CFF" w:rsidTr="000A199A">
        <w:trPr>
          <w:trHeight w:val="342"/>
        </w:trPr>
        <w:tc>
          <w:tcPr>
            <w:tcW w:w="3417" w:type="dxa"/>
            <w:tcBorders>
              <w:top w:val="nil"/>
              <w:left w:val="single" w:sz="4" w:space="0" w:color="auto"/>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sidRPr="00F51CFF">
              <w:rPr>
                <w:rFonts w:ascii="Calibri" w:hAnsi="Calibri" w:cs="Calibri"/>
                <w:b/>
                <w:bCs/>
                <w:sz w:val="22"/>
                <w:szCs w:val="22"/>
              </w:rPr>
              <w:t>Zona</w:t>
            </w:r>
          </w:p>
        </w:tc>
        <w:tc>
          <w:tcPr>
            <w:tcW w:w="936"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ind w:left="-47" w:firstLine="47"/>
              <w:jc w:val="center"/>
              <w:rPr>
                <w:rFonts w:ascii="Calibri" w:hAnsi="Calibri" w:cs="Calibri"/>
                <w:b/>
                <w:bCs/>
                <w:sz w:val="22"/>
                <w:szCs w:val="22"/>
              </w:rPr>
            </w:pPr>
            <w:r w:rsidRPr="00F51CFF">
              <w:rPr>
                <w:rFonts w:ascii="Calibri" w:hAnsi="Calibri" w:cs="Calibri"/>
                <w:b/>
                <w:bCs/>
                <w:sz w:val="22"/>
                <w:szCs w:val="22"/>
              </w:rPr>
              <w:t>TOTAL TIS</w:t>
            </w:r>
          </w:p>
        </w:tc>
        <w:tc>
          <w:tcPr>
            <w:tcW w:w="936"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sidRPr="00F51CFF">
              <w:rPr>
                <w:rFonts w:ascii="Calibri" w:hAnsi="Calibri" w:cs="Calibri"/>
                <w:b/>
                <w:bCs/>
                <w:sz w:val="22"/>
                <w:szCs w:val="22"/>
              </w:rPr>
              <w:t>TOTAL TIS Rec</w:t>
            </w:r>
          </w:p>
        </w:tc>
        <w:tc>
          <w:tcPr>
            <w:tcW w:w="822"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sidRPr="00F51CFF">
              <w:rPr>
                <w:rFonts w:ascii="Calibri" w:hAnsi="Calibri" w:cs="Calibri"/>
                <w:b/>
                <w:bCs/>
                <w:sz w:val="22"/>
                <w:szCs w:val="22"/>
              </w:rPr>
              <w:t>TOTAL TIS</w:t>
            </w:r>
          </w:p>
        </w:tc>
        <w:tc>
          <w:tcPr>
            <w:tcW w:w="850"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sidRPr="00F51CFF">
              <w:rPr>
                <w:rFonts w:ascii="Calibri" w:hAnsi="Calibri" w:cs="Calibri"/>
                <w:b/>
                <w:bCs/>
                <w:sz w:val="22"/>
                <w:szCs w:val="22"/>
              </w:rPr>
              <w:t>TOTAL TIS Rec</w:t>
            </w:r>
          </w:p>
        </w:tc>
        <w:tc>
          <w:tcPr>
            <w:tcW w:w="851"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sidRPr="00F51CFF">
              <w:rPr>
                <w:rFonts w:ascii="Calibri" w:hAnsi="Calibri" w:cs="Calibri"/>
                <w:b/>
                <w:bCs/>
                <w:sz w:val="22"/>
                <w:szCs w:val="22"/>
              </w:rPr>
              <w:t>TOTAL TIS</w:t>
            </w:r>
          </w:p>
        </w:tc>
        <w:tc>
          <w:tcPr>
            <w:tcW w:w="1200"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sidRPr="00F51CFF">
              <w:rPr>
                <w:rFonts w:ascii="Calibri" w:hAnsi="Calibri" w:cs="Calibri"/>
                <w:b/>
                <w:bCs/>
                <w:sz w:val="22"/>
                <w:szCs w:val="22"/>
              </w:rPr>
              <w:t>TIS RECONV</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 xml:space="preserve">TOTAL ZB: 01-ALTSASU/ALSASUA </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7916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8184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1318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1312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9234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9496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02-ETXARRI-ARANATZ</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5388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5668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1095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1075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6483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6744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03-IRURTZUN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6559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6642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1367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1358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7926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8001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04-LEITZA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3292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3577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636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657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3928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4235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05-LESAKA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6972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7313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1343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1327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8315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8640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06-ELIZONDO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6865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7378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1272</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1256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8137</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8634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07-DONEZTEBE/SANTESTEBAN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4442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4558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912</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925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5354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5483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08-ULTZAMA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2550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2792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425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392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2975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3184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09-AURITZ/BURGUETE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1675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1984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1895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2195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10-AOIZ</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3241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3212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664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670</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3905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3882</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11-HUARTE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11509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10200</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3025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2784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14534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12985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12-VILLAVA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11039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10593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1796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1701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12835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12294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13-BURLADA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15841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15624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2308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2215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18149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17840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14-BERRIOZAR</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11241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9737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2724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2636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13965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12373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15-ORKOIEN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6001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5287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1531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1457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7532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6745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16-SAN JORGE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10587</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10459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1873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1825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12460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12284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17-ROCHAPEA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21512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20580</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4134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3869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25646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24449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18-CHANTREA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17856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18886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2776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2698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20632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21583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19-CASCO VIEJO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11035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11307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1331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1335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12366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12643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20-II ENSANCHE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17780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18846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3455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3569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21235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22415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21-MILAGROSA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11823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11655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1810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1961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13633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13616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22-ITURRAMA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15565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18755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1696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1716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17261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20471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23-SAN JUAN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20139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23817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2737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2718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22876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26536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24-ERMITAGAÑA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14191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15002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1855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1883</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16046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16885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25-ZIZUR</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14968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12649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3160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3165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18128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15814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25 ECHAVACOIZ</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3376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3257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488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489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3864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3746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sidRPr="00F51CFF">
              <w:rPr>
                <w:rFonts w:ascii="Calibri" w:hAnsi="Calibri" w:cs="Calibri"/>
                <w:b/>
                <w:bCs/>
                <w:color w:val="000000"/>
                <w:sz w:val="22"/>
                <w:szCs w:val="22"/>
              </w:rPr>
              <w:t>TOTAL ZB 26 - BARAÑÁ</w:t>
            </w:r>
            <w:r w:rsidR="000A199A" w:rsidRPr="00F51CFF">
              <w:rPr>
                <w:rFonts w:ascii="Calibri" w:hAnsi="Calibri" w:cs="Calibri"/>
                <w:b/>
                <w:bCs/>
                <w:color w:val="000000"/>
                <w:sz w:val="22"/>
                <w:szCs w:val="22"/>
              </w:rPr>
              <w:t>IN 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8248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8709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 </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 </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8248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8709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sidRPr="00F51CFF">
              <w:rPr>
                <w:rFonts w:ascii="Calibri" w:hAnsi="Calibri" w:cs="Calibri"/>
                <w:b/>
                <w:bCs/>
                <w:color w:val="000000"/>
                <w:sz w:val="22"/>
                <w:szCs w:val="22"/>
              </w:rPr>
              <w:t>TOTAL ZB 26 - BARAÑÁ</w:t>
            </w:r>
            <w:r w:rsidR="000A199A" w:rsidRPr="00F51CFF">
              <w:rPr>
                <w:rFonts w:ascii="Calibri" w:hAnsi="Calibri" w:cs="Calibri"/>
                <w:b/>
                <w:bCs/>
                <w:color w:val="000000"/>
                <w:sz w:val="22"/>
                <w:szCs w:val="22"/>
              </w:rPr>
              <w:t>IN II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11425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10436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2533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2474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13958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12910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27-PUENTE LA REINA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5993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6169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1108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1125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7101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7295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sidRPr="00F51CFF">
              <w:rPr>
                <w:rFonts w:ascii="Calibri" w:hAnsi="Calibri" w:cs="Calibri"/>
                <w:b/>
                <w:bCs/>
                <w:color w:val="000000"/>
                <w:sz w:val="22"/>
                <w:szCs w:val="22"/>
              </w:rPr>
              <w:t>TOTAL ZB: 28-NOÁ</w:t>
            </w:r>
            <w:r w:rsidR="000A199A" w:rsidRPr="00F51CFF">
              <w:rPr>
                <w:rFonts w:ascii="Calibri" w:hAnsi="Calibri" w:cs="Calibri"/>
                <w:b/>
                <w:bCs/>
                <w:color w:val="000000"/>
                <w:sz w:val="22"/>
                <w:szCs w:val="22"/>
              </w:rPr>
              <w:t>IN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11959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10510</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3026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2951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14985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13461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29-SANGÜESA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8065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9264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1094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1046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9159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10310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30-SALAZAR</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1061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1343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1141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1425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31-ISABA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763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973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854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1060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40-TAFALLA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11048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11693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1693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1709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12741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13402</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41-ARTAJONA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4270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4602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789</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775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5059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5377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42-CARCASTILLO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3906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4249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574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586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4480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4835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43-OLITE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7003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7465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1150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1166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8153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8631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44-PERALTA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11396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11596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2123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2199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13519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13794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61-AZPILAGAÑA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11931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12975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1303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1349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13234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14325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63-MENDILLORRI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10930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8987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1539</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1369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12469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10356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sidRPr="00F51CFF">
              <w:rPr>
                <w:rFonts w:ascii="Calibri" w:hAnsi="Calibri" w:cs="Calibri"/>
                <w:b/>
                <w:bCs/>
                <w:color w:val="000000"/>
                <w:sz w:val="22"/>
                <w:szCs w:val="22"/>
              </w:rPr>
              <w:t>TOTAL ZB  Zona: 64-ANSOÁ</w:t>
            </w:r>
            <w:r w:rsidR="000A199A" w:rsidRPr="00F51CFF">
              <w:rPr>
                <w:rFonts w:ascii="Calibri" w:hAnsi="Calibri" w:cs="Calibri"/>
                <w:b/>
                <w:bCs/>
                <w:color w:val="000000"/>
                <w:sz w:val="22"/>
                <w:szCs w:val="22"/>
              </w:rPr>
              <w:t>IN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8876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8113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1854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1706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10730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9819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66-BUZTINTXURI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9744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7012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3547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3728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13291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10740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67-SARRIGUREN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11124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7013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5244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5766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16368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12779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68-ARANGUREN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7930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6288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2272</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2402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10202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8690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 xml:space="preserve">TOTAL ZB: 45-TUDELA OESTE SIN RESIDENCIA </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11623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11342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2251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2274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13874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13616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46-TUDELA ESTE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19323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18852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3624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3659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22947</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22511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47-VALTIERRA-CADREITA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10639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11091</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1977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1995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12616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13087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48-CORELLA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9894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9692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2148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2211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12042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11904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49-CINTRUÉNIGO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8067</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8089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1757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1738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9824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9827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50-CASCANTE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9806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10251</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1825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1799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11631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12050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51-BUÑUEL</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10853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11454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1727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1763</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12580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13217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32-ESTELLA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15079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15257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2569</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2595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17648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17853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33-VILLATUERTA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3760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4119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590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552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4350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4671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34-ALLO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3726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4337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537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534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4263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4871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sidRPr="00F51CFF">
              <w:rPr>
                <w:rFonts w:ascii="Calibri" w:hAnsi="Calibri" w:cs="Calibri"/>
                <w:b/>
                <w:bCs/>
                <w:color w:val="000000"/>
                <w:sz w:val="22"/>
                <w:szCs w:val="22"/>
              </w:rPr>
              <w:t>TOTAL ZB  Zona: 35-ANCÍ</w:t>
            </w:r>
            <w:r w:rsidR="000A199A" w:rsidRPr="00F51CFF">
              <w:rPr>
                <w:rFonts w:ascii="Calibri" w:hAnsi="Calibri" w:cs="Calibri"/>
                <w:b/>
                <w:bCs/>
                <w:color w:val="000000"/>
                <w:sz w:val="22"/>
                <w:szCs w:val="22"/>
              </w:rPr>
              <w:t>N-AMÉSCOA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3046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3625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390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358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3436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3983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Zona: 36-LOS ARCOS</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1666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2175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168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1834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2365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37-VIANA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3719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4025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677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689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4396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4714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sidRPr="00F51CFF">
              <w:rPr>
                <w:rFonts w:ascii="Calibri" w:hAnsi="Calibri" w:cs="Calibri"/>
                <w:b/>
                <w:bCs/>
                <w:color w:val="000000"/>
                <w:sz w:val="22"/>
                <w:szCs w:val="22"/>
              </w:rPr>
              <w:t>TOTAL ZB: 38-LODOSA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9304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10078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1495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1519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10799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11597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sidRPr="00F51CFF">
              <w:rPr>
                <w:rFonts w:ascii="Calibri" w:hAnsi="Calibri" w:cs="Calibri"/>
                <w:b/>
                <w:bCs/>
                <w:color w:val="000000"/>
                <w:sz w:val="22"/>
                <w:szCs w:val="22"/>
              </w:rPr>
              <w:t>TOTAL ZB  Zona: 39-SAN ADRIÁ</w:t>
            </w:r>
            <w:r w:rsidR="000A199A" w:rsidRPr="00F51CFF">
              <w:rPr>
                <w:rFonts w:ascii="Calibri" w:hAnsi="Calibri" w:cs="Calibri"/>
                <w:b/>
                <w:bCs/>
                <w:color w:val="000000"/>
                <w:sz w:val="22"/>
                <w:szCs w:val="22"/>
              </w:rPr>
              <w:t>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11632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11594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2144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2194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13776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sidRPr="00F51CFF">
              <w:rPr>
                <w:rFonts w:ascii="Calibri" w:hAnsi="Calibri" w:cs="Calibri"/>
                <w:b/>
                <w:bCs/>
                <w:color w:val="000000"/>
                <w:sz w:val="22"/>
                <w:szCs w:val="22"/>
              </w:rPr>
              <w:t>13788</w:t>
            </w:r>
          </w:p>
        </w:tc>
      </w:tr>
      <w:tr w:rsidR="000A199A" w:rsidRPr="00F51CFF" w:rsidTr="000A199A">
        <w:trPr>
          <w:trHeight w:val="34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0A199A" w:rsidRPr="00F51CFF" w:rsidRDefault="000A199A" w:rsidP="000A199A">
            <w:pPr>
              <w:rPr>
                <w:rFonts w:ascii="Arial" w:hAnsi="Arial" w:cs="Arial"/>
                <w:b/>
                <w:bCs/>
                <w:sz w:val="22"/>
                <w:szCs w:val="22"/>
              </w:rPr>
            </w:pPr>
            <w:r w:rsidRPr="00F51CFF">
              <w:rPr>
                <w:rFonts w:ascii="Arial" w:hAnsi="Arial" w:cs="Arial"/>
                <w:b/>
                <w:bCs/>
                <w:sz w:val="22"/>
                <w:szCs w:val="22"/>
              </w:rPr>
              <w:t>TIS TOTALES</w:t>
            </w:r>
          </w:p>
        </w:tc>
        <w:tc>
          <w:tcPr>
            <w:tcW w:w="936" w:type="dxa"/>
            <w:tcBorders>
              <w:top w:val="nil"/>
              <w:left w:val="nil"/>
              <w:bottom w:val="single" w:sz="4" w:space="0" w:color="auto"/>
              <w:right w:val="single" w:sz="4" w:space="0" w:color="auto"/>
            </w:tcBorders>
            <w:shd w:val="clear" w:color="000000" w:fill="D9D9D9"/>
            <w:noWrap/>
            <w:vAlign w:val="center"/>
            <w:hideMark/>
          </w:tcPr>
          <w:p w:rsidR="000A199A" w:rsidRPr="00F51CFF" w:rsidRDefault="000A199A" w:rsidP="000A199A">
            <w:pPr>
              <w:jc w:val="right"/>
              <w:rPr>
                <w:rFonts w:ascii="Arial" w:hAnsi="Arial" w:cs="Arial"/>
                <w:b/>
                <w:bCs/>
                <w:sz w:val="22"/>
                <w:szCs w:val="22"/>
              </w:rPr>
            </w:pPr>
            <w:r w:rsidRPr="00F51CFF">
              <w:rPr>
                <w:rFonts w:ascii="Arial" w:hAnsi="Arial" w:cs="Arial"/>
                <w:b/>
                <w:bCs/>
                <w:sz w:val="22"/>
                <w:szCs w:val="22"/>
              </w:rPr>
              <w:t>541.172</w:t>
            </w:r>
          </w:p>
        </w:tc>
        <w:tc>
          <w:tcPr>
            <w:tcW w:w="936" w:type="dxa"/>
            <w:tcBorders>
              <w:top w:val="nil"/>
              <w:left w:val="nil"/>
              <w:bottom w:val="single" w:sz="4" w:space="0" w:color="auto"/>
              <w:right w:val="single" w:sz="4" w:space="0" w:color="auto"/>
            </w:tcBorders>
            <w:shd w:val="clear" w:color="000000" w:fill="D9D9D9"/>
            <w:noWrap/>
            <w:vAlign w:val="center"/>
            <w:hideMark/>
          </w:tcPr>
          <w:p w:rsidR="000A199A" w:rsidRPr="00F51CFF" w:rsidRDefault="000A199A" w:rsidP="000A199A">
            <w:pPr>
              <w:jc w:val="right"/>
              <w:rPr>
                <w:rFonts w:ascii="Arial" w:hAnsi="Arial" w:cs="Arial"/>
                <w:b/>
                <w:bCs/>
                <w:sz w:val="22"/>
                <w:szCs w:val="22"/>
              </w:rPr>
            </w:pPr>
            <w:r w:rsidRPr="00F51CFF">
              <w:rPr>
                <w:rFonts w:ascii="Arial" w:hAnsi="Arial" w:cs="Arial"/>
                <w:b/>
                <w:bCs/>
                <w:sz w:val="22"/>
                <w:szCs w:val="22"/>
              </w:rPr>
              <w:t>541.342</w:t>
            </w:r>
          </w:p>
        </w:tc>
        <w:tc>
          <w:tcPr>
            <w:tcW w:w="822" w:type="dxa"/>
            <w:tcBorders>
              <w:top w:val="nil"/>
              <w:left w:val="nil"/>
              <w:bottom w:val="single" w:sz="4" w:space="0" w:color="auto"/>
              <w:right w:val="single" w:sz="4" w:space="0" w:color="auto"/>
            </w:tcBorders>
            <w:shd w:val="clear" w:color="000000" w:fill="F2DCDB"/>
            <w:noWrap/>
            <w:vAlign w:val="center"/>
            <w:hideMark/>
          </w:tcPr>
          <w:p w:rsidR="000A199A" w:rsidRPr="00F51CFF" w:rsidRDefault="000A199A" w:rsidP="000A199A">
            <w:pPr>
              <w:jc w:val="right"/>
              <w:rPr>
                <w:rFonts w:ascii="Arial" w:hAnsi="Arial" w:cs="Arial"/>
                <w:b/>
                <w:bCs/>
                <w:sz w:val="22"/>
                <w:szCs w:val="22"/>
              </w:rPr>
            </w:pPr>
            <w:r w:rsidRPr="00F51CFF">
              <w:rPr>
                <w:rFonts w:ascii="Arial" w:hAnsi="Arial" w:cs="Arial"/>
                <w:b/>
                <w:bCs/>
                <w:sz w:val="22"/>
                <w:szCs w:val="22"/>
              </w:rPr>
              <w:t>99.850</w:t>
            </w:r>
          </w:p>
        </w:tc>
        <w:tc>
          <w:tcPr>
            <w:tcW w:w="850" w:type="dxa"/>
            <w:tcBorders>
              <w:top w:val="nil"/>
              <w:left w:val="nil"/>
              <w:bottom w:val="single" w:sz="4" w:space="0" w:color="auto"/>
              <w:right w:val="single" w:sz="4" w:space="0" w:color="auto"/>
            </w:tcBorders>
            <w:shd w:val="clear" w:color="000000" w:fill="F2DCDB"/>
            <w:noWrap/>
            <w:vAlign w:val="center"/>
            <w:hideMark/>
          </w:tcPr>
          <w:p w:rsidR="000A199A" w:rsidRPr="00F51CFF" w:rsidRDefault="000A199A" w:rsidP="000A199A">
            <w:pPr>
              <w:jc w:val="right"/>
              <w:rPr>
                <w:rFonts w:ascii="Arial" w:hAnsi="Arial" w:cs="Arial"/>
                <w:b/>
                <w:bCs/>
                <w:sz w:val="22"/>
                <w:szCs w:val="22"/>
              </w:rPr>
            </w:pPr>
            <w:r w:rsidRPr="00F51CFF">
              <w:rPr>
                <w:rFonts w:ascii="Arial" w:hAnsi="Arial" w:cs="Arial"/>
                <w:b/>
                <w:bCs/>
                <w:sz w:val="22"/>
                <w:szCs w:val="22"/>
              </w:rPr>
              <w:t>99.799</w:t>
            </w:r>
          </w:p>
        </w:tc>
        <w:tc>
          <w:tcPr>
            <w:tcW w:w="851" w:type="dxa"/>
            <w:tcBorders>
              <w:top w:val="nil"/>
              <w:left w:val="nil"/>
              <w:bottom w:val="single" w:sz="4" w:space="0" w:color="auto"/>
              <w:right w:val="single" w:sz="4" w:space="0" w:color="auto"/>
            </w:tcBorders>
            <w:shd w:val="clear" w:color="000000" w:fill="C5D9F1"/>
            <w:noWrap/>
            <w:vAlign w:val="center"/>
            <w:hideMark/>
          </w:tcPr>
          <w:p w:rsidR="000A199A" w:rsidRPr="00F51CFF" w:rsidRDefault="000A199A" w:rsidP="000A199A">
            <w:pPr>
              <w:jc w:val="right"/>
              <w:rPr>
                <w:rFonts w:ascii="Arial" w:hAnsi="Arial" w:cs="Arial"/>
                <w:b/>
                <w:bCs/>
                <w:sz w:val="22"/>
                <w:szCs w:val="22"/>
              </w:rPr>
            </w:pPr>
            <w:r w:rsidRPr="00F51CFF">
              <w:rPr>
                <w:rFonts w:ascii="Arial" w:hAnsi="Arial" w:cs="Arial"/>
                <w:b/>
                <w:bCs/>
                <w:sz w:val="22"/>
                <w:szCs w:val="22"/>
              </w:rPr>
              <w:t>641.022,00</w:t>
            </w:r>
          </w:p>
        </w:tc>
        <w:tc>
          <w:tcPr>
            <w:tcW w:w="1200" w:type="dxa"/>
            <w:tcBorders>
              <w:top w:val="nil"/>
              <w:left w:val="nil"/>
              <w:bottom w:val="single" w:sz="4" w:space="0" w:color="auto"/>
              <w:right w:val="single" w:sz="4" w:space="0" w:color="auto"/>
            </w:tcBorders>
            <w:shd w:val="clear" w:color="000000" w:fill="C5D9F1"/>
            <w:noWrap/>
            <w:vAlign w:val="center"/>
            <w:hideMark/>
          </w:tcPr>
          <w:p w:rsidR="000A199A" w:rsidRPr="00F51CFF" w:rsidRDefault="000A199A" w:rsidP="000A199A">
            <w:pPr>
              <w:jc w:val="right"/>
              <w:rPr>
                <w:rFonts w:ascii="Arial" w:hAnsi="Arial" w:cs="Arial"/>
                <w:b/>
                <w:bCs/>
                <w:sz w:val="22"/>
                <w:szCs w:val="22"/>
              </w:rPr>
            </w:pPr>
            <w:r w:rsidRPr="00F51CFF">
              <w:rPr>
                <w:rFonts w:ascii="Arial" w:hAnsi="Arial" w:cs="Arial"/>
                <w:b/>
                <w:bCs/>
                <w:sz w:val="22"/>
                <w:szCs w:val="22"/>
              </w:rPr>
              <w:t>641.141</w:t>
            </w:r>
          </w:p>
        </w:tc>
      </w:tr>
    </w:tbl>
    <w:p w:rsidR="00E06D27" w:rsidRPr="00F51CFF" w:rsidRDefault="00E06D27" w:rsidP="005C50B3">
      <w:pPr>
        <w:jc w:val="both"/>
        <w:rPr>
          <w:rFonts w:ascii="Century Gothic" w:hAnsi="Century Gothic"/>
          <w:sz w:val="22"/>
          <w:szCs w:val="22"/>
        </w:rPr>
      </w:pPr>
    </w:p>
    <w:p w:rsidR="00E06D27" w:rsidRPr="00F51CFF" w:rsidRDefault="00A711C6" w:rsidP="005B0642">
      <w:pPr>
        <w:tabs>
          <w:tab w:val="left" w:pos="720"/>
        </w:tabs>
        <w:spacing w:line="288" w:lineRule="auto"/>
        <w:jc w:val="both"/>
        <w:rPr>
          <w:rFonts w:ascii="Century Gothic" w:hAnsi="Century Gothic"/>
          <w:sz w:val="22"/>
          <w:szCs w:val="22"/>
        </w:rPr>
      </w:pPr>
      <w:r w:rsidRPr="00F51CFF">
        <w:rPr>
          <w:rFonts w:ascii="Century Gothic" w:hAnsi="Century Gothic"/>
          <w:sz w:val="22"/>
          <w:szCs w:val="22"/>
        </w:rPr>
        <w:t>Es cuanto tengo el honor de informar en cumplimiento de lo dispuesto en el artículo 194 del Reglamento del Parlamento de Navarra.</w:t>
      </w:r>
    </w:p>
    <w:p w:rsidR="00E06D27" w:rsidRPr="00F51CFF" w:rsidRDefault="00A711C6" w:rsidP="00623B25">
      <w:pPr>
        <w:tabs>
          <w:tab w:val="left" w:pos="3780"/>
        </w:tabs>
        <w:spacing w:line="288" w:lineRule="auto"/>
        <w:jc w:val="center"/>
        <w:rPr>
          <w:rFonts w:ascii="Century Gothic" w:hAnsi="Century Gothic"/>
          <w:sz w:val="22"/>
          <w:szCs w:val="22"/>
        </w:rPr>
      </w:pPr>
      <w:r w:rsidRPr="00F51CFF">
        <w:rPr>
          <w:rFonts w:ascii="Century Gothic" w:hAnsi="Century Gothic"/>
          <w:sz w:val="22"/>
          <w:szCs w:val="22"/>
        </w:rPr>
        <w:t xml:space="preserve">Pamplona,  </w:t>
      </w:r>
      <w:r w:rsidR="0017213A" w:rsidRPr="00F51CFF">
        <w:rPr>
          <w:rFonts w:ascii="Century Gothic" w:hAnsi="Century Gothic"/>
          <w:sz w:val="22"/>
          <w:szCs w:val="22"/>
        </w:rPr>
        <w:t>1</w:t>
      </w:r>
      <w:r w:rsidR="005806B5" w:rsidRPr="00F51CFF">
        <w:rPr>
          <w:rFonts w:ascii="Century Gothic" w:hAnsi="Century Gothic"/>
          <w:sz w:val="22"/>
          <w:szCs w:val="22"/>
        </w:rPr>
        <w:t>6</w:t>
      </w:r>
      <w:r w:rsidRPr="00F51CFF">
        <w:rPr>
          <w:rFonts w:ascii="Century Gothic" w:hAnsi="Century Gothic"/>
          <w:sz w:val="22"/>
          <w:szCs w:val="22"/>
        </w:rPr>
        <w:t xml:space="preserve"> de </w:t>
      </w:r>
      <w:r w:rsidR="00623B25" w:rsidRPr="00F51CFF">
        <w:rPr>
          <w:rFonts w:ascii="Century Gothic" w:hAnsi="Century Gothic"/>
          <w:sz w:val="22"/>
          <w:szCs w:val="22"/>
        </w:rPr>
        <w:t>Diciembre</w:t>
      </w:r>
      <w:r w:rsidRPr="00F51CFF">
        <w:rPr>
          <w:rFonts w:ascii="Century Gothic" w:hAnsi="Century Gothic"/>
          <w:sz w:val="22"/>
          <w:szCs w:val="22"/>
        </w:rPr>
        <w:t xml:space="preserve"> de 2019</w:t>
      </w:r>
    </w:p>
    <w:p w:rsidR="00A711C6" w:rsidRDefault="00610D49" w:rsidP="00610D49">
      <w:pPr>
        <w:spacing w:line="288" w:lineRule="auto"/>
        <w:ind w:left="567" w:right="567"/>
        <w:jc w:val="center"/>
        <w:outlineLvl w:val="0"/>
        <w:rPr>
          <w:rFonts w:ascii="Century Gothic" w:hAnsi="Century Gothic"/>
          <w:sz w:val="22"/>
          <w:szCs w:val="22"/>
          <w:lang w:val="pt-BR"/>
        </w:rPr>
      </w:pPr>
      <w:r w:rsidRPr="00F51CFF">
        <w:rPr>
          <w:rFonts w:ascii="Century Gothic" w:hAnsi="Century Gothic"/>
          <w:sz w:val="22"/>
          <w:szCs w:val="22"/>
        </w:rPr>
        <w:t xml:space="preserve">La Consejera de Salud: </w:t>
      </w:r>
      <w:r w:rsidR="00F51CFF" w:rsidRPr="00F51CFF">
        <w:rPr>
          <w:rFonts w:ascii="Century Gothic" w:hAnsi="Century Gothic"/>
          <w:sz w:val="22"/>
          <w:szCs w:val="22"/>
          <w:lang w:val="pt-BR"/>
        </w:rPr>
        <w:t>Santos Indurá</w:t>
      </w:r>
      <w:r w:rsidR="00A711C6" w:rsidRPr="00F51CFF">
        <w:rPr>
          <w:rFonts w:ascii="Century Gothic" w:hAnsi="Century Gothic"/>
          <w:sz w:val="22"/>
          <w:szCs w:val="22"/>
          <w:lang w:val="pt-BR"/>
        </w:rPr>
        <w:t>in Orduna</w:t>
      </w:r>
    </w:p>
    <w:p w:rsidR="00453121" w:rsidRDefault="00453121" w:rsidP="00453121">
      <w:pPr>
        <w:rPr>
          <w:rFonts w:ascii="Times New (W1)" w:hAnsi="Times New (W1)"/>
        </w:rPr>
      </w:pPr>
      <w:r>
        <w:rPr>
          <w:rFonts w:ascii="Times New (W1)" w:hAnsi="Times New (W1)"/>
        </w:rPr>
        <w:t xml:space="preserve">(Nota: </w:t>
      </w:r>
      <w:r>
        <w:t xml:space="preserve">El anexo mencionado se encuentra a disposición de los Parlamentarios Forales </w:t>
      </w:r>
      <w:r>
        <w:rPr>
          <w:rFonts w:ascii="Times New (W1)" w:hAnsi="Times New (W1)"/>
        </w:rPr>
        <w:t>en Gestión Parlamentaria Ágora).</w:t>
      </w:r>
    </w:p>
    <w:p w:rsidR="00453121" w:rsidRPr="00F51CFF" w:rsidRDefault="00453121" w:rsidP="00610D49">
      <w:pPr>
        <w:spacing w:line="288" w:lineRule="auto"/>
        <w:ind w:left="567" w:right="567"/>
        <w:jc w:val="center"/>
        <w:outlineLvl w:val="0"/>
        <w:rPr>
          <w:rFonts w:ascii="Century Gothic" w:hAnsi="Century Gothic"/>
          <w:sz w:val="22"/>
          <w:szCs w:val="22"/>
        </w:rPr>
      </w:pPr>
    </w:p>
    <w:sectPr w:rsidR="00453121" w:rsidRPr="00F51CF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AA" w:rsidRDefault="00C157AA" w:rsidP="0017213A">
      <w:r>
        <w:separator/>
      </w:r>
    </w:p>
  </w:endnote>
  <w:endnote w:type="continuationSeparator" w:id="0">
    <w:p w:rsidR="00C157AA" w:rsidRDefault="00C157AA" w:rsidP="0017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60201"/>
      <w:docPartObj>
        <w:docPartGallery w:val="Page Numbers (Bottom of Page)"/>
        <w:docPartUnique/>
      </w:docPartObj>
    </w:sdtPr>
    <w:sdtEndPr/>
    <w:sdtContent>
      <w:p w:rsidR="00C157AA" w:rsidRDefault="00C157AA">
        <w:pPr>
          <w:pStyle w:val="Piedepgina"/>
          <w:jc w:val="right"/>
        </w:pPr>
        <w:r>
          <w:fldChar w:fldCharType="begin"/>
        </w:r>
        <w:r>
          <w:instrText>PAGE   \* MERGEFORMAT</w:instrText>
        </w:r>
        <w:r>
          <w:fldChar w:fldCharType="separate"/>
        </w:r>
        <w:r w:rsidR="00D87462">
          <w:rPr>
            <w:noProof/>
          </w:rPr>
          <w:t>6</w:t>
        </w:r>
        <w:r>
          <w:fldChar w:fldCharType="end"/>
        </w:r>
      </w:p>
    </w:sdtContent>
  </w:sdt>
  <w:p w:rsidR="00C157AA" w:rsidRDefault="00C157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AA" w:rsidRDefault="00C157AA" w:rsidP="0017213A">
      <w:r>
        <w:separator/>
      </w:r>
    </w:p>
  </w:footnote>
  <w:footnote w:type="continuationSeparator" w:id="0">
    <w:p w:rsidR="00C157AA" w:rsidRDefault="00C157AA" w:rsidP="0017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C4BBE"/>
    <w:multiLevelType w:val="hybridMultilevel"/>
    <w:tmpl w:val="C382CE94"/>
    <w:lvl w:ilvl="0" w:tplc="23943EAC">
      <w:start w:val="2"/>
      <w:numFmt w:val="bullet"/>
      <w:lvlText w:val="-"/>
      <w:lvlJc w:val="left"/>
      <w:pPr>
        <w:ind w:left="720" w:hanging="360"/>
      </w:pPr>
      <w:rPr>
        <w:rFonts w:ascii="Century Gothic" w:eastAsia="Times New Roman"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45E3CDD"/>
    <w:multiLevelType w:val="hybridMultilevel"/>
    <w:tmpl w:val="677EE9C8"/>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6046289"/>
    <w:multiLevelType w:val="hybridMultilevel"/>
    <w:tmpl w:val="1DB2B91E"/>
    <w:lvl w:ilvl="0" w:tplc="23943EAC">
      <w:start w:val="2"/>
      <w:numFmt w:val="bullet"/>
      <w:lvlText w:val="-"/>
      <w:lvlJc w:val="left"/>
      <w:pPr>
        <w:ind w:left="360" w:hanging="360"/>
      </w:pPr>
      <w:rPr>
        <w:rFonts w:ascii="Century Gothic" w:eastAsia="Times New Roman" w:hAnsi="Century Gothic"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061D48"/>
    <w:rsid w:val="00067159"/>
    <w:rsid w:val="00094F15"/>
    <w:rsid w:val="000A199A"/>
    <w:rsid w:val="00136A9A"/>
    <w:rsid w:val="0017213A"/>
    <w:rsid w:val="001974B9"/>
    <w:rsid w:val="001D269B"/>
    <w:rsid w:val="001D2B68"/>
    <w:rsid w:val="001E4FAE"/>
    <w:rsid w:val="00262E71"/>
    <w:rsid w:val="00316209"/>
    <w:rsid w:val="0031649F"/>
    <w:rsid w:val="004157A3"/>
    <w:rsid w:val="00453121"/>
    <w:rsid w:val="004B774F"/>
    <w:rsid w:val="004E236D"/>
    <w:rsid w:val="00511154"/>
    <w:rsid w:val="005806B5"/>
    <w:rsid w:val="00591681"/>
    <w:rsid w:val="005B0642"/>
    <w:rsid w:val="005C50B3"/>
    <w:rsid w:val="00610D49"/>
    <w:rsid w:val="00623B25"/>
    <w:rsid w:val="006272E4"/>
    <w:rsid w:val="006369EC"/>
    <w:rsid w:val="006C729A"/>
    <w:rsid w:val="007A4755"/>
    <w:rsid w:val="00830997"/>
    <w:rsid w:val="008B5B0A"/>
    <w:rsid w:val="00900691"/>
    <w:rsid w:val="0092022D"/>
    <w:rsid w:val="00934B1C"/>
    <w:rsid w:val="009D4E21"/>
    <w:rsid w:val="009E3346"/>
    <w:rsid w:val="00A711C6"/>
    <w:rsid w:val="00AF6B4E"/>
    <w:rsid w:val="00B1674D"/>
    <w:rsid w:val="00BB1154"/>
    <w:rsid w:val="00C157AA"/>
    <w:rsid w:val="00D45EEC"/>
    <w:rsid w:val="00D87462"/>
    <w:rsid w:val="00DC297F"/>
    <w:rsid w:val="00E06D27"/>
    <w:rsid w:val="00E20ACD"/>
    <w:rsid w:val="00EA64F3"/>
    <w:rsid w:val="00F51CFF"/>
    <w:rsid w:val="00FC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0B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C50B3"/>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styleId="Textodeglobo">
    <w:name w:val="Balloon Text"/>
    <w:basedOn w:val="Normal"/>
    <w:link w:val="TextodegloboCar"/>
    <w:uiPriority w:val="99"/>
    <w:semiHidden/>
    <w:unhideWhenUsed/>
    <w:rsid w:val="005C50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0B3"/>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17213A"/>
    <w:pPr>
      <w:tabs>
        <w:tab w:val="center" w:pos="4252"/>
        <w:tab w:val="right" w:pos="8504"/>
      </w:tabs>
    </w:pPr>
  </w:style>
  <w:style w:type="character" w:customStyle="1" w:styleId="EncabezadoCar">
    <w:name w:val="Encabezado Car"/>
    <w:basedOn w:val="Fuentedeprrafopredeter"/>
    <w:link w:val="Encabezado"/>
    <w:uiPriority w:val="99"/>
    <w:rsid w:val="001721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7213A"/>
    <w:pPr>
      <w:tabs>
        <w:tab w:val="center" w:pos="4252"/>
        <w:tab w:val="right" w:pos="8504"/>
      </w:tabs>
    </w:pPr>
  </w:style>
  <w:style w:type="character" w:customStyle="1" w:styleId="PiedepginaCar">
    <w:name w:val="Pie de página Car"/>
    <w:basedOn w:val="Fuentedeprrafopredeter"/>
    <w:link w:val="Piedepgina"/>
    <w:uiPriority w:val="99"/>
    <w:rsid w:val="0017213A"/>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0B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C50B3"/>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styleId="Textodeglobo">
    <w:name w:val="Balloon Text"/>
    <w:basedOn w:val="Normal"/>
    <w:link w:val="TextodegloboCar"/>
    <w:uiPriority w:val="99"/>
    <w:semiHidden/>
    <w:unhideWhenUsed/>
    <w:rsid w:val="005C50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0B3"/>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17213A"/>
    <w:pPr>
      <w:tabs>
        <w:tab w:val="center" w:pos="4252"/>
        <w:tab w:val="right" w:pos="8504"/>
      </w:tabs>
    </w:pPr>
  </w:style>
  <w:style w:type="character" w:customStyle="1" w:styleId="EncabezadoCar">
    <w:name w:val="Encabezado Car"/>
    <w:basedOn w:val="Fuentedeprrafopredeter"/>
    <w:link w:val="Encabezado"/>
    <w:uiPriority w:val="99"/>
    <w:rsid w:val="001721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7213A"/>
    <w:pPr>
      <w:tabs>
        <w:tab w:val="center" w:pos="4252"/>
        <w:tab w:val="right" w:pos="8504"/>
      </w:tabs>
    </w:pPr>
  </w:style>
  <w:style w:type="character" w:customStyle="1" w:styleId="PiedepginaCar">
    <w:name w:val="Pie de página Car"/>
    <w:basedOn w:val="Fuentedeprrafopredeter"/>
    <w:link w:val="Piedepgina"/>
    <w:uiPriority w:val="99"/>
    <w:rsid w:val="0017213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659">
      <w:bodyDiv w:val="1"/>
      <w:marLeft w:val="0"/>
      <w:marRight w:val="0"/>
      <w:marTop w:val="0"/>
      <w:marBottom w:val="0"/>
      <w:divBdr>
        <w:top w:val="none" w:sz="0" w:space="0" w:color="auto"/>
        <w:left w:val="none" w:sz="0" w:space="0" w:color="auto"/>
        <w:bottom w:val="none" w:sz="0" w:space="0" w:color="auto"/>
        <w:right w:val="none" w:sz="0" w:space="0" w:color="auto"/>
      </w:divBdr>
    </w:div>
    <w:div w:id="227038843">
      <w:bodyDiv w:val="1"/>
      <w:marLeft w:val="0"/>
      <w:marRight w:val="0"/>
      <w:marTop w:val="0"/>
      <w:marBottom w:val="0"/>
      <w:divBdr>
        <w:top w:val="none" w:sz="0" w:space="0" w:color="auto"/>
        <w:left w:val="none" w:sz="0" w:space="0" w:color="auto"/>
        <w:bottom w:val="none" w:sz="0" w:space="0" w:color="auto"/>
        <w:right w:val="none" w:sz="0" w:space="0" w:color="auto"/>
      </w:divBdr>
    </w:div>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315885507">
      <w:bodyDiv w:val="1"/>
      <w:marLeft w:val="0"/>
      <w:marRight w:val="0"/>
      <w:marTop w:val="0"/>
      <w:marBottom w:val="0"/>
      <w:divBdr>
        <w:top w:val="none" w:sz="0" w:space="0" w:color="auto"/>
        <w:left w:val="none" w:sz="0" w:space="0" w:color="auto"/>
        <w:bottom w:val="none" w:sz="0" w:space="0" w:color="auto"/>
        <w:right w:val="none" w:sz="0" w:space="0" w:color="auto"/>
      </w:divBdr>
    </w:div>
    <w:div w:id="428501519">
      <w:bodyDiv w:val="1"/>
      <w:marLeft w:val="0"/>
      <w:marRight w:val="0"/>
      <w:marTop w:val="0"/>
      <w:marBottom w:val="0"/>
      <w:divBdr>
        <w:top w:val="none" w:sz="0" w:space="0" w:color="auto"/>
        <w:left w:val="none" w:sz="0" w:space="0" w:color="auto"/>
        <w:bottom w:val="none" w:sz="0" w:space="0" w:color="auto"/>
        <w:right w:val="none" w:sz="0" w:space="0" w:color="auto"/>
      </w:divBdr>
    </w:div>
    <w:div w:id="1248854195">
      <w:bodyDiv w:val="1"/>
      <w:marLeft w:val="0"/>
      <w:marRight w:val="0"/>
      <w:marTop w:val="0"/>
      <w:marBottom w:val="0"/>
      <w:divBdr>
        <w:top w:val="none" w:sz="0" w:space="0" w:color="auto"/>
        <w:left w:val="none" w:sz="0" w:space="0" w:color="auto"/>
        <w:bottom w:val="none" w:sz="0" w:space="0" w:color="auto"/>
        <w:right w:val="none" w:sz="0" w:space="0" w:color="auto"/>
      </w:divBdr>
    </w:div>
    <w:div w:id="1293438715">
      <w:bodyDiv w:val="1"/>
      <w:marLeft w:val="0"/>
      <w:marRight w:val="0"/>
      <w:marTop w:val="0"/>
      <w:marBottom w:val="0"/>
      <w:divBdr>
        <w:top w:val="none" w:sz="0" w:space="0" w:color="auto"/>
        <w:left w:val="none" w:sz="0" w:space="0" w:color="auto"/>
        <w:bottom w:val="none" w:sz="0" w:space="0" w:color="auto"/>
        <w:right w:val="none" w:sz="0" w:space="0" w:color="auto"/>
      </w:divBdr>
    </w:div>
    <w:div w:id="17851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A200-70A1-41F7-9C30-8692E65F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Iñaki De Santiago</cp:lastModifiedBy>
  <cp:revision>2</cp:revision>
  <cp:lastPrinted>2019-12-16T11:53:00Z</cp:lastPrinted>
  <dcterms:created xsi:type="dcterms:W3CDTF">2020-02-11T10:32:00Z</dcterms:created>
  <dcterms:modified xsi:type="dcterms:W3CDTF">2020-02-11T10:32:00Z</dcterms:modified>
</cp:coreProperties>
</file>