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relacionada con la transición energética, formulada por la Ilma. Sra. D.ª María Elena Llorente Trujillo.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17 de febrero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Elena Llorente Trujillo,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su política general relacionada con la transición energética. </w:t>
      </w:r>
    </w:p>
    <w:p>
      <w:pPr>
        <w:pStyle w:val="0"/>
        <w:suppressAutoHyphens w:val="false"/>
        <w:rPr>
          <w:rStyle w:val="1"/>
        </w:rPr>
      </w:pPr>
      <w:r>
        <w:rPr>
          <w:rStyle w:val="1"/>
        </w:rPr>
        <w:t xml:space="preserve">Pamplona, 6 de febrero de 2020 </w:t>
      </w:r>
    </w:p>
    <w:p>
      <w:pPr>
        <w:pStyle w:val="0"/>
        <w:suppressAutoHyphens w:val="false"/>
        <w:rPr>
          <w:rStyle w:val="1"/>
        </w:rPr>
      </w:pPr>
      <w:r>
        <w:rPr>
          <w:rStyle w:val="1"/>
        </w:rPr>
        <w:t xml:space="preserve">La Parlamentaria Foral: Elena Llorente Trujillo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