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febrero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plazas de la Administración Pública de Navarra en las que se ha incluido perfil lingüístico desde 2015,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24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escrita: </w:t>
      </w:r>
    </w:p>
    <w:p>
      <w:pPr>
        <w:pStyle w:val="0"/>
        <w:suppressAutoHyphens w:val="false"/>
        <w:rPr>
          <w:rStyle w:val="1"/>
        </w:rPr>
      </w:pPr>
      <w:r>
        <w:rPr>
          <w:rStyle w:val="1"/>
        </w:rPr>
        <w:t xml:space="preserve">¿En qué plazas de la Administración Pública de Navarra se ha incluido perfil lingüístico desde 2015 hasta la fecha actual? </w:t>
      </w:r>
    </w:p>
    <w:p>
      <w:pPr>
        <w:pStyle w:val="0"/>
        <w:suppressAutoHyphens w:val="false"/>
        <w:rPr>
          <w:rStyle w:val="1"/>
        </w:rPr>
      </w:pPr>
      <w:r>
        <w:rPr>
          <w:rStyle w:val="1"/>
        </w:rPr>
        <w:t xml:space="preserve">Pamplona, a 17 de febrero de 2020 </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