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situación sanitaria de Petilla de Aragón,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 ¿En qué situación sanitaria queda Petilla de Aragón tras la aprobación ayer en el Congreso de los Diputados de una enmienda por la cual durante la emergencia sanitaria causada por el Covid-19 y sus efectos, aquellos municipios que constituyan enclaves recibirán el tratamiento propio de la provincia que les circunda, sin que sea obstáculo que ésta pertenezca a una comunidad autónoma distinta a la de aquellos?</w:t>
      </w:r>
    </w:p>
    <w:p>
      <w:pPr>
        <w:pStyle w:val="0"/>
        <w:suppressAutoHyphens w:val="false"/>
        <w:rPr>
          <w:rStyle w:val="1"/>
        </w:rPr>
      </w:pPr>
      <w:r>
        <w:rPr>
          <w:rStyle w:val="1"/>
        </w:rPr>
        <w:t xml:space="preserve">• ¿Cuál es la valoración del Gobierno de Navarra del cambio en la situación de Petilla de Aragón?</w:t>
      </w:r>
    </w:p>
    <w:p>
      <w:pPr>
        <w:pStyle w:val="0"/>
        <w:suppressAutoHyphens w:val="false"/>
        <w:rPr>
          <w:rStyle w:val="1"/>
        </w:rPr>
      </w:pPr>
      <w:r>
        <w:rPr>
          <w:rStyle w:val="1"/>
        </w:rPr>
        <w:t xml:space="preserve">Iruñea-Pamplona, 7 de mayo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