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80" w:rsidRPr="001E083B" w:rsidRDefault="00850C80" w:rsidP="00850C80">
      <w:pPr>
        <w:pStyle w:val="ohiko1"/>
        <w:rPr>
          <w:b/>
          <w:noProof w:val="0"/>
          <w:lang w:val="es-ES_tradnl"/>
        </w:rPr>
      </w:pPr>
      <w:r w:rsidRPr="001E083B">
        <w:rPr>
          <w:b/>
          <w:noProof w:val="0"/>
          <w:lang w:val="es-ES_tradnl"/>
        </w:rPr>
        <w:t>Proposición de Ley Foral para el establecimiento, con carácter transitorio, de rec</w:t>
      </w:r>
      <w:r>
        <w:rPr>
          <w:b/>
          <w:noProof w:val="0"/>
          <w:lang w:val="es-ES_tradnl"/>
        </w:rPr>
        <w:t>argos en determinados impuestos</w:t>
      </w:r>
    </w:p>
    <w:p w:rsidR="00E46625" w:rsidRPr="001E083B" w:rsidRDefault="00E46625" w:rsidP="00E46625">
      <w:pPr>
        <w:pStyle w:val="ohiko1"/>
        <w:ind w:firstLine="0"/>
        <w:jc w:val="center"/>
        <w:rPr>
          <w:b/>
          <w:noProof w:val="0"/>
          <w:lang w:val="es-ES_tradnl"/>
        </w:rPr>
      </w:pPr>
      <w:r w:rsidRPr="001E083B">
        <w:rPr>
          <w:b/>
          <w:noProof w:val="0"/>
          <w:lang w:val="es-ES_tradnl"/>
        </w:rPr>
        <w:t xml:space="preserve">EXPOSICIÓN DE MOTIVOS </w:t>
      </w:r>
    </w:p>
    <w:p w:rsidR="0037115B" w:rsidRPr="001E083B" w:rsidRDefault="0037115B" w:rsidP="0037115B">
      <w:pPr>
        <w:pStyle w:val="ohiko1"/>
        <w:rPr>
          <w:noProof w:val="0"/>
          <w:lang w:val="es-ES_tradnl"/>
        </w:rPr>
      </w:pPr>
      <w:r w:rsidRPr="001E083B">
        <w:rPr>
          <w:noProof w:val="0"/>
          <w:lang w:val="es-ES_tradnl"/>
        </w:rPr>
        <w:t xml:space="preserve">La pandemia del </w:t>
      </w:r>
      <w:proofErr w:type="spellStart"/>
      <w:r w:rsidR="001E083B">
        <w:rPr>
          <w:noProof w:val="0"/>
          <w:lang w:val="es-ES_tradnl"/>
        </w:rPr>
        <w:t>covid</w:t>
      </w:r>
      <w:proofErr w:type="spellEnd"/>
      <w:r w:rsidR="001E083B">
        <w:rPr>
          <w:noProof w:val="0"/>
          <w:lang w:val="es-ES_tradnl"/>
        </w:rPr>
        <w:t>-19</w:t>
      </w:r>
      <w:r w:rsidRPr="001E083B">
        <w:rPr>
          <w:noProof w:val="0"/>
          <w:lang w:val="es-ES_tradnl"/>
        </w:rPr>
        <w:t xml:space="preserve"> nos ha golpeado duramente. Las enormes necesidades sociales y económicas derivadas de la pandemia requieren de la movilización de ingentes cantidades de recursos públicos y privados, precisamente en un contexto en el que se va a producir una disminución de los ingresos fiscales sin precedentes. Las necesidades de gasto no se corresponden con los ingresos ordinarios previstos.</w:t>
      </w:r>
    </w:p>
    <w:p w:rsidR="0037115B" w:rsidRPr="001E083B" w:rsidRDefault="0037115B" w:rsidP="0037115B">
      <w:pPr>
        <w:pStyle w:val="ohiko1"/>
        <w:rPr>
          <w:noProof w:val="0"/>
          <w:lang w:val="es-ES_tradnl"/>
        </w:rPr>
      </w:pPr>
      <w:r w:rsidRPr="001E083B">
        <w:rPr>
          <w:noProof w:val="0"/>
          <w:lang w:val="es-ES_tradnl"/>
        </w:rPr>
        <w:t xml:space="preserve">Es decir, la factura es muy elevada en el momento en el que se producirá una merma muy importante de la recaudación. Ponernos de pie y empezar a caminar en la dirección adecuada requiere de ingentes recursos económicos en un contexto de escasez. </w:t>
      </w:r>
    </w:p>
    <w:p w:rsidR="0037115B" w:rsidRPr="001E083B" w:rsidRDefault="0037115B" w:rsidP="0037115B">
      <w:pPr>
        <w:pStyle w:val="ohiko1"/>
        <w:rPr>
          <w:noProof w:val="0"/>
          <w:lang w:val="es-ES_tradnl"/>
        </w:rPr>
      </w:pPr>
      <w:r w:rsidRPr="001E083B">
        <w:rPr>
          <w:noProof w:val="0"/>
          <w:lang w:val="es-ES_tradnl"/>
        </w:rPr>
        <w:t xml:space="preserve">Esta situación debe forzar a las administraciones </w:t>
      </w:r>
      <w:r w:rsidR="001E083B" w:rsidRPr="001E083B">
        <w:rPr>
          <w:noProof w:val="0"/>
          <w:lang w:val="es-ES_tradnl"/>
        </w:rPr>
        <w:t>públicas</w:t>
      </w:r>
      <w:r w:rsidRPr="001E083B">
        <w:rPr>
          <w:noProof w:val="0"/>
          <w:lang w:val="es-ES_tradnl"/>
        </w:rPr>
        <w:t xml:space="preserve"> navarras a repensar las prioridades de </w:t>
      </w:r>
      <w:r w:rsidR="001E083B" w:rsidRPr="001E083B">
        <w:rPr>
          <w:noProof w:val="0"/>
          <w:lang w:val="es-ES_tradnl"/>
        </w:rPr>
        <w:t>actuación</w:t>
      </w:r>
      <w:r w:rsidRPr="001E083B">
        <w:rPr>
          <w:noProof w:val="0"/>
          <w:lang w:val="es-ES_tradnl"/>
        </w:rPr>
        <w:t xml:space="preserve"> y la </w:t>
      </w:r>
      <w:r w:rsidR="001E083B" w:rsidRPr="001E083B">
        <w:rPr>
          <w:noProof w:val="0"/>
          <w:lang w:val="es-ES_tradnl"/>
        </w:rPr>
        <w:t>asignación</w:t>
      </w:r>
      <w:r w:rsidRPr="001E083B">
        <w:rPr>
          <w:noProof w:val="0"/>
          <w:lang w:val="es-ES_tradnl"/>
        </w:rPr>
        <w:t xml:space="preserve"> de recursos sobre los principios de </w:t>
      </w:r>
      <w:r w:rsidR="001E083B" w:rsidRPr="001E083B">
        <w:rPr>
          <w:noProof w:val="0"/>
          <w:lang w:val="es-ES_tradnl"/>
        </w:rPr>
        <w:t>generación</w:t>
      </w:r>
      <w:r w:rsidRPr="001E083B">
        <w:rPr>
          <w:noProof w:val="0"/>
          <w:lang w:val="es-ES_tradnl"/>
        </w:rPr>
        <w:t xml:space="preserve"> de riqueza y </w:t>
      </w:r>
      <w:r w:rsidR="001E083B" w:rsidRPr="001E083B">
        <w:rPr>
          <w:noProof w:val="0"/>
          <w:lang w:val="es-ES_tradnl"/>
        </w:rPr>
        <w:t>reducción</w:t>
      </w:r>
      <w:r w:rsidRPr="001E083B">
        <w:rPr>
          <w:noProof w:val="0"/>
          <w:lang w:val="es-ES_tradnl"/>
        </w:rPr>
        <w:t xml:space="preserve"> de las desigualdades sociales, con un planteamiento agresivo. A la vez, se deben activar fuentes de ingresos extraordinarios y disponer de mecanismos de financiación hasta ahora no empleados.</w:t>
      </w:r>
    </w:p>
    <w:p w:rsidR="0037115B" w:rsidRPr="001E083B" w:rsidRDefault="0037115B" w:rsidP="0037115B">
      <w:pPr>
        <w:pStyle w:val="ohiko1"/>
        <w:rPr>
          <w:noProof w:val="0"/>
          <w:lang w:val="es-ES_tradnl"/>
        </w:rPr>
      </w:pPr>
      <w:r w:rsidRPr="001E083B">
        <w:rPr>
          <w:noProof w:val="0"/>
          <w:lang w:val="es-ES_tradnl"/>
        </w:rPr>
        <w:t xml:space="preserve">Y una de las preguntas clave es cómo se paga la factura. Esta crisis requiere del trabajo y el esfuerzo colectivo, se debe abordar desde la solidaridad y la corresponsabilidad. Pagan más quienes más tienen, empezando por la cúspide de la pirámide. Y, por supuesto, se debe abordar desde el rigor, la eficiencia y la eficacia en la gestión de los recursos públicos. </w:t>
      </w:r>
    </w:p>
    <w:p w:rsidR="000F5FBE" w:rsidRPr="001E083B" w:rsidRDefault="0037115B" w:rsidP="0037115B">
      <w:pPr>
        <w:pStyle w:val="ohiko1"/>
        <w:rPr>
          <w:noProof w:val="0"/>
          <w:lang w:val="es-ES_tradnl"/>
        </w:rPr>
      </w:pPr>
      <w:r w:rsidRPr="001E083B">
        <w:rPr>
          <w:noProof w:val="0"/>
          <w:lang w:val="es-ES_tradnl"/>
        </w:rPr>
        <w:t>La gestión de los tiempos es crucial, la capacidad de reacción es vital. Lo que toca hacer ahora no se puede hacer después. El tiempo que se pierda ahora no se va a poder recuperar después.</w:t>
      </w:r>
    </w:p>
    <w:p w:rsidR="000F5FBE" w:rsidRPr="001E083B" w:rsidRDefault="0037115B" w:rsidP="000F5FBE">
      <w:pPr>
        <w:pStyle w:val="ohiko1"/>
        <w:rPr>
          <w:noProof w:val="0"/>
          <w:lang w:val="es-ES_tradnl"/>
        </w:rPr>
      </w:pPr>
      <w:r w:rsidRPr="001E083B">
        <w:rPr>
          <w:noProof w:val="0"/>
          <w:lang w:val="es-ES_tradnl"/>
        </w:rPr>
        <w:lastRenderedPageBreak/>
        <w:t>Por ello, en este contexto extraordinario de gastos y pérdida d</w:t>
      </w:r>
      <w:r w:rsidR="008B6B40">
        <w:rPr>
          <w:noProof w:val="0"/>
          <w:lang w:val="es-ES_tradnl"/>
        </w:rPr>
        <w:t>e recaudación se presenta esta p</w:t>
      </w:r>
      <w:r w:rsidRPr="001E083B">
        <w:rPr>
          <w:noProof w:val="0"/>
          <w:lang w:val="es-ES_tradnl"/>
        </w:rPr>
        <w:t xml:space="preserve">roposición de Ley Foral </w:t>
      </w:r>
      <w:r w:rsidR="000F5FBE" w:rsidRPr="001E083B">
        <w:rPr>
          <w:noProof w:val="0"/>
          <w:lang w:val="es-ES_tradnl"/>
        </w:rPr>
        <w:t>de implantación de la Tasa extraordinaria COVID-19 para poder con ello contribuir a hacer frente a las necesidades de financiación que irremediablemente van a tener las instituciones navarras en los próximos meses y años. Es del todo pertinente aplicar medidas impositivas adicionales y excepcionales que, unidas al necesario debate sobre una fiscalidad más progresiva y equitativa, garanticen los recursos suficientes para la implementación de las políticas públicas que necesitamos con urgencia.</w:t>
      </w:r>
    </w:p>
    <w:p w:rsidR="0037115B" w:rsidRPr="001E083B" w:rsidRDefault="000F5FBE" w:rsidP="000F5FBE">
      <w:pPr>
        <w:pStyle w:val="ohiko1"/>
        <w:rPr>
          <w:noProof w:val="0"/>
          <w:lang w:val="es-ES_tradnl"/>
        </w:rPr>
      </w:pPr>
      <w:r w:rsidRPr="001E083B">
        <w:rPr>
          <w:noProof w:val="0"/>
          <w:lang w:val="es-ES_tradnl"/>
        </w:rPr>
        <w:t>Se propone que en el establecimiento de la denominada Tasa COVID-19 se incluya la imposición, en forma de recargo, que suponga el incremento temporal, parcial, pero significativo o importante de los tipos impositivos de las personas y empresas con mayor capacidad económica en los siguientes impuestos directos: Impuesto sobre la Renta de las Personas Físicas, Impuesto sobre Sociedades, Impuesto sobre Patrimonio e Impuesto sobre Sucesiones y Donaciones, para un periodo de</w:t>
      </w:r>
      <w:r w:rsidR="00A75590">
        <w:rPr>
          <w:noProof w:val="0"/>
          <w:lang w:val="es-ES_tradnl"/>
        </w:rPr>
        <w:t xml:space="preserve"> </w:t>
      </w:r>
      <w:r w:rsidRPr="001E083B">
        <w:rPr>
          <w:noProof w:val="0"/>
          <w:lang w:val="es-ES_tradnl"/>
        </w:rPr>
        <w:t>cuatro años</w:t>
      </w:r>
      <w:r w:rsidR="0037115B" w:rsidRPr="001E083B">
        <w:rPr>
          <w:noProof w:val="0"/>
          <w:lang w:val="es-ES_tradnl"/>
        </w:rPr>
        <w:t xml:space="preserve">, excepto en el de Sociedades que se propone sea para uno. </w:t>
      </w:r>
    </w:p>
    <w:p w:rsidR="0037115B" w:rsidRPr="001E083B" w:rsidRDefault="0037115B" w:rsidP="0037115B">
      <w:pPr>
        <w:pStyle w:val="ohiko1"/>
        <w:rPr>
          <w:noProof w:val="0"/>
          <w:lang w:val="es-ES_tradnl"/>
        </w:rPr>
      </w:pPr>
      <w:r w:rsidRPr="001E083B">
        <w:rPr>
          <w:b/>
          <w:noProof w:val="0"/>
          <w:lang w:val="es-ES_tradnl"/>
        </w:rPr>
        <w:t>Artículo primero</w:t>
      </w:r>
      <w:r w:rsidRPr="001E083B">
        <w:rPr>
          <w:noProof w:val="0"/>
          <w:lang w:val="es-ES_tradnl"/>
        </w:rPr>
        <w:t xml:space="preserve">. </w:t>
      </w:r>
      <w:r w:rsidRPr="001E083B">
        <w:rPr>
          <w:b/>
          <w:noProof w:val="0"/>
          <w:lang w:val="es-ES_tradnl"/>
        </w:rPr>
        <w:t>Texto Refundido de la Ley Foral del Impuesto sobre la Renta de las Personas Físicas.</w:t>
      </w:r>
    </w:p>
    <w:p w:rsidR="008F24E0" w:rsidRPr="001E083B" w:rsidRDefault="008F24E0" w:rsidP="0037115B">
      <w:pPr>
        <w:pStyle w:val="ohiko1"/>
        <w:rPr>
          <w:noProof w:val="0"/>
          <w:lang w:val="es-ES_tradnl"/>
        </w:rPr>
      </w:pPr>
      <w:r w:rsidRPr="001E083B">
        <w:rPr>
          <w:noProof w:val="0"/>
          <w:lang w:val="es-ES_tradnl"/>
        </w:rPr>
        <w:t xml:space="preserve">Se modifica el </w:t>
      </w:r>
      <w:r w:rsidR="0037115B" w:rsidRPr="001E083B">
        <w:rPr>
          <w:noProof w:val="0"/>
          <w:lang w:val="es-ES_tradnl"/>
        </w:rPr>
        <w:t xml:space="preserve">Texto Refundido de la Ley Foral del Impuesto sobre la Renta de las Personas Físicas, aprobado por el Decreto Foral Legislativo 4/2008, de 2 de junio, </w:t>
      </w:r>
      <w:r w:rsidRPr="001E083B">
        <w:rPr>
          <w:noProof w:val="0"/>
          <w:lang w:val="es-ES_tradnl"/>
        </w:rPr>
        <w:t xml:space="preserve">para añadir una nueva </w:t>
      </w:r>
      <w:r w:rsidR="009D579A" w:rsidRPr="001E083B">
        <w:rPr>
          <w:noProof w:val="0"/>
          <w:lang w:val="es-ES_tradnl"/>
        </w:rPr>
        <w:t xml:space="preserve">disposición transitoria </w:t>
      </w:r>
      <w:r w:rsidRPr="001E083B">
        <w:rPr>
          <w:noProof w:val="0"/>
          <w:lang w:val="es-ES_tradnl"/>
        </w:rPr>
        <w:t>con la siguiente redacción:</w:t>
      </w:r>
    </w:p>
    <w:p w:rsidR="003A5AF1" w:rsidRPr="001E083B" w:rsidRDefault="008F24E0" w:rsidP="008F24E0">
      <w:pPr>
        <w:pStyle w:val="ohiko1"/>
        <w:rPr>
          <w:rStyle w:val="Fuentedeprrafopredeter1"/>
          <w:rFonts w:cs="Helvetica"/>
          <w:noProof w:val="0"/>
          <w:lang w:val="es-ES_tradnl"/>
        </w:rPr>
      </w:pPr>
      <w:r w:rsidRPr="001E083B">
        <w:rPr>
          <w:noProof w:val="0"/>
          <w:lang w:val="es-ES_tradnl"/>
        </w:rPr>
        <w:t xml:space="preserve">“Disposición </w:t>
      </w:r>
      <w:r w:rsidR="009D579A" w:rsidRPr="001E083B">
        <w:rPr>
          <w:noProof w:val="0"/>
          <w:lang w:val="es-ES_tradnl"/>
        </w:rPr>
        <w:t>transitoria</w:t>
      </w:r>
      <w:r w:rsidR="009D579A">
        <w:rPr>
          <w:noProof w:val="0"/>
          <w:lang w:val="es-ES_tradnl"/>
        </w:rPr>
        <w:t>.</w:t>
      </w:r>
      <w:r w:rsidRPr="001E083B">
        <w:rPr>
          <w:noProof w:val="0"/>
          <w:lang w:val="es-ES_tradnl"/>
        </w:rPr>
        <w:t xml:space="preserve"> </w:t>
      </w:r>
      <w:r w:rsidR="009D579A" w:rsidRPr="001E083B">
        <w:rPr>
          <w:noProof w:val="0"/>
          <w:lang w:val="es-ES_tradnl"/>
        </w:rPr>
        <w:t xml:space="preserve">Con </w:t>
      </w:r>
      <w:r w:rsidRPr="001E083B">
        <w:rPr>
          <w:noProof w:val="0"/>
          <w:lang w:val="es-ES_tradnl"/>
        </w:rPr>
        <w:t>efectos a partir del 1 de enero de 2020 y</w:t>
      </w:r>
      <w:r w:rsidR="00A75590">
        <w:rPr>
          <w:noProof w:val="0"/>
          <w:lang w:val="es-ES_tradnl"/>
        </w:rPr>
        <w:t xml:space="preserve"> </w:t>
      </w:r>
      <w:r w:rsidR="003A5AF1" w:rsidRPr="001E083B">
        <w:rPr>
          <w:noProof w:val="0"/>
          <w:lang w:val="es-ES_tradnl"/>
        </w:rPr>
        <w:t xml:space="preserve">también </w:t>
      </w:r>
      <w:r w:rsidRPr="001E083B">
        <w:rPr>
          <w:noProof w:val="0"/>
          <w:lang w:val="es-ES_tradnl"/>
        </w:rPr>
        <w:t>para los ejercicios de 2021, 2022 y 2023</w:t>
      </w:r>
      <w:r w:rsidR="009D579A">
        <w:rPr>
          <w:noProof w:val="0"/>
          <w:lang w:val="es-ES_tradnl"/>
        </w:rPr>
        <w:t>,</w:t>
      </w:r>
      <w:r w:rsidRPr="001E083B">
        <w:rPr>
          <w:noProof w:val="0"/>
          <w:lang w:val="es-ES_tradnl"/>
        </w:rPr>
        <w:t xml:space="preserve"> se establecerá</w:t>
      </w:r>
      <w:r w:rsidR="00A75590">
        <w:rPr>
          <w:noProof w:val="0"/>
          <w:lang w:val="es-ES_tradnl"/>
        </w:rPr>
        <w:t xml:space="preserve"> </w:t>
      </w:r>
      <w:r w:rsidRPr="001E083B">
        <w:rPr>
          <w:noProof w:val="0"/>
          <w:lang w:val="es-ES_tradnl"/>
        </w:rPr>
        <w:t xml:space="preserve">un </w:t>
      </w:r>
      <w:r w:rsidRPr="001E083B">
        <w:rPr>
          <w:rStyle w:val="Fuentedeprrafopredeter1"/>
          <w:rFonts w:cs="Helvetica"/>
          <w:noProof w:val="0"/>
          <w:lang w:val="es-ES_tradnl"/>
        </w:rPr>
        <w:t>recargo en forma de incremento de</w:t>
      </w:r>
      <w:r w:rsidR="00E46625" w:rsidRPr="001E083B">
        <w:rPr>
          <w:rStyle w:val="Fuentedeprrafopredeter1"/>
          <w:rFonts w:cs="Helvetica"/>
          <w:noProof w:val="0"/>
          <w:lang w:val="es-ES_tradnl"/>
        </w:rPr>
        <w:t xml:space="preserve"> los tipos de gravamen</w:t>
      </w:r>
      <w:r w:rsidRPr="001E083B">
        <w:rPr>
          <w:rStyle w:val="Fuentedeprrafopredeter1"/>
          <w:rFonts w:cs="Helvetica"/>
          <w:noProof w:val="0"/>
          <w:lang w:val="es-ES_tradnl"/>
        </w:rPr>
        <w:t xml:space="preserve"> </w:t>
      </w:r>
      <w:r w:rsidR="003A5AF1" w:rsidRPr="001E083B">
        <w:rPr>
          <w:rStyle w:val="Fuentedeprrafopredeter1"/>
          <w:rFonts w:cs="Helvetica"/>
          <w:noProof w:val="0"/>
          <w:lang w:val="es-ES_tradnl"/>
        </w:rPr>
        <w:t xml:space="preserve">aplicables a los sujetos pasivos </w:t>
      </w:r>
      <w:r w:rsidRPr="001E083B">
        <w:rPr>
          <w:rStyle w:val="Fuentedeprrafopredeter1"/>
          <w:rFonts w:cs="Helvetica"/>
          <w:noProof w:val="0"/>
          <w:lang w:val="es-ES_tradnl"/>
        </w:rPr>
        <w:t>en los siguientes términos</w:t>
      </w:r>
      <w:r w:rsidR="003A5AF1" w:rsidRPr="001E083B">
        <w:rPr>
          <w:rStyle w:val="Fuentedeprrafopredeter1"/>
          <w:rFonts w:cs="Helvetica"/>
          <w:noProof w:val="0"/>
          <w:lang w:val="es-ES_tradnl"/>
        </w:rPr>
        <w:t>:</w:t>
      </w:r>
    </w:p>
    <w:p w:rsidR="000F5FBE" w:rsidRPr="001E083B" w:rsidRDefault="009D579A" w:rsidP="000F5FBE">
      <w:pPr>
        <w:pStyle w:val="ohiko1"/>
        <w:rPr>
          <w:noProof w:val="0"/>
          <w:lang w:val="es-ES_tradnl"/>
        </w:rPr>
      </w:pPr>
      <w:r>
        <w:rPr>
          <w:rStyle w:val="Fuentedeprrafopredeter1"/>
          <w:rFonts w:cs="Helvetica"/>
          <w:noProof w:val="0"/>
          <w:lang w:val="es-ES_tradnl"/>
        </w:rPr>
        <w:t xml:space="preserve">A. </w:t>
      </w:r>
      <w:r w:rsidR="000F5FBE" w:rsidRPr="001E083B">
        <w:rPr>
          <w:rStyle w:val="Fuentedeprrafopredeter1"/>
          <w:rFonts w:cs="Helvetica"/>
          <w:noProof w:val="0"/>
          <w:lang w:val="es-ES_tradnl"/>
        </w:rPr>
        <w:t>Recargo en forma de incremento del tipo impositivo sobre la base liquidable general en los siguientes términos:</w:t>
      </w:r>
    </w:p>
    <w:tbl>
      <w:tblPr>
        <w:tblpPr w:leftFromText="141" w:rightFromText="141" w:vertAnchor="text" w:horzAnchor="margin" w:tblpXSpec="right" w:tblpY="253"/>
        <w:tblW w:w="9640" w:type="dxa"/>
        <w:tblLayout w:type="fixed"/>
        <w:tblCellMar>
          <w:top w:w="55" w:type="dxa"/>
          <w:left w:w="55" w:type="dxa"/>
          <w:bottom w:w="55" w:type="dxa"/>
          <w:right w:w="55" w:type="dxa"/>
        </w:tblCellMar>
        <w:tblLook w:val="0000" w:firstRow="0" w:lastRow="0" w:firstColumn="0" w:lastColumn="0" w:noHBand="0" w:noVBand="0"/>
      </w:tblPr>
      <w:tblGrid>
        <w:gridCol w:w="4817"/>
        <w:gridCol w:w="4823"/>
      </w:tblGrid>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6699CC"/>
          </w:tcPr>
          <w:p w:rsidR="000F5FBE" w:rsidRPr="001E083B" w:rsidRDefault="000F5FBE" w:rsidP="008B6B40">
            <w:pPr>
              <w:pStyle w:val="Taularenedukia"/>
              <w:jc w:val="center"/>
              <w:rPr>
                <w:rFonts w:ascii="Cambria" w:hAnsi="Cambria"/>
                <w:lang w:val="es-ES_tradnl"/>
              </w:rPr>
            </w:pPr>
            <w:r w:rsidRPr="001E083B">
              <w:rPr>
                <w:rFonts w:ascii="Cambria" w:hAnsi="Cambria" w:cs="Helvetica"/>
                <w:b/>
                <w:bCs/>
                <w:sz w:val="20"/>
                <w:szCs w:val="20"/>
                <w:lang w:val="es-ES_tradnl"/>
              </w:rPr>
              <w:t>Base liquidable general</w:t>
            </w:r>
          </w:p>
        </w:tc>
        <w:tc>
          <w:tcPr>
            <w:tcW w:w="4823" w:type="dxa"/>
            <w:tcBorders>
              <w:top w:val="single" w:sz="4" w:space="0" w:color="auto"/>
              <w:left w:val="single" w:sz="4" w:space="0" w:color="auto"/>
              <w:bottom w:val="single" w:sz="4" w:space="0" w:color="auto"/>
              <w:right w:val="single" w:sz="4" w:space="0" w:color="auto"/>
            </w:tcBorders>
            <w:shd w:val="clear" w:color="auto" w:fill="6699CC"/>
          </w:tcPr>
          <w:p w:rsidR="000F5FBE" w:rsidRPr="001E083B" w:rsidRDefault="000F5FBE" w:rsidP="00E46625">
            <w:pPr>
              <w:pStyle w:val="Taularenedukia"/>
              <w:jc w:val="center"/>
              <w:rPr>
                <w:rFonts w:ascii="Cambria" w:hAnsi="Cambria"/>
                <w:lang w:val="es-ES_tradnl"/>
              </w:rPr>
            </w:pPr>
            <w:r w:rsidRPr="001E083B">
              <w:rPr>
                <w:rFonts w:ascii="Cambria" w:hAnsi="Cambria" w:cs="Helvetica"/>
                <w:b/>
                <w:bCs/>
                <w:sz w:val="20"/>
                <w:szCs w:val="20"/>
                <w:lang w:val="es-ES_tradnl"/>
              </w:rPr>
              <w:t xml:space="preserve">Incremento del tipo </w:t>
            </w:r>
            <w:r w:rsidR="00E46625" w:rsidRPr="001E083B">
              <w:rPr>
                <w:rFonts w:ascii="Cambria" w:hAnsi="Cambria" w:cs="Helvetica"/>
                <w:b/>
                <w:bCs/>
                <w:sz w:val="20"/>
                <w:szCs w:val="20"/>
                <w:lang w:val="es-ES_tradnl"/>
              </w:rPr>
              <w:t>gravamen</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lang w:val="es-ES_tradnl"/>
              </w:rPr>
            </w:pPr>
            <w:r w:rsidRPr="001E083B">
              <w:rPr>
                <w:rFonts w:ascii="Cambria" w:hAnsi="Cambria" w:cs="Helvetica"/>
                <w:sz w:val="20"/>
                <w:szCs w:val="20"/>
                <w:lang w:val="es-ES_tradnl"/>
              </w:rPr>
              <w:t>Hasta 46.919,99 euros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Exento en la aplicación del recargo</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lang w:val="es-ES_tradnl"/>
              </w:rPr>
            </w:pPr>
            <w:r w:rsidRPr="001E083B">
              <w:rPr>
                <w:rFonts w:ascii="Cambria" w:hAnsi="Cambria" w:cs="Helvetica"/>
                <w:sz w:val="20"/>
                <w:szCs w:val="20"/>
                <w:lang w:val="es-ES_tradnl"/>
              </w:rPr>
              <w:t>De 46.920 euros a 61.199,99 euros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1</w:t>
            </w:r>
            <w:r w:rsidR="00A75590">
              <w:rPr>
                <w:rFonts w:ascii="Cambria" w:hAnsi="Cambria" w:cs="Helvetica"/>
                <w:sz w:val="20"/>
                <w:szCs w:val="20"/>
                <w:lang w:val="es-ES_tradnl"/>
              </w:rPr>
              <w:t xml:space="preserve"> %</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lang w:val="es-ES_tradnl"/>
              </w:rPr>
            </w:pPr>
            <w:r w:rsidRPr="001E083B">
              <w:rPr>
                <w:rFonts w:ascii="Cambria" w:hAnsi="Cambria" w:cs="Helvetica"/>
                <w:sz w:val="20"/>
                <w:szCs w:val="20"/>
                <w:lang w:val="es-ES_tradnl"/>
              </w:rPr>
              <w:lastRenderedPageBreak/>
              <w:t>De 61.200 euros a 81.599,99 euros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2</w:t>
            </w:r>
            <w:r w:rsidR="00A75590">
              <w:rPr>
                <w:rFonts w:ascii="Cambria" w:hAnsi="Cambria" w:cs="Helvetica"/>
                <w:sz w:val="20"/>
                <w:szCs w:val="20"/>
                <w:lang w:val="es-ES_tradnl"/>
              </w:rPr>
              <w:t xml:space="preserve"> %</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lang w:val="es-ES_tradnl"/>
              </w:rPr>
            </w:pPr>
            <w:r w:rsidRPr="001E083B">
              <w:rPr>
                <w:rFonts w:ascii="Cambria" w:hAnsi="Cambria" w:cs="Helvetica"/>
                <w:sz w:val="20"/>
                <w:szCs w:val="20"/>
                <w:lang w:val="es-ES_tradnl"/>
              </w:rPr>
              <w:t>De 81.600 euros a 127.499,99 euros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3</w:t>
            </w:r>
            <w:r w:rsidR="00A75590">
              <w:rPr>
                <w:rFonts w:ascii="Cambria" w:hAnsi="Cambria" w:cs="Helvetica"/>
                <w:sz w:val="20"/>
                <w:szCs w:val="20"/>
                <w:lang w:val="es-ES_tradnl"/>
              </w:rPr>
              <w:t xml:space="preserve"> %</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lang w:val="es-ES_tradnl"/>
              </w:rPr>
            </w:pPr>
            <w:r w:rsidRPr="001E083B">
              <w:rPr>
                <w:rFonts w:ascii="Cambria" w:hAnsi="Cambria" w:cs="Helvetica"/>
                <w:sz w:val="20"/>
                <w:szCs w:val="20"/>
                <w:lang w:val="es-ES_tradnl"/>
              </w:rPr>
              <w:t>De 127.500 euros a 178.499,99 euros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4</w:t>
            </w:r>
            <w:r w:rsidR="00A75590">
              <w:rPr>
                <w:rFonts w:ascii="Cambria" w:hAnsi="Cambria" w:cs="Helvetica"/>
                <w:sz w:val="20"/>
                <w:szCs w:val="20"/>
                <w:lang w:val="es-ES_tradnl"/>
              </w:rPr>
              <w:t xml:space="preserve"> %</w:t>
            </w:r>
          </w:p>
        </w:tc>
      </w:tr>
      <w:tr w:rsidR="000F5FBE" w:rsidRPr="001E083B" w:rsidTr="008B6B40">
        <w:tc>
          <w:tcPr>
            <w:tcW w:w="4817"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ind w:left="720"/>
              <w:jc w:val="both"/>
              <w:rPr>
                <w:rFonts w:ascii="Cambria" w:hAnsi="Cambria"/>
                <w:lang w:val="es-ES_tradnl"/>
              </w:rPr>
            </w:pPr>
            <w:r w:rsidRPr="001E083B">
              <w:rPr>
                <w:rFonts w:ascii="Cambria" w:hAnsi="Cambria" w:cs="Helvetica"/>
                <w:sz w:val="20"/>
                <w:szCs w:val="20"/>
                <w:lang w:val="es-ES_tradnl"/>
              </w:rPr>
              <w:t>De 178.500 euros a 305.999,99 euros</w:t>
            </w:r>
          </w:p>
        </w:tc>
        <w:tc>
          <w:tcPr>
            <w:tcW w:w="4823" w:type="dxa"/>
            <w:tcBorders>
              <w:top w:val="single" w:sz="4" w:space="0" w:color="auto"/>
              <w:left w:val="single" w:sz="4" w:space="0" w:color="auto"/>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5</w:t>
            </w:r>
            <w:r w:rsidR="00A75590">
              <w:rPr>
                <w:rFonts w:ascii="Cambria" w:hAnsi="Cambria" w:cs="Helvetica"/>
                <w:sz w:val="20"/>
                <w:szCs w:val="20"/>
                <w:lang w:val="es-ES_tradnl"/>
              </w:rPr>
              <w:t xml:space="preserve"> %</w:t>
            </w:r>
          </w:p>
        </w:tc>
      </w:tr>
      <w:tr w:rsidR="000F5FBE" w:rsidRPr="001E083B" w:rsidTr="008B6B40">
        <w:tc>
          <w:tcPr>
            <w:tcW w:w="4817" w:type="dxa"/>
            <w:tcBorders>
              <w:top w:val="single" w:sz="4" w:space="0" w:color="auto"/>
              <w:left w:val="single" w:sz="4" w:space="0" w:color="auto"/>
              <w:bottom w:val="single" w:sz="4" w:space="0" w:color="auto"/>
              <w:right w:val="single" w:sz="2" w:space="0" w:color="000000"/>
            </w:tcBorders>
            <w:shd w:val="clear" w:color="auto" w:fill="auto"/>
          </w:tcPr>
          <w:p w:rsidR="000F5FBE" w:rsidRPr="001E083B" w:rsidRDefault="000F5FBE" w:rsidP="008B6B40">
            <w:pPr>
              <w:pStyle w:val="Taularenedukia"/>
              <w:ind w:left="720"/>
              <w:jc w:val="both"/>
              <w:rPr>
                <w:rFonts w:ascii="Cambria" w:hAnsi="Cambria" w:cs="Helvetica"/>
                <w:sz w:val="20"/>
                <w:szCs w:val="20"/>
                <w:lang w:val="es-ES_tradnl"/>
              </w:rPr>
            </w:pPr>
            <w:r w:rsidRPr="001E083B">
              <w:rPr>
                <w:rFonts w:ascii="Cambria" w:hAnsi="Cambria" w:cs="Helvetica"/>
                <w:sz w:val="20"/>
                <w:szCs w:val="20"/>
                <w:lang w:val="es-ES_tradnl"/>
              </w:rPr>
              <w:t>Desde 306.000 euros</w:t>
            </w:r>
          </w:p>
        </w:tc>
        <w:tc>
          <w:tcPr>
            <w:tcW w:w="4823" w:type="dxa"/>
            <w:tcBorders>
              <w:top w:val="single" w:sz="4" w:space="0" w:color="auto"/>
              <w:left w:val="single" w:sz="2" w:space="0" w:color="000000"/>
              <w:bottom w:val="single" w:sz="4" w:space="0" w:color="auto"/>
              <w:right w:val="single" w:sz="4" w:space="0" w:color="auto"/>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r w:rsidRPr="001E083B">
              <w:rPr>
                <w:rFonts w:ascii="Cambria" w:hAnsi="Cambria" w:cs="Helvetica"/>
                <w:sz w:val="20"/>
                <w:szCs w:val="20"/>
                <w:lang w:val="es-ES_tradnl"/>
              </w:rPr>
              <w:t>6</w:t>
            </w:r>
            <w:r w:rsidR="00A75590">
              <w:rPr>
                <w:rFonts w:ascii="Cambria" w:hAnsi="Cambria" w:cs="Helvetica"/>
                <w:sz w:val="20"/>
                <w:szCs w:val="20"/>
                <w:lang w:val="es-ES_tradnl"/>
              </w:rPr>
              <w:t xml:space="preserve"> %</w:t>
            </w:r>
          </w:p>
        </w:tc>
      </w:tr>
      <w:tr w:rsidR="000F5FBE" w:rsidRPr="001E083B" w:rsidTr="008B6B40">
        <w:tc>
          <w:tcPr>
            <w:tcW w:w="4817" w:type="dxa"/>
            <w:tcBorders>
              <w:top w:val="single" w:sz="4" w:space="0" w:color="auto"/>
            </w:tcBorders>
            <w:shd w:val="clear" w:color="auto" w:fill="auto"/>
          </w:tcPr>
          <w:p w:rsidR="000F5FBE" w:rsidRPr="001E083B" w:rsidRDefault="000F5FBE" w:rsidP="008B6B40">
            <w:pPr>
              <w:pStyle w:val="Taularenedukia"/>
              <w:jc w:val="both"/>
              <w:rPr>
                <w:rFonts w:ascii="Cambria" w:hAnsi="Cambria" w:cs="Helvetica"/>
                <w:sz w:val="20"/>
                <w:szCs w:val="20"/>
                <w:lang w:val="es-ES_tradnl"/>
              </w:rPr>
            </w:pPr>
          </w:p>
        </w:tc>
        <w:tc>
          <w:tcPr>
            <w:tcW w:w="4823" w:type="dxa"/>
            <w:tcBorders>
              <w:top w:val="single" w:sz="4" w:space="0" w:color="auto"/>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p>
        </w:tc>
      </w:tr>
    </w:tbl>
    <w:p w:rsidR="001E083B" w:rsidRPr="001E083B" w:rsidRDefault="001E083B" w:rsidP="000F5FBE">
      <w:pPr>
        <w:jc w:val="both"/>
        <w:rPr>
          <w:rFonts w:ascii="Cambria" w:hAnsi="Cambria" w:cs="Helvetica"/>
          <w:lang w:val="es-ES_tradnl"/>
        </w:rPr>
      </w:pPr>
    </w:p>
    <w:p w:rsidR="000F5FBE" w:rsidRPr="001E083B" w:rsidRDefault="009D579A" w:rsidP="000F5FBE">
      <w:pPr>
        <w:pStyle w:val="ohiko1"/>
        <w:rPr>
          <w:noProof w:val="0"/>
          <w:lang w:val="es-ES_tradnl"/>
        </w:rPr>
      </w:pPr>
      <w:r>
        <w:rPr>
          <w:rStyle w:val="Fuentedeprrafopredeter1"/>
          <w:rFonts w:cs="Helvetica"/>
          <w:noProof w:val="0"/>
          <w:lang w:val="es-ES_tradnl"/>
        </w:rPr>
        <w:t xml:space="preserve">B. </w:t>
      </w:r>
      <w:r w:rsidR="000F5FBE" w:rsidRPr="001E083B">
        <w:rPr>
          <w:rStyle w:val="Fuentedeprrafopredeter1"/>
          <w:rFonts w:cs="Helvetica"/>
          <w:noProof w:val="0"/>
          <w:lang w:val="es-ES_tradnl"/>
        </w:rPr>
        <w:t>Recargo en forma de incremento del tipo impositivo sobre la base liquidable del ahorro para avanzar hacia una base única, en los siguientes términos:</w:t>
      </w:r>
    </w:p>
    <w:tbl>
      <w:tblPr>
        <w:tblW w:w="9640" w:type="dxa"/>
        <w:tblInd w:w="-1216" w:type="dxa"/>
        <w:tblLayout w:type="fixed"/>
        <w:tblCellMar>
          <w:top w:w="55" w:type="dxa"/>
          <w:left w:w="55" w:type="dxa"/>
          <w:bottom w:w="55" w:type="dxa"/>
          <w:right w:w="55" w:type="dxa"/>
        </w:tblCellMar>
        <w:tblLook w:val="0000" w:firstRow="0" w:lastRow="0" w:firstColumn="0" w:lastColumn="0" w:noHBand="0" w:noVBand="0"/>
      </w:tblPr>
      <w:tblGrid>
        <w:gridCol w:w="4819"/>
        <w:gridCol w:w="4821"/>
      </w:tblGrid>
      <w:tr w:rsidR="000F5FBE" w:rsidRPr="001E083B" w:rsidTr="008B6B40">
        <w:tc>
          <w:tcPr>
            <w:tcW w:w="4819" w:type="dxa"/>
            <w:tcBorders>
              <w:top w:val="single" w:sz="1" w:space="0" w:color="000080"/>
              <w:left w:val="single" w:sz="1" w:space="0" w:color="000080"/>
              <w:bottom w:val="single" w:sz="1" w:space="0" w:color="000080"/>
            </w:tcBorders>
            <w:shd w:val="clear" w:color="auto" w:fill="729FCF"/>
          </w:tcPr>
          <w:p w:rsidR="000F5FBE" w:rsidRPr="001E083B" w:rsidRDefault="000F5FBE" w:rsidP="008B6B40">
            <w:pPr>
              <w:pStyle w:val="Taularenedukia"/>
              <w:jc w:val="center"/>
              <w:rPr>
                <w:rFonts w:ascii="Cambria" w:hAnsi="Cambria"/>
                <w:lang w:val="es-ES_tradnl"/>
              </w:rPr>
            </w:pPr>
            <w:r w:rsidRPr="001E083B">
              <w:rPr>
                <w:rFonts w:ascii="Cambria" w:hAnsi="Cambria" w:cs="Helvetica"/>
                <w:b/>
                <w:bCs/>
                <w:sz w:val="20"/>
                <w:szCs w:val="20"/>
                <w:lang w:val="es-ES_tradnl"/>
              </w:rPr>
              <w:t>Base liquidable del ahorro</w:t>
            </w:r>
          </w:p>
        </w:tc>
        <w:tc>
          <w:tcPr>
            <w:tcW w:w="4821" w:type="dxa"/>
            <w:tcBorders>
              <w:top w:val="single" w:sz="1" w:space="0" w:color="000080"/>
              <w:left w:val="single" w:sz="1" w:space="0" w:color="000080"/>
              <w:bottom w:val="single" w:sz="1" w:space="0" w:color="000080"/>
              <w:right w:val="single" w:sz="1" w:space="0" w:color="000080"/>
            </w:tcBorders>
            <w:shd w:val="clear" w:color="auto" w:fill="729FCF"/>
          </w:tcPr>
          <w:p w:rsidR="000F5FBE" w:rsidRPr="001E083B" w:rsidRDefault="000F5FBE" w:rsidP="00E46625">
            <w:pPr>
              <w:pStyle w:val="Taularenedukia"/>
              <w:jc w:val="center"/>
              <w:rPr>
                <w:rFonts w:ascii="Cambria" w:hAnsi="Cambria"/>
                <w:lang w:val="es-ES_tradnl"/>
              </w:rPr>
            </w:pPr>
            <w:r w:rsidRPr="001E083B">
              <w:rPr>
                <w:rFonts w:ascii="Cambria" w:hAnsi="Cambria" w:cs="Helvetica"/>
                <w:b/>
                <w:bCs/>
                <w:sz w:val="20"/>
                <w:szCs w:val="20"/>
                <w:lang w:val="es-ES_tradnl"/>
              </w:rPr>
              <w:t xml:space="preserve">Incremento del tipo </w:t>
            </w:r>
            <w:r w:rsidR="00E46625" w:rsidRPr="001E083B">
              <w:rPr>
                <w:rFonts w:ascii="Cambria" w:hAnsi="Cambria" w:cs="Helvetica"/>
                <w:b/>
                <w:bCs/>
                <w:sz w:val="20"/>
                <w:szCs w:val="20"/>
                <w:lang w:val="es-ES_tradnl"/>
              </w:rPr>
              <w:t>gravamen</w:t>
            </w:r>
          </w:p>
        </w:tc>
      </w:tr>
      <w:tr w:rsidR="000F5FBE" w:rsidRPr="001E083B" w:rsidTr="008B6B40">
        <w:tc>
          <w:tcPr>
            <w:tcW w:w="4819" w:type="dxa"/>
            <w:tcBorders>
              <w:left w:val="single" w:sz="1" w:space="0" w:color="729FCF"/>
              <w:bottom w:val="single" w:sz="1" w:space="0" w:color="729FCF"/>
            </w:tcBorders>
            <w:shd w:val="clear" w:color="auto" w:fill="auto"/>
          </w:tcPr>
          <w:p w:rsidR="000F5FBE" w:rsidRPr="001E083B" w:rsidRDefault="000F5FBE" w:rsidP="008B6B40">
            <w:pPr>
              <w:pStyle w:val="Taularenedukia"/>
              <w:ind w:left="720"/>
              <w:jc w:val="both"/>
              <w:rPr>
                <w:rFonts w:ascii="Cambria" w:hAnsi="Cambria"/>
                <w:lang w:val="es-ES_tradnl"/>
              </w:rPr>
            </w:pPr>
            <w:r w:rsidRPr="001E083B">
              <w:rPr>
                <w:rFonts w:ascii="Cambria" w:hAnsi="Cambria" w:cs="Helvetica"/>
                <w:sz w:val="20"/>
                <w:szCs w:val="20"/>
                <w:lang w:val="es-ES_tradnl"/>
              </w:rPr>
              <w:t>Hasta 5.999 euros</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Exento en la aplicación del recargo</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ind w:left="720"/>
              <w:jc w:val="both"/>
              <w:rPr>
                <w:rFonts w:ascii="Cambria" w:hAnsi="Cambria"/>
                <w:lang w:val="es-ES_tradnl"/>
              </w:rPr>
            </w:pPr>
            <w:r w:rsidRPr="001E083B">
              <w:rPr>
                <w:rFonts w:ascii="Cambria" w:hAnsi="Cambria" w:cs="Helvetica"/>
                <w:sz w:val="20"/>
                <w:szCs w:val="20"/>
                <w:lang w:val="es-ES_tradnl"/>
              </w:rPr>
              <w:t>De 6.000 euros a 9.999,00 euros</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2</w:t>
            </w:r>
            <w:r w:rsidR="00A75590">
              <w:rPr>
                <w:rFonts w:ascii="Cambria" w:hAnsi="Cambria" w:cs="Helvetica"/>
                <w:sz w:val="20"/>
                <w:szCs w:val="20"/>
                <w:lang w:val="es-ES_tradnl"/>
              </w:rPr>
              <w:t xml:space="preserve"> %</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ind w:left="720"/>
              <w:jc w:val="both"/>
              <w:rPr>
                <w:rFonts w:ascii="Cambria" w:hAnsi="Cambria" w:cs="Helvetica"/>
                <w:sz w:val="20"/>
                <w:szCs w:val="20"/>
                <w:lang w:val="es-ES_tradnl"/>
              </w:rPr>
            </w:pPr>
            <w:r w:rsidRPr="001E083B">
              <w:rPr>
                <w:rFonts w:ascii="Cambria" w:hAnsi="Cambria" w:cs="Helvetica"/>
                <w:sz w:val="20"/>
                <w:szCs w:val="20"/>
                <w:lang w:val="es-ES_tradnl"/>
              </w:rPr>
              <w:t>10.000 euros a 14.999,00 euros</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r w:rsidRPr="001E083B">
              <w:rPr>
                <w:rFonts w:ascii="Cambria" w:hAnsi="Cambria" w:cs="Helvetica"/>
                <w:sz w:val="20"/>
                <w:szCs w:val="20"/>
                <w:lang w:val="es-ES_tradnl"/>
              </w:rPr>
              <w:t>4</w:t>
            </w:r>
            <w:r w:rsidR="00A75590">
              <w:rPr>
                <w:rFonts w:ascii="Cambria" w:hAnsi="Cambria" w:cs="Helvetica"/>
                <w:sz w:val="20"/>
                <w:szCs w:val="20"/>
                <w:lang w:val="es-ES_tradnl"/>
              </w:rPr>
              <w:t xml:space="preserve"> %</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ind w:left="720"/>
              <w:jc w:val="both"/>
              <w:rPr>
                <w:rFonts w:ascii="Cambria" w:hAnsi="Cambria"/>
                <w:lang w:val="es-ES_tradnl"/>
              </w:rPr>
            </w:pPr>
            <w:r w:rsidRPr="001E083B">
              <w:rPr>
                <w:rFonts w:ascii="Cambria" w:hAnsi="Cambria" w:cs="Helvetica"/>
                <w:sz w:val="20"/>
                <w:szCs w:val="20"/>
                <w:lang w:val="es-ES_tradnl"/>
              </w:rPr>
              <w:t xml:space="preserve">Desde de 15.000 euros </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6</w:t>
            </w:r>
            <w:r w:rsidR="00A75590">
              <w:rPr>
                <w:rFonts w:ascii="Cambria" w:hAnsi="Cambria" w:cs="Helvetica"/>
                <w:sz w:val="20"/>
                <w:szCs w:val="20"/>
                <w:lang w:val="es-ES_tradnl"/>
              </w:rPr>
              <w:t xml:space="preserve"> %</w:t>
            </w:r>
          </w:p>
        </w:tc>
      </w:tr>
    </w:tbl>
    <w:p w:rsidR="000F5FBE" w:rsidRPr="001E083B" w:rsidRDefault="000F5FBE" w:rsidP="000F5FBE">
      <w:pPr>
        <w:jc w:val="both"/>
        <w:rPr>
          <w:rFonts w:ascii="Cambria" w:hAnsi="Cambria"/>
          <w:lang w:val="es-ES_tradnl"/>
        </w:rPr>
      </w:pPr>
    </w:p>
    <w:p w:rsidR="003A5AF1" w:rsidRPr="001E083B" w:rsidRDefault="009D579A" w:rsidP="000F5FBE">
      <w:pPr>
        <w:pStyle w:val="ohiko1"/>
        <w:rPr>
          <w:rStyle w:val="Fuentedeprrafopredeter1"/>
          <w:rFonts w:cs="Helvetica"/>
          <w:b/>
          <w:noProof w:val="0"/>
          <w:lang w:val="es-ES_tradnl"/>
        </w:rPr>
      </w:pPr>
      <w:r>
        <w:rPr>
          <w:rStyle w:val="Fuentedeprrafopredeter1"/>
          <w:rFonts w:cs="Helvetica"/>
          <w:b/>
          <w:noProof w:val="0"/>
          <w:lang w:val="es-ES_tradnl"/>
        </w:rPr>
        <w:t xml:space="preserve">Artículo segundo. </w:t>
      </w:r>
      <w:r w:rsidR="003A5AF1" w:rsidRPr="001E083B">
        <w:rPr>
          <w:rStyle w:val="Fuentedeprrafopredeter1"/>
          <w:rFonts w:cs="Helvetica"/>
          <w:b/>
          <w:noProof w:val="0"/>
          <w:lang w:val="es-ES_tradnl"/>
        </w:rPr>
        <w:t xml:space="preserve">Ley Foral del Impuesto </w:t>
      </w:r>
      <w:r w:rsidR="00FD6D4C" w:rsidRPr="001E083B">
        <w:rPr>
          <w:rStyle w:val="Fuentedeprrafopredeter1"/>
          <w:rFonts w:cs="Helvetica"/>
          <w:b/>
          <w:noProof w:val="0"/>
          <w:lang w:val="es-ES_tradnl"/>
        </w:rPr>
        <w:t xml:space="preserve">sobre </w:t>
      </w:r>
      <w:r w:rsidR="003A5AF1" w:rsidRPr="001E083B">
        <w:rPr>
          <w:rStyle w:val="Fuentedeprrafopredeter1"/>
          <w:rFonts w:cs="Helvetica"/>
          <w:b/>
          <w:noProof w:val="0"/>
          <w:lang w:val="es-ES_tradnl"/>
        </w:rPr>
        <w:t>Sociedades</w:t>
      </w:r>
    </w:p>
    <w:p w:rsidR="003A5AF1" w:rsidRPr="001E083B" w:rsidRDefault="003A5AF1" w:rsidP="003A5AF1">
      <w:pPr>
        <w:pStyle w:val="ohiko1"/>
        <w:rPr>
          <w:noProof w:val="0"/>
          <w:lang w:val="es-ES_tradnl"/>
        </w:rPr>
      </w:pPr>
      <w:r w:rsidRPr="001E083B">
        <w:rPr>
          <w:noProof w:val="0"/>
          <w:lang w:val="es-ES_tradnl"/>
        </w:rPr>
        <w:t>Se modifica</w:t>
      </w:r>
      <w:r w:rsidR="00A75590">
        <w:rPr>
          <w:noProof w:val="0"/>
          <w:lang w:val="es-ES_tradnl"/>
        </w:rPr>
        <w:t xml:space="preserve"> </w:t>
      </w:r>
      <w:r w:rsidRPr="001E083B">
        <w:rPr>
          <w:noProof w:val="0"/>
          <w:lang w:val="es-ES_tradnl"/>
        </w:rPr>
        <w:t xml:space="preserve">la Ley Foral 26/2016, de 28 de diciembre, del Impuesto sobre Sociedades, para añadir una nueva </w:t>
      </w:r>
      <w:r w:rsidR="009D579A" w:rsidRPr="001E083B">
        <w:rPr>
          <w:noProof w:val="0"/>
          <w:lang w:val="es-ES_tradnl"/>
        </w:rPr>
        <w:t xml:space="preserve">disposición transitoria </w:t>
      </w:r>
      <w:r w:rsidRPr="001E083B">
        <w:rPr>
          <w:noProof w:val="0"/>
          <w:lang w:val="es-ES_tradnl"/>
        </w:rPr>
        <w:t>con la siguiente redacción:</w:t>
      </w:r>
    </w:p>
    <w:p w:rsidR="003A5AF1" w:rsidRPr="001E083B" w:rsidRDefault="003A5AF1" w:rsidP="003A5AF1">
      <w:pPr>
        <w:pStyle w:val="ohiko1"/>
        <w:rPr>
          <w:rStyle w:val="Fuentedeprrafopredeter1"/>
          <w:rFonts w:cs="Helvetica"/>
          <w:b/>
          <w:noProof w:val="0"/>
          <w:lang w:val="es-ES_tradnl"/>
        </w:rPr>
      </w:pPr>
      <w:r w:rsidRPr="001E083B">
        <w:rPr>
          <w:noProof w:val="0"/>
          <w:lang w:val="es-ES_tradnl"/>
        </w:rPr>
        <w:t xml:space="preserve">“Disposición </w:t>
      </w:r>
      <w:r w:rsidR="009D579A">
        <w:rPr>
          <w:noProof w:val="0"/>
          <w:lang w:val="es-ES_tradnl"/>
        </w:rPr>
        <w:t>transitoria vige</w:t>
      </w:r>
      <w:r w:rsidR="009D579A" w:rsidRPr="001E083B">
        <w:rPr>
          <w:noProof w:val="0"/>
          <w:lang w:val="es-ES_tradnl"/>
        </w:rPr>
        <w:t>simonovena</w:t>
      </w:r>
      <w:r w:rsidR="009D579A">
        <w:rPr>
          <w:noProof w:val="0"/>
          <w:lang w:val="es-ES_tradnl"/>
        </w:rPr>
        <w:t>.</w:t>
      </w:r>
    </w:p>
    <w:p w:rsidR="000F5FBE" w:rsidRPr="001E083B" w:rsidRDefault="009368E8" w:rsidP="00843EC5">
      <w:pPr>
        <w:pStyle w:val="ohiko1"/>
        <w:rPr>
          <w:rFonts w:cs="Helvetica"/>
          <w:noProof w:val="0"/>
          <w:lang w:val="es-ES_tradnl"/>
        </w:rPr>
      </w:pPr>
      <w:r w:rsidRPr="001E083B">
        <w:rPr>
          <w:rStyle w:val="Fuentedeprrafopredeter1"/>
          <w:rFonts w:cs="Helvetica"/>
          <w:noProof w:val="0"/>
          <w:lang w:val="es-ES_tradnl"/>
        </w:rPr>
        <w:t xml:space="preserve">Para </w:t>
      </w:r>
      <w:r w:rsidR="00843EC5" w:rsidRPr="001E083B">
        <w:rPr>
          <w:rStyle w:val="Fuentedeprrafopredeter1"/>
          <w:rFonts w:cs="Helvetica"/>
          <w:noProof w:val="0"/>
          <w:lang w:val="es-ES_tradnl"/>
        </w:rPr>
        <w:t>aquellos sujetos pasivos a lo</w:t>
      </w:r>
      <w:r w:rsidRPr="001E083B">
        <w:rPr>
          <w:rStyle w:val="Fuentedeprrafopredeter1"/>
          <w:rFonts w:cs="Helvetica"/>
          <w:noProof w:val="0"/>
          <w:lang w:val="es-ES_tradnl"/>
        </w:rPr>
        <w:t>s que se l</w:t>
      </w:r>
      <w:r w:rsidR="00843EC5" w:rsidRPr="001E083B">
        <w:rPr>
          <w:rStyle w:val="Fuentedeprrafopredeter1"/>
          <w:rFonts w:cs="Helvetica"/>
          <w:noProof w:val="0"/>
          <w:lang w:val="es-ES_tradnl"/>
        </w:rPr>
        <w:t>es aplique</w:t>
      </w:r>
      <w:r w:rsidR="009D579A">
        <w:rPr>
          <w:rStyle w:val="Fuentedeprrafopredeter1"/>
          <w:rFonts w:cs="Helvetica"/>
          <w:noProof w:val="0"/>
          <w:lang w:val="es-ES_tradnl"/>
        </w:rPr>
        <w:t>n</w:t>
      </w:r>
      <w:r w:rsidR="00843EC5" w:rsidRPr="001E083B">
        <w:rPr>
          <w:rStyle w:val="Fuentedeprrafopredeter1"/>
          <w:rFonts w:cs="Helvetica"/>
          <w:noProof w:val="0"/>
          <w:lang w:val="es-ES_tradnl"/>
        </w:rPr>
        <w:t xml:space="preserve"> los tipos de gravamen establecidos en el artículo</w:t>
      </w:r>
      <w:r w:rsidR="009D579A">
        <w:rPr>
          <w:rStyle w:val="Fuentedeprrafopredeter1"/>
          <w:rFonts w:cs="Helvetica"/>
          <w:noProof w:val="0"/>
          <w:lang w:val="es-ES_tradnl"/>
        </w:rPr>
        <w:t xml:space="preserve"> 51 apartados 1, letras a) y b)</w:t>
      </w:r>
      <w:r w:rsidR="00843EC5" w:rsidRPr="001E083B">
        <w:rPr>
          <w:rStyle w:val="Fuentedeprrafopredeter1"/>
          <w:rFonts w:cs="Helvetica"/>
          <w:noProof w:val="0"/>
          <w:lang w:val="es-ES_tradnl"/>
        </w:rPr>
        <w:t xml:space="preserve"> y 3, letras a) y b)</w:t>
      </w:r>
      <w:r w:rsidR="009D579A">
        <w:rPr>
          <w:rStyle w:val="Fuentedeprrafopredeter1"/>
          <w:rFonts w:cs="Helvetica"/>
          <w:noProof w:val="0"/>
          <w:lang w:val="es-ES_tradnl"/>
        </w:rPr>
        <w:t>,</w:t>
      </w:r>
      <w:r w:rsidR="00843EC5" w:rsidRPr="001E083B">
        <w:rPr>
          <w:rStyle w:val="Fuentedeprrafopredeter1"/>
          <w:rFonts w:cs="Helvetica"/>
          <w:noProof w:val="0"/>
          <w:lang w:val="es-ES_tradnl"/>
        </w:rPr>
        <w:t xml:space="preserve"> que </w:t>
      </w:r>
      <w:r w:rsidRPr="001E083B">
        <w:rPr>
          <w:rStyle w:val="Fuentedeprrafopredeter1"/>
          <w:rFonts w:cs="Helvetica"/>
          <w:noProof w:val="0"/>
          <w:lang w:val="es-ES_tradnl"/>
        </w:rPr>
        <w:t xml:space="preserve">durante el ejercicio de 2020 </w:t>
      </w:r>
      <w:r w:rsidR="000F5FBE" w:rsidRPr="001E083B">
        <w:rPr>
          <w:rFonts w:cs="Helvetica"/>
          <w:noProof w:val="0"/>
          <w:lang w:val="es-ES_tradnl"/>
        </w:rPr>
        <w:t>hayan tenido beneficios contables superiores al 10</w:t>
      </w:r>
      <w:r w:rsidR="00A75590">
        <w:rPr>
          <w:rFonts w:cs="Helvetica"/>
          <w:noProof w:val="0"/>
          <w:lang w:val="es-ES_tradnl"/>
        </w:rPr>
        <w:t xml:space="preserve"> %</w:t>
      </w:r>
      <w:r w:rsidR="000F5FBE" w:rsidRPr="001E083B">
        <w:rPr>
          <w:rFonts w:cs="Helvetica"/>
          <w:noProof w:val="0"/>
          <w:lang w:val="es-ES_tradnl"/>
        </w:rPr>
        <w:t xml:space="preserve"> con respecto al ejercicio precedente</w:t>
      </w:r>
      <w:r w:rsidR="00843EC5" w:rsidRPr="001E083B">
        <w:rPr>
          <w:rFonts w:cs="Helvetica"/>
          <w:noProof w:val="0"/>
          <w:lang w:val="es-ES_tradnl"/>
        </w:rPr>
        <w:t xml:space="preserve"> se les aplicarán los siguientes</w:t>
      </w:r>
      <w:r w:rsidR="000F5FBE" w:rsidRPr="001E083B">
        <w:rPr>
          <w:rFonts w:cs="Helvetica"/>
          <w:noProof w:val="0"/>
          <w:lang w:val="es-ES_tradnl"/>
        </w:rPr>
        <w:t xml:space="preserve"> incremento</w:t>
      </w:r>
      <w:r w:rsidR="00843EC5" w:rsidRPr="001E083B">
        <w:rPr>
          <w:rFonts w:cs="Helvetica"/>
          <w:noProof w:val="0"/>
          <w:lang w:val="es-ES_tradnl"/>
        </w:rPr>
        <w:t>s</w:t>
      </w:r>
      <w:r w:rsidR="000F5FBE" w:rsidRPr="001E083B">
        <w:rPr>
          <w:rFonts w:cs="Helvetica"/>
          <w:noProof w:val="0"/>
          <w:lang w:val="es-ES_tradnl"/>
        </w:rPr>
        <w:t xml:space="preserve"> en el tipo </w:t>
      </w:r>
    </w:p>
    <w:tbl>
      <w:tblPr>
        <w:tblpPr w:leftFromText="141" w:rightFromText="141" w:vertAnchor="text" w:horzAnchor="margin" w:tblpXSpec="right" w:tblpY="114"/>
        <w:tblW w:w="9640" w:type="dxa"/>
        <w:tblLayout w:type="fixed"/>
        <w:tblCellMar>
          <w:top w:w="55" w:type="dxa"/>
          <w:left w:w="55" w:type="dxa"/>
          <w:bottom w:w="55" w:type="dxa"/>
          <w:right w:w="55" w:type="dxa"/>
        </w:tblCellMar>
        <w:tblLook w:val="0000" w:firstRow="0" w:lastRow="0" w:firstColumn="0" w:lastColumn="0" w:noHBand="0" w:noVBand="0"/>
      </w:tblPr>
      <w:tblGrid>
        <w:gridCol w:w="4819"/>
        <w:gridCol w:w="4821"/>
      </w:tblGrid>
      <w:tr w:rsidR="000F5FBE" w:rsidRPr="001E083B" w:rsidTr="008B6B40">
        <w:tc>
          <w:tcPr>
            <w:tcW w:w="4819" w:type="dxa"/>
            <w:tcBorders>
              <w:top w:val="single" w:sz="1" w:space="0" w:color="000000"/>
              <w:left w:val="single" w:sz="1" w:space="0" w:color="000000"/>
              <w:bottom w:val="single" w:sz="1" w:space="0" w:color="000000"/>
            </w:tcBorders>
            <w:shd w:val="clear" w:color="auto" w:fill="729FCF"/>
          </w:tcPr>
          <w:p w:rsidR="000F5FBE" w:rsidRPr="001E083B" w:rsidRDefault="000F5FBE" w:rsidP="008B6B40">
            <w:pPr>
              <w:pStyle w:val="Taularenedukia"/>
              <w:jc w:val="center"/>
              <w:rPr>
                <w:rFonts w:ascii="Cambria" w:hAnsi="Cambria"/>
                <w:lang w:val="es-ES_tradnl"/>
              </w:rPr>
            </w:pPr>
            <w:r w:rsidRPr="001E083B">
              <w:rPr>
                <w:rFonts w:ascii="Cambria" w:hAnsi="Cambria" w:cs="Helvetica"/>
                <w:b/>
                <w:bCs/>
                <w:sz w:val="20"/>
                <w:szCs w:val="20"/>
                <w:lang w:val="es-ES_tradnl"/>
              </w:rPr>
              <w:t>Beneficio contable del ejercicio precedente</w:t>
            </w:r>
          </w:p>
        </w:tc>
        <w:tc>
          <w:tcPr>
            <w:tcW w:w="4821" w:type="dxa"/>
            <w:tcBorders>
              <w:top w:val="single" w:sz="1" w:space="0" w:color="000000"/>
              <w:left w:val="single" w:sz="1" w:space="0" w:color="000000"/>
              <w:bottom w:val="single" w:sz="1" w:space="0" w:color="000000"/>
              <w:right w:val="single" w:sz="1" w:space="0" w:color="000000"/>
            </w:tcBorders>
            <w:shd w:val="clear" w:color="auto" w:fill="729FCF"/>
          </w:tcPr>
          <w:p w:rsidR="000F5FBE" w:rsidRPr="001E083B" w:rsidRDefault="000F5FBE" w:rsidP="008B6B40">
            <w:pPr>
              <w:pStyle w:val="Taularenedukia"/>
              <w:jc w:val="center"/>
              <w:rPr>
                <w:rFonts w:ascii="Cambria" w:hAnsi="Cambria"/>
                <w:lang w:val="es-ES_tradnl"/>
              </w:rPr>
            </w:pPr>
            <w:r w:rsidRPr="001E083B">
              <w:rPr>
                <w:rFonts w:ascii="Cambria" w:hAnsi="Cambria" w:cs="Helvetica"/>
                <w:b/>
                <w:bCs/>
                <w:sz w:val="20"/>
                <w:szCs w:val="20"/>
                <w:lang w:val="es-ES_tradnl"/>
              </w:rPr>
              <w:t>Incremento del tipo impositivo</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Menos del 10</w:t>
            </w:r>
            <w:r w:rsidR="00A75590">
              <w:rPr>
                <w:rFonts w:ascii="Cambria" w:hAnsi="Cambria" w:cs="Helvetica"/>
                <w:sz w:val="20"/>
                <w:szCs w:val="20"/>
                <w:lang w:val="es-ES_tradnl"/>
              </w:rPr>
              <w:t xml:space="preserve"> %</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Exentas del recargo</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Entre el 10 y 15</w:t>
            </w:r>
            <w:r w:rsidR="00A75590">
              <w:rPr>
                <w:rFonts w:ascii="Cambria" w:hAnsi="Cambria" w:cs="Helvetica"/>
                <w:sz w:val="20"/>
                <w:szCs w:val="20"/>
                <w:lang w:val="es-ES_tradnl"/>
              </w:rPr>
              <w:t xml:space="preserve"> %</w:t>
            </w:r>
            <w:r w:rsidRPr="001E083B">
              <w:rPr>
                <w:rFonts w:ascii="Cambria" w:hAnsi="Cambria" w:cs="Helvetica"/>
                <w:sz w:val="20"/>
                <w:szCs w:val="20"/>
                <w:lang w:val="es-ES_tradnl"/>
              </w:rPr>
              <w:t xml:space="preserve"> </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1</w:t>
            </w:r>
            <w:r w:rsidR="00A75590">
              <w:rPr>
                <w:rFonts w:ascii="Cambria" w:hAnsi="Cambria" w:cs="Helvetica"/>
                <w:sz w:val="20"/>
                <w:szCs w:val="20"/>
                <w:lang w:val="es-ES_tradnl"/>
              </w:rPr>
              <w:t xml:space="preserve"> %</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Entre el 16</w:t>
            </w:r>
            <w:r w:rsidR="00A75590">
              <w:rPr>
                <w:rFonts w:ascii="Cambria" w:hAnsi="Cambria" w:cs="Helvetica"/>
                <w:sz w:val="20"/>
                <w:szCs w:val="20"/>
                <w:lang w:val="es-ES_tradnl"/>
              </w:rPr>
              <w:t xml:space="preserve"> %</w:t>
            </w:r>
            <w:r w:rsidRPr="001E083B">
              <w:rPr>
                <w:rFonts w:ascii="Cambria" w:hAnsi="Cambria" w:cs="Helvetica"/>
                <w:sz w:val="20"/>
                <w:szCs w:val="20"/>
                <w:lang w:val="es-ES_tradnl"/>
              </w:rPr>
              <w:t xml:space="preserve"> y el 20</w:t>
            </w:r>
            <w:r w:rsidR="00A75590">
              <w:rPr>
                <w:rFonts w:ascii="Cambria" w:hAnsi="Cambria" w:cs="Helvetica"/>
                <w:sz w:val="20"/>
                <w:szCs w:val="20"/>
                <w:lang w:val="es-ES_tradnl"/>
              </w:rPr>
              <w:t xml:space="preserve"> %</w:t>
            </w:r>
            <w:r w:rsidRPr="001E083B">
              <w:rPr>
                <w:rFonts w:ascii="Cambria" w:hAnsi="Cambria" w:cs="Helvetica"/>
                <w:sz w:val="20"/>
                <w:szCs w:val="20"/>
                <w:lang w:val="es-ES_tradnl"/>
              </w:rPr>
              <w:t xml:space="preserve"> </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1,5</w:t>
            </w:r>
            <w:r w:rsidR="00A75590">
              <w:rPr>
                <w:rFonts w:ascii="Cambria" w:hAnsi="Cambria" w:cs="Helvetica"/>
                <w:sz w:val="20"/>
                <w:szCs w:val="20"/>
                <w:lang w:val="es-ES_tradnl"/>
              </w:rPr>
              <w:t xml:space="preserve"> %</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Más del 20</w:t>
            </w:r>
            <w:r w:rsidR="00A75590">
              <w:rPr>
                <w:rFonts w:ascii="Cambria" w:hAnsi="Cambria" w:cs="Helvetica"/>
                <w:sz w:val="20"/>
                <w:szCs w:val="20"/>
                <w:lang w:val="es-ES_tradnl"/>
              </w:rPr>
              <w:t xml:space="preserve"> %</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2</w:t>
            </w:r>
            <w:r w:rsidR="00A75590">
              <w:rPr>
                <w:rFonts w:ascii="Cambria" w:hAnsi="Cambria" w:cs="Helvetica"/>
                <w:sz w:val="20"/>
                <w:szCs w:val="20"/>
                <w:lang w:val="es-ES_tradnl"/>
              </w:rPr>
              <w:t xml:space="preserve"> %</w:t>
            </w:r>
          </w:p>
        </w:tc>
      </w:tr>
    </w:tbl>
    <w:p w:rsidR="000F5FBE" w:rsidRPr="001E083B" w:rsidRDefault="000F5FBE" w:rsidP="000F5FBE">
      <w:pPr>
        <w:ind w:left="720"/>
        <w:jc w:val="both"/>
        <w:rPr>
          <w:rFonts w:ascii="Cambria" w:hAnsi="Cambria" w:cs="Helvetica"/>
          <w:lang w:val="es-ES_tradnl"/>
        </w:rPr>
      </w:pPr>
    </w:p>
    <w:p w:rsidR="000F5FBE" w:rsidRPr="001E083B" w:rsidRDefault="00843EC5" w:rsidP="000F5FBE">
      <w:pPr>
        <w:pStyle w:val="ohiko1"/>
        <w:rPr>
          <w:b/>
          <w:noProof w:val="0"/>
          <w:lang w:val="es-ES_tradnl"/>
        </w:rPr>
      </w:pPr>
      <w:r w:rsidRPr="001E083B">
        <w:rPr>
          <w:b/>
          <w:noProof w:val="0"/>
          <w:lang w:val="es-ES_tradnl"/>
        </w:rPr>
        <w:t xml:space="preserve">Artículo </w:t>
      </w:r>
      <w:r w:rsidR="009D579A" w:rsidRPr="001E083B">
        <w:rPr>
          <w:b/>
          <w:noProof w:val="0"/>
          <w:lang w:val="es-ES_tradnl"/>
        </w:rPr>
        <w:t>tercero</w:t>
      </w:r>
      <w:r w:rsidR="009D579A">
        <w:rPr>
          <w:b/>
          <w:noProof w:val="0"/>
          <w:lang w:val="es-ES_tradnl"/>
        </w:rPr>
        <w:t>.</w:t>
      </w:r>
      <w:r w:rsidR="00FD6D4C" w:rsidRPr="001E083B">
        <w:rPr>
          <w:b/>
          <w:noProof w:val="0"/>
          <w:lang w:val="es-ES_tradnl"/>
        </w:rPr>
        <w:t xml:space="preserve"> Ley Foral del Impuesto sobre el Patrimonio </w:t>
      </w:r>
    </w:p>
    <w:p w:rsidR="00FD6D4C" w:rsidRPr="001E083B" w:rsidRDefault="00FD6D4C" w:rsidP="00FD6D4C">
      <w:pPr>
        <w:pStyle w:val="ohiko1"/>
        <w:rPr>
          <w:noProof w:val="0"/>
          <w:lang w:val="es-ES_tradnl"/>
        </w:rPr>
      </w:pPr>
      <w:r w:rsidRPr="001E083B">
        <w:rPr>
          <w:noProof w:val="0"/>
          <w:lang w:val="es-ES_tradnl"/>
        </w:rPr>
        <w:t>Los preceptos de</w:t>
      </w:r>
      <w:r w:rsidR="007F57EC" w:rsidRPr="001E083B">
        <w:rPr>
          <w:noProof w:val="0"/>
          <w:lang w:val="es-ES_tradnl"/>
        </w:rPr>
        <w:t xml:space="preserve"> la Ley Foral 13/1992, de 19 de noviembre, del </w:t>
      </w:r>
      <w:r w:rsidRPr="001E083B">
        <w:rPr>
          <w:noProof w:val="0"/>
          <w:lang w:val="es-ES_tradnl"/>
        </w:rPr>
        <w:t>Impuesto sobre</w:t>
      </w:r>
      <w:r w:rsidR="007F57EC" w:rsidRPr="001E083B">
        <w:rPr>
          <w:noProof w:val="0"/>
          <w:lang w:val="es-ES_tradnl"/>
        </w:rPr>
        <w:t xml:space="preserve"> el Patrimonio</w:t>
      </w:r>
      <w:r w:rsidRPr="001E083B">
        <w:rPr>
          <w:noProof w:val="0"/>
          <w:lang w:val="es-ES_tradnl"/>
        </w:rPr>
        <w:t>, que a</w:t>
      </w:r>
      <w:r w:rsidR="007F57EC" w:rsidRPr="001E083B">
        <w:rPr>
          <w:noProof w:val="0"/>
          <w:lang w:val="es-ES_tradnl"/>
        </w:rPr>
        <w:t xml:space="preserve"> </w:t>
      </w:r>
      <w:r w:rsidR="009D579A">
        <w:rPr>
          <w:noProof w:val="0"/>
          <w:lang w:val="es-ES_tradnl"/>
        </w:rPr>
        <w:t>continuación se relacionan</w:t>
      </w:r>
      <w:r w:rsidRPr="001E083B">
        <w:rPr>
          <w:noProof w:val="0"/>
          <w:lang w:val="es-ES_tradnl"/>
        </w:rPr>
        <w:t xml:space="preserve"> quedarán redactados del siguiente</w:t>
      </w:r>
      <w:r w:rsidR="007F57EC" w:rsidRPr="001E083B">
        <w:rPr>
          <w:noProof w:val="0"/>
          <w:lang w:val="es-ES_tradnl"/>
        </w:rPr>
        <w:t xml:space="preserve"> </w:t>
      </w:r>
      <w:r w:rsidRPr="001E083B">
        <w:rPr>
          <w:noProof w:val="0"/>
          <w:lang w:val="es-ES_tradnl"/>
        </w:rPr>
        <w:t>modo:</w:t>
      </w:r>
    </w:p>
    <w:p w:rsidR="00843EC5" w:rsidRPr="001E083B" w:rsidRDefault="007F57EC" w:rsidP="00FD6D4C">
      <w:pPr>
        <w:pStyle w:val="ohiko1"/>
        <w:rPr>
          <w:noProof w:val="0"/>
          <w:lang w:val="es-ES_tradnl"/>
        </w:rPr>
      </w:pPr>
      <w:r w:rsidRPr="001E083B">
        <w:rPr>
          <w:b/>
          <w:noProof w:val="0"/>
          <w:lang w:val="es-ES_tradnl"/>
        </w:rPr>
        <w:t>Uno.</w:t>
      </w:r>
      <w:r w:rsidRPr="001E083B">
        <w:rPr>
          <w:noProof w:val="0"/>
          <w:lang w:val="es-ES_tradnl"/>
        </w:rPr>
        <w:t xml:space="preserve"> Artículo 6, apartado</w:t>
      </w:r>
      <w:r w:rsidR="009858F8" w:rsidRPr="001E083B">
        <w:rPr>
          <w:noProof w:val="0"/>
          <w:lang w:val="es-ES_tradnl"/>
        </w:rPr>
        <w:t xml:space="preserve"> 8</w:t>
      </w:r>
      <w:r w:rsidR="00A75590">
        <w:rPr>
          <w:noProof w:val="0"/>
          <w:lang w:val="es-ES_tradnl"/>
        </w:rPr>
        <w:t xml:space="preserve"> </w:t>
      </w:r>
      <w:r w:rsidR="00E46625" w:rsidRPr="001E083B">
        <w:rPr>
          <w:noProof w:val="0"/>
          <w:lang w:val="es-ES_tradnl"/>
        </w:rPr>
        <w:t>se suprime</w:t>
      </w:r>
      <w:r w:rsidR="009858F8" w:rsidRPr="001E083B">
        <w:rPr>
          <w:noProof w:val="0"/>
          <w:lang w:val="es-ES_tradnl"/>
        </w:rPr>
        <w:t xml:space="preserve"> </w:t>
      </w:r>
      <w:r w:rsidRPr="001E083B">
        <w:rPr>
          <w:noProof w:val="0"/>
          <w:lang w:val="es-ES_tradnl"/>
        </w:rPr>
        <w:t xml:space="preserve">con efectos desde el </w:t>
      </w:r>
      <w:r w:rsidR="00FD6D4C" w:rsidRPr="001E083B">
        <w:rPr>
          <w:noProof w:val="0"/>
          <w:lang w:val="es-ES_tradnl"/>
        </w:rPr>
        <w:t>1 de enero de 2020.</w:t>
      </w:r>
    </w:p>
    <w:p w:rsidR="007F57EC" w:rsidRPr="001E083B" w:rsidRDefault="009D579A" w:rsidP="000F5FBE">
      <w:pPr>
        <w:pStyle w:val="ohiko1"/>
        <w:rPr>
          <w:noProof w:val="0"/>
          <w:lang w:val="es-ES_tradnl"/>
        </w:rPr>
      </w:pPr>
      <w:r>
        <w:rPr>
          <w:b/>
          <w:noProof w:val="0"/>
          <w:lang w:val="es-ES_tradnl"/>
        </w:rPr>
        <w:t xml:space="preserve">Dos. </w:t>
      </w:r>
      <w:r w:rsidR="007F57EC" w:rsidRPr="001E083B">
        <w:rPr>
          <w:noProof w:val="0"/>
          <w:lang w:val="es-ES_tradnl"/>
        </w:rPr>
        <w:t>Artículo 31, apartado 1, límite de la cuota íntegra, con efectos desde el 1 de enero de 2020:</w:t>
      </w:r>
    </w:p>
    <w:p w:rsidR="007F57EC" w:rsidRPr="001E083B" w:rsidRDefault="007F57EC" w:rsidP="007F57EC">
      <w:pPr>
        <w:pStyle w:val="ohiko1"/>
        <w:rPr>
          <w:noProof w:val="0"/>
          <w:lang w:val="es-ES_tradnl"/>
        </w:rPr>
      </w:pPr>
      <w:r w:rsidRPr="001E083B">
        <w:rPr>
          <w:noProof w:val="0"/>
          <w:lang w:val="es-ES_tradnl"/>
        </w:rPr>
        <w:t>1. La cuota íntegra de este impuesto, conjuntamente con la cuota íntegra del Impuesto sobre la Renta de las Personas Físicas, no podrá exceder del 85 por 100 de la suma de la base imponible de este último, sin que a estos efectos sea tenida en cuenta la parte de la cuota que corresponda a elementos patrimoniales que, por su naturaleza o destino, no sean susceptibles de producir los rendimientos gravados por el Impuesto sobre la Renta de las Personas Físicas.</w:t>
      </w:r>
    </w:p>
    <w:p w:rsidR="007F57EC" w:rsidRPr="001E083B" w:rsidRDefault="009D579A" w:rsidP="000F5FBE">
      <w:pPr>
        <w:pStyle w:val="ohiko1"/>
        <w:rPr>
          <w:noProof w:val="0"/>
          <w:lang w:val="es-ES_tradnl"/>
        </w:rPr>
      </w:pPr>
      <w:r>
        <w:rPr>
          <w:b/>
          <w:noProof w:val="0"/>
          <w:lang w:val="es-ES_tradnl"/>
        </w:rPr>
        <w:t xml:space="preserve">Tres. </w:t>
      </w:r>
      <w:r>
        <w:rPr>
          <w:noProof w:val="0"/>
          <w:lang w:val="es-ES_tradnl"/>
        </w:rPr>
        <w:t>Artículo 31.</w:t>
      </w:r>
      <w:r w:rsidR="00A75590">
        <w:rPr>
          <w:noProof w:val="0"/>
          <w:lang w:val="es-ES_tradnl"/>
        </w:rPr>
        <w:t xml:space="preserve"> </w:t>
      </w:r>
      <w:r w:rsidR="00A02616" w:rsidRPr="001E083B">
        <w:rPr>
          <w:noProof w:val="0"/>
          <w:lang w:val="es-ES_tradnl"/>
        </w:rPr>
        <w:t>Límite de la cuota íntegra</w:t>
      </w:r>
      <w:r w:rsidR="009858F8" w:rsidRPr="001E083B">
        <w:rPr>
          <w:noProof w:val="0"/>
          <w:lang w:val="es-ES_tradnl"/>
        </w:rPr>
        <w:t>, con efectos desde el 1 de enero de 2020</w:t>
      </w:r>
    </w:p>
    <w:p w:rsidR="00A02616" w:rsidRPr="001E083B" w:rsidRDefault="00A02616" w:rsidP="00A02616">
      <w:pPr>
        <w:pStyle w:val="ohiko1"/>
        <w:rPr>
          <w:noProof w:val="0"/>
          <w:lang w:val="es-ES_tradnl"/>
        </w:rPr>
      </w:pPr>
      <w:r w:rsidRPr="001E083B">
        <w:rPr>
          <w:noProof w:val="0"/>
          <w:lang w:val="es-ES_tradnl"/>
        </w:rPr>
        <w:t>1. La cuota íntegra de este impuesto, conjuntamente con la cuota íntegra del Impuesto sobre la Renta de las Personas Físicas, no podrá exceder del 65 por 100 de la suma de la base imponible de este último, sin que a estos efectos sea tenida en cuenta la parte de la cuota que corresponda a elementos patrimoniales que, por su naturaleza o destino, no sean susceptibles de producir los rendimientos gravados por el Impuesto sobre la Renta de las Personas Físicas.</w:t>
      </w:r>
    </w:p>
    <w:p w:rsidR="00A02616" w:rsidRPr="001E083B" w:rsidRDefault="00A02616" w:rsidP="00A02616">
      <w:pPr>
        <w:pStyle w:val="ohiko1"/>
        <w:rPr>
          <w:noProof w:val="0"/>
          <w:lang w:val="es-ES_tradnl"/>
        </w:rPr>
      </w:pPr>
      <w:r w:rsidRPr="001E083B">
        <w:rPr>
          <w:noProof w:val="0"/>
          <w:lang w:val="es-ES_tradnl"/>
        </w:rPr>
        <w:t xml:space="preserve">Tampoco se tendrá en cuenta la parte de la base imponible especial del ahorro derivada de incrementos y disminuciones de patrimonio que corresponda al saldo positivo de los producidos por las transmisiones de elementos patrimoniales adquiridos o de mejoras realizadas en ellos con más de un año de antelación a la fecha de transmisión, ni la porción de la cuota íntegra del Impuesto </w:t>
      </w:r>
      <w:r w:rsidRPr="001E083B">
        <w:rPr>
          <w:noProof w:val="0"/>
          <w:lang w:val="es-ES_tradnl"/>
        </w:rPr>
        <w:lastRenderedPageBreak/>
        <w:t xml:space="preserve">sobre la Renta de las Personas Físicas correspondiente a aquella parte de la base imponible especial del ahorro. </w:t>
      </w:r>
    </w:p>
    <w:p w:rsidR="00A02616" w:rsidRPr="001E083B" w:rsidRDefault="00A02616" w:rsidP="00A02616">
      <w:pPr>
        <w:pStyle w:val="ohiko1"/>
        <w:rPr>
          <w:i/>
          <w:noProof w:val="0"/>
          <w:lang w:val="es-ES_tradnl"/>
        </w:rPr>
      </w:pPr>
      <w:r w:rsidRPr="001E083B">
        <w:rPr>
          <w:noProof w:val="0"/>
          <w:lang w:val="es-ES_tradnl"/>
        </w:rPr>
        <w:t>A la parte especial del ahorro de la base imponible del Impuesto sobre la Renta de las Personas Físicas se sumará el importe de los dividendos y de las participaciones en beneficios a los que se refiere la letra a) del número 6 de la disposición transitoria vigesimosexta de la Ley Foral 24/1996, de 30 de diciembre, del Impuesto sobre Sociedades.</w:t>
      </w:r>
    </w:p>
    <w:p w:rsidR="00A02616" w:rsidRPr="001E083B" w:rsidRDefault="00A02616" w:rsidP="00A02616">
      <w:pPr>
        <w:pStyle w:val="ohiko1"/>
        <w:rPr>
          <w:noProof w:val="0"/>
          <w:lang w:val="es-ES_tradnl"/>
        </w:rPr>
      </w:pPr>
      <w:r w:rsidRPr="001E083B">
        <w:rPr>
          <w:noProof w:val="0"/>
          <w:lang w:val="es-ES_tradnl"/>
        </w:rPr>
        <w:t xml:space="preserve">2. En el supuesto de que la suma de ambas cuotas supere el límite a que se refiere el apartado 1, se reducirá la cuota de este impuesto hasta alcanzar dicho límite, sin que tal reducción pueda exceder del 65 por 100. </w:t>
      </w:r>
    </w:p>
    <w:p w:rsidR="00A02616" w:rsidRPr="001E083B" w:rsidRDefault="00A02616" w:rsidP="00A02616">
      <w:pPr>
        <w:pStyle w:val="ohiko1"/>
        <w:rPr>
          <w:noProof w:val="0"/>
          <w:lang w:val="es-ES_tradnl"/>
        </w:rPr>
      </w:pPr>
      <w:r w:rsidRPr="001E083B">
        <w:rPr>
          <w:noProof w:val="0"/>
          <w:lang w:val="es-ES_tradnl"/>
        </w:rPr>
        <w:t>3. En los supuestos de unidades familiares a que se refiere el artículo 71 del Texto Refundido de la Ley Foral del Impuesto sobre la Renta de las Personas Físicas, los límites referidos en los números anteriores se calcularán individualmente, con independencia de la tributación, individual o conjunta, por la que se hubiere optado en el Impuesto sobre la Renta de las Personas Físicas.</w:t>
      </w:r>
    </w:p>
    <w:p w:rsidR="00A02616" w:rsidRPr="001E083B" w:rsidRDefault="00A02616" w:rsidP="00A02616">
      <w:pPr>
        <w:pStyle w:val="ohiko1"/>
        <w:rPr>
          <w:noProof w:val="0"/>
          <w:lang w:val="es-ES_tradnl"/>
        </w:rPr>
      </w:pPr>
      <w:r w:rsidRPr="001E083B">
        <w:rPr>
          <w:noProof w:val="0"/>
          <w:lang w:val="es-ES_tradnl"/>
        </w:rPr>
        <w:t>4. Lo dispuesto en este artículo no será de aplicación a los sujetos pasivos a que se refiere el número 3 del artículo 6º.</w:t>
      </w:r>
    </w:p>
    <w:p w:rsidR="00A02616" w:rsidRPr="001E083B" w:rsidRDefault="009D579A" w:rsidP="000F5FBE">
      <w:pPr>
        <w:pStyle w:val="ohiko1"/>
        <w:rPr>
          <w:noProof w:val="0"/>
          <w:lang w:val="es-ES_tradnl"/>
        </w:rPr>
      </w:pPr>
      <w:r>
        <w:rPr>
          <w:b/>
          <w:noProof w:val="0"/>
          <w:lang w:val="es-ES_tradnl"/>
        </w:rPr>
        <w:t xml:space="preserve">Cuatro. </w:t>
      </w:r>
      <w:r w:rsidR="00A02616" w:rsidRPr="001E083B">
        <w:rPr>
          <w:noProof w:val="0"/>
          <w:lang w:val="es-ES_tradnl"/>
        </w:rPr>
        <w:t>Artículo 33. Deducciones en la cuota. Apartado 1</w:t>
      </w:r>
      <w:r w:rsidR="009858F8" w:rsidRPr="001E083B">
        <w:rPr>
          <w:noProof w:val="0"/>
          <w:lang w:val="es-ES_tradnl"/>
        </w:rPr>
        <w:t>, con efectos desde el 1 de enero de 2020</w:t>
      </w:r>
      <w:r w:rsidR="00A02616" w:rsidRPr="001E083B">
        <w:rPr>
          <w:noProof w:val="0"/>
          <w:lang w:val="es-ES_tradnl"/>
        </w:rPr>
        <w:t>:</w:t>
      </w:r>
    </w:p>
    <w:p w:rsidR="008C703A" w:rsidRPr="001E083B" w:rsidRDefault="008C703A" w:rsidP="008C703A">
      <w:pPr>
        <w:pStyle w:val="ohiko1"/>
        <w:rPr>
          <w:noProof w:val="0"/>
          <w:lang w:val="es-ES_tradnl"/>
        </w:rPr>
      </w:pPr>
      <w:r w:rsidRPr="001E083B">
        <w:rPr>
          <w:noProof w:val="0"/>
          <w:lang w:val="es-ES_tradnl"/>
        </w:rPr>
        <w:t xml:space="preserve">1. De la cuota del </w:t>
      </w:r>
      <w:r w:rsidR="009D579A" w:rsidRPr="001E083B">
        <w:rPr>
          <w:noProof w:val="0"/>
          <w:lang w:val="es-ES_tradnl"/>
        </w:rPr>
        <w:t xml:space="preserve">impuesto </w:t>
      </w:r>
      <w:r w:rsidRPr="001E083B">
        <w:rPr>
          <w:noProof w:val="0"/>
          <w:lang w:val="es-ES_tradnl"/>
        </w:rPr>
        <w:t>se deducirá el 100 por 100 de la parte proporcional de aquella que corresponda al valor de los bienes y derechos que se recogen en las letras siguientes, hasta un valor de dichos bienes y derechos de 1.000.000 euros, y el 80 por 100 de la parte proporcional de aquella que corresponda al exceso sobre dicho valor.</w:t>
      </w:r>
    </w:p>
    <w:p w:rsidR="008C703A" w:rsidRPr="001E083B" w:rsidRDefault="008C703A" w:rsidP="008C703A">
      <w:pPr>
        <w:pStyle w:val="ohiko1"/>
        <w:rPr>
          <w:noProof w:val="0"/>
          <w:lang w:val="es-ES_tradnl"/>
        </w:rPr>
      </w:pPr>
      <w:r w:rsidRPr="001E083B">
        <w:rPr>
          <w:noProof w:val="0"/>
          <w:lang w:val="es-ES_tradnl"/>
        </w:rPr>
        <w:t>Los bienes y derechos que dan derecho a esta deducción son los siguientes:</w:t>
      </w:r>
    </w:p>
    <w:p w:rsidR="008C703A" w:rsidRPr="001E083B" w:rsidRDefault="008C703A" w:rsidP="008C703A">
      <w:pPr>
        <w:pStyle w:val="ohiko1"/>
        <w:rPr>
          <w:noProof w:val="0"/>
          <w:lang w:val="es-ES_tradnl"/>
        </w:rPr>
      </w:pPr>
      <w:r w:rsidRPr="001E083B">
        <w:rPr>
          <w:noProof w:val="0"/>
          <w:lang w:val="es-ES_tradnl"/>
        </w:rPr>
        <w:t xml:space="preserve">a) Los bienes y derechos del sujeto pasivo y los comunes a ambos miembros del matrimonio necesarios para el desarrollo de la actividad </w:t>
      </w:r>
      <w:r w:rsidRPr="001E083B">
        <w:rPr>
          <w:noProof w:val="0"/>
          <w:lang w:val="es-ES_tradnl"/>
        </w:rPr>
        <w:lastRenderedPageBreak/>
        <w:t>empresar</w:t>
      </w:r>
      <w:r w:rsidR="009D579A">
        <w:rPr>
          <w:noProof w:val="0"/>
          <w:lang w:val="es-ES_tradnl"/>
        </w:rPr>
        <w:t>ial o profesional, siempre que e</w:t>
      </w:r>
      <w:r w:rsidRPr="001E083B">
        <w:rPr>
          <w:noProof w:val="0"/>
          <w:lang w:val="es-ES_tradnl"/>
        </w:rPr>
        <w:t>sta se ejerza de forma habitual, personal y directa por el sujeto pasivo y constituya la principal fuente de renta de quien ejerza tal actividad.</w:t>
      </w:r>
    </w:p>
    <w:p w:rsidR="008C703A" w:rsidRPr="001E083B" w:rsidRDefault="008C703A" w:rsidP="008C703A">
      <w:pPr>
        <w:pStyle w:val="ohiko1"/>
        <w:rPr>
          <w:noProof w:val="0"/>
          <w:lang w:val="es-ES_tradnl"/>
        </w:rPr>
      </w:pPr>
      <w:r w:rsidRPr="001E083B">
        <w:rPr>
          <w:noProof w:val="0"/>
          <w:lang w:val="es-ES_tradnl"/>
        </w:rPr>
        <w:t>A ef</w:t>
      </w:r>
      <w:r w:rsidR="009D579A">
        <w:rPr>
          <w:noProof w:val="0"/>
          <w:lang w:val="es-ES_tradnl"/>
        </w:rPr>
        <w:t>ectos de la determinación de cuá</w:t>
      </w:r>
      <w:r w:rsidRPr="001E083B">
        <w:rPr>
          <w:noProof w:val="0"/>
          <w:lang w:val="es-ES_tradnl"/>
        </w:rPr>
        <w:t>l sea la principal fuente de renta, no se computarán ni las remuneraciones de las funciones de dirección que se ejerzan en las entidades a que se refiere la letra b) de este número, ni cualesquiera otras remuneraciones que traigan su causa de la participación en dichas entidades.</w:t>
      </w:r>
    </w:p>
    <w:p w:rsidR="008C703A" w:rsidRPr="001E083B" w:rsidRDefault="008C703A" w:rsidP="008C703A">
      <w:pPr>
        <w:pStyle w:val="ohiko1"/>
        <w:rPr>
          <w:noProof w:val="0"/>
          <w:lang w:val="es-ES_tradnl"/>
        </w:rPr>
      </w:pPr>
      <w:r w:rsidRPr="001E083B">
        <w:rPr>
          <w:noProof w:val="0"/>
          <w:lang w:val="es-ES_tradnl"/>
        </w:rPr>
        <w:t>b) La plena propiedad, la nuda propiedad y el derecho de usufructo vitalicio sobre las participaciones en entidades, con o sin cotización en mercados organizados, siempre que concurran las condiciones siguientes:</w:t>
      </w:r>
    </w:p>
    <w:p w:rsidR="008C703A" w:rsidRPr="001E083B" w:rsidRDefault="008C703A" w:rsidP="008C703A">
      <w:pPr>
        <w:pStyle w:val="ohiko1"/>
        <w:rPr>
          <w:noProof w:val="0"/>
          <w:lang w:val="es-ES_tradnl"/>
        </w:rPr>
      </w:pPr>
      <w:proofErr w:type="gramStart"/>
      <w:r w:rsidRPr="001E083B">
        <w:rPr>
          <w:noProof w:val="0"/>
          <w:lang w:val="es-ES_tradnl"/>
        </w:rPr>
        <w:t>1.ª</w:t>
      </w:r>
      <w:proofErr w:type="gramEnd"/>
      <w:r w:rsidRPr="001E083B">
        <w:rPr>
          <w:noProof w:val="0"/>
          <w:lang w:val="es-ES_tradnl"/>
        </w:rPr>
        <w:t xml:space="preserve"> Que la entidad, sea o no societaria, realice de manera efectiva una actividad empresarial o profesional y no tenga por actividad principal la gestión de un patrimonio mobiliario o inmobiliario. Se entenderá que una entidad gestiona un patrimonio mobiliario o inmobiliario y que, por lo tanto, no realiza una actividad empresarial o profesional cuando concurran, durante más de 90 días del ejercicio social, cualquiera de las condiciones siguientes:</w:t>
      </w:r>
    </w:p>
    <w:p w:rsidR="008C703A" w:rsidRPr="001E083B" w:rsidRDefault="008C703A" w:rsidP="008C703A">
      <w:pPr>
        <w:pStyle w:val="ohiko1"/>
        <w:rPr>
          <w:noProof w:val="0"/>
          <w:lang w:val="es-ES_tradnl"/>
        </w:rPr>
      </w:pPr>
      <w:proofErr w:type="gramStart"/>
      <w:r w:rsidRPr="001E083B">
        <w:rPr>
          <w:noProof w:val="0"/>
          <w:lang w:val="es-ES_tradnl"/>
        </w:rPr>
        <w:t>a</w:t>
      </w:r>
      <w:proofErr w:type="gramEnd"/>
      <w:r w:rsidRPr="001E083B">
        <w:rPr>
          <w:noProof w:val="0"/>
          <w:lang w:val="es-ES_tradnl"/>
        </w:rPr>
        <w:t>') Que más de la mitad de su activo esté constituida por valores.</w:t>
      </w:r>
    </w:p>
    <w:p w:rsidR="008C703A" w:rsidRPr="001E083B" w:rsidRDefault="008C703A" w:rsidP="008C703A">
      <w:pPr>
        <w:pStyle w:val="ohiko1"/>
        <w:rPr>
          <w:noProof w:val="0"/>
          <w:lang w:val="es-ES_tradnl"/>
        </w:rPr>
      </w:pPr>
      <w:proofErr w:type="gramStart"/>
      <w:r w:rsidRPr="001E083B">
        <w:rPr>
          <w:noProof w:val="0"/>
          <w:lang w:val="es-ES_tradnl"/>
        </w:rPr>
        <w:t>b</w:t>
      </w:r>
      <w:proofErr w:type="gramEnd"/>
      <w:r w:rsidRPr="001E083B">
        <w:rPr>
          <w:noProof w:val="0"/>
          <w:lang w:val="es-ES_tradnl"/>
        </w:rPr>
        <w:t>') Que más de la mitad de su activo no esté afecta a actividades empresariales o profesionales.</w:t>
      </w:r>
    </w:p>
    <w:p w:rsidR="008C703A" w:rsidRPr="001E083B" w:rsidRDefault="008C703A" w:rsidP="008C703A">
      <w:pPr>
        <w:pStyle w:val="ohiko1"/>
        <w:rPr>
          <w:noProof w:val="0"/>
          <w:lang w:val="es-ES_tradnl"/>
        </w:rPr>
      </w:pPr>
      <w:r w:rsidRPr="001E083B">
        <w:rPr>
          <w:noProof w:val="0"/>
          <w:lang w:val="es-ES_tradnl"/>
        </w:rPr>
        <w:t>A los efectos previstos en esta letra b), para determinar si existe actividad empresarial o profesional o si un elemento patrimonial se encuentra afecto a ella, se estará a lo dispuesto en el Impuesto sobre la Renta de las Personas Físicas.</w:t>
      </w:r>
    </w:p>
    <w:p w:rsidR="008C703A" w:rsidRPr="001E083B" w:rsidRDefault="008C703A" w:rsidP="008C703A">
      <w:pPr>
        <w:pStyle w:val="ohiko1"/>
        <w:rPr>
          <w:noProof w:val="0"/>
          <w:lang w:val="es-ES_tradnl"/>
        </w:rPr>
      </w:pPr>
      <w:r w:rsidRPr="001E083B">
        <w:rPr>
          <w:noProof w:val="0"/>
          <w:lang w:val="es-ES_tradnl"/>
        </w:rPr>
        <w:t>Tanto el valor del activo como el de los elementos patrimoniales no afectos a actividades empresariales o profesionales serán los que se deduzcan d</w:t>
      </w:r>
      <w:r w:rsidR="009D579A">
        <w:rPr>
          <w:noProof w:val="0"/>
          <w:lang w:val="es-ES_tradnl"/>
        </w:rPr>
        <w:t>e la contabilidad, siempre que e</w:t>
      </w:r>
      <w:r w:rsidRPr="001E083B">
        <w:rPr>
          <w:noProof w:val="0"/>
          <w:lang w:val="es-ES_tradnl"/>
        </w:rPr>
        <w:t>sta refleje fielmente la verdadera situación patrimonial de la entidad.</w:t>
      </w:r>
    </w:p>
    <w:p w:rsidR="008C703A" w:rsidRPr="001E083B" w:rsidRDefault="008C703A" w:rsidP="008C703A">
      <w:pPr>
        <w:pStyle w:val="ohiko1"/>
        <w:rPr>
          <w:noProof w:val="0"/>
          <w:lang w:val="es-ES_tradnl"/>
        </w:rPr>
      </w:pPr>
      <w:r w:rsidRPr="001E083B">
        <w:rPr>
          <w:noProof w:val="0"/>
          <w:lang w:val="es-ES_tradnl"/>
        </w:rPr>
        <w:t>A efectos de determinar la parte del activo que está constituida por valores o elementos patrimoniales no afectos:</w:t>
      </w:r>
    </w:p>
    <w:p w:rsidR="008C703A" w:rsidRPr="001E083B" w:rsidRDefault="008C703A" w:rsidP="008C703A">
      <w:pPr>
        <w:pStyle w:val="ohiko1"/>
        <w:rPr>
          <w:noProof w:val="0"/>
          <w:lang w:val="es-ES_tradnl"/>
        </w:rPr>
      </w:pPr>
      <w:proofErr w:type="gramStart"/>
      <w:r w:rsidRPr="001E083B">
        <w:rPr>
          <w:noProof w:val="0"/>
          <w:lang w:val="es-ES_tradnl"/>
        </w:rPr>
        <w:lastRenderedPageBreak/>
        <w:t>1.º</w:t>
      </w:r>
      <w:proofErr w:type="gramEnd"/>
      <w:r w:rsidRPr="001E083B">
        <w:rPr>
          <w:noProof w:val="0"/>
          <w:lang w:val="es-ES_tradnl"/>
        </w:rPr>
        <w:t xml:space="preserve"> No se computarán los valores siguientes:</w:t>
      </w:r>
    </w:p>
    <w:p w:rsidR="008C703A" w:rsidRPr="001E083B" w:rsidRDefault="008C703A" w:rsidP="008C703A">
      <w:pPr>
        <w:pStyle w:val="ohiko1"/>
        <w:rPr>
          <w:noProof w:val="0"/>
          <w:lang w:val="es-ES_tradnl"/>
        </w:rPr>
      </w:pPr>
      <w:r w:rsidRPr="001E083B">
        <w:rPr>
          <w:noProof w:val="0"/>
          <w:lang w:val="es-ES_tradnl"/>
        </w:rPr>
        <w:t>– Los poseídos para dar cumplimiento a obligaciones legales y reglamentarias.</w:t>
      </w:r>
    </w:p>
    <w:p w:rsidR="008C703A" w:rsidRPr="001E083B" w:rsidRDefault="008C703A" w:rsidP="008C703A">
      <w:pPr>
        <w:pStyle w:val="ohiko1"/>
        <w:rPr>
          <w:noProof w:val="0"/>
          <w:lang w:val="es-ES_tradnl"/>
        </w:rPr>
      </w:pPr>
      <w:r w:rsidRPr="001E083B">
        <w:rPr>
          <w:noProof w:val="0"/>
          <w:lang w:val="es-ES_tradnl"/>
        </w:rPr>
        <w:t>– Los que incorporen derechos de crédito nacidos de relaciones contractuales establecidas como consecuencia del desarrollo de actividades empresariales o profesionales.</w:t>
      </w:r>
    </w:p>
    <w:p w:rsidR="008C703A" w:rsidRPr="001E083B" w:rsidRDefault="008C703A" w:rsidP="008C703A">
      <w:pPr>
        <w:pStyle w:val="ohiko1"/>
        <w:rPr>
          <w:noProof w:val="0"/>
          <w:lang w:val="es-ES_tradnl"/>
        </w:rPr>
      </w:pPr>
      <w:r w:rsidRPr="001E083B">
        <w:rPr>
          <w:noProof w:val="0"/>
          <w:lang w:val="es-ES_tradnl"/>
        </w:rPr>
        <w:t>– Los poseídos por sociedades de valores como consecuencia del ejercicio de la actividad constitutiva de su objeto.</w:t>
      </w:r>
    </w:p>
    <w:p w:rsidR="008C703A" w:rsidRPr="001E083B" w:rsidRDefault="008C703A" w:rsidP="008C703A">
      <w:pPr>
        <w:pStyle w:val="ohiko1"/>
        <w:rPr>
          <w:noProof w:val="0"/>
          <w:lang w:val="es-ES_tradnl"/>
        </w:rPr>
      </w:pPr>
      <w:r w:rsidRPr="001E083B">
        <w:rPr>
          <w:noProof w:val="0"/>
          <w:lang w:val="es-ES_tradnl"/>
        </w:rPr>
        <w:t>– Los que otorguen, al menos, el 5 por 100 de los derechos de voto y se posean con la finalidad de dirigir y gestionar la participación siempre que, a estos efectos, se disponga de la correspondiente organización de medios materiales y personales, y la entidad participada no esté comprendida en esta letra.</w:t>
      </w:r>
    </w:p>
    <w:p w:rsidR="008C703A" w:rsidRPr="001E083B" w:rsidRDefault="008C703A" w:rsidP="008C703A">
      <w:pPr>
        <w:pStyle w:val="ohiko1"/>
        <w:rPr>
          <w:noProof w:val="0"/>
          <w:lang w:val="es-ES_tradnl"/>
        </w:rPr>
      </w:pPr>
      <w:proofErr w:type="gramStart"/>
      <w:r w:rsidRPr="001E083B">
        <w:rPr>
          <w:noProof w:val="0"/>
          <w:lang w:val="es-ES_tradnl"/>
        </w:rPr>
        <w:t>2.º</w:t>
      </w:r>
      <w:proofErr w:type="gramEnd"/>
      <w:r w:rsidRPr="001E083B">
        <w:rPr>
          <w:noProof w:val="0"/>
          <w:lang w:val="es-ES_tradnl"/>
        </w:rPr>
        <w:t xml:space="preserve"> No se computarán como valores ni como elementos no afectos a actividades empresariales o profesionales aquellos cuyo precio de adquisición no supere el importe de los beneficios no distribuidos obtenidos por la entidad, siempre que dichos beneficios provengan de la realización de actividades empresariales o profesionales, y tomando como límite la suma de los beneficios obtenidos en el propio año y a lo largo de los diez años inmediatamente anteriores.</w:t>
      </w:r>
    </w:p>
    <w:p w:rsidR="008C703A" w:rsidRPr="001E083B" w:rsidRDefault="008C703A" w:rsidP="008C703A">
      <w:pPr>
        <w:pStyle w:val="ohiko1"/>
        <w:rPr>
          <w:noProof w:val="0"/>
          <w:lang w:val="es-ES_tradnl"/>
        </w:rPr>
      </w:pPr>
      <w:r w:rsidRPr="001E083B">
        <w:rPr>
          <w:noProof w:val="0"/>
          <w:lang w:val="es-ES_tradnl"/>
        </w:rPr>
        <w:t>A estos efectos, se asimilan a los beneficios procedentes de actividades empresariales o profesionales los dividendos que procedan de los valores a que se refiere el último inciso del párrafo anterior, cuando los ingresos obtenidos por la entidad participada procedan, al menos en el 90 por 100, de la realización de actividades empresariales o profesionales.</w:t>
      </w:r>
    </w:p>
    <w:p w:rsidR="008C703A" w:rsidRPr="001E083B" w:rsidRDefault="008C703A" w:rsidP="008C703A">
      <w:pPr>
        <w:pStyle w:val="ohiko1"/>
        <w:rPr>
          <w:noProof w:val="0"/>
          <w:lang w:val="es-ES_tradnl"/>
        </w:rPr>
      </w:pPr>
      <w:r w:rsidRPr="001E083B">
        <w:rPr>
          <w:noProof w:val="0"/>
          <w:lang w:val="es-ES_tradnl"/>
        </w:rPr>
        <w:t>2.ª Que la participación del sujeto pasivo en el capital de la entidad sea al menos del 5 por 100, computado de forma individual, o del 20 por 100 conjuntamente con su cónyuge, ascendiente, descendiente o colateral de segundo grado, ya tenga su origen el parentesco en la consanguinidad, en la afinidad o en la adopción.</w:t>
      </w:r>
    </w:p>
    <w:p w:rsidR="008C703A" w:rsidRPr="001E083B" w:rsidRDefault="008C703A" w:rsidP="008C703A">
      <w:pPr>
        <w:pStyle w:val="ohiko1"/>
        <w:rPr>
          <w:noProof w:val="0"/>
          <w:lang w:val="es-ES_tradnl"/>
        </w:rPr>
      </w:pPr>
      <w:proofErr w:type="gramStart"/>
      <w:r w:rsidRPr="001E083B">
        <w:rPr>
          <w:noProof w:val="0"/>
          <w:lang w:val="es-ES_tradnl"/>
        </w:rPr>
        <w:lastRenderedPageBreak/>
        <w:t>3.ª</w:t>
      </w:r>
      <w:proofErr w:type="gramEnd"/>
      <w:r w:rsidRPr="001E083B">
        <w:rPr>
          <w:noProof w:val="0"/>
          <w:lang w:val="es-ES_tradnl"/>
        </w:rPr>
        <w:t xml:space="preserve"> Que el sujeto pasivo ejerza efectivamente funciones de dirección en la entidad, percibiendo por ello una remuneración que represente más del 50 por 100 de la totalidad de los rendimientos empresariales, profesionales y de trabajo personal.</w:t>
      </w:r>
    </w:p>
    <w:p w:rsidR="008C703A" w:rsidRPr="001E083B" w:rsidRDefault="008C703A" w:rsidP="008C703A">
      <w:pPr>
        <w:pStyle w:val="ohiko1"/>
        <w:rPr>
          <w:noProof w:val="0"/>
          <w:lang w:val="es-ES_tradnl"/>
        </w:rPr>
      </w:pPr>
      <w:r w:rsidRPr="001E083B">
        <w:rPr>
          <w:noProof w:val="0"/>
          <w:lang w:val="es-ES_tradnl"/>
        </w:rPr>
        <w:t>A efectos del cálculo anterior, no se computarán entre los rendimientos empresariales, profesionales y de trabajo personal los rendimientos de la actividad empresarial a que se refiere la letra a) de este número 1.</w:t>
      </w:r>
    </w:p>
    <w:p w:rsidR="008C703A" w:rsidRPr="001E083B" w:rsidRDefault="008C703A" w:rsidP="008C703A">
      <w:pPr>
        <w:pStyle w:val="ohiko1"/>
        <w:rPr>
          <w:noProof w:val="0"/>
          <w:lang w:val="es-ES_tradnl"/>
        </w:rPr>
      </w:pPr>
      <w:r w:rsidRPr="001E083B">
        <w:rPr>
          <w:noProof w:val="0"/>
          <w:lang w:val="es-ES_tradnl"/>
        </w:rPr>
        <w:t>Cuando la participación en la entidad sea conjunta con alguna o algunas personas a las que se refiere la condición anterior, las funciones de dirección y las remuneraciones d</w:t>
      </w:r>
      <w:bookmarkStart w:id="0" w:name="_GoBack"/>
      <w:bookmarkEnd w:id="0"/>
      <w:r w:rsidRPr="001E083B">
        <w:rPr>
          <w:noProof w:val="0"/>
          <w:lang w:val="es-ES_tradnl"/>
        </w:rPr>
        <w:t>erivadas de ellas deberán cumplirse al menos en una de las personas del grupo de parentesco, sin perjuicio de que todas ellas tengan derecho a la deducción.</w:t>
      </w:r>
    </w:p>
    <w:p w:rsidR="008C703A" w:rsidRPr="001E083B" w:rsidRDefault="008C703A" w:rsidP="008C703A">
      <w:pPr>
        <w:pStyle w:val="ohiko1"/>
        <w:rPr>
          <w:noProof w:val="0"/>
          <w:lang w:val="es-ES_tradnl"/>
        </w:rPr>
      </w:pPr>
      <w:r w:rsidRPr="001E083B">
        <w:rPr>
          <w:noProof w:val="0"/>
          <w:lang w:val="es-ES_tradnl"/>
        </w:rPr>
        <w:t>La deducción sólo alcanzará al valor de las participaciones, determinado conforme a las reglas que se establecen en los artículos 15 y 16, en la parte que corresponda a la proporción existente entre los activos necesarios para el ejercicio de la actividad empresarial o profesional, minorados en el importe de las deudas derivadas de ella, y el valor del patrimonio neto de la entidad, aplicándose estas mismas reglas en la valoración de las participaciones de entidades participadas para determinar el valor de las de su entidad tenedora.</w:t>
      </w:r>
    </w:p>
    <w:p w:rsidR="008C703A" w:rsidRPr="001E083B" w:rsidRDefault="008C703A" w:rsidP="008C703A">
      <w:pPr>
        <w:pStyle w:val="ohiko1"/>
        <w:rPr>
          <w:noProof w:val="0"/>
          <w:lang w:val="es-ES_tradnl"/>
        </w:rPr>
      </w:pPr>
      <w:r w:rsidRPr="001E083B">
        <w:rPr>
          <w:noProof w:val="0"/>
          <w:lang w:val="es-ES_tradnl"/>
        </w:rPr>
        <w:t>2. Reglamentariamente podrán determinarse:</w:t>
      </w:r>
    </w:p>
    <w:p w:rsidR="008C703A" w:rsidRPr="001E083B" w:rsidRDefault="008C703A" w:rsidP="008C703A">
      <w:pPr>
        <w:pStyle w:val="ohiko1"/>
        <w:rPr>
          <w:noProof w:val="0"/>
          <w:lang w:val="es-ES_tradnl"/>
        </w:rPr>
      </w:pPr>
      <w:r w:rsidRPr="001E083B">
        <w:rPr>
          <w:noProof w:val="0"/>
          <w:lang w:val="es-ES_tradnl"/>
        </w:rPr>
        <w:t>a) Los requisitos que deban concurrir para que sea aplicable la deducción en cuanto a los bienes, derechos y deudas necesarios para el desarrollo de una actividad empresarial.</w:t>
      </w:r>
    </w:p>
    <w:p w:rsidR="001E083B" w:rsidRPr="001E083B" w:rsidRDefault="003C60EA" w:rsidP="000F5FBE">
      <w:pPr>
        <w:pStyle w:val="ohiko1"/>
        <w:rPr>
          <w:noProof w:val="0"/>
          <w:lang w:val="es-ES_tradnl"/>
        </w:rPr>
      </w:pPr>
      <w:r>
        <w:rPr>
          <w:b/>
          <w:noProof w:val="0"/>
          <w:lang w:val="es-ES_tradnl"/>
        </w:rPr>
        <w:t xml:space="preserve">Cinco. </w:t>
      </w:r>
      <w:r w:rsidR="009C784B" w:rsidRPr="001E083B">
        <w:rPr>
          <w:noProof w:val="0"/>
          <w:lang w:val="es-ES_tradnl"/>
        </w:rPr>
        <w:t>Para aquellas bases liquidables superiores a un millón de euros durante</w:t>
      </w:r>
      <w:r w:rsidR="00A75590">
        <w:rPr>
          <w:noProof w:val="0"/>
          <w:lang w:val="es-ES_tradnl"/>
        </w:rPr>
        <w:t xml:space="preserve"> </w:t>
      </w:r>
      <w:r w:rsidR="009C784B" w:rsidRPr="001E083B">
        <w:rPr>
          <w:noProof w:val="0"/>
          <w:lang w:val="es-ES_tradnl"/>
        </w:rPr>
        <w:t>los ejercicios de 2020, 2021, 2022 y 2023 se establece un recargo sobre los tipos de gravamen previstos en el artículo 30 de forma que los t</w:t>
      </w:r>
      <w:r w:rsidR="000F5FBE" w:rsidRPr="001E083B">
        <w:rPr>
          <w:noProof w:val="0"/>
          <w:lang w:val="es-ES_tradnl"/>
        </w:rPr>
        <w:t>ipos impositivos finales alcancen una oscilación entre el 1</w:t>
      </w:r>
      <w:r w:rsidR="009C784B" w:rsidRPr="001E083B">
        <w:rPr>
          <w:noProof w:val="0"/>
          <w:lang w:val="es-ES_tradnl"/>
        </w:rPr>
        <w:t>,25</w:t>
      </w:r>
      <w:r w:rsidR="00A75590">
        <w:rPr>
          <w:noProof w:val="0"/>
          <w:lang w:val="es-ES_tradnl"/>
        </w:rPr>
        <w:t xml:space="preserve"> %</w:t>
      </w:r>
      <w:r w:rsidR="000F5FBE" w:rsidRPr="001E083B">
        <w:rPr>
          <w:noProof w:val="0"/>
          <w:lang w:val="es-ES_tradnl"/>
        </w:rPr>
        <w:t xml:space="preserve"> y el 3</w:t>
      </w:r>
      <w:r w:rsidR="00A75590">
        <w:rPr>
          <w:noProof w:val="0"/>
          <w:lang w:val="es-ES_tradnl"/>
        </w:rPr>
        <w:t xml:space="preserve"> %</w:t>
      </w:r>
      <w:r w:rsidR="009C784B" w:rsidRPr="001E083B">
        <w:rPr>
          <w:noProof w:val="0"/>
          <w:lang w:val="es-ES_tradnl"/>
        </w:rPr>
        <w:t>.</w:t>
      </w:r>
    </w:p>
    <w:p w:rsidR="00794E31" w:rsidRPr="001E083B" w:rsidRDefault="003C60EA" w:rsidP="00794E31">
      <w:pPr>
        <w:pStyle w:val="ohiko1"/>
        <w:rPr>
          <w:b/>
          <w:noProof w:val="0"/>
          <w:lang w:val="es-ES_tradnl"/>
        </w:rPr>
      </w:pPr>
      <w:r>
        <w:rPr>
          <w:b/>
          <w:noProof w:val="0"/>
          <w:lang w:val="es-ES_tradnl"/>
        </w:rPr>
        <w:t xml:space="preserve">Artículo </w:t>
      </w:r>
      <w:r w:rsidR="00A75590">
        <w:rPr>
          <w:b/>
          <w:noProof w:val="0"/>
          <w:lang w:val="es-ES_tradnl"/>
        </w:rPr>
        <w:t>cuarto</w:t>
      </w:r>
      <w:r>
        <w:rPr>
          <w:b/>
          <w:noProof w:val="0"/>
          <w:lang w:val="es-ES_tradnl"/>
        </w:rPr>
        <w:t>.</w:t>
      </w:r>
      <w:r w:rsidR="00794E31" w:rsidRPr="001E083B">
        <w:rPr>
          <w:b/>
          <w:noProof w:val="0"/>
          <w:lang w:val="es-ES_tradnl"/>
        </w:rPr>
        <w:t xml:space="preserve"> Ley Foral del Impuesto sobre Sucesiones</w:t>
      </w:r>
      <w:r w:rsidR="00E46625" w:rsidRPr="001E083B">
        <w:rPr>
          <w:b/>
          <w:noProof w:val="0"/>
          <w:lang w:val="es-ES_tradnl"/>
        </w:rPr>
        <w:t xml:space="preserve"> y Donaciones</w:t>
      </w:r>
      <w:r w:rsidR="00794E31" w:rsidRPr="001E083B">
        <w:rPr>
          <w:b/>
          <w:noProof w:val="0"/>
          <w:lang w:val="es-ES_tradnl"/>
        </w:rPr>
        <w:t xml:space="preserve"> </w:t>
      </w:r>
    </w:p>
    <w:p w:rsidR="00E46625" w:rsidRPr="001E083B" w:rsidRDefault="00E46625" w:rsidP="00E46625">
      <w:pPr>
        <w:pStyle w:val="ohiko1"/>
        <w:rPr>
          <w:noProof w:val="0"/>
          <w:lang w:val="es-ES_tradnl"/>
        </w:rPr>
      </w:pPr>
      <w:r w:rsidRPr="001E083B">
        <w:rPr>
          <w:noProof w:val="0"/>
          <w:lang w:val="es-ES_tradnl"/>
        </w:rPr>
        <w:lastRenderedPageBreak/>
        <w:t>Se modifica Texto Refundido de las disposiciones del Impuesto sobre sucesiones</w:t>
      </w:r>
      <w:r w:rsidR="00A75590">
        <w:rPr>
          <w:noProof w:val="0"/>
          <w:lang w:val="es-ES_tradnl"/>
        </w:rPr>
        <w:t xml:space="preserve"> </w:t>
      </w:r>
      <w:r w:rsidRPr="001E083B">
        <w:rPr>
          <w:noProof w:val="0"/>
          <w:lang w:val="es-ES_tradnl"/>
        </w:rPr>
        <w:t>y</w:t>
      </w:r>
      <w:r w:rsidR="00A75590">
        <w:rPr>
          <w:noProof w:val="0"/>
          <w:lang w:val="es-ES_tradnl"/>
        </w:rPr>
        <w:t xml:space="preserve"> </w:t>
      </w:r>
      <w:r w:rsidRPr="001E083B">
        <w:rPr>
          <w:noProof w:val="0"/>
          <w:lang w:val="es-ES_tradnl"/>
        </w:rPr>
        <w:t xml:space="preserve">donaciones, aprobado por Decreto Foral Legislativo 250/2002, de 16 de diciembre, para añadir una nueva </w:t>
      </w:r>
      <w:r w:rsidR="003C60EA" w:rsidRPr="001E083B">
        <w:rPr>
          <w:noProof w:val="0"/>
          <w:lang w:val="es-ES_tradnl"/>
        </w:rPr>
        <w:t xml:space="preserve">disposición transitoria </w:t>
      </w:r>
      <w:r w:rsidRPr="001E083B">
        <w:rPr>
          <w:noProof w:val="0"/>
          <w:lang w:val="es-ES_tradnl"/>
        </w:rPr>
        <w:t>con la siguiente redacción:</w:t>
      </w:r>
    </w:p>
    <w:p w:rsidR="00E46625" w:rsidRPr="001E083B" w:rsidRDefault="00E46625" w:rsidP="00E46625">
      <w:pPr>
        <w:pStyle w:val="ohiko1"/>
        <w:rPr>
          <w:rStyle w:val="Fuentedeprrafopredeter1"/>
          <w:rFonts w:cs="Helvetica"/>
          <w:noProof w:val="0"/>
          <w:lang w:val="es-ES_tradnl"/>
        </w:rPr>
      </w:pPr>
      <w:r w:rsidRPr="001E083B">
        <w:rPr>
          <w:noProof w:val="0"/>
          <w:lang w:val="es-ES_tradnl"/>
        </w:rPr>
        <w:t xml:space="preserve">“Disposición </w:t>
      </w:r>
      <w:r w:rsidR="003C60EA" w:rsidRPr="001E083B">
        <w:rPr>
          <w:noProof w:val="0"/>
          <w:lang w:val="es-ES_tradnl"/>
        </w:rPr>
        <w:t>transitoria</w:t>
      </w:r>
      <w:r w:rsidR="003C60EA">
        <w:rPr>
          <w:noProof w:val="0"/>
          <w:lang w:val="es-ES_tradnl"/>
        </w:rPr>
        <w:t>.</w:t>
      </w:r>
      <w:r w:rsidRPr="001E083B">
        <w:rPr>
          <w:noProof w:val="0"/>
          <w:lang w:val="es-ES_tradnl"/>
        </w:rPr>
        <w:t xml:space="preserve"> </w:t>
      </w:r>
      <w:r w:rsidR="003C60EA" w:rsidRPr="001E083B">
        <w:rPr>
          <w:noProof w:val="0"/>
          <w:lang w:val="es-ES_tradnl"/>
        </w:rPr>
        <w:t xml:space="preserve">Con </w:t>
      </w:r>
      <w:r w:rsidRPr="001E083B">
        <w:rPr>
          <w:noProof w:val="0"/>
          <w:lang w:val="es-ES_tradnl"/>
        </w:rPr>
        <w:t>efectos a partir del 1 de enero de 2020 y</w:t>
      </w:r>
      <w:r w:rsidR="00A75590">
        <w:rPr>
          <w:noProof w:val="0"/>
          <w:lang w:val="es-ES_tradnl"/>
        </w:rPr>
        <w:t xml:space="preserve"> </w:t>
      </w:r>
      <w:r w:rsidRPr="001E083B">
        <w:rPr>
          <w:noProof w:val="0"/>
          <w:lang w:val="es-ES_tradnl"/>
        </w:rPr>
        <w:t>también para los ejercicios de 2021, 2022 y 2023</w:t>
      </w:r>
      <w:r w:rsidR="003C60EA">
        <w:rPr>
          <w:noProof w:val="0"/>
          <w:lang w:val="es-ES_tradnl"/>
        </w:rPr>
        <w:t>,</w:t>
      </w:r>
      <w:r w:rsidRPr="001E083B">
        <w:rPr>
          <w:noProof w:val="0"/>
          <w:lang w:val="es-ES_tradnl"/>
        </w:rPr>
        <w:t xml:space="preserve"> se establecerá</w:t>
      </w:r>
      <w:r w:rsidR="00A75590">
        <w:rPr>
          <w:noProof w:val="0"/>
          <w:lang w:val="es-ES_tradnl"/>
        </w:rPr>
        <w:t xml:space="preserve"> </w:t>
      </w:r>
      <w:r w:rsidRPr="001E083B">
        <w:rPr>
          <w:noProof w:val="0"/>
          <w:lang w:val="es-ES_tradnl"/>
        </w:rPr>
        <w:t xml:space="preserve">un </w:t>
      </w:r>
      <w:r w:rsidRPr="001E083B">
        <w:rPr>
          <w:rStyle w:val="Fuentedeprrafopredeter1"/>
          <w:rFonts w:cs="Helvetica"/>
          <w:noProof w:val="0"/>
          <w:lang w:val="es-ES_tradnl"/>
        </w:rPr>
        <w:t xml:space="preserve">recargo </w:t>
      </w:r>
      <w:r w:rsidRPr="001E083B">
        <w:rPr>
          <w:noProof w:val="0"/>
          <w:lang w:val="es-ES_tradnl"/>
        </w:rPr>
        <w:t>sobre el tipo de gravamen</w:t>
      </w:r>
      <w:r w:rsidR="00A75590">
        <w:rPr>
          <w:noProof w:val="0"/>
          <w:lang w:val="es-ES_tradnl"/>
        </w:rPr>
        <w:t xml:space="preserve"> </w:t>
      </w:r>
      <w:r w:rsidRPr="001E083B">
        <w:rPr>
          <w:noProof w:val="0"/>
          <w:lang w:val="es-ES_tradnl"/>
        </w:rPr>
        <w:t xml:space="preserve">regulado en el artículo 34.1 </w:t>
      </w:r>
      <w:r w:rsidRPr="001E083B">
        <w:rPr>
          <w:rStyle w:val="Fuentedeprrafopredeter1"/>
          <w:rFonts w:cs="Helvetica"/>
          <w:noProof w:val="0"/>
          <w:lang w:val="es-ES_tradnl"/>
        </w:rPr>
        <w:t>en forma de incremento de los tipos impositivos aplicables a los sujetos pasivos en los siguientes términos:</w:t>
      </w:r>
    </w:p>
    <w:p w:rsidR="000F5FBE" w:rsidRPr="001E083B" w:rsidRDefault="003C60EA" w:rsidP="000F5FBE">
      <w:pPr>
        <w:pStyle w:val="ohiko1"/>
        <w:rPr>
          <w:noProof w:val="0"/>
          <w:lang w:val="es-ES_tradnl"/>
        </w:rPr>
      </w:pPr>
      <w:r>
        <w:rPr>
          <w:rStyle w:val="Fuentedeprrafopredeter1"/>
          <w:rFonts w:cs="Helvetica"/>
          <w:noProof w:val="0"/>
          <w:lang w:val="es-ES_tradnl"/>
        </w:rPr>
        <w:t xml:space="preserve">A. </w:t>
      </w:r>
      <w:r w:rsidR="00E46625" w:rsidRPr="001E083B">
        <w:rPr>
          <w:rStyle w:val="Fuentedeprrafopredeter1"/>
          <w:rFonts w:cs="Helvetica"/>
          <w:noProof w:val="0"/>
          <w:lang w:val="es-ES_tradnl"/>
        </w:rPr>
        <w:t>Recargo en forma de incremento del tipo impositivo sobre la base liquidable general en los siguientes términos:</w:t>
      </w:r>
    </w:p>
    <w:tbl>
      <w:tblPr>
        <w:tblpPr w:leftFromText="141" w:rightFromText="141" w:vertAnchor="text" w:horzAnchor="margin" w:tblpXSpec="right" w:tblpY="130"/>
        <w:tblW w:w="9640" w:type="dxa"/>
        <w:tblLayout w:type="fixed"/>
        <w:tblCellMar>
          <w:top w:w="55" w:type="dxa"/>
          <w:left w:w="55" w:type="dxa"/>
          <w:bottom w:w="55" w:type="dxa"/>
          <w:right w:w="55" w:type="dxa"/>
        </w:tblCellMar>
        <w:tblLook w:val="0000" w:firstRow="0" w:lastRow="0" w:firstColumn="0" w:lastColumn="0" w:noHBand="0" w:noVBand="0"/>
      </w:tblPr>
      <w:tblGrid>
        <w:gridCol w:w="4819"/>
        <w:gridCol w:w="4821"/>
      </w:tblGrid>
      <w:tr w:rsidR="000F5FBE" w:rsidRPr="001E083B" w:rsidTr="008B6B40">
        <w:tc>
          <w:tcPr>
            <w:tcW w:w="4819" w:type="dxa"/>
            <w:tcBorders>
              <w:top w:val="single" w:sz="1" w:space="0" w:color="000000"/>
              <w:left w:val="single" w:sz="1" w:space="0" w:color="000000"/>
              <w:bottom w:val="single" w:sz="1" w:space="0" w:color="000000"/>
            </w:tcBorders>
            <w:shd w:val="clear" w:color="auto" w:fill="729FCF"/>
          </w:tcPr>
          <w:p w:rsidR="000F5FBE" w:rsidRPr="001E083B" w:rsidRDefault="000F5FBE" w:rsidP="008B6B40">
            <w:pPr>
              <w:pStyle w:val="Taularenedukia"/>
              <w:jc w:val="center"/>
              <w:rPr>
                <w:rFonts w:ascii="Cambria" w:hAnsi="Cambria"/>
                <w:lang w:val="es-ES_tradnl"/>
              </w:rPr>
            </w:pPr>
            <w:r w:rsidRPr="001E083B">
              <w:rPr>
                <w:rFonts w:ascii="Cambria" w:hAnsi="Cambria" w:cs="Helvetica"/>
                <w:b/>
                <w:bCs/>
                <w:sz w:val="20"/>
                <w:szCs w:val="20"/>
                <w:lang w:val="es-ES_tradnl"/>
              </w:rPr>
              <w:t xml:space="preserve">Apartado </w:t>
            </w:r>
          </w:p>
        </w:tc>
        <w:tc>
          <w:tcPr>
            <w:tcW w:w="4821" w:type="dxa"/>
            <w:tcBorders>
              <w:top w:val="single" w:sz="1" w:space="0" w:color="000000"/>
              <w:left w:val="single" w:sz="1" w:space="0" w:color="000000"/>
              <w:bottom w:val="single" w:sz="1" w:space="0" w:color="000000"/>
              <w:right w:val="single" w:sz="1" w:space="0" w:color="000000"/>
            </w:tcBorders>
            <w:shd w:val="clear" w:color="auto" w:fill="729FCF"/>
          </w:tcPr>
          <w:p w:rsidR="000F5FBE" w:rsidRPr="001E083B" w:rsidRDefault="000F5FBE" w:rsidP="008B6B40">
            <w:pPr>
              <w:pStyle w:val="Taularenedukia"/>
              <w:jc w:val="center"/>
              <w:rPr>
                <w:rFonts w:ascii="Cambria" w:hAnsi="Cambria"/>
                <w:lang w:val="es-ES_tradnl"/>
              </w:rPr>
            </w:pPr>
            <w:r w:rsidRPr="001E083B">
              <w:rPr>
                <w:rFonts w:ascii="Cambria" w:hAnsi="Cambria" w:cs="Helvetica"/>
                <w:b/>
                <w:bCs/>
                <w:sz w:val="20"/>
                <w:szCs w:val="20"/>
                <w:lang w:val="es-ES_tradnl"/>
              </w:rPr>
              <w:t>Incremento del tipo impositivo</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a).1º</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lang w:val="es-ES_tradnl"/>
              </w:rPr>
              <w:t>0,1</w:t>
            </w:r>
            <w:r w:rsidR="00A75590">
              <w:rPr>
                <w:rFonts w:ascii="Cambria" w:hAnsi="Cambria"/>
                <w:lang w:val="es-ES_tradnl"/>
              </w:rPr>
              <w:t xml:space="preserve"> %</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a).2º</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lang w:val="es-ES_tradnl"/>
              </w:rPr>
            </w:pPr>
            <w:r w:rsidRPr="001E083B">
              <w:rPr>
                <w:rFonts w:ascii="Cambria" w:hAnsi="Cambria" w:cs="Helvetica"/>
                <w:sz w:val="20"/>
                <w:szCs w:val="20"/>
                <w:lang w:val="es-ES_tradnl"/>
              </w:rPr>
              <w:t>0,1</w:t>
            </w:r>
            <w:r w:rsidR="00A75590">
              <w:rPr>
                <w:rFonts w:ascii="Cambria" w:hAnsi="Cambria" w:cs="Helvetica"/>
                <w:sz w:val="20"/>
                <w:szCs w:val="20"/>
                <w:lang w:val="es-ES_tradnl"/>
              </w:rPr>
              <w:t xml:space="preserve"> %</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r w:rsidRPr="001E083B">
              <w:rPr>
                <w:rFonts w:ascii="Cambria" w:hAnsi="Cambria" w:cs="Helvetica"/>
                <w:sz w:val="20"/>
                <w:szCs w:val="20"/>
                <w:lang w:val="es-ES_tradnl"/>
              </w:rPr>
              <w:t>a).3º</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r w:rsidRPr="001E083B">
              <w:rPr>
                <w:rFonts w:ascii="Cambria" w:hAnsi="Cambria" w:cs="Helvetica"/>
                <w:sz w:val="20"/>
                <w:szCs w:val="20"/>
                <w:lang w:val="es-ES_tradnl"/>
              </w:rPr>
              <w:t>1</w:t>
            </w:r>
            <w:r w:rsidR="00A75590">
              <w:rPr>
                <w:rFonts w:ascii="Cambria" w:hAnsi="Cambria" w:cs="Helvetica"/>
                <w:sz w:val="20"/>
                <w:szCs w:val="20"/>
                <w:lang w:val="es-ES_tradnl"/>
              </w:rPr>
              <w:t xml:space="preserve"> %</w:t>
            </w:r>
            <w:r w:rsidRPr="001E083B">
              <w:rPr>
                <w:rFonts w:ascii="Cambria" w:hAnsi="Cambria" w:cs="Helvetica"/>
                <w:sz w:val="20"/>
                <w:szCs w:val="20"/>
                <w:lang w:val="es-ES_tradnl"/>
              </w:rPr>
              <w:t xml:space="preserve"> en cada tramo de la</w:t>
            </w:r>
            <w:r w:rsidR="00A75590">
              <w:rPr>
                <w:rFonts w:ascii="Cambria" w:hAnsi="Cambria" w:cs="Helvetica"/>
                <w:sz w:val="20"/>
                <w:szCs w:val="20"/>
                <w:lang w:val="es-ES_tradnl"/>
              </w:rPr>
              <w:t xml:space="preserve"> </w:t>
            </w:r>
            <w:r w:rsidRPr="001E083B">
              <w:rPr>
                <w:rFonts w:ascii="Cambria" w:hAnsi="Cambria" w:cs="Helvetica"/>
                <w:sz w:val="20"/>
                <w:szCs w:val="20"/>
                <w:lang w:val="es-ES_tradnl"/>
              </w:rPr>
              <w:t>Base Liquidable</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r w:rsidRPr="001E083B">
              <w:rPr>
                <w:rFonts w:ascii="Cambria" w:hAnsi="Cambria" w:cs="Helvetica"/>
                <w:sz w:val="20"/>
                <w:szCs w:val="20"/>
                <w:lang w:val="es-ES_tradnl"/>
              </w:rPr>
              <w:t>a).4º</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r w:rsidRPr="001E083B">
              <w:rPr>
                <w:rFonts w:ascii="Cambria" w:hAnsi="Cambria" w:cs="Helvetica"/>
                <w:sz w:val="20"/>
                <w:szCs w:val="20"/>
                <w:lang w:val="es-ES_tradnl"/>
              </w:rPr>
              <w:t>0,5</w:t>
            </w:r>
            <w:r w:rsidR="00A75590">
              <w:rPr>
                <w:rFonts w:ascii="Cambria" w:hAnsi="Cambria" w:cs="Helvetica"/>
                <w:sz w:val="20"/>
                <w:szCs w:val="20"/>
                <w:lang w:val="es-ES_tradnl"/>
              </w:rPr>
              <w:t xml:space="preserve"> % </w:t>
            </w:r>
            <w:r w:rsidRPr="001E083B">
              <w:rPr>
                <w:rFonts w:ascii="Cambria" w:hAnsi="Cambria" w:cs="Helvetica"/>
                <w:sz w:val="20"/>
                <w:szCs w:val="20"/>
                <w:lang w:val="es-ES_tradnl"/>
              </w:rPr>
              <w:t>en cada tramo de la</w:t>
            </w:r>
            <w:r w:rsidR="00A75590">
              <w:rPr>
                <w:rFonts w:ascii="Cambria" w:hAnsi="Cambria" w:cs="Helvetica"/>
                <w:sz w:val="20"/>
                <w:szCs w:val="20"/>
                <w:lang w:val="es-ES_tradnl"/>
              </w:rPr>
              <w:t xml:space="preserve"> </w:t>
            </w:r>
            <w:r w:rsidRPr="001E083B">
              <w:rPr>
                <w:rFonts w:ascii="Cambria" w:hAnsi="Cambria" w:cs="Helvetica"/>
                <w:sz w:val="20"/>
                <w:szCs w:val="20"/>
                <w:lang w:val="es-ES_tradnl"/>
              </w:rPr>
              <w:t>Base Liquidable</w:t>
            </w:r>
          </w:p>
        </w:tc>
      </w:tr>
      <w:tr w:rsidR="000F5FBE" w:rsidRPr="001E083B" w:rsidTr="008B6B40">
        <w:tc>
          <w:tcPr>
            <w:tcW w:w="4819" w:type="dxa"/>
            <w:tcBorders>
              <w:left w:val="single" w:sz="1" w:space="0" w:color="000000"/>
              <w:bottom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r w:rsidRPr="001E083B">
              <w:rPr>
                <w:rFonts w:ascii="Cambria" w:hAnsi="Cambria" w:cs="Helvetica"/>
                <w:sz w:val="20"/>
                <w:szCs w:val="20"/>
                <w:lang w:val="es-ES_tradnl"/>
              </w:rPr>
              <w:t>c),</w:t>
            </w:r>
            <w:r w:rsidR="00C64A24">
              <w:rPr>
                <w:rFonts w:ascii="Cambria" w:hAnsi="Cambria" w:cs="Helvetica"/>
                <w:sz w:val="20"/>
                <w:szCs w:val="20"/>
                <w:lang w:val="es-ES_tradnl"/>
              </w:rPr>
              <w:t xml:space="preserve"> </w:t>
            </w:r>
            <w:r w:rsidRPr="001E083B">
              <w:rPr>
                <w:rFonts w:ascii="Cambria" w:hAnsi="Cambria" w:cs="Helvetica"/>
                <w:sz w:val="20"/>
                <w:szCs w:val="20"/>
                <w:lang w:val="es-ES_tradnl"/>
              </w:rPr>
              <w:t>d),</w:t>
            </w:r>
            <w:r w:rsidR="00C64A24">
              <w:rPr>
                <w:rFonts w:ascii="Cambria" w:hAnsi="Cambria" w:cs="Helvetica"/>
                <w:sz w:val="20"/>
                <w:szCs w:val="20"/>
                <w:lang w:val="es-ES_tradnl"/>
              </w:rPr>
              <w:t xml:space="preserve"> </w:t>
            </w:r>
            <w:r w:rsidRPr="001E083B">
              <w:rPr>
                <w:rFonts w:ascii="Cambria" w:hAnsi="Cambria" w:cs="Helvetica"/>
                <w:sz w:val="20"/>
                <w:szCs w:val="20"/>
                <w:lang w:val="es-ES_tradnl"/>
              </w:rPr>
              <w:t>e),</w:t>
            </w:r>
            <w:r w:rsidR="00C64A24">
              <w:rPr>
                <w:rFonts w:ascii="Cambria" w:hAnsi="Cambria" w:cs="Helvetica"/>
                <w:sz w:val="20"/>
                <w:szCs w:val="20"/>
                <w:lang w:val="es-ES_tradnl"/>
              </w:rPr>
              <w:t xml:space="preserve"> </w:t>
            </w:r>
            <w:r w:rsidR="0037142D">
              <w:rPr>
                <w:rFonts w:ascii="Cambria" w:hAnsi="Cambria" w:cs="Helvetica"/>
                <w:sz w:val="20"/>
                <w:szCs w:val="20"/>
                <w:lang w:val="es-ES_tradnl"/>
              </w:rPr>
              <w:t>f)</w:t>
            </w:r>
            <w:r w:rsidRPr="001E083B">
              <w:rPr>
                <w:rFonts w:ascii="Cambria" w:hAnsi="Cambria" w:cs="Helvetica"/>
                <w:sz w:val="20"/>
                <w:szCs w:val="20"/>
                <w:lang w:val="es-ES_tradnl"/>
              </w:rPr>
              <w:t xml:space="preserve"> y g)</w:t>
            </w:r>
          </w:p>
        </w:tc>
        <w:tc>
          <w:tcPr>
            <w:tcW w:w="4821" w:type="dxa"/>
            <w:tcBorders>
              <w:left w:val="single" w:sz="1" w:space="0" w:color="000000"/>
              <w:bottom w:val="single" w:sz="1" w:space="0" w:color="000000"/>
              <w:right w:val="single" w:sz="1" w:space="0" w:color="000000"/>
            </w:tcBorders>
            <w:shd w:val="clear" w:color="auto" w:fill="auto"/>
          </w:tcPr>
          <w:p w:rsidR="000F5FBE" w:rsidRPr="001E083B" w:rsidRDefault="000F5FBE" w:rsidP="008B6B40">
            <w:pPr>
              <w:pStyle w:val="Taularenedukia"/>
              <w:jc w:val="center"/>
              <w:rPr>
                <w:rFonts w:ascii="Cambria" w:hAnsi="Cambria" w:cs="Helvetica"/>
                <w:sz w:val="20"/>
                <w:szCs w:val="20"/>
                <w:lang w:val="es-ES_tradnl"/>
              </w:rPr>
            </w:pPr>
            <w:r w:rsidRPr="001E083B">
              <w:rPr>
                <w:rFonts w:ascii="Cambria" w:hAnsi="Cambria" w:cs="Helvetica"/>
                <w:sz w:val="20"/>
                <w:szCs w:val="20"/>
                <w:lang w:val="es-ES_tradnl"/>
              </w:rPr>
              <w:t>1</w:t>
            </w:r>
            <w:r w:rsidR="00A75590">
              <w:rPr>
                <w:rFonts w:ascii="Cambria" w:hAnsi="Cambria" w:cs="Helvetica"/>
                <w:sz w:val="20"/>
                <w:szCs w:val="20"/>
                <w:lang w:val="es-ES_tradnl"/>
              </w:rPr>
              <w:t xml:space="preserve"> %</w:t>
            </w:r>
            <w:r w:rsidRPr="001E083B">
              <w:rPr>
                <w:rFonts w:ascii="Cambria" w:hAnsi="Cambria" w:cs="Helvetica"/>
                <w:sz w:val="20"/>
                <w:szCs w:val="20"/>
                <w:lang w:val="es-ES_tradnl"/>
              </w:rPr>
              <w:t xml:space="preserve"> en cada tramo de la</w:t>
            </w:r>
            <w:r w:rsidR="00A75590">
              <w:rPr>
                <w:rFonts w:ascii="Cambria" w:hAnsi="Cambria" w:cs="Helvetica"/>
                <w:sz w:val="20"/>
                <w:szCs w:val="20"/>
                <w:lang w:val="es-ES_tradnl"/>
              </w:rPr>
              <w:t xml:space="preserve"> </w:t>
            </w:r>
            <w:r w:rsidRPr="001E083B">
              <w:rPr>
                <w:rFonts w:ascii="Cambria" w:hAnsi="Cambria" w:cs="Helvetica"/>
                <w:sz w:val="20"/>
                <w:szCs w:val="20"/>
                <w:lang w:val="es-ES_tradnl"/>
              </w:rPr>
              <w:t>Base Liquidable</w:t>
            </w:r>
          </w:p>
        </w:tc>
      </w:tr>
    </w:tbl>
    <w:p w:rsidR="000F5FBE" w:rsidRPr="001E083B" w:rsidRDefault="000F5FBE" w:rsidP="000F5FBE">
      <w:pPr>
        <w:rPr>
          <w:rFonts w:ascii="Cambria" w:hAnsi="Cambria"/>
          <w:lang w:val="es-ES_tradnl"/>
        </w:rPr>
      </w:pPr>
    </w:p>
    <w:p w:rsidR="00E46625" w:rsidRPr="001E083B" w:rsidRDefault="00C64A24" w:rsidP="0042206B">
      <w:pPr>
        <w:pStyle w:val="ohiko1"/>
        <w:rPr>
          <w:noProof w:val="0"/>
          <w:lang w:val="es-ES_tradnl"/>
        </w:rPr>
      </w:pPr>
      <w:r w:rsidRPr="001E083B">
        <w:rPr>
          <w:b/>
          <w:noProof w:val="0"/>
          <w:lang w:val="es-ES_tradnl"/>
        </w:rPr>
        <w:t>Disposición final primera</w:t>
      </w:r>
      <w:r w:rsidR="00E46625" w:rsidRPr="001E083B">
        <w:rPr>
          <w:noProof w:val="0"/>
          <w:lang w:val="es-ES_tradnl"/>
        </w:rPr>
        <w:t xml:space="preserve">. Habilitación normativa. </w:t>
      </w:r>
    </w:p>
    <w:p w:rsidR="00E46625" w:rsidRPr="001E083B" w:rsidRDefault="00E46625" w:rsidP="0042206B">
      <w:pPr>
        <w:pStyle w:val="ohiko1"/>
        <w:rPr>
          <w:noProof w:val="0"/>
          <w:lang w:val="es-ES_tradnl"/>
        </w:rPr>
      </w:pPr>
      <w:r w:rsidRPr="001E083B">
        <w:rPr>
          <w:noProof w:val="0"/>
          <w:lang w:val="es-ES_tradnl"/>
        </w:rPr>
        <w:t xml:space="preserve">El Gobierno de Navarra dictará cuantas disposiciones sean necesarias para el desarrollo y aplicación de esta </w:t>
      </w:r>
      <w:r w:rsidR="00C64A24" w:rsidRPr="001E083B">
        <w:rPr>
          <w:noProof w:val="0"/>
          <w:lang w:val="es-ES_tradnl"/>
        </w:rPr>
        <w:t>ley foral.</w:t>
      </w:r>
    </w:p>
    <w:p w:rsidR="00E46625" w:rsidRPr="001E083B" w:rsidRDefault="00C64A24" w:rsidP="0042206B">
      <w:pPr>
        <w:pStyle w:val="ohiko1"/>
        <w:rPr>
          <w:noProof w:val="0"/>
          <w:lang w:val="es-ES_tradnl"/>
        </w:rPr>
      </w:pPr>
      <w:r w:rsidRPr="001E083B">
        <w:rPr>
          <w:b/>
          <w:noProof w:val="0"/>
          <w:lang w:val="es-ES_tradnl"/>
        </w:rPr>
        <w:t>Disposición final segunda</w:t>
      </w:r>
      <w:r w:rsidR="00E46625" w:rsidRPr="001E083B">
        <w:rPr>
          <w:b/>
          <w:noProof w:val="0"/>
          <w:lang w:val="es-ES_tradnl"/>
        </w:rPr>
        <w:t>.</w:t>
      </w:r>
      <w:r w:rsidR="00E46625" w:rsidRPr="001E083B">
        <w:rPr>
          <w:noProof w:val="0"/>
          <w:lang w:val="es-ES_tradnl"/>
        </w:rPr>
        <w:t xml:space="preserve"> Entrada en vigor. </w:t>
      </w:r>
    </w:p>
    <w:p w:rsidR="001E083B" w:rsidRPr="001E083B" w:rsidRDefault="00E46625" w:rsidP="0042206B">
      <w:pPr>
        <w:pStyle w:val="ohiko1"/>
        <w:rPr>
          <w:noProof w:val="0"/>
          <w:lang w:val="es-ES_tradnl"/>
        </w:rPr>
      </w:pPr>
      <w:r w:rsidRPr="001E083B">
        <w:rPr>
          <w:noProof w:val="0"/>
          <w:lang w:val="es-ES_tradnl"/>
        </w:rPr>
        <w:t xml:space="preserve">La presente </w:t>
      </w:r>
      <w:r w:rsidR="00C64A24" w:rsidRPr="001E083B">
        <w:rPr>
          <w:noProof w:val="0"/>
          <w:lang w:val="es-ES_tradnl"/>
        </w:rPr>
        <w:t xml:space="preserve">ley foral </w:t>
      </w:r>
      <w:r w:rsidRPr="001E083B">
        <w:rPr>
          <w:noProof w:val="0"/>
          <w:lang w:val="es-ES_tradnl"/>
        </w:rPr>
        <w:t>entrará en vigor el día siguiente al de su publicación en el Boletín Oficial de Navarra, con los efectos en ella previstos.</w:t>
      </w:r>
    </w:p>
    <w:sectPr w:rsidR="001E083B" w:rsidRPr="001E08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0EA" w:rsidRDefault="003C60EA" w:rsidP="007F57EC">
      <w:pPr>
        <w:spacing w:after="0" w:line="240" w:lineRule="auto"/>
      </w:pPr>
      <w:r>
        <w:separator/>
      </w:r>
    </w:p>
  </w:endnote>
  <w:endnote w:type="continuationSeparator" w:id="0">
    <w:p w:rsidR="003C60EA" w:rsidRDefault="003C60EA" w:rsidP="007F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0"/>
    <w:family w:val="roman"/>
    <w:pitch w:val="variable"/>
    <w:sig w:usb0="00000000" w:usb1="500078FF" w:usb2="00000021" w:usb3="00000000" w:csb0="000001BF" w:csb1="00000000"/>
  </w:font>
  <w:font w:name="Noto Sans CJK SC Regular">
    <w:altName w:val="Times New Roman"/>
    <w:charset w:val="01"/>
    <w:family w:val="auto"/>
    <w:pitch w:val="variable"/>
  </w:font>
  <w:font w:name="Free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0EA" w:rsidRDefault="003C60EA" w:rsidP="007F57EC">
      <w:pPr>
        <w:spacing w:after="0" w:line="240" w:lineRule="auto"/>
      </w:pPr>
      <w:r>
        <w:separator/>
      </w:r>
    </w:p>
  </w:footnote>
  <w:footnote w:type="continuationSeparator" w:id="0">
    <w:p w:rsidR="003C60EA" w:rsidRDefault="003C60EA" w:rsidP="007F5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BE"/>
    <w:rsid w:val="000F5FBE"/>
    <w:rsid w:val="001E083B"/>
    <w:rsid w:val="0037115B"/>
    <w:rsid w:val="0037142D"/>
    <w:rsid w:val="003A5AF1"/>
    <w:rsid w:val="003C60EA"/>
    <w:rsid w:val="0042206B"/>
    <w:rsid w:val="00794E31"/>
    <w:rsid w:val="007F57EC"/>
    <w:rsid w:val="00843EC5"/>
    <w:rsid w:val="00850C80"/>
    <w:rsid w:val="008B6B40"/>
    <w:rsid w:val="008C703A"/>
    <w:rsid w:val="008F24E0"/>
    <w:rsid w:val="00906142"/>
    <w:rsid w:val="009368E8"/>
    <w:rsid w:val="00982F23"/>
    <w:rsid w:val="009858F8"/>
    <w:rsid w:val="009C784B"/>
    <w:rsid w:val="009D579A"/>
    <w:rsid w:val="00A02616"/>
    <w:rsid w:val="00A75590"/>
    <w:rsid w:val="00A91606"/>
    <w:rsid w:val="00C64A24"/>
    <w:rsid w:val="00E46625"/>
    <w:rsid w:val="00F72F0E"/>
    <w:rsid w:val="00FD6D4C"/>
    <w:rsid w:val="00FF4A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BE"/>
    <w:pPr>
      <w:spacing w:after="180" w:line="336" w:lineRule="auto"/>
    </w:pPr>
    <w:rPr>
      <w:color w:val="404040"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F5FBE"/>
  </w:style>
  <w:style w:type="paragraph" w:customStyle="1" w:styleId="Taularenedukia">
    <w:name w:val="Taularen edukia"/>
    <w:basedOn w:val="Normal"/>
    <w:rsid w:val="000F5FBE"/>
    <w:pPr>
      <w:suppressLineNumbers/>
      <w:suppressAutoHyphens/>
      <w:spacing w:after="0" w:line="240" w:lineRule="auto"/>
    </w:pPr>
    <w:rPr>
      <w:rFonts w:ascii="Liberation Serif" w:eastAsia="Noto Sans CJK SC Regular" w:hAnsi="Liberation Serif" w:cs="FreeSans"/>
      <w:color w:val="auto"/>
      <w:kern w:val="1"/>
      <w:sz w:val="24"/>
      <w:szCs w:val="24"/>
      <w:lang w:val="eu-ES" w:eastAsia="zh-CN" w:bidi="hi-IN"/>
    </w:rPr>
  </w:style>
  <w:style w:type="paragraph" w:customStyle="1" w:styleId="ohiko1">
    <w:name w:val="ohiko 1"/>
    <w:basedOn w:val="Normal"/>
    <w:link w:val="ohiko1Car"/>
    <w:qFormat/>
    <w:rsid w:val="000F5FBE"/>
    <w:pPr>
      <w:spacing w:before="240" w:after="240" w:line="360" w:lineRule="auto"/>
      <w:ind w:firstLine="851"/>
      <w:jc w:val="both"/>
    </w:pPr>
    <w:rPr>
      <w:rFonts w:ascii="Cambria" w:hAnsi="Cambria"/>
      <w:noProof/>
      <w:sz w:val="24"/>
      <w:lang w:val="eu-ES"/>
    </w:rPr>
  </w:style>
  <w:style w:type="character" w:customStyle="1" w:styleId="ohiko1Car">
    <w:name w:val="ohiko 1 Car"/>
    <w:basedOn w:val="Fuentedeprrafopredeter"/>
    <w:link w:val="ohiko1"/>
    <w:rsid w:val="000F5FBE"/>
    <w:rPr>
      <w:rFonts w:ascii="Cambria" w:hAnsi="Cambria"/>
      <w:noProof/>
      <w:color w:val="404040" w:themeColor="text1" w:themeTint="BF"/>
      <w:sz w:val="24"/>
      <w:szCs w:val="20"/>
      <w:lang w:val="eu-ES"/>
    </w:rPr>
  </w:style>
  <w:style w:type="paragraph" w:styleId="Subttulo">
    <w:name w:val="Subtitle"/>
    <w:basedOn w:val="Normal"/>
    <w:next w:val="Normal"/>
    <w:link w:val="SubttuloCar"/>
    <w:uiPriority w:val="3"/>
    <w:unhideWhenUsed/>
    <w:qFormat/>
    <w:rsid w:val="0037115B"/>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SubttuloCar">
    <w:name w:val="Subtítulo Car"/>
    <w:basedOn w:val="Fuentedeprrafopredeter"/>
    <w:link w:val="Subttulo"/>
    <w:uiPriority w:val="3"/>
    <w:rsid w:val="0037115B"/>
    <w:rPr>
      <w:rFonts w:asciiTheme="majorHAnsi" w:eastAsiaTheme="majorEastAsia" w:hAnsiTheme="majorHAnsi" w:cstheme="majorBidi"/>
      <w:b/>
      <w:bCs/>
      <w:caps/>
      <w:color w:val="000000" w:themeColor="text1"/>
      <w:kern w:val="20"/>
      <w:sz w:val="60"/>
      <w:szCs w:val="20"/>
      <w:lang w:val="en-US"/>
    </w:rPr>
  </w:style>
  <w:style w:type="character" w:customStyle="1" w:styleId="ANORMALCar">
    <w:name w:val="A.NORMAL Car"/>
    <w:link w:val="ANORMAL"/>
    <w:locked/>
    <w:rsid w:val="003A5AF1"/>
    <w:rPr>
      <w:rFonts w:ascii="Arial" w:hAnsi="Arial" w:cs="Arial"/>
      <w:sz w:val="17"/>
    </w:rPr>
  </w:style>
  <w:style w:type="paragraph" w:customStyle="1" w:styleId="ANORMAL">
    <w:name w:val="A.NORMAL"/>
    <w:link w:val="ANORMALCar"/>
    <w:rsid w:val="003A5AF1"/>
    <w:pPr>
      <w:widowControl w:val="0"/>
      <w:overflowPunct w:val="0"/>
      <w:autoSpaceDE w:val="0"/>
      <w:autoSpaceDN w:val="0"/>
      <w:adjustRightInd w:val="0"/>
      <w:spacing w:after="0" w:line="240" w:lineRule="auto"/>
      <w:jc w:val="both"/>
    </w:pPr>
    <w:rPr>
      <w:rFonts w:ascii="Arial" w:hAnsi="Arial" w:cs="Arial"/>
      <w:sz w:val="17"/>
    </w:rPr>
  </w:style>
  <w:style w:type="paragraph" w:styleId="Textonotapie">
    <w:name w:val="footnote text"/>
    <w:basedOn w:val="Normal"/>
    <w:link w:val="TextonotapieCar"/>
    <w:semiHidden/>
    <w:unhideWhenUsed/>
    <w:rsid w:val="007F57EC"/>
    <w:pPr>
      <w:widowControl w:val="0"/>
      <w:overflowPunct w:val="0"/>
      <w:autoSpaceDE w:val="0"/>
      <w:autoSpaceDN w:val="0"/>
      <w:adjustRightInd w:val="0"/>
      <w:spacing w:after="0" w:line="240" w:lineRule="auto"/>
      <w:jc w:val="both"/>
    </w:pPr>
    <w:rPr>
      <w:rFonts w:ascii="Arial" w:eastAsia="Times New Roman" w:hAnsi="Arial" w:cs="Times New Roman"/>
      <w:color w:val="auto"/>
      <w:lang w:val="es-ES_tradnl" w:eastAsia="es-ES"/>
    </w:rPr>
  </w:style>
  <w:style w:type="character" w:customStyle="1" w:styleId="TextonotapieCar">
    <w:name w:val="Texto nota pie Car"/>
    <w:basedOn w:val="Fuentedeprrafopredeter"/>
    <w:link w:val="Textonotapie"/>
    <w:semiHidden/>
    <w:rsid w:val="007F57EC"/>
    <w:rPr>
      <w:rFonts w:ascii="Arial" w:eastAsia="Times New Roman" w:hAnsi="Arial" w:cs="Times New Roman"/>
      <w:sz w:val="20"/>
      <w:szCs w:val="20"/>
      <w:lang w:val="es-ES_tradnl" w:eastAsia="es-ES"/>
    </w:rPr>
  </w:style>
  <w:style w:type="character" w:customStyle="1" w:styleId="ANUEVOCar">
    <w:name w:val="A.NUEVO Car"/>
    <w:link w:val="ANUEVO"/>
    <w:locked/>
    <w:rsid w:val="007F57EC"/>
    <w:rPr>
      <w:rFonts w:ascii="Arial" w:hAnsi="Arial" w:cs="Arial"/>
      <w:i/>
      <w:color w:val="0000FF"/>
      <w:sz w:val="17"/>
    </w:rPr>
  </w:style>
  <w:style w:type="paragraph" w:customStyle="1" w:styleId="ANUEVO">
    <w:name w:val="A.NUEVO"/>
    <w:basedOn w:val="ANORMAL"/>
    <w:link w:val="ANUEVOCar"/>
    <w:rsid w:val="007F57EC"/>
    <w:rPr>
      <w:i/>
      <w:color w:val="0000FF"/>
    </w:rPr>
  </w:style>
  <w:style w:type="character" w:customStyle="1" w:styleId="normativanuevaCar">
    <w:name w:val="normativa nueva Car"/>
    <w:link w:val="normativanueva"/>
    <w:locked/>
    <w:rsid w:val="007F57EC"/>
    <w:rPr>
      <w:rFonts w:ascii="Arial" w:hAnsi="Arial" w:cs="Arial"/>
      <w:b/>
      <w:color w:val="0000FF"/>
      <w:sz w:val="17"/>
      <w:lang w:val="es-ES_tradnl"/>
    </w:rPr>
  </w:style>
  <w:style w:type="paragraph" w:customStyle="1" w:styleId="normativanueva">
    <w:name w:val="normativa nueva"/>
    <w:basedOn w:val="ANUEVO"/>
    <w:link w:val="normativanuevaCar"/>
    <w:qFormat/>
    <w:rsid w:val="007F57EC"/>
    <w:rPr>
      <w:b/>
      <w:i w:val="0"/>
      <w:lang w:val="es-ES_tradnl"/>
    </w:rPr>
  </w:style>
  <w:style w:type="character" w:styleId="Refdenotaalpie">
    <w:name w:val="footnote reference"/>
    <w:semiHidden/>
    <w:unhideWhenUsed/>
    <w:rsid w:val="007F57EC"/>
    <w:rPr>
      <w:sz w:val="20"/>
      <w:vertAlign w:val="superscript"/>
    </w:rPr>
  </w:style>
  <w:style w:type="paragraph" w:styleId="Textodeglobo">
    <w:name w:val="Balloon Text"/>
    <w:basedOn w:val="Normal"/>
    <w:link w:val="TextodegloboCar"/>
    <w:uiPriority w:val="99"/>
    <w:semiHidden/>
    <w:unhideWhenUsed/>
    <w:rsid w:val="00F72F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F0E"/>
    <w:rPr>
      <w:rFonts w:ascii="Tahoma" w:hAnsi="Tahoma" w:cs="Tahoma"/>
      <w:color w:val="404040" w:themeColor="text1" w:themeTint="BF"/>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BE"/>
    <w:pPr>
      <w:spacing w:after="180" w:line="336" w:lineRule="auto"/>
    </w:pPr>
    <w:rPr>
      <w:color w:val="404040"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F5FBE"/>
  </w:style>
  <w:style w:type="paragraph" w:customStyle="1" w:styleId="Taularenedukia">
    <w:name w:val="Taularen edukia"/>
    <w:basedOn w:val="Normal"/>
    <w:rsid w:val="000F5FBE"/>
    <w:pPr>
      <w:suppressLineNumbers/>
      <w:suppressAutoHyphens/>
      <w:spacing w:after="0" w:line="240" w:lineRule="auto"/>
    </w:pPr>
    <w:rPr>
      <w:rFonts w:ascii="Liberation Serif" w:eastAsia="Noto Sans CJK SC Regular" w:hAnsi="Liberation Serif" w:cs="FreeSans"/>
      <w:color w:val="auto"/>
      <w:kern w:val="1"/>
      <w:sz w:val="24"/>
      <w:szCs w:val="24"/>
      <w:lang w:val="eu-ES" w:eastAsia="zh-CN" w:bidi="hi-IN"/>
    </w:rPr>
  </w:style>
  <w:style w:type="paragraph" w:customStyle="1" w:styleId="ohiko1">
    <w:name w:val="ohiko 1"/>
    <w:basedOn w:val="Normal"/>
    <w:link w:val="ohiko1Car"/>
    <w:qFormat/>
    <w:rsid w:val="000F5FBE"/>
    <w:pPr>
      <w:spacing w:before="240" w:after="240" w:line="360" w:lineRule="auto"/>
      <w:ind w:firstLine="851"/>
      <w:jc w:val="both"/>
    </w:pPr>
    <w:rPr>
      <w:rFonts w:ascii="Cambria" w:hAnsi="Cambria"/>
      <w:noProof/>
      <w:sz w:val="24"/>
      <w:lang w:val="eu-ES"/>
    </w:rPr>
  </w:style>
  <w:style w:type="character" w:customStyle="1" w:styleId="ohiko1Car">
    <w:name w:val="ohiko 1 Car"/>
    <w:basedOn w:val="Fuentedeprrafopredeter"/>
    <w:link w:val="ohiko1"/>
    <w:rsid w:val="000F5FBE"/>
    <w:rPr>
      <w:rFonts w:ascii="Cambria" w:hAnsi="Cambria"/>
      <w:noProof/>
      <w:color w:val="404040" w:themeColor="text1" w:themeTint="BF"/>
      <w:sz w:val="24"/>
      <w:szCs w:val="20"/>
      <w:lang w:val="eu-ES"/>
    </w:rPr>
  </w:style>
  <w:style w:type="paragraph" w:styleId="Subttulo">
    <w:name w:val="Subtitle"/>
    <w:basedOn w:val="Normal"/>
    <w:next w:val="Normal"/>
    <w:link w:val="SubttuloCar"/>
    <w:uiPriority w:val="3"/>
    <w:unhideWhenUsed/>
    <w:qFormat/>
    <w:rsid w:val="0037115B"/>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SubttuloCar">
    <w:name w:val="Subtítulo Car"/>
    <w:basedOn w:val="Fuentedeprrafopredeter"/>
    <w:link w:val="Subttulo"/>
    <w:uiPriority w:val="3"/>
    <w:rsid w:val="0037115B"/>
    <w:rPr>
      <w:rFonts w:asciiTheme="majorHAnsi" w:eastAsiaTheme="majorEastAsia" w:hAnsiTheme="majorHAnsi" w:cstheme="majorBidi"/>
      <w:b/>
      <w:bCs/>
      <w:caps/>
      <w:color w:val="000000" w:themeColor="text1"/>
      <w:kern w:val="20"/>
      <w:sz w:val="60"/>
      <w:szCs w:val="20"/>
      <w:lang w:val="en-US"/>
    </w:rPr>
  </w:style>
  <w:style w:type="character" w:customStyle="1" w:styleId="ANORMALCar">
    <w:name w:val="A.NORMAL Car"/>
    <w:link w:val="ANORMAL"/>
    <w:locked/>
    <w:rsid w:val="003A5AF1"/>
    <w:rPr>
      <w:rFonts w:ascii="Arial" w:hAnsi="Arial" w:cs="Arial"/>
      <w:sz w:val="17"/>
    </w:rPr>
  </w:style>
  <w:style w:type="paragraph" w:customStyle="1" w:styleId="ANORMAL">
    <w:name w:val="A.NORMAL"/>
    <w:link w:val="ANORMALCar"/>
    <w:rsid w:val="003A5AF1"/>
    <w:pPr>
      <w:widowControl w:val="0"/>
      <w:overflowPunct w:val="0"/>
      <w:autoSpaceDE w:val="0"/>
      <w:autoSpaceDN w:val="0"/>
      <w:adjustRightInd w:val="0"/>
      <w:spacing w:after="0" w:line="240" w:lineRule="auto"/>
      <w:jc w:val="both"/>
    </w:pPr>
    <w:rPr>
      <w:rFonts w:ascii="Arial" w:hAnsi="Arial" w:cs="Arial"/>
      <w:sz w:val="17"/>
    </w:rPr>
  </w:style>
  <w:style w:type="paragraph" w:styleId="Textonotapie">
    <w:name w:val="footnote text"/>
    <w:basedOn w:val="Normal"/>
    <w:link w:val="TextonotapieCar"/>
    <w:semiHidden/>
    <w:unhideWhenUsed/>
    <w:rsid w:val="007F57EC"/>
    <w:pPr>
      <w:widowControl w:val="0"/>
      <w:overflowPunct w:val="0"/>
      <w:autoSpaceDE w:val="0"/>
      <w:autoSpaceDN w:val="0"/>
      <w:adjustRightInd w:val="0"/>
      <w:spacing w:after="0" w:line="240" w:lineRule="auto"/>
      <w:jc w:val="both"/>
    </w:pPr>
    <w:rPr>
      <w:rFonts w:ascii="Arial" w:eastAsia="Times New Roman" w:hAnsi="Arial" w:cs="Times New Roman"/>
      <w:color w:val="auto"/>
      <w:lang w:val="es-ES_tradnl" w:eastAsia="es-ES"/>
    </w:rPr>
  </w:style>
  <w:style w:type="character" w:customStyle="1" w:styleId="TextonotapieCar">
    <w:name w:val="Texto nota pie Car"/>
    <w:basedOn w:val="Fuentedeprrafopredeter"/>
    <w:link w:val="Textonotapie"/>
    <w:semiHidden/>
    <w:rsid w:val="007F57EC"/>
    <w:rPr>
      <w:rFonts w:ascii="Arial" w:eastAsia="Times New Roman" w:hAnsi="Arial" w:cs="Times New Roman"/>
      <w:sz w:val="20"/>
      <w:szCs w:val="20"/>
      <w:lang w:val="es-ES_tradnl" w:eastAsia="es-ES"/>
    </w:rPr>
  </w:style>
  <w:style w:type="character" w:customStyle="1" w:styleId="ANUEVOCar">
    <w:name w:val="A.NUEVO Car"/>
    <w:link w:val="ANUEVO"/>
    <w:locked/>
    <w:rsid w:val="007F57EC"/>
    <w:rPr>
      <w:rFonts w:ascii="Arial" w:hAnsi="Arial" w:cs="Arial"/>
      <w:i/>
      <w:color w:val="0000FF"/>
      <w:sz w:val="17"/>
    </w:rPr>
  </w:style>
  <w:style w:type="paragraph" w:customStyle="1" w:styleId="ANUEVO">
    <w:name w:val="A.NUEVO"/>
    <w:basedOn w:val="ANORMAL"/>
    <w:link w:val="ANUEVOCar"/>
    <w:rsid w:val="007F57EC"/>
    <w:rPr>
      <w:i/>
      <w:color w:val="0000FF"/>
    </w:rPr>
  </w:style>
  <w:style w:type="character" w:customStyle="1" w:styleId="normativanuevaCar">
    <w:name w:val="normativa nueva Car"/>
    <w:link w:val="normativanueva"/>
    <w:locked/>
    <w:rsid w:val="007F57EC"/>
    <w:rPr>
      <w:rFonts w:ascii="Arial" w:hAnsi="Arial" w:cs="Arial"/>
      <w:b/>
      <w:color w:val="0000FF"/>
      <w:sz w:val="17"/>
      <w:lang w:val="es-ES_tradnl"/>
    </w:rPr>
  </w:style>
  <w:style w:type="paragraph" w:customStyle="1" w:styleId="normativanueva">
    <w:name w:val="normativa nueva"/>
    <w:basedOn w:val="ANUEVO"/>
    <w:link w:val="normativanuevaCar"/>
    <w:qFormat/>
    <w:rsid w:val="007F57EC"/>
    <w:rPr>
      <w:b/>
      <w:i w:val="0"/>
      <w:lang w:val="es-ES_tradnl"/>
    </w:rPr>
  </w:style>
  <w:style w:type="character" w:styleId="Refdenotaalpie">
    <w:name w:val="footnote reference"/>
    <w:semiHidden/>
    <w:unhideWhenUsed/>
    <w:rsid w:val="007F57EC"/>
    <w:rPr>
      <w:sz w:val="20"/>
      <w:vertAlign w:val="superscript"/>
    </w:rPr>
  </w:style>
  <w:style w:type="paragraph" w:styleId="Textodeglobo">
    <w:name w:val="Balloon Text"/>
    <w:basedOn w:val="Normal"/>
    <w:link w:val="TextodegloboCar"/>
    <w:uiPriority w:val="99"/>
    <w:semiHidden/>
    <w:unhideWhenUsed/>
    <w:rsid w:val="00F72F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F0E"/>
    <w:rPr>
      <w:rFonts w:ascii="Tahoma" w:hAnsi="Tahoma" w:cs="Tahoma"/>
      <w:color w:val="404040" w:themeColor="text1" w:themeTint="B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07121">
      <w:bodyDiv w:val="1"/>
      <w:marLeft w:val="0"/>
      <w:marRight w:val="0"/>
      <w:marTop w:val="0"/>
      <w:marBottom w:val="0"/>
      <w:divBdr>
        <w:top w:val="none" w:sz="0" w:space="0" w:color="auto"/>
        <w:left w:val="none" w:sz="0" w:space="0" w:color="auto"/>
        <w:bottom w:val="none" w:sz="0" w:space="0" w:color="auto"/>
        <w:right w:val="none" w:sz="0" w:space="0" w:color="auto"/>
      </w:divBdr>
    </w:div>
    <w:div w:id="861868225">
      <w:bodyDiv w:val="1"/>
      <w:marLeft w:val="0"/>
      <w:marRight w:val="0"/>
      <w:marTop w:val="0"/>
      <w:marBottom w:val="0"/>
      <w:divBdr>
        <w:top w:val="none" w:sz="0" w:space="0" w:color="auto"/>
        <w:left w:val="none" w:sz="0" w:space="0" w:color="auto"/>
        <w:bottom w:val="none" w:sz="0" w:space="0" w:color="auto"/>
        <w:right w:val="none" w:sz="0" w:space="0" w:color="auto"/>
      </w:divBdr>
    </w:div>
    <w:div w:id="920916228">
      <w:bodyDiv w:val="1"/>
      <w:marLeft w:val="0"/>
      <w:marRight w:val="0"/>
      <w:marTop w:val="0"/>
      <w:marBottom w:val="0"/>
      <w:divBdr>
        <w:top w:val="none" w:sz="0" w:space="0" w:color="auto"/>
        <w:left w:val="none" w:sz="0" w:space="0" w:color="auto"/>
        <w:bottom w:val="none" w:sz="0" w:space="0" w:color="auto"/>
        <w:right w:val="none" w:sz="0" w:space="0" w:color="auto"/>
      </w:divBdr>
    </w:div>
    <w:div w:id="1551572828">
      <w:bodyDiv w:val="1"/>
      <w:marLeft w:val="0"/>
      <w:marRight w:val="0"/>
      <w:marTop w:val="0"/>
      <w:marBottom w:val="0"/>
      <w:divBdr>
        <w:top w:val="none" w:sz="0" w:space="0" w:color="auto"/>
        <w:left w:val="none" w:sz="0" w:space="0" w:color="auto"/>
        <w:bottom w:val="none" w:sz="0" w:space="0" w:color="auto"/>
        <w:right w:val="none" w:sz="0" w:space="0" w:color="auto"/>
      </w:divBdr>
    </w:div>
    <w:div w:id="16957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2416</Words>
  <Characters>13291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Araiz Flamarique, Adolfo</dc:creator>
  <cp:lastModifiedBy>Aranaz, Carlota</cp:lastModifiedBy>
  <cp:revision>2</cp:revision>
  <dcterms:created xsi:type="dcterms:W3CDTF">2020-06-23T09:40:00Z</dcterms:created>
  <dcterms:modified xsi:type="dcterms:W3CDTF">2020-06-23T09:40:00Z</dcterms:modified>
</cp:coreProperties>
</file>