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convenios que Nasuvinsa suscribe con los ayuntamientos,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spacing w:val="-0.961"/>
        </w:rPr>
      </w:pPr>
      <w:r>
        <w:rPr>
          <w:rStyle w:val="1"/>
          <w:spacing w:val="-0.961"/>
        </w:rPr>
        <w:t xml:space="preserve">Habiendo recibido información en relación con los convenios suscritos con Ayuntamientos por las sociedades Nasuinsa (ahora fusionada en Nasuvinsa) y Nasuvinsa durante los 10 últimos años y los diferentes sistemas de actuación, hemos comprobado que solo existe un caso en el que el sistema de actuación es de “Cooperación”, exactamente con el Ayuntamiento de Lekunberri. A este respecto, este parlamentario desea conocer:</w:t>
      </w:r>
    </w:p>
    <w:p>
      <w:pPr>
        <w:pStyle w:val="0"/>
        <w:suppressAutoHyphens w:val="false"/>
        <w:rPr>
          <w:rStyle w:val="1"/>
        </w:rPr>
      </w:pPr>
      <w:r>
        <w:rPr>
          <w:rStyle w:val="1"/>
        </w:rPr>
        <w:t xml:space="preserve">¿Cuáles son los criterios y estudios en los que Nasuvinsa justifica sus sistemas de actuación para desarrollar iniciativas urbanísticas en materia de industria o vivienda?</w:t>
      </w:r>
    </w:p>
    <w:p>
      <w:pPr>
        <w:pStyle w:val="0"/>
        <w:suppressAutoHyphens w:val="false"/>
        <w:rPr>
          <w:rStyle w:val="1"/>
        </w:rPr>
      </w:pPr>
      <w:r>
        <w:rPr>
          <w:rStyle w:val="1"/>
        </w:rPr>
        <w:t xml:space="preserve">¿Tiene previsión Nasuvinsa de suscribir con otras entidades locales convenios para ser desarrolladas mediante el sistema de “cooperación”?</w:t>
      </w:r>
    </w:p>
    <w:p>
      <w:pPr>
        <w:pStyle w:val="0"/>
        <w:suppressAutoHyphens w:val="false"/>
        <w:rPr>
          <w:rStyle w:val="1"/>
        </w:rPr>
      </w:pPr>
      <w:r>
        <w:rPr>
          <w:rStyle w:val="1"/>
        </w:rPr>
        <w:t xml:space="preserve">En Iruñea, a 8 de septiembre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