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eliminación de los conciertos a los centros que segregan por sexo, formulada por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para que sea respondida en el Pleno de la Cámara por el Consejero de Educación del Gobierno de Navarra.</w:t>
      </w:r>
    </w:p>
    <w:p>
      <w:pPr>
        <w:pStyle w:val="0"/>
        <w:suppressAutoHyphens w:val="false"/>
        <w:rPr>
          <w:rStyle w:val="1"/>
        </w:rPr>
      </w:pPr>
      <w:r>
        <w:rPr>
          <w:rStyle w:val="1"/>
        </w:rPr>
        <w:t xml:space="preserve">¿Qué valoración le merece el hecho de que la nueva Ley orgánica de Educación vaya a eliminar los conciertos a los centros que segregan por sexo?</w:t>
      </w:r>
    </w:p>
    <w:p>
      <w:pPr>
        <w:pStyle w:val="0"/>
        <w:suppressAutoHyphens w:val="false"/>
        <w:rPr>
          <w:rStyle w:val="1"/>
        </w:rPr>
      </w:pPr>
      <w:r>
        <w:rPr>
          <w:rStyle w:val="1"/>
        </w:rPr>
        <w:t xml:space="preserve">Pamplona-lruña a 24 de septiembre de 2020</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