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problemática de la ganadería extensiva,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Rural y Medio Ambiente.</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oral para su contestación en la Comisión de Desarrollo Rural y Medio Ambiente. </w:t>
      </w:r>
    </w:p>
    <w:p>
      <w:pPr>
        <w:pStyle w:val="0"/>
        <w:suppressAutoHyphens w:val="false"/>
        <w:rPr>
          <w:rStyle w:val="1"/>
        </w:rPr>
      </w:pPr>
      <w:r>
        <w:rPr>
          <w:rStyle w:val="1"/>
        </w:rPr>
        <w:t xml:space="preserve">Hace un año que el Grupo Parlamentario Navarra Suma le pidió en Pleno que el Departamento abordara seriamente la problemática de la ganadería extensiva, se dejara de parches y realizara un plan estratégico, ¿piensa realizarlo en algún momento? </w:t>
      </w:r>
    </w:p>
    <w:p>
      <w:pPr>
        <w:pStyle w:val="0"/>
        <w:suppressAutoHyphens w:val="false"/>
        <w:rPr>
          <w:rStyle w:val="1"/>
        </w:rPr>
      </w:pPr>
      <w:r>
        <w:rPr>
          <w:rStyle w:val="1"/>
        </w:rPr>
        <w:t xml:space="preserve">Pamplona, 10 de noviembre de 2020 </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