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53717" w14:textId="23F6F058" w:rsidR="00945770" w:rsidRDefault="00D82355" w:rsidP="00786B13">
      <w:pPr>
        <w:widowControl w:val="0"/>
        <w:tabs>
          <w:tab w:val="left" w:pos="709"/>
          <w:tab w:val="center" w:pos="3856"/>
        </w:tabs>
      </w:pPr>
      <w:r w:rsidRPr="00914D58">
        <w:rPr>
          <w:lang w:val="es-ES_tradnl"/>
        </w:rPr>
        <w:tab/>
      </w:r>
      <w:bookmarkStart w:id="0" w:name="Decreto"/>
      <w:bookmarkEnd w:id="0"/>
      <w:r w:rsidR="002F7290">
        <w:t>DECRETO FORAL LEGISLATIVO 1</w:t>
      </w:r>
      <w:r w:rsidR="00786B13">
        <w:t xml:space="preserve">/2021, de </w:t>
      </w:r>
      <w:r w:rsidR="002F7290">
        <w:t>13 de enero</w:t>
      </w:r>
      <w:r w:rsidR="00786B13">
        <w:t>, de Armonización Tributaria, por el que se modifica la Ley Foral 19/1992, de 30 de diciembre, del Impuesto sobre el Valor Añadido.</w:t>
      </w:r>
    </w:p>
    <w:p w14:paraId="5710C881" w14:textId="77777777" w:rsidR="002F7290" w:rsidRDefault="002F7290"/>
    <w:p w14:paraId="050F3032" w14:textId="09D43190" w:rsidR="00945770" w:rsidRDefault="00786B13" w:rsidP="002F7290">
      <w:pPr>
        <w:ind w:firstLine="0"/>
        <w:jc w:val="center"/>
      </w:pPr>
      <w:r>
        <w:t>EXPOSICIÓN DE MOTIVOS</w:t>
      </w:r>
    </w:p>
    <w:p w14:paraId="2C7E0F9F" w14:textId="77777777" w:rsidR="002F7290" w:rsidRDefault="002F7290"/>
    <w:p w14:paraId="32B8A28A" w14:textId="22268B6D" w:rsidR="00945770" w:rsidRDefault="002F7290">
      <w:r>
        <w:t>El t</w:t>
      </w:r>
      <w:r w:rsidR="00786B13">
        <w:t>ítulo I del Convenio Económico entre el Estado y la Comunidad Foral de Navarra está dedicado a regular los criterios de armonización del régimen tributario de Navarra con el régimen tributario general del Estado.</w:t>
      </w:r>
    </w:p>
    <w:p w14:paraId="3BBFAA64" w14:textId="77777777" w:rsidR="002F7290" w:rsidRDefault="002F7290"/>
    <w:p w14:paraId="704060B2" w14:textId="27135A36" w:rsidR="00945770" w:rsidRDefault="00786B13">
      <w:r>
        <w:t>En ese marco, el artículo 32 del citado texto legal dispone que Navarra, en el ejercicio de su potestad tributaria en el ámbito del Impuesto sobre el Valor Añadido, aplicará idénticos principios básicos, normas sustantivas y formales que los vigentes en cada momento en territorio del Estado, si bien podrá aprobar sus propios modelos de declaración e ingreso.</w:t>
      </w:r>
    </w:p>
    <w:p w14:paraId="2C7895BF" w14:textId="77777777" w:rsidR="002F7290" w:rsidRDefault="002F7290"/>
    <w:p w14:paraId="70CA8153" w14:textId="44047DFB" w:rsidR="00945770" w:rsidRDefault="00786B13">
      <w:r>
        <w:t xml:space="preserve">Por su parte, el artículo 53.1 de la Ley Foral 14/2004, de 3 de diciembre, del Gobierno de Navarra y de su Presidenta o Presidente, al regular la potestad normativa del Gobierno de Navarra, establece que, cuando de conformidad con lo establecido en el Convenio Económico, una reforma del régimen tributario común obligue a que en la Comunidad Foral se apliquen idénticas normas sustantivas y formales que las vigentes en cada momento en el Estado, el Gobierno de Navarra, por delegación del Parlamento de Navarra, podrá </w:t>
      </w:r>
      <w:r w:rsidR="002F7290">
        <w:t>dictar las normas con rango de ley f</w:t>
      </w:r>
      <w:r>
        <w:t>oral que sean precisas para la modifi</w:t>
      </w:r>
      <w:r w:rsidR="002F7290">
        <w:t>cación de las correspondientes leyes f</w:t>
      </w:r>
      <w:r>
        <w:t xml:space="preserve">orales tributarias. Las disposiciones del </w:t>
      </w:r>
      <w:r>
        <w:lastRenderedPageBreak/>
        <w:t>Gobierno de Navarra que comprendan dicha legislación delegada recibirán el título</w:t>
      </w:r>
      <w:r w:rsidR="002F7290">
        <w:t xml:space="preserve"> de decretos forales l</w:t>
      </w:r>
      <w:r>
        <w:t>egislativos de armonización tributaria, de conformidad con lo dispuesto en el artículo 53.2 de la citada Ley Foral 14/2004.</w:t>
      </w:r>
    </w:p>
    <w:p w14:paraId="7B61EB42" w14:textId="77777777" w:rsidR="002F7290" w:rsidRDefault="002F7290"/>
    <w:p w14:paraId="23D04650" w14:textId="194207BC" w:rsidR="00945770" w:rsidRDefault="00786B13">
      <w:r>
        <w:t>En el ámbito estatal, la Ley 11/2020, de 30 de diciembre, de Presupuestos Generales del Estado para el año 2021, modifica el tipo impositivo aplicable a las bebidas que contienen edulcorantes añadidos, tanto naturales como aditivos edulcorantes, que pasan a tributar al tipo impositivo general del 21 por 100, medida que constituye un compromiso social para racionalizar y promover su consumo responsable, en particular entre la población infantil y juvenil.</w:t>
      </w:r>
    </w:p>
    <w:p w14:paraId="152F6814" w14:textId="77777777" w:rsidR="002F7290" w:rsidRDefault="002F7290"/>
    <w:p w14:paraId="082639F7" w14:textId="1DFBBA2C" w:rsidR="00945770" w:rsidRDefault="00786B13">
      <w:r>
        <w:t>Asimismo, el Real Decreto-Ley 34/2020, de 17 de noviembre, de medidas urgentes de apoyo a la solvencia empresarial y al sector energético, y en materia tributaria, adopta dos medidas de carácter temporal con la finalidad de garantizar la respuesta del sistema sanitario en la segunda fase de control de la pandemia, teniendo en cuenta la obligatoriedad del uso generalizado de las mascarillas quirúrgicas desechables por parte de la población.</w:t>
      </w:r>
    </w:p>
    <w:p w14:paraId="5D21DB10" w14:textId="77777777" w:rsidR="002F7290" w:rsidRDefault="002F7290"/>
    <w:p w14:paraId="3D8A7679" w14:textId="4C2862B2" w:rsidR="00945770" w:rsidRDefault="00786B13">
      <w:r>
        <w:t xml:space="preserve">Y así, con efectos desde el 1 de noviembre de 2020 y vigencia hasta el 30 de abril de 2021, mantiene la aplicación de un tipo del 0 por 100 del Impuesto sobre el Valor Añadido a las entregas interiores, importaciones y adquisiciones intracomunitarias de material sanitario para combatir la COVID-19, cuyos destinatarios sean entidades públicas, sin ánimo de </w:t>
      </w:r>
      <w:r>
        <w:lastRenderedPageBreak/>
        <w:t>lucro y centros hospitalarios, que, hasta el 31 de octubre de 2020, estuvo regulada en el artículo 8 del Real Decreto-ley 15/2020, de 21 de abril, de medidas urgentes complementarias para apoyar la economía y el empleo, y en la disposición adici</w:t>
      </w:r>
      <w:r w:rsidR="002F7290">
        <w:t>onal séptima del Real Decreto-l</w:t>
      </w:r>
      <w:r>
        <w:t>ey 28/2020, de 22 de septiembre, de trabajo a distancia. A estos efectos, los sujetos pasivos efectuarán, en su cas</w:t>
      </w:r>
      <w:r w:rsidR="002F7290">
        <w:t>o, conforme a la normativa del i</w:t>
      </w:r>
      <w:r>
        <w:t>mpuesto, la rectificación del Impuesto sobre el Valor Añadido repercutido o satisfecho con anterioridad a la entrada en vigor de este Real Decreto-ley 34/2020, de 17 de noviembre.</w:t>
      </w:r>
    </w:p>
    <w:p w14:paraId="445F1BB5" w14:textId="77777777" w:rsidR="002F7290" w:rsidRDefault="002F7290"/>
    <w:p w14:paraId="03EFCD36" w14:textId="1C8D9EA5" w:rsidR="00945770" w:rsidRDefault="00786B13">
      <w:r>
        <w:t>En el ámbito de la Comunidad Foral de Navarra, esta medida fue regulada en la disposición</w:t>
      </w:r>
      <w:r w:rsidR="002F7290">
        <w:t xml:space="preserve"> adicional tercera del Decreto-l</w:t>
      </w:r>
      <w:r>
        <w:t>ey Foral 4/2020, de 29 de abril, por el que se aprueban medidas urgentes para responder al impacto generado por la crisis sanitaria del coronavirus (COVID-19) y, en la disposició</w:t>
      </w:r>
      <w:r w:rsidR="002F7290">
        <w:t>n adicional cuarta del Decreto-l</w:t>
      </w:r>
      <w:r>
        <w:t>ey Foral 8/2020, de 17 de agosto, por el que se aprueban en la Comunidad Foral de Navarra medidas extraordinarias para responder ante la situación de especial riesgo derivada del incremento de casos positivos por COVID-19.</w:t>
      </w:r>
    </w:p>
    <w:p w14:paraId="000BDF8F" w14:textId="77777777" w:rsidR="002F7290" w:rsidRDefault="002F7290"/>
    <w:p w14:paraId="21A04E83" w14:textId="4ABF684B" w:rsidR="00945770" w:rsidRDefault="00786B13">
      <w:r>
        <w:t>Asimismo, y como complemento de lo anterior, se rebaja temporalmente, del 21 al 4 por 100, el tipo impositivo del IVA aplicable a las entregas, importaciones y adquisiciones intracomunitarias de mascarillas quirúrgicas desechables cuyos destinatarios sean distintos de los antes mencionados.</w:t>
      </w:r>
    </w:p>
    <w:p w14:paraId="2C10E215" w14:textId="77777777" w:rsidR="002F7290" w:rsidRDefault="002F7290"/>
    <w:p w14:paraId="1DF0AC6B" w14:textId="4BD94F24" w:rsidR="00945770" w:rsidRDefault="00786B13">
      <w:r>
        <w:t>Por otra parte, el Real Decreto-ley 35/2020, de 22 de diciembre, de medidas urgentes de apoyo al sector turístico, la hostelería y el comercio y en materia tributaria, establece la aplicación del tipo del 0 por 100 del IVA a las entregas, importaciones y adquisiciones intracomunitarias de las vacunas y de los productos sanitarios para diagnóstico in vitro de la COVID-19, para favorecer la vacunación de la población española y el diagnóstico de su evolución sanitaria hasta la erradicación de la pandemia. También será de aplicación el tipo 0 por 100 del impuesto a los servicios de transporte, almacenamiento y distribución de estos productos para rebajar los costes asociados a su utilización y garantizar su difusión. Para evitar la necesidad de adaptar los sistemas de facturación de los sujetos pasivos, estas operaciones se documentarán en factura como operaciones exentas. No obstante, la aplicación de un tipo impositivo del 0 por 100 no determina la limitación del derecho a la deducción del Impuesto sobre el Valor Añadido soportado por el sujeto pasivo que realiza la operación. En paralelo con lo anterior, también se realiza un ajuste en el tipo del recargo de equivalencia aplicable a las mencionadas operaciones.</w:t>
      </w:r>
    </w:p>
    <w:p w14:paraId="6ABDF06B" w14:textId="77777777" w:rsidR="002F7290" w:rsidRDefault="002F7290"/>
    <w:p w14:paraId="35133A85" w14:textId="779D4922" w:rsidR="00945770" w:rsidRDefault="00786B13">
      <w:r>
        <w:t>Por último, se adapta el contenido del régimen simplificado a la normativa estatal.</w:t>
      </w:r>
    </w:p>
    <w:p w14:paraId="680B892C" w14:textId="77777777" w:rsidR="002F7290" w:rsidRDefault="002F7290"/>
    <w:p w14:paraId="3DB8DC41" w14:textId="7372400F" w:rsidR="00945770" w:rsidRDefault="00786B13">
      <w:r>
        <w:t>Por tanto, al haber sido modificada la Ley 37/1992, de 28 de diciembre, del Impuesto sobre el Valor A</w:t>
      </w:r>
      <w:r w:rsidR="002F7290">
        <w:t>ñadido, es preciso dictar este decreto foral legislativo de armonización t</w:t>
      </w:r>
      <w:r>
        <w:t>ributaria para reformar, a su vez, la Ley Foral 19/1992, de 30 de diciembre, del Impuesto sobre el Valor Añadido, con el fin de que, en lo relativo al mencionado Impuesto, se apliquen en la Comunidad Foral idénticas normas sustantivas y formales que las vigentes en el Estado.</w:t>
      </w:r>
    </w:p>
    <w:p w14:paraId="01106AE7" w14:textId="77777777" w:rsidR="002F7290" w:rsidRDefault="002F7290"/>
    <w:p w14:paraId="77E67E94" w14:textId="7EF79000" w:rsidR="00945770" w:rsidRDefault="00786B13">
      <w:r>
        <w:t xml:space="preserve">En consecuencia, el Gobierno de Navarra, a propuesta de la Consejera de Economía y Hacienda, y de conformidad con la decisión adoptada por el Gobierno de Navarra en sesión celebrada el día </w:t>
      </w:r>
      <w:r w:rsidR="002F7290">
        <w:t>trece</w:t>
      </w:r>
      <w:r>
        <w:t xml:space="preserve"> de </w:t>
      </w:r>
      <w:r w:rsidR="002F7290">
        <w:t>enero</w:t>
      </w:r>
      <w:r>
        <w:t xml:space="preserve"> de dos mil veintiuno,</w:t>
      </w:r>
    </w:p>
    <w:p w14:paraId="7A5C40FD" w14:textId="77777777" w:rsidR="002F7290" w:rsidRDefault="002F7290"/>
    <w:p w14:paraId="6092F338" w14:textId="7DD89A9B" w:rsidR="00945770" w:rsidRDefault="00786B13">
      <w:r>
        <w:t>DECRETO:</w:t>
      </w:r>
    </w:p>
    <w:p w14:paraId="79B0331A" w14:textId="77777777" w:rsidR="002F7290" w:rsidRDefault="002F7290"/>
    <w:p w14:paraId="00898423" w14:textId="6069F901" w:rsidR="00945770" w:rsidRDefault="002F7290">
      <w:r>
        <w:t>Artículo ú</w:t>
      </w:r>
      <w:r w:rsidR="00786B13">
        <w:t>nico. Modificación de la Ley Foral del Impuesto sobre el Valor Añadido.</w:t>
      </w:r>
    </w:p>
    <w:p w14:paraId="5C82755A" w14:textId="77777777" w:rsidR="002F7290" w:rsidRDefault="002F7290"/>
    <w:p w14:paraId="369EEF8F" w14:textId="076C80AC" w:rsidR="00945770" w:rsidRDefault="00786B13">
      <w:r>
        <w:t>Los preceptos de la Ley Foral 19/1992, de 30 de diciembre, del Impuesto sobre el Valor Añadido, que a continuación se relacionan, quedarán redactados del siguiente modo:</w:t>
      </w:r>
    </w:p>
    <w:p w14:paraId="689106D8" w14:textId="77777777" w:rsidR="00917998" w:rsidRDefault="00917998"/>
    <w:p w14:paraId="0A590750" w14:textId="69523047" w:rsidR="00945770" w:rsidRDefault="00786B13">
      <w:r>
        <w:t>Uno. Artículo 37. Uno.1.1º. Con efectos desde el 1 de enero de 2021.</w:t>
      </w:r>
    </w:p>
    <w:p w14:paraId="11130E01" w14:textId="77777777" w:rsidR="00917998" w:rsidRDefault="00917998"/>
    <w:p w14:paraId="147A3625" w14:textId="7A7FC75B" w:rsidR="00945770" w:rsidRDefault="00786B13">
      <w:r>
        <w:t>“1º. Las sustancias o productos, cualquiera que sea su origen que, por sus características, aplicaciones, componentes, preparación y estado de conservación, sean susceptibles de ser habitual e idóneamente utilizados para la nutrición humana o animal, de acuerdo con lo establecido en el Código Alimentario y las disposiciones dictadas para su desarrollo.</w:t>
      </w:r>
    </w:p>
    <w:p w14:paraId="130FED5D" w14:textId="77777777" w:rsidR="00917998" w:rsidRDefault="00917998"/>
    <w:p w14:paraId="2F7BF81E" w14:textId="738CE25D" w:rsidR="00945770" w:rsidRDefault="00786B13">
      <w:r>
        <w:t>Se excluyen de lo dispuesto en el párrafo anterior:</w:t>
      </w:r>
    </w:p>
    <w:p w14:paraId="7ED5003E" w14:textId="77777777" w:rsidR="00917998" w:rsidRDefault="00917998"/>
    <w:p w14:paraId="41EA6619" w14:textId="77777777" w:rsidR="00945770" w:rsidRDefault="00786B13">
      <w:r>
        <w:t>a) Las bebidas alcohólicas.</w:t>
      </w:r>
    </w:p>
    <w:p w14:paraId="585BA6B2" w14:textId="1933A4F2" w:rsidR="00945770" w:rsidRDefault="00786B13">
      <w:r>
        <w:t>Se entiende por bebida alcohólica todo líquido apto para el consumo humano por ingestión que contenga alcohol etílico.</w:t>
      </w:r>
    </w:p>
    <w:p w14:paraId="6D4B9D5F" w14:textId="77777777" w:rsidR="00917998" w:rsidRDefault="00917998"/>
    <w:p w14:paraId="4F16DDCB" w14:textId="77777777" w:rsidR="00945770" w:rsidRDefault="00786B13">
      <w:r>
        <w:t>b) Las bebidas refrescantes, zumos y gaseosas con azúcares o edulcorantes añadidos.</w:t>
      </w:r>
    </w:p>
    <w:p w14:paraId="3B479A80" w14:textId="288A04F6" w:rsidR="00945770" w:rsidRDefault="00786B13">
      <w:r>
        <w:t>A los efectos de este número no tendrán la consideración de alimento el tabaco ni las sustancias no aptas para el consumo humano o animal en el mismo estado en que fuesen objeto de entrega, adquisición intracomunitaria o importación.”</w:t>
      </w:r>
    </w:p>
    <w:p w14:paraId="51ED13AE" w14:textId="77777777" w:rsidR="00917998" w:rsidRDefault="00917998"/>
    <w:p w14:paraId="44FEED9A" w14:textId="46A51BF7" w:rsidR="00945770" w:rsidRDefault="00786B13">
      <w:r>
        <w:t>Dos. Artículo 57.5.</w:t>
      </w:r>
    </w:p>
    <w:p w14:paraId="472EBE1A" w14:textId="77777777" w:rsidR="00917998" w:rsidRDefault="00917998"/>
    <w:p w14:paraId="02EE0344" w14:textId="48FFF9E6" w:rsidR="00945770" w:rsidRDefault="00786B13">
      <w:r>
        <w:t>“5. Los empresarios o profesionales que hubiesen practicado las deducciones a que se refiere este artículo no podrán acogerse al régimen especial de la agricultura, ganadería y pesca por las actividades en las que utilicen los bienes y servicios por cuya adquisición hayan soportado o satisfecho las cuotas objeto de deducción hasta que finalice el tercer año natural de realización de las entregas de bienes o prestaciones de servicios efectuadas en el desarrollo de dichas actividades.</w:t>
      </w:r>
    </w:p>
    <w:p w14:paraId="1F22CC3E" w14:textId="77777777" w:rsidR="00917998" w:rsidRDefault="00917998"/>
    <w:p w14:paraId="000004C6" w14:textId="5F597363" w:rsidR="00945770" w:rsidRDefault="00786B13">
      <w:r>
        <w:t>La aplicación de lo dispuesto en el párrafo anterior tendrá los mismos efectos que la renuncia al citado régimen especial.”</w:t>
      </w:r>
    </w:p>
    <w:p w14:paraId="05AC88F1" w14:textId="77777777" w:rsidR="00917998" w:rsidRDefault="00917998"/>
    <w:p w14:paraId="1BC3D4D5" w14:textId="614A4EB1" w:rsidR="00945770" w:rsidRDefault="00786B13">
      <w:r>
        <w:t>Tres. Artículo 68.</w:t>
      </w:r>
    </w:p>
    <w:p w14:paraId="7AB9C62C" w14:textId="77777777" w:rsidR="00917998" w:rsidRDefault="00917998"/>
    <w:p w14:paraId="42C8C2FE" w14:textId="6390F5B2" w:rsidR="00945770" w:rsidRDefault="00786B13">
      <w:r>
        <w:t>“Artículo 68. Contenido del régimen simplificado.</w:t>
      </w:r>
    </w:p>
    <w:p w14:paraId="4B2E870E" w14:textId="77777777" w:rsidR="00917998" w:rsidRDefault="00917998"/>
    <w:p w14:paraId="2AED6E91" w14:textId="7259688E" w:rsidR="00945770" w:rsidRDefault="00917998">
      <w:r>
        <w:t xml:space="preserve">Uno. </w:t>
      </w:r>
      <w:r w:rsidR="00786B13">
        <w:t>A) Los empresarios o profesionales acogidos al régimen simplificado determinarán, para cada actividad a que resulte aplicable este régimen especial, el importe de las cuotas devengadas en concepto de Impuesto sobre el Valor Añadido y del recargo de equivalencia, en virtud de los índices, módulos y demás parámetros, así como del p</w:t>
      </w:r>
      <w:r>
        <w:t>rocedimiento que establezca el d</w:t>
      </w:r>
      <w:r w:rsidR="00786B13">
        <w:t>epartamento competente en materia tributaria.</w:t>
      </w:r>
    </w:p>
    <w:p w14:paraId="596F4BCF" w14:textId="77777777" w:rsidR="00917998" w:rsidRDefault="00917998"/>
    <w:p w14:paraId="71B77C33" w14:textId="0C56E9CF" w:rsidR="00945770" w:rsidRDefault="00786B13">
      <w:r>
        <w:t>Del importe de las cuotas devengadas indicado en el párrafo anterior, podrá deducirse el importe de las cuotas soportadas o satisfechas por operaciones corrientes relativas a bienes o servicios afectados a la actividad por la que el empresario o profesional esté acogido a este régimen especial, de con</w:t>
      </w:r>
      <w:r w:rsidR="00917998">
        <w:t>formidad con lo previsto en el capítulo I del t</w:t>
      </w:r>
      <w:r>
        <w:t>ítulo VII. No obstante, la deducción de las mismas se ajustará a las siguientes reglas:</w:t>
      </w:r>
    </w:p>
    <w:p w14:paraId="7D544FA9" w14:textId="77777777" w:rsidR="00917998" w:rsidRDefault="00917998"/>
    <w:p w14:paraId="2724B454" w14:textId="3ECE7BD3" w:rsidR="00945770" w:rsidRDefault="00786B13">
      <w:r>
        <w:t>a) No serán deducibles las cuotas soportadas por los servicios de desplazamiento o viajes, hostelería y restauración en el supuesto de empresarios o profesionales que desarrollen su actividad en local determinado. A estos efectos, se considerará local determinado cualquier edificación, excluyendo los almacenes, aparcamientos o depósitos cerrados al público.</w:t>
      </w:r>
    </w:p>
    <w:p w14:paraId="12712ADE" w14:textId="77777777" w:rsidR="00917998" w:rsidRDefault="00917998"/>
    <w:p w14:paraId="4626C179" w14:textId="0D0BBDCB" w:rsidR="00945770" w:rsidRDefault="00786B13">
      <w:r>
        <w:t>b) Las cuotas soportadas o satisfechas sólo serán deducibles en la declaración-liquidación correspondiente al último período impositivo del año en el que deban entenderse soportadas o satisfechas, por lo que, con independencia del régimen de tributación aplicable en años sucesivos, no procederá su deducción en un período impositivo posterior.</w:t>
      </w:r>
    </w:p>
    <w:p w14:paraId="167CBE56" w14:textId="77777777" w:rsidR="00917998" w:rsidRDefault="00917998"/>
    <w:p w14:paraId="57D91952" w14:textId="42AB51F3" w:rsidR="00945770" w:rsidRDefault="00786B13">
      <w:r>
        <w:t>c) Cuando se realicen adquisiciones o importaciones de bienes y servicios para su utilización en común en varias actividades por las que el empresario o profesional esté acogido a este régimen especial, la cuota a deducir en cada una de ellas será la que resulte del prorrateo en función de su utilización efectiva. Si no fuese posible aplicar dicho procedimiento, se imputarán por partes iguales a cada una de las actividades.</w:t>
      </w:r>
    </w:p>
    <w:p w14:paraId="4173A787" w14:textId="77777777" w:rsidR="00917998" w:rsidRDefault="00917998"/>
    <w:p w14:paraId="3EAD3AE0" w14:textId="3ECC7A9F" w:rsidR="00945770" w:rsidRDefault="00786B13">
      <w:r>
        <w:t xml:space="preserve">d) Podrán deducirse las compensaciones agrícolas a que se </w:t>
      </w:r>
      <w:r w:rsidR="00917998">
        <w:t>refiere el artículo 75 de esta ley f</w:t>
      </w:r>
      <w:r>
        <w:t>oral, satisfechas por los empresarios o profesionales por la adquisición de bienes o servicios a empresarios acogidos al régimen especial de la agricultura, ganadería y pesca.</w:t>
      </w:r>
    </w:p>
    <w:p w14:paraId="4E5F4AF5" w14:textId="77777777" w:rsidR="00917998" w:rsidRDefault="00917998"/>
    <w:p w14:paraId="16B88648" w14:textId="4589078B" w:rsidR="00945770" w:rsidRDefault="00786B13">
      <w:r>
        <w:t>e) Adicionalmente, los empresarios o profesionales tendrán derecho, en relación con las actividades por las que estén acogidos a este régimen especial, a deducir el 1 por 100 del importe de la cuota devengada a que se refiere el párrafo primero de este apartado, en concepto de cuotas soportadas de difícil justificación.</w:t>
      </w:r>
    </w:p>
    <w:p w14:paraId="34F33AE9" w14:textId="77777777" w:rsidR="00917998" w:rsidRDefault="00917998"/>
    <w:p w14:paraId="40044901" w14:textId="7F1D8927" w:rsidR="00945770" w:rsidRDefault="00786B13">
      <w:r>
        <w:t>B) Al importe resultante de lo dispuesto en la letra anterior se añadirán las cuotas devengadas por las siguientes operaciones:</w:t>
      </w:r>
    </w:p>
    <w:p w14:paraId="2B23888B" w14:textId="77777777" w:rsidR="00917998" w:rsidRDefault="00917998"/>
    <w:p w14:paraId="7F7184D3" w14:textId="720C9954" w:rsidR="00945770" w:rsidRDefault="00786B13">
      <w:r>
        <w:t>1.º Las adquisiciones intracomunitarias de bienes.</w:t>
      </w:r>
    </w:p>
    <w:p w14:paraId="68632E7D" w14:textId="77777777" w:rsidR="00917998" w:rsidRDefault="00917998"/>
    <w:p w14:paraId="41018E36" w14:textId="055AE397" w:rsidR="00945770" w:rsidRDefault="00786B13">
      <w:r>
        <w:t>2.º Las operaciones a que se refie</w:t>
      </w:r>
      <w:r w:rsidR="00917998">
        <w:t>re el artículo 31.1.2º de esta ley f</w:t>
      </w:r>
      <w:r>
        <w:t>oral.</w:t>
      </w:r>
    </w:p>
    <w:p w14:paraId="61494DAF" w14:textId="77777777" w:rsidR="00917998" w:rsidRDefault="00917998"/>
    <w:p w14:paraId="73B97552" w14:textId="0AD9DA2C" w:rsidR="00945770" w:rsidRDefault="00786B13">
      <w:r>
        <w:t>3.º Las entregas de activos fijos materiales y las transmisiones de activos fijos inmateriales.</w:t>
      </w:r>
    </w:p>
    <w:p w14:paraId="629373F1" w14:textId="77777777" w:rsidR="00917998" w:rsidRDefault="00917998"/>
    <w:p w14:paraId="2CD6C479" w14:textId="4A791527" w:rsidR="00945770" w:rsidRDefault="00786B13">
      <w:r>
        <w:t>C) Del resultado de las dos letras anteriores se deducirá el importe de las cuotas soportadas o satisfechas por la adquisición o importación de activos fijos, considerándose como tales los elementos del inmovilizado y, en particular, aquéllos de los que se disponga en virtud de contratos de arrendamiento financiero con opción de compra, tanto si dicha opción es vinculante, como si no lo es.</w:t>
      </w:r>
    </w:p>
    <w:p w14:paraId="222D5E2C" w14:textId="77777777" w:rsidR="00917998" w:rsidRDefault="00917998"/>
    <w:p w14:paraId="463C2F32" w14:textId="57FA18DA" w:rsidR="00945770" w:rsidRDefault="00786B13">
      <w:r>
        <w:t>Esta deducción se practicará conforme al capítulo I del título VII. No obstante, cuando el sujeto pasivo liquide en la declaración-liquidación del último periodo del ejercicio las cuotas correspondientes a adquisiciones intracomunitarias de activos fijos, o a adquisiciones de tales activos con inversión del sujeto pasivo, la deducción de dichas cuotas no podrá efectuarse en una declaración-liquidación anterior a aquella en que se liquiden tales cuotas.</w:t>
      </w:r>
    </w:p>
    <w:p w14:paraId="30983B50" w14:textId="77777777" w:rsidR="00917998" w:rsidRDefault="00917998"/>
    <w:p w14:paraId="0DEB77D2" w14:textId="76202B3E" w:rsidR="00945770" w:rsidRDefault="00786B13">
      <w:r>
        <w:t>D) La liquidación del impuesto correspondiente a las importaciones de bienes destinados a ser utilizados en actividades por las que el empresario o profesional esté acogido a este régimen especial, se efectuará con arreglo a las normas generales establecidas para la liquidación de las importaciones de bienes.</w:t>
      </w:r>
    </w:p>
    <w:p w14:paraId="4B27DA25" w14:textId="77777777" w:rsidR="00917998" w:rsidRDefault="00917998"/>
    <w:p w14:paraId="1D6060EC" w14:textId="2109270D" w:rsidR="00945770" w:rsidRDefault="00917998" w:rsidP="00917998">
      <w:r>
        <w:t xml:space="preserve">Dos. </w:t>
      </w:r>
      <w:r w:rsidR="00786B13">
        <w:t>En la estimación indirecta del Impuesto sobre el Valor Añadido se tendrán en cuenta preferentemente los índices, módulos y demás parámetros establecidos para el régimen simplificado, cuando se trate de sujetos pasivos que hayan renunciado a este último régimen.</w:t>
      </w:r>
    </w:p>
    <w:p w14:paraId="772BD7F0" w14:textId="77777777" w:rsidR="00917998" w:rsidRDefault="00917998" w:rsidP="00917998"/>
    <w:p w14:paraId="157308F7" w14:textId="5C6C7F6D" w:rsidR="00945770" w:rsidRDefault="00786B13">
      <w:r>
        <w:t>Tres. Los sujetos pasivos que hubiesen incurrido en omisión o falseamiento de los índices, módulos a que se refiere el apartado uno anterior, estarán obligados al pago de las cuotas tributarias totales que resulten de la aplicación del régimen simplificado, con las sanciones e intereses de demora que proceda.</w:t>
      </w:r>
    </w:p>
    <w:p w14:paraId="496165B1" w14:textId="77777777" w:rsidR="00F41348" w:rsidRDefault="00F41348"/>
    <w:p w14:paraId="792BAD4A" w14:textId="4F67DBE6" w:rsidR="00945770" w:rsidRDefault="00786B13">
      <w:r>
        <w:t>Cuatro. Reglamentariamente se regulará este régimen simplificado y se determinarán las obligaciones formales y registrales que deberán cumplir los sujetos pasivos acogidos al mismo.</w:t>
      </w:r>
    </w:p>
    <w:p w14:paraId="5E6BE1F7" w14:textId="77777777" w:rsidR="00F41348" w:rsidRDefault="00F41348"/>
    <w:p w14:paraId="1BA3ED9D" w14:textId="6A1919FA" w:rsidR="00945770" w:rsidRDefault="00786B13">
      <w:r>
        <w:t>Cinco. En el supuesto de que el sujeto pasivo acogido al régimen especial simplificado realice otras actividades empresariales o profesionales sujetas al Impuesto sobre el Valor Añadido, las sometidas al referido régimen especial tendrán en todo caso la consideración de sector diferenciado de la actividad económica.”</w:t>
      </w:r>
    </w:p>
    <w:p w14:paraId="60068EA5" w14:textId="77777777" w:rsidR="00F41348" w:rsidRDefault="00F41348"/>
    <w:p w14:paraId="7ADF7214" w14:textId="5CB180A1" w:rsidR="00945770" w:rsidRDefault="00786B13">
      <w:r>
        <w:t xml:space="preserve">Disposición adicional primera. Tipo impositivo aplicable del Impuesto sobre el Valor Añadido a las entregas, importaciones y adquisiciones intracomunitarias de bienes necesarios para combatir los efectos </w:t>
      </w:r>
      <w:r w:rsidR="00F41348">
        <w:t>de la</w:t>
      </w:r>
      <w:r>
        <w:t xml:space="preserve"> COVID-19.</w:t>
      </w:r>
    </w:p>
    <w:p w14:paraId="20A09095" w14:textId="77777777" w:rsidR="00F41348" w:rsidRDefault="00F41348"/>
    <w:p w14:paraId="6928657F" w14:textId="46890EEE" w:rsidR="00945770" w:rsidRDefault="00786B13">
      <w:r>
        <w:t xml:space="preserve">Con efectos desde el 1 de noviembre de 2020 y vigencia hasta el 30 de abril de 2021, se aplicará el tipo del 0 por 100 del Impuesto sobre el Valor Añadido a las entregas de bienes, importaciones y adquisiciones intracomunitarias de bienes referidos en el anexo de este </w:t>
      </w:r>
      <w:r w:rsidR="00F41348">
        <w:t xml:space="preserve">decreto foral legislativo </w:t>
      </w:r>
      <w:r>
        <w:t xml:space="preserve">de armonización tributaria cuyos destinatarios sean entidades de </w:t>
      </w:r>
      <w:r w:rsidR="00F41348">
        <w:t>derecho público</w:t>
      </w:r>
      <w:r>
        <w:t>, clínicas o centros hospitalarios, o entidades privadas de carácter social a que se refiere el artículo 17.3 de la Ley Foral 19/1992, de 30 de diciembre, del Impuesto sobre el Valor Añadido. Estas operaciones se documentarán en factura como operaciones exentas.</w:t>
      </w:r>
    </w:p>
    <w:p w14:paraId="130EAD2F" w14:textId="77777777" w:rsidR="00F41348" w:rsidRDefault="00F41348"/>
    <w:p w14:paraId="4DCA9945" w14:textId="3DC9438C" w:rsidR="00945770" w:rsidRDefault="00786B13">
      <w:r>
        <w:t>Disposición adicional segunda. Aplicación del tipo del 4 por 100 del Impuesto sobre el Valor Añadido a las entregas, importaciones y adquisiciones intracomunitarias de mascarillas.</w:t>
      </w:r>
    </w:p>
    <w:p w14:paraId="6D3136B6" w14:textId="77777777" w:rsidR="00F41348" w:rsidRDefault="00F41348"/>
    <w:p w14:paraId="7066C7A0" w14:textId="43094ADE" w:rsidR="00945770" w:rsidRDefault="00786B13">
      <w:r>
        <w:t xml:space="preserve">Con efectos desde el 19 de noviembre de 2020 y vigencia hasta el 31 de diciembre de 2021, se aplicará el tipo del 4 por 100 del Impuesto sobre el Valor Añadido a las entregas, importaciones y adquisiciones intracomunitarias de las mascarillas quirúrgicas desechables referidas en el Acuerdo de la Comisión Interministerial de Precios de los Medicamentos, de 12 de noviembre de 2020, por el que se revisan los importes máximos de venta al público, en aplicación de lo previsto en el artículo 94.3 del texto refundido de la Ley de </w:t>
      </w:r>
      <w:r w:rsidR="00F41348">
        <w:t xml:space="preserve">Garantías </w:t>
      </w:r>
      <w:r>
        <w:t xml:space="preserve">y </w:t>
      </w:r>
      <w:r w:rsidR="00F41348">
        <w:t xml:space="preserve">Uso Racional </w:t>
      </w:r>
      <w:r>
        <w:t xml:space="preserve">de los </w:t>
      </w:r>
      <w:r w:rsidR="00F41348">
        <w:t xml:space="preserve">Medicamentos </w:t>
      </w:r>
      <w:r>
        <w:t xml:space="preserve">y </w:t>
      </w:r>
      <w:r w:rsidR="00F41348">
        <w:t>Productos Sanitarios</w:t>
      </w:r>
      <w:r>
        <w:t>, aprobado por Real Decreto Legislativo 1/2015, de 24 de julio, publicado por la Resolución de 13 de noviembre de 2020, de la Dirección General de Cartera Común de Servicios del Sistema Nacional de Salud y Farmacia.</w:t>
      </w:r>
    </w:p>
    <w:p w14:paraId="568A0F19" w14:textId="77777777" w:rsidR="00F41348" w:rsidRDefault="00F41348"/>
    <w:p w14:paraId="320543FB" w14:textId="5FD50CC7" w:rsidR="00945770" w:rsidRDefault="00786B13">
      <w:r>
        <w:t>Disposición adicional tercera. Tipo impositivo aplicable del Impuesto sobre el Valor Añadido a las entregas, importaciones y adquisiciones intracomunitarias de determinados bienes y prestaciones de servicios necesarios para combatir los efectos del SARS-CoV-2 así como a efectos del régimen especial del recargo de equivalencia.</w:t>
      </w:r>
    </w:p>
    <w:p w14:paraId="0B580B5C" w14:textId="77777777" w:rsidR="00F41348" w:rsidRDefault="00F41348"/>
    <w:p w14:paraId="0F0DBB98" w14:textId="2F176CFC" w:rsidR="00945770" w:rsidRDefault="00786B13">
      <w:r>
        <w:t>1. Con efectos desde el 24 de diciembre de 2020 y vigencia hasta el 31 de diciembre de 2022, se aplicará el tipo del 0 por 100 del Impuesto sobre el Valor Añadido a:</w:t>
      </w:r>
    </w:p>
    <w:p w14:paraId="30BCCD66" w14:textId="77777777" w:rsidR="00F41348" w:rsidRDefault="00F41348"/>
    <w:p w14:paraId="1CE26DAB" w14:textId="7C6B8082" w:rsidR="00945770" w:rsidRDefault="00786B13">
      <w:r>
        <w:t>a) Las entregas, importaciones y adquisiciones intracomunitarias de productos sanitarios para diagnóstico in vitro del SARS-CoV-2 que sean conformes con los requisitos establecidos en la Directiva 98/79/CE del Parlamento Europeo y del Consejo, de 27 de octubre de 1998, sobre productos sanitarios para diagnóstico in vitro o en el Reglamento (UE) 2017/746 del Parlamento Europeo y del Consejo, de 5 de abril de 2017, sobre los productos sanitarios para diagnóstico in vitro y por el que se derogan la Directiva 98/79/CE y la Decisión 2010/227/UE de la Comisión y el Real Decreto 1662/2000, de 29 de septiembre, sobre productos sanitarios para diagnósticos «in vitro».</w:t>
      </w:r>
    </w:p>
    <w:p w14:paraId="432DE759" w14:textId="77777777" w:rsidR="00F41348" w:rsidRDefault="00F41348"/>
    <w:p w14:paraId="3595FC7C" w14:textId="1692E1A7" w:rsidR="00945770" w:rsidRDefault="00786B13">
      <w:r>
        <w:t>b) Las entregas de vacunas contra el SARS-CoV-2 autorizadas por la Comisión Europea.</w:t>
      </w:r>
    </w:p>
    <w:p w14:paraId="1BE775A6" w14:textId="77777777" w:rsidR="00F41348" w:rsidRDefault="00F41348"/>
    <w:p w14:paraId="5603DFD6" w14:textId="64503344" w:rsidR="00945770" w:rsidRDefault="00786B13">
      <w:r>
        <w:t>c) Las prestaciones de servicios de transporte, almacenamiento y distribución relacionados con las entregas, importaciones y adquisiciones intracomunitarias, previstas en las letras a) y b) anteriores.</w:t>
      </w:r>
    </w:p>
    <w:p w14:paraId="73CBA386" w14:textId="77777777" w:rsidR="00F41348" w:rsidRDefault="00F41348"/>
    <w:p w14:paraId="6DAEF6D2" w14:textId="33FD9BB9" w:rsidR="00945770" w:rsidRDefault="00786B13">
      <w:r>
        <w:t>Estas operaciones se documentarán en factura como operaciones exentas.</w:t>
      </w:r>
    </w:p>
    <w:p w14:paraId="234BCA85" w14:textId="77777777" w:rsidR="00F41348" w:rsidRDefault="00F41348"/>
    <w:p w14:paraId="6C3FCD93" w14:textId="238BA62B" w:rsidR="00945770" w:rsidRDefault="00786B13">
      <w:r>
        <w:t>2. El tipo del recargo de equivalencia aplicable, durante el ámbito temporal mencionado en el apartado anterior, a las entregas de los bienes citados en dicho apartado, será el 0 por 100.</w:t>
      </w:r>
    </w:p>
    <w:p w14:paraId="3F7284A1" w14:textId="77777777" w:rsidR="00F41348" w:rsidRDefault="00F41348"/>
    <w:p w14:paraId="66BE60D5" w14:textId="0AB1528A" w:rsidR="00945770" w:rsidRDefault="00786B13">
      <w:r>
        <w:t>Disposición final única. Entrada en vigor.</w:t>
      </w:r>
    </w:p>
    <w:p w14:paraId="4FB83174" w14:textId="77777777" w:rsidR="00F41348" w:rsidRDefault="00F41348"/>
    <w:p w14:paraId="3095C2E4" w14:textId="0C62EB29" w:rsidR="00945770" w:rsidRDefault="00786B13">
      <w:r>
        <w:t xml:space="preserve">Con los efectos en él previstos, el presente </w:t>
      </w:r>
      <w:r w:rsidR="00F41348">
        <w:t xml:space="preserve">decreto foral legislativo </w:t>
      </w:r>
      <w:r>
        <w:t xml:space="preserve">de armonización tributaria entrará en vigor el día siguiente al de su publicación en el Boletín </w:t>
      </w:r>
      <w:r>
        <w:br/>
      </w:r>
      <w:r>
        <w:br/>
      </w:r>
      <w:r>
        <w:br/>
      </w:r>
      <w:r>
        <w:br/>
      </w:r>
      <w:r>
        <w:br/>
      </w:r>
      <w:r>
        <w:br/>
      </w:r>
      <w:r>
        <w:br/>
      </w:r>
      <w:r>
        <w:br/>
      </w:r>
      <w:r>
        <w:br/>
      </w:r>
      <w:r>
        <w:br/>
      </w:r>
      <w:r>
        <w:br/>
      </w:r>
      <w:r>
        <w:br/>
      </w:r>
      <w:r>
        <w:br/>
      </w:r>
      <w:r>
        <w:br/>
      </w:r>
      <w:r>
        <w:br/>
        <w:t>Oficial de Navarra.</w:t>
      </w:r>
    </w:p>
    <w:p w14:paraId="3EF04F80" w14:textId="77777777" w:rsidR="00F41348" w:rsidRDefault="00F41348"/>
    <w:p w14:paraId="4AF69420" w14:textId="74021279" w:rsidR="00CF4538" w:rsidRPr="00914D58" w:rsidRDefault="00CF4538" w:rsidP="00E24C7B">
      <w:pPr>
        <w:widowControl w:val="0"/>
        <w:tabs>
          <w:tab w:val="left" w:pos="709"/>
          <w:tab w:val="center" w:pos="3856"/>
        </w:tabs>
        <w:rPr>
          <w:lang w:val="es-ES_tradnl"/>
        </w:rPr>
      </w:pPr>
      <w:r w:rsidRPr="00914D58">
        <w:rPr>
          <w:lang w:val="es-ES_tradnl"/>
        </w:rPr>
        <w:t xml:space="preserve">Pamplona, </w:t>
      </w:r>
      <w:bookmarkStart w:id="1" w:name="Fecha"/>
      <w:r>
        <w:t>trece de enero de dos mil veintiuno</w:t>
      </w:r>
      <w:bookmarkEnd w:id="1"/>
      <w:r w:rsidRPr="00914D58">
        <w:rPr>
          <w:lang w:val="es-ES_tradnl"/>
        </w:rPr>
        <w:t>.</w:t>
      </w:r>
    </w:p>
    <w:p w14:paraId="69DB42A0" w14:textId="256ABCE9" w:rsidR="00D82355" w:rsidRDefault="00D82355" w:rsidP="00E24C7B">
      <w:pPr>
        <w:widowControl w:val="0"/>
        <w:tabs>
          <w:tab w:val="left" w:pos="709"/>
          <w:tab w:val="center" w:pos="3856"/>
        </w:tabs>
        <w:rPr>
          <w:lang w:val="es-ES_tradnl"/>
        </w:rPr>
      </w:pPr>
    </w:p>
    <w:tbl>
      <w:tblPr>
        <w:tblW w:w="8234" w:type="dxa"/>
        <w:jc w:val="right"/>
        <w:tblLayout w:type="fixed"/>
        <w:tblCellMar>
          <w:left w:w="70" w:type="dxa"/>
          <w:right w:w="70" w:type="dxa"/>
        </w:tblCellMar>
        <w:tblLook w:val="0000" w:firstRow="0" w:lastRow="0" w:firstColumn="0" w:lastColumn="0" w:noHBand="0" w:noVBand="0"/>
      </w:tblPr>
      <w:tblGrid>
        <w:gridCol w:w="8234"/>
      </w:tblGrid>
      <w:tr w:rsidR="00E61B39" w:rsidRPr="00E61B39" w14:paraId="1063D979" w14:textId="77777777" w:rsidTr="00E61B39">
        <w:trPr>
          <w:jc w:val="right"/>
        </w:trPr>
        <w:tc>
          <w:tcPr>
            <w:tcW w:w="8234" w:type="dxa"/>
            <w:tcBorders>
              <w:left w:val="nil"/>
            </w:tcBorders>
            <w:vAlign w:val="center"/>
          </w:tcPr>
          <w:p w14:paraId="1A6ADB18" w14:textId="77777777" w:rsidR="00E61B39" w:rsidRPr="00E61B39" w:rsidRDefault="00E61B39" w:rsidP="00E61B39">
            <w:pPr>
              <w:keepNext/>
              <w:keepLines/>
              <w:tabs>
                <w:tab w:val="left" w:pos="4611"/>
                <w:tab w:val="center" w:pos="8104"/>
              </w:tabs>
              <w:ind w:left="3902" w:firstLine="0"/>
              <w:jc w:val="center"/>
              <w:rPr>
                <w:lang w:val="es-ES_tradnl"/>
              </w:rPr>
            </w:pPr>
            <w:r w:rsidRPr="00E61B39">
              <w:rPr>
                <w:lang w:val="es-ES_tradnl"/>
              </w:rPr>
              <w:t>LA PRESIDENTA DEL GOBIERNO</w:t>
            </w:r>
          </w:p>
        </w:tc>
      </w:tr>
      <w:tr w:rsidR="00E61B39" w:rsidRPr="00E61B39" w14:paraId="090A0DA6" w14:textId="77777777" w:rsidTr="00E61B39">
        <w:trPr>
          <w:jc w:val="right"/>
        </w:trPr>
        <w:tc>
          <w:tcPr>
            <w:tcW w:w="8234" w:type="dxa"/>
            <w:tcBorders>
              <w:left w:val="nil"/>
            </w:tcBorders>
            <w:vAlign w:val="center"/>
          </w:tcPr>
          <w:p w14:paraId="619AC1CF" w14:textId="77777777" w:rsidR="00E61B39" w:rsidRPr="00E61B39" w:rsidRDefault="00E61B39" w:rsidP="00E61B39">
            <w:pPr>
              <w:keepNext/>
              <w:keepLines/>
              <w:tabs>
                <w:tab w:val="left" w:pos="4611"/>
                <w:tab w:val="center" w:pos="8104"/>
              </w:tabs>
              <w:ind w:left="3902" w:firstLine="0"/>
              <w:jc w:val="center"/>
              <w:rPr>
                <w:lang w:val="es-ES_tradnl"/>
              </w:rPr>
            </w:pPr>
            <w:r w:rsidRPr="00E61B39">
              <w:rPr>
                <w:lang w:val="es-ES_tradnl"/>
              </w:rPr>
              <w:t>DE NAVARRA</w:t>
            </w:r>
          </w:p>
        </w:tc>
      </w:tr>
      <w:tr w:rsidR="00E61B39" w:rsidRPr="00E61B39" w14:paraId="45D80708" w14:textId="77777777" w:rsidTr="00E61B39">
        <w:trPr>
          <w:trHeight w:val="1600"/>
          <w:jc w:val="right"/>
        </w:trPr>
        <w:tc>
          <w:tcPr>
            <w:tcW w:w="8234" w:type="dxa"/>
            <w:tcBorders>
              <w:left w:val="nil"/>
            </w:tcBorders>
          </w:tcPr>
          <w:p w14:paraId="61BA5EE9" w14:textId="77777777" w:rsidR="00E61B39" w:rsidRPr="00E61B39" w:rsidRDefault="00E61B39" w:rsidP="00E61B39">
            <w:pPr>
              <w:keepNext/>
              <w:keepLines/>
              <w:tabs>
                <w:tab w:val="left" w:pos="4611"/>
                <w:tab w:val="center" w:pos="8104"/>
              </w:tabs>
              <w:ind w:left="3902" w:firstLine="0"/>
              <w:rPr>
                <w:lang w:val="es-ES_tradnl"/>
              </w:rPr>
            </w:pPr>
          </w:p>
        </w:tc>
      </w:tr>
      <w:tr w:rsidR="00E61B39" w:rsidRPr="00E61B39" w14:paraId="11C8CC94" w14:textId="77777777" w:rsidTr="00E61B39">
        <w:trPr>
          <w:jc w:val="right"/>
        </w:trPr>
        <w:tc>
          <w:tcPr>
            <w:tcW w:w="8234" w:type="dxa"/>
            <w:tcBorders>
              <w:left w:val="nil"/>
            </w:tcBorders>
            <w:vAlign w:val="center"/>
          </w:tcPr>
          <w:p w14:paraId="0B929773" w14:textId="77777777" w:rsidR="00E61B39" w:rsidRPr="00E61B39" w:rsidRDefault="00E61B39" w:rsidP="00E61B39">
            <w:pPr>
              <w:keepNext/>
              <w:keepLines/>
              <w:tabs>
                <w:tab w:val="left" w:pos="4611"/>
                <w:tab w:val="center" w:pos="8104"/>
              </w:tabs>
              <w:ind w:left="3902" w:firstLine="0"/>
              <w:jc w:val="center"/>
              <w:rPr>
                <w:lang w:val="es-ES_tradnl"/>
              </w:rPr>
            </w:pPr>
            <w:r w:rsidRPr="00E61B39">
              <w:rPr>
                <w:lang w:val="es-ES_tradnl"/>
              </w:rPr>
              <w:t xml:space="preserve">María </w:t>
            </w:r>
            <w:proofErr w:type="spellStart"/>
            <w:r w:rsidRPr="00E61B39">
              <w:rPr>
                <w:lang w:val="es-ES_tradnl"/>
              </w:rPr>
              <w:t>Chivite</w:t>
            </w:r>
            <w:proofErr w:type="spellEnd"/>
            <w:r w:rsidRPr="00E61B39">
              <w:rPr>
                <w:lang w:val="es-ES_tradnl"/>
              </w:rPr>
              <w:t xml:space="preserve"> </w:t>
            </w:r>
            <w:proofErr w:type="spellStart"/>
            <w:r w:rsidRPr="00E61B39">
              <w:rPr>
                <w:lang w:val="es-ES_tradnl"/>
              </w:rPr>
              <w:t>Navascués</w:t>
            </w:r>
            <w:proofErr w:type="spellEnd"/>
          </w:p>
        </w:tc>
      </w:tr>
    </w:tbl>
    <w:p w14:paraId="56245B0B" w14:textId="02CC8680" w:rsidR="004704E5" w:rsidRPr="00914D58" w:rsidRDefault="00E61B39" w:rsidP="00B93164">
      <w:pPr>
        <w:widowControl w:val="0"/>
        <w:tabs>
          <w:tab w:val="left" w:pos="709"/>
          <w:tab w:val="center" w:pos="3856"/>
        </w:tabs>
        <w:rPr>
          <w:lang w:val="es-ES_tradnl"/>
        </w:rPr>
      </w:pPr>
      <w:r>
        <w:rPr>
          <w:lang w:val="es-ES_tradnl"/>
        </w:rPr>
        <w:tab/>
      </w:r>
      <w:bookmarkStart w:id="2" w:name="Firma"/>
      <w:bookmarkEnd w:id="2"/>
    </w:p>
    <w:tbl>
      <w:tblPr>
        <w:tblW w:w="8578" w:type="dxa"/>
        <w:jc w:val="right"/>
        <w:tblLayout w:type="fixed"/>
        <w:tblCellMar>
          <w:left w:w="70" w:type="dxa"/>
          <w:right w:w="70" w:type="dxa"/>
        </w:tblCellMar>
        <w:tblLook w:val="0000" w:firstRow="0" w:lastRow="0" w:firstColumn="0" w:lastColumn="0" w:noHBand="0" w:noVBand="0"/>
      </w:tblPr>
      <w:tblGrid>
        <w:gridCol w:w="5245"/>
        <w:gridCol w:w="3333"/>
      </w:tblGrid>
      <w:tr w:rsidR="00280C8E" w14:paraId="30C3BDFE" w14:textId="77777777" w:rsidTr="00E43609">
        <w:trPr>
          <w:trHeight w:val="182"/>
          <w:jc w:val="right"/>
        </w:trPr>
        <w:tc>
          <w:tcPr>
            <w:tcW w:w="5245" w:type="dxa"/>
            <w:vAlign w:val="center"/>
          </w:tcPr>
          <w:p w14:paraId="728CD186" w14:textId="77777777" w:rsidR="00280C8E" w:rsidRPr="00786B13" w:rsidRDefault="00786B13" w:rsidP="00280C8E">
            <w:pPr>
              <w:jc w:val="center"/>
            </w:pPr>
            <w:r w:rsidRPr="00786B13">
              <w:t xml:space="preserve">LA CONSEJERA DE ECONOMÍA </w:t>
            </w:r>
          </w:p>
        </w:tc>
        <w:tc>
          <w:tcPr>
            <w:tcW w:w="3333" w:type="dxa"/>
          </w:tcPr>
          <w:p w14:paraId="1F4EE569" w14:textId="77777777" w:rsidR="00280C8E" w:rsidRDefault="00C902A2" w:rsidP="00280C8E">
            <w:pPr>
              <w:rPr>
                <w:rFonts w:ascii="Courier (W1)" w:hAnsi="Courier (W1)"/>
              </w:rPr>
            </w:pPr>
          </w:p>
        </w:tc>
      </w:tr>
      <w:tr w:rsidR="00280C8E" w14:paraId="03636632" w14:textId="77777777" w:rsidTr="00E43609">
        <w:trPr>
          <w:trHeight w:val="216"/>
          <w:jc w:val="right"/>
        </w:trPr>
        <w:tc>
          <w:tcPr>
            <w:tcW w:w="5245" w:type="dxa"/>
            <w:vAlign w:val="center"/>
          </w:tcPr>
          <w:p w14:paraId="605C92BC" w14:textId="77777777" w:rsidR="00280C8E" w:rsidRPr="00786B13" w:rsidRDefault="00786B13" w:rsidP="00280C8E">
            <w:pPr>
              <w:jc w:val="center"/>
            </w:pPr>
            <w:r w:rsidRPr="00786B13">
              <w:t>Y HACIENDA</w:t>
            </w:r>
          </w:p>
        </w:tc>
        <w:tc>
          <w:tcPr>
            <w:tcW w:w="3333" w:type="dxa"/>
          </w:tcPr>
          <w:p w14:paraId="5A7631DA" w14:textId="77777777" w:rsidR="00280C8E" w:rsidRDefault="00C902A2" w:rsidP="00280C8E">
            <w:pPr>
              <w:rPr>
                <w:rFonts w:ascii="Courier (W1)" w:hAnsi="Courier (W1)"/>
              </w:rPr>
            </w:pPr>
          </w:p>
        </w:tc>
      </w:tr>
      <w:tr w:rsidR="00280C8E" w14:paraId="7FD02451" w14:textId="77777777" w:rsidTr="00E43609">
        <w:trPr>
          <w:trHeight w:val="1600"/>
          <w:jc w:val="right"/>
        </w:trPr>
        <w:tc>
          <w:tcPr>
            <w:tcW w:w="5245" w:type="dxa"/>
            <w:tcBorders>
              <w:bottom w:val="nil"/>
            </w:tcBorders>
          </w:tcPr>
          <w:p w14:paraId="17543228" w14:textId="77777777" w:rsidR="00280C8E" w:rsidRDefault="00C902A2" w:rsidP="00280C8E">
            <w:pPr>
              <w:rPr>
                <w:rFonts w:ascii="Courier (W1)" w:hAnsi="Courier (W1)"/>
              </w:rPr>
            </w:pPr>
          </w:p>
        </w:tc>
        <w:tc>
          <w:tcPr>
            <w:tcW w:w="3333" w:type="dxa"/>
            <w:tcBorders>
              <w:bottom w:val="nil"/>
            </w:tcBorders>
          </w:tcPr>
          <w:p w14:paraId="1414DF88" w14:textId="77777777" w:rsidR="00280C8E" w:rsidRDefault="00C902A2" w:rsidP="00280C8E">
            <w:pPr>
              <w:rPr>
                <w:rFonts w:ascii="Courier (W1)" w:hAnsi="Courier (W1)"/>
              </w:rPr>
            </w:pPr>
          </w:p>
        </w:tc>
      </w:tr>
      <w:tr w:rsidR="00280C8E" w14:paraId="52A844BF" w14:textId="77777777" w:rsidTr="00E43609">
        <w:trPr>
          <w:trHeight w:val="450"/>
          <w:jc w:val="right"/>
        </w:trPr>
        <w:tc>
          <w:tcPr>
            <w:tcW w:w="5245" w:type="dxa"/>
          </w:tcPr>
          <w:p w14:paraId="6F0E354E" w14:textId="77777777" w:rsidR="00280C8E" w:rsidRDefault="00786B13" w:rsidP="00280C8E">
            <w:pPr>
              <w:jc w:val="center"/>
              <w:rPr>
                <w:rFonts w:ascii="Courier (W1)" w:hAnsi="Courier (W1)"/>
              </w:rPr>
            </w:pPr>
            <w:r w:rsidRPr="00786B13">
              <w:t>Elma Saiz Delgado</w:t>
            </w:r>
          </w:p>
        </w:tc>
        <w:tc>
          <w:tcPr>
            <w:tcW w:w="3333" w:type="dxa"/>
          </w:tcPr>
          <w:p w14:paraId="0F1FD12C" w14:textId="77777777" w:rsidR="00280C8E" w:rsidRDefault="00C902A2" w:rsidP="00280C8E">
            <w:pPr>
              <w:rPr>
                <w:rFonts w:ascii="Courier (W1)" w:hAnsi="Courier (W1)"/>
              </w:rPr>
            </w:pPr>
          </w:p>
        </w:tc>
      </w:tr>
    </w:tbl>
    <w:p w14:paraId="68E2D546" w14:textId="77777777" w:rsidR="00945770" w:rsidRDefault="00945770"/>
    <w:p w14:paraId="3109D787" w14:textId="77777777" w:rsidR="00786B13" w:rsidRDefault="00786B13">
      <w:pPr>
        <w:sectPr w:rsidR="00786B13">
          <w:footerReference w:type="even" r:id="rId11"/>
          <w:footerReference w:type="default" r:id="rId12"/>
          <w:type w:val="oddPage"/>
          <w:pgSz w:w="11907" w:h="16840"/>
          <w:pgMar w:top="2835" w:right="1134" w:bottom="1134" w:left="2835" w:header="720" w:footer="720" w:gutter="0"/>
          <w:cols w:space="720"/>
        </w:sectPr>
      </w:pPr>
    </w:p>
    <w:p w14:paraId="7B5A2B07" w14:textId="77777777" w:rsidR="00786B13" w:rsidRPr="00282FFE" w:rsidRDefault="00786B13" w:rsidP="00786B13">
      <w:pPr>
        <w:spacing w:before="240" w:line="360" w:lineRule="auto"/>
        <w:ind w:firstLine="0"/>
        <w:jc w:val="center"/>
        <w:rPr>
          <w:rFonts w:cs="Arial"/>
          <w:b/>
        </w:rPr>
      </w:pPr>
      <w:r w:rsidRPr="00282FFE">
        <w:rPr>
          <w:rFonts w:cs="Arial"/>
          <w:b/>
        </w:rPr>
        <w:t>ANEXO</w:t>
      </w:r>
    </w:p>
    <w:p w14:paraId="4D31AB38" w14:textId="77777777" w:rsidR="00786B13" w:rsidRPr="00282FFE" w:rsidRDefault="00786B13" w:rsidP="00786B13">
      <w:pPr>
        <w:spacing w:before="240" w:line="360" w:lineRule="auto"/>
        <w:ind w:firstLine="0"/>
        <w:rPr>
          <w:rFonts w:cs="Arial"/>
          <w:b/>
        </w:rPr>
      </w:pPr>
      <w:r w:rsidRPr="00282FFE">
        <w:rPr>
          <w:rFonts w:cs="Arial"/>
          <w:b/>
        </w:rPr>
        <w:t xml:space="preserve">Relación de bienes a los que se refiere </w:t>
      </w:r>
      <w:r>
        <w:rPr>
          <w:rFonts w:cs="Arial"/>
          <w:b/>
        </w:rPr>
        <w:t>la</w:t>
      </w:r>
      <w:r w:rsidRPr="00282FFE">
        <w:rPr>
          <w:rFonts w:cs="Arial"/>
          <w:b/>
        </w:rPr>
        <w:t xml:space="preserve"> </w:t>
      </w:r>
      <w:r>
        <w:rPr>
          <w:rFonts w:cs="Arial"/>
          <w:b/>
        </w:rPr>
        <w:t>disposición adicional primera.</w:t>
      </w:r>
    </w:p>
    <w:tbl>
      <w:tblPr>
        <w:tblW w:w="0" w:type="auto"/>
        <w:tblInd w:w="-38" w:type="dxa"/>
        <w:tblCellMar>
          <w:left w:w="0" w:type="dxa"/>
          <w:right w:w="0" w:type="dxa"/>
        </w:tblCellMar>
        <w:tblLook w:val="04A0" w:firstRow="1" w:lastRow="0" w:firstColumn="1" w:lastColumn="0" w:noHBand="0" w:noVBand="1"/>
      </w:tblPr>
      <w:tblGrid>
        <w:gridCol w:w="385"/>
        <w:gridCol w:w="2527"/>
        <w:gridCol w:w="3411"/>
        <w:gridCol w:w="1757"/>
      </w:tblGrid>
      <w:tr w:rsidR="00786B13" w:rsidRPr="00C12EA1" w14:paraId="0E81445C" w14:textId="77777777" w:rsidTr="009F3F5B">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EFE7DE"/>
          </w:tcPr>
          <w:p w14:paraId="058270F8" w14:textId="77777777" w:rsidR="00786B13" w:rsidRPr="00C12EA1" w:rsidRDefault="00786B13" w:rsidP="009F3F5B">
            <w:pPr>
              <w:pStyle w:val="cabezatabla3"/>
              <w:rPr>
                <w:rFonts w:ascii="Courier New" w:hAnsi="Courier New" w:cs="Courier New"/>
                <w:color w:val="333333"/>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834839A" w14:textId="77777777" w:rsidR="00786B13" w:rsidRPr="00C12EA1" w:rsidRDefault="00786B13" w:rsidP="009F3F5B">
            <w:pPr>
              <w:pStyle w:val="cabezatabla3"/>
              <w:rPr>
                <w:rFonts w:ascii="Courier New" w:hAnsi="Courier New" w:cs="Courier New"/>
                <w:color w:val="333333"/>
                <w:sz w:val="16"/>
                <w:szCs w:val="16"/>
              </w:rPr>
            </w:pPr>
            <w:r w:rsidRPr="00C12EA1">
              <w:rPr>
                <w:rFonts w:ascii="Courier New" w:hAnsi="Courier New" w:cs="Courier New"/>
                <w:color w:val="333333"/>
                <w:sz w:val="16"/>
                <w:szCs w:val="16"/>
              </w:rPr>
              <w:t>Nombre del producto</w:t>
            </w:r>
          </w:p>
        </w:tc>
        <w:tc>
          <w:tcPr>
            <w:tcW w:w="4456"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1A99CEA" w14:textId="77777777" w:rsidR="00786B13" w:rsidRPr="00C12EA1" w:rsidRDefault="00786B13" w:rsidP="009F3F5B">
            <w:pPr>
              <w:pStyle w:val="cabezatabla3"/>
              <w:rPr>
                <w:rFonts w:ascii="Courier New" w:hAnsi="Courier New" w:cs="Courier New"/>
                <w:color w:val="333333"/>
                <w:sz w:val="16"/>
                <w:szCs w:val="16"/>
              </w:rPr>
            </w:pPr>
            <w:r w:rsidRPr="00C12EA1">
              <w:rPr>
                <w:rFonts w:ascii="Courier New" w:hAnsi="Courier New" w:cs="Courier New"/>
                <w:color w:val="333333"/>
                <w:sz w:val="16"/>
                <w:szCs w:val="16"/>
              </w:rPr>
              <w:t>Descripción del bien/producto</w:t>
            </w:r>
          </w:p>
        </w:tc>
        <w:tc>
          <w:tcPr>
            <w:tcW w:w="255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2F57B20" w14:textId="77777777" w:rsidR="00786B13" w:rsidRPr="00C12EA1" w:rsidRDefault="00786B13" w:rsidP="009F3F5B">
            <w:pPr>
              <w:pStyle w:val="cabezatabla3"/>
              <w:rPr>
                <w:rFonts w:ascii="Courier New" w:hAnsi="Courier New" w:cs="Courier New"/>
                <w:color w:val="333333"/>
                <w:sz w:val="16"/>
                <w:szCs w:val="16"/>
              </w:rPr>
            </w:pPr>
            <w:r w:rsidRPr="00C12EA1">
              <w:rPr>
                <w:rFonts w:ascii="Courier New" w:hAnsi="Courier New" w:cs="Courier New"/>
                <w:color w:val="333333"/>
                <w:sz w:val="16"/>
                <w:szCs w:val="16"/>
              </w:rPr>
              <w:t>Código NC</w:t>
            </w:r>
          </w:p>
        </w:tc>
      </w:tr>
      <w:tr w:rsidR="00786B13" w:rsidRPr="00C12EA1" w14:paraId="17213A29"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02826B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F61CAD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Productos sanitarios.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5AE7E5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Respiradores para cuidados intensivos y </w:t>
            </w:r>
            <w:proofErr w:type="spellStart"/>
            <w:r w:rsidRPr="00C12EA1">
              <w:rPr>
                <w:rFonts w:ascii="Courier New" w:hAnsi="Courier New" w:cs="Courier New"/>
                <w:color w:val="000000"/>
                <w:sz w:val="16"/>
                <w:szCs w:val="16"/>
              </w:rPr>
              <w:t>subintensivos</w:t>
            </w:r>
            <w:proofErr w:type="spellEnd"/>
            <w:r w:rsidRPr="00C12EA1">
              <w:rPr>
                <w:rFonts w:ascii="Courier New" w:hAnsi="Courier New" w:cs="Courier New"/>
                <w:color w:val="000000"/>
                <w:sz w:val="16"/>
                <w:szCs w:val="16"/>
              </w:rPr>
              <w:t>.</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231449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tc>
      </w:tr>
      <w:tr w:rsidR="00786B13" w:rsidRPr="00C12EA1" w14:paraId="41B1F7FB"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0C1008C"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73EE9E7"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3A0244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Ventiladores (aparatos para la respiración artificial)</w:t>
            </w:r>
          </w:p>
          <w:p w14:paraId="319B833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Divisores de flujo.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605B84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p w14:paraId="147AAFA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w:t>
            </w:r>
          </w:p>
        </w:tc>
      </w:tr>
      <w:tr w:rsidR="00786B13" w:rsidRPr="00C12EA1" w14:paraId="06116EF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3832F40"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AB886A3"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411F3A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Otros aparatos de oxigenoterapia, incluidas las tiendas de oxígeno.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BC4E3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tc>
      </w:tr>
      <w:tr w:rsidR="00786B13" w:rsidRPr="00C12EA1" w14:paraId="7CE1A3E2"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5DA0105"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766051D"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FDF23B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Oxigenación por membrana extracorpórea.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E6B13C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tc>
      </w:tr>
      <w:tr w:rsidR="00786B13" w:rsidRPr="00C12EA1" w14:paraId="70615D4F"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7590DF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E796FC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Monitores.</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3C133C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Monitores </w:t>
            </w:r>
            <w:proofErr w:type="spellStart"/>
            <w:r w:rsidRPr="00C12EA1">
              <w:rPr>
                <w:rFonts w:ascii="Courier New" w:hAnsi="Courier New" w:cs="Courier New"/>
                <w:color w:val="000000"/>
                <w:sz w:val="16"/>
                <w:szCs w:val="16"/>
              </w:rPr>
              <w:t>multiparámetro</w:t>
            </w:r>
            <w:proofErr w:type="spellEnd"/>
            <w:r w:rsidRPr="00C12EA1">
              <w:rPr>
                <w:rFonts w:ascii="Courier New" w:hAnsi="Courier New" w:cs="Courier New"/>
                <w:color w:val="000000"/>
                <w:sz w:val="16"/>
                <w:szCs w:val="16"/>
              </w:rPr>
              <w:t>, incluyendo versiones portátiles.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5EC2C0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8528 52 91</w:t>
            </w:r>
          </w:p>
        </w:tc>
      </w:tr>
      <w:tr w:rsidR="00786B13" w:rsidRPr="00C12EA1" w14:paraId="4BFEF84C"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24580F4"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F710827"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E528F24"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04A432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8528 52 99</w:t>
            </w:r>
          </w:p>
        </w:tc>
      </w:tr>
      <w:tr w:rsidR="00786B13" w:rsidRPr="00C12EA1" w14:paraId="4C4990E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F88603E"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DE0DBD3"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65E1B6C"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4EDC1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8528 59 00</w:t>
            </w:r>
          </w:p>
          <w:p w14:paraId="135F5B9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8528 52 10</w:t>
            </w:r>
          </w:p>
        </w:tc>
      </w:tr>
      <w:tr w:rsidR="00786B13" w:rsidRPr="00C12EA1" w14:paraId="4E573FB3"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D4836E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66FC92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Bombas.</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9840F8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Bombas peristálticas para nutrición externa</w:t>
            </w:r>
          </w:p>
          <w:p w14:paraId="3A551A7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Bombas infusión medicamentos</w:t>
            </w:r>
          </w:p>
          <w:p w14:paraId="6DE43DC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Bombas de succión.</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824297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 50</w:t>
            </w:r>
          </w:p>
        </w:tc>
      </w:tr>
      <w:tr w:rsidR="00786B13" w:rsidRPr="00C12EA1" w14:paraId="799EF90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43399D6"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AA1581F"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ABE6BA3"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63425E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 84</w:t>
            </w:r>
          </w:p>
        </w:tc>
      </w:tr>
      <w:tr w:rsidR="00786B13" w:rsidRPr="00C12EA1" w14:paraId="003EEF8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2C3F015"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1DE498C"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7B83343"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0935C0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8413 81 00</w:t>
            </w:r>
          </w:p>
        </w:tc>
      </w:tr>
      <w:tr w:rsidR="00786B13" w:rsidRPr="00C12EA1" w14:paraId="70D9CA5B"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9771C15"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97CFA8B"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AA46F1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Sondas de aspiración.</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46B6A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 50</w:t>
            </w:r>
          </w:p>
        </w:tc>
      </w:tr>
      <w:tr w:rsidR="00786B13" w:rsidRPr="00C12EA1" w14:paraId="0B4C0EA5"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E34ECE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4</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F71773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Tubos.</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F676D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Tubos </w:t>
            </w:r>
            <w:proofErr w:type="spellStart"/>
            <w:r w:rsidRPr="00C12EA1">
              <w:rPr>
                <w:rFonts w:ascii="Courier New" w:hAnsi="Courier New" w:cs="Courier New"/>
                <w:color w:val="000000"/>
                <w:sz w:val="16"/>
                <w:szCs w:val="16"/>
              </w:rPr>
              <w:t>endotraqueales</w:t>
            </w:r>
            <w:proofErr w:type="spellEnd"/>
            <w:r w:rsidRPr="00C12EA1">
              <w:rPr>
                <w:rFonts w:ascii="Courier New" w:hAnsi="Courier New" w:cs="Courier New"/>
                <w:color w:val="000000"/>
                <w:sz w:val="16"/>
                <w:szCs w:val="16"/>
              </w:rPr>
              <w:t>;.</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0398FB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 60</w:t>
            </w:r>
          </w:p>
        </w:tc>
      </w:tr>
      <w:tr w:rsidR="00786B13" w:rsidRPr="00C12EA1" w14:paraId="0119306E"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FDA8044"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C77B6F9"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7B35B7B"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6C93C3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tc>
      </w:tr>
      <w:tr w:rsidR="00786B13" w:rsidRPr="00C12EA1" w14:paraId="5E23D8BE"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E63A2E2"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F6C976A"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F97E3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Tubos estériles.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56D0E5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3917 21 10</w:t>
            </w:r>
          </w:p>
          <w:p w14:paraId="11C8C46A" w14:textId="3FE47A04" w:rsidR="00786B13" w:rsidRPr="00C12EA1" w:rsidRDefault="00786B13" w:rsidP="00E5666F">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a ex 3917 39</w:t>
            </w:r>
            <w:r w:rsidR="00E5666F">
              <w:rPr>
                <w:rFonts w:ascii="Courier New" w:hAnsi="Courier New" w:cs="Courier New"/>
                <w:color w:val="000000"/>
                <w:sz w:val="16"/>
                <w:szCs w:val="16"/>
              </w:rPr>
              <w:t xml:space="preserve"> </w:t>
            </w:r>
            <w:r w:rsidRPr="00C12EA1">
              <w:rPr>
                <w:rFonts w:ascii="Courier New" w:hAnsi="Courier New" w:cs="Courier New"/>
                <w:color w:val="000000"/>
                <w:sz w:val="16"/>
                <w:szCs w:val="16"/>
              </w:rPr>
              <w:t>00</w:t>
            </w:r>
          </w:p>
        </w:tc>
      </w:tr>
      <w:tr w:rsidR="00786B13" w:rsidRPr="00C12EA1" w14:paraId="48CC7FDF"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03EE0B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5</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740AC3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Cascos.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71AC57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Cascos ventilación mecánica no invasiva CPAP/NIV;.</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916552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tc>
      </w:tr>
      <w:tr w:rsidR="00786B13" w:rsidRPr="00C12EA1" w14:paraId="2E2ED568"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852604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6</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B4494E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Mascarillas para ventilación no invasiva (NIV).</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12421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Mascarillas de rostro completo y </w:t>
            </w:r>
            <w:proofErr w:type="spellStart"/>
            <w:r w:rsidRPr="00C12EA1">
              <w:rPr>
                <w:rFonts w:ascii="Courier New" w:hAnsi="Courier New" w:cs="Courier New"/>
                <w:color w:val="000000"/>
                <w:sz w:val="16"/>
                <w:szCs w:val="16"/>
              </w:rPr>
              <w:t>orononasales</w:t>
            </w:r>
            <w:proofErr w:type="spellEnd"/>
            <w:r w:rsidRPr="00C12EA1">
              <w:rPr>
                <w:rFonts w:ascii="Courier New" w:hAnsi="Courier New" w:cs="Courier New"/>
                <w:color w:val="000000"/>
                <w:sz w:val="16"/>
                <w:szCs w:val="16"/>
              </w:rPr>
              <w:t xml:space="preserve"> para ventilación no invasiva.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47DEE6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tc>
      </w:tr>
      <w:tr w:rsidR="00786B13" w:rsidRPr="00C12EA1" w14:paraId="4A2DADFA"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5BDCC4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7</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D527CE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Sistemas/máquinas de succión.</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08FBF0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Sistemas de succión.</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5A15B0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tc>
      </w:tr>
      <w:tr w:rsidR="00786B13" w:rsidRPr="00C12EA1" w14:paraId="246D3B5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5781DAB"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C171EC1"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E03D91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Máquinas de succión eléctrica.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4AAF38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9019 20 00</w:t>
            </w:r>
          </w:p>
          <w:p w14:paraId="7D4D958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8543 70 90</w:t>
            </w:r>
          </w:p>
        </w:tc>
      </w:tr>
      <w:tr w:rsidR="00786B13" w:rsidRPr="00C12EA1" w14:paraId="576B8F55"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D89A15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8</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3FE62C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Humidificadores.</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219CD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Humidificadores.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8B489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8415</w:t>
            </w:r>
          </w:p>
        </w:tc>
      </w:tr>
      <w:tr w:rsidR="00786B13" w:rsidRPr="00C12EA1" w14:paraId="4DFBAF5C"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4669F1B"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FF2BDA0"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E6195C5"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0BB56B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8509 80 00</w:t>
            </w:r>
          </w:p>
        </w:tc>
      </w:tr>
      <w:tr w:rsidR="00786B13" w:rsidRPr="00C12EA1" w14:paraId="7B6DD386"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B832B52"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221CCE6"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5BE3A71"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DD4E54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8479 89 97</w:t>
            </w:r>
          </w:p>
        </w:tc>
      </w:tr>
      <w:tr w:rsidR="00786B13" w:rsidRPr="00C12EA1" w14:paraId="4A1C8A76"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F58B4F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9</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9242AB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Laringoscopios.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B88BD4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Laringoscopios.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7D10E4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 20</w:t>
            </w:r>
          </w:p>
        </w:tc>
      </w:tr>
      <w:tr w:rsidR="00786B13" w:rsidRPr="00C12EA1" w14:paraId="3BF7B071"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3F8A93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10</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80360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Suministros médicos fungibles.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2A4F02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Kits de intubación</w:t>
            </w:r>
          </w:p>
          <w:p w14:paraId="5C9EB51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Tijeras laparoscópicas.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95AC1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w:t>
            </w:r>
          </w:p>
        </w:tc>
      </w:tr>
      <w:tr w:rsidR="00786B13" w:rsidRPr="00C12EA1" w14:paraId="762029F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838C0D5"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44A86CB"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A21E44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Jeringas, con o sin aguja.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402D8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31</w:t>
            </w:r>
          </w:p>
        </w:tc>
      </w:tr>
      <w:tr w:rsidR="00786B13" w:rsidRPr="00C12EA1" w14:paraId="3966A666"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AF6442A"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4A1E6E2"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2234DF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Agujas metálicas tubulares y agujas para suturas.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F72926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32</w:t>
            </w:r>
          </w:p>
        </w:tc>
      </w:tr>
      <w:tr w:rsidR="00786B13" w:rsidRPr="00C12EA1" w14:paraId="4A778FF2"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20A6701"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41E63EF"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CECA81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Agujas, catéteres, cánulas.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DF9FD5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39</w:t>
            </w:r>
          </w:p>
        </w:tc>
      </w:tr>
      <w:tr w:rsidR="00786B13" w:rsidRPr="00C12EA1" w14:paraId="5580FDBD"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7DA255B"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6D80A39"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90CF15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Kits de acceso vascular.</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0937F2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 84</w:t>
            </w:r>
          </w:p>
        </w:tc>
      </w:tr>
      <w:tr w:rsidR="00786B13" w:rsidRPr="00C12EA1" w14:paraId="5E669C7E"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09312F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11</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4AE59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Estaciones de monitorización Aparatos de monitorización de pacientes-Aparatos de </w:t>
            </w:r>
            <w:proofErr w:type="spellStart"/>
            <w:r w:rsidRPr="00C12EA1">
              <w:rPr>
                <w:rFonts w:ascii="Courier New" w:hAnsi="Courier New" w:cs="Courier New"/>
                <w:color w:val="000000"/>
                <w:sz w:val="16"/>
                <w:szCs w:val="16"/>
              </w:rPr>
              <w:t>electrodiagnóstico</w:t>
            </w:r>
            <w:proofErr w:type="spellEnd"/>
            <w:r w:rsidRPr="00C12EA1">
              <w:rPr>
                <w:rFonts w:ascii="Courier New" w:hAnsi="Courier New" w:cs="Courier New"/>
                <w:color w:val="000000"/>
                <w:sz w:val="16"/>
                <w:szCs w:val="16"/>
              </w:rPr>
              <w:t>.</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555DE1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Estaciones centrales de monitorización para cuidados intensivos</w:t>
            </w:r>
          </w:p>
          <w:p w14:paraId="1A360035" w14:textId="77777777" w:rsidR="00786B13" w:rsidRPr="00C12EA1" w:rsidRDefault="00786B13" w:rsidP="009F3F5B">
            <w:pPr>
              <w:pStyle w:val="cuerpotablacentro1"/>
              <w:rPr>
                <w:rFonts w:ascii="Courier New" w:hAnsi="Courier New" w:cs="Courier New"/>
                <w:color w:val="000000"/>
                <w:sz w:val="16"/>
                <w:szCs w:val="16"/>
              </w:rPr>
            </w:pPr>
            <w:proofErr w:type="spellStart"/>
            <w:r w:rsidRPr="00C12EA1">
              <w:rPr>
                <w:rFonts w:ascii="Courier New" w:hAnsi="Courier New" w:cs="Courier New"/>
                <w:color w:val="000000"/>
                <w:sz w:val="16"/>
                <w:szCs w:val="16"/>
              </w:rPr>
              <w:t>Oxímetros</w:t>
            </w:r>
            <w:proofErr w:type="spellEnd"/>
            <w:r w:rsidRPr="00C12EA1">
              <w:rPr>
                <w:rFonts w:ascii="Courier New" w:hAnsi="Courier New" w:cs="Courier New"/>
                <w:color w:val="000000"/>
                <w:sz w:val="16"/>
                <w:szCs w:val="16"/>
              </w:rPr>
              <w:t xml:space="preserve"> de pulso.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4B2C1A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w:t>
            </w:r>
          </w:p>
          <w:p w14:paraId="78BBF9A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19</w:t>
            </w:r>
          </w:p>
        </w:tc>
      </w:tr>
      <w:tr w:rsidR="00786B13" w:rsidRPr="00C12EA1" w14:paraId="7E3C2BD9"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18E7999"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1DBA4AB"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24915E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Dispositivos de monitorización de pacientes</w:t>
            </w:r>
          </w:p>
          <w:p w14:paraId="18DA1A6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 Aparatos de </w:t>
            </w:r>
            <w:proofErr w:type="spellStart"/>
            <w:r w:rsidRPr="00C12EA1">
              <w:rPr>
                <w:rFonts w:ascii="Courier New" w:hAnsi="Courier New" w:cs="Courier New"/>
                <w:color w:val="000000"/>
                <w:sz w:val="16"/>
                <w:szCs w:val="16"/>
              </w:rPr>
              <w:t>electrodiagnóstico</w:t>
            </w:r>
            <w:proofErr w:type="spellEnd"/>
            <w:r w:rsidRPr="00C12EA1">
              <w:rPr>
                <w:rFonts w:ascii="Courier New" w:hAnsi="Courier New" w:cs="Courier New"/>
                <w:color w:val="000000"/>
                <w:sz w:val="16"/>
                <w:szCs w:val="16"/>
              </w:rPr>
              <w:t>.</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233D94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19 10</w:t>
            </w:r>
          </w:p>
          <w:p w14:paraId="1A2450C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19 90</w:t>
            </w:r>
          </w:p>
        </w:tc>
      </w:tr>
      <w:tr w:rsidR="00786B13" w:rsidRPr="00C12EA1" w14:paraId="38680C44"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56B2C3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12</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B8B90D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Escáner de ultrasonido portátil.</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440930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Escáner de ultrasonido portátil.</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C551DE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12 00</w:t>
            </w:r>
          </w:p>
        </w:tc>
      </w:tr>
      <w:tr w:rsidR="00786B13" w:rsidRPr="00C12EA1" w14:paraId="299034C3"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AAB6A2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13</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D13ADF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Electrocardiógrafos.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70589C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Electrocardiógrafos.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A82DE2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11 00</w:t>
            </w:r>
          </w:p>
        </w:tc>
      </w:tr>
      <w:tr w:rsidR="00786B13" w:rsidRPr="00C12EA1" w14:paraId="537EA811"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C44ED1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14</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B48537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Sistemas de tomografía </w:t>
            </w:r>
            <w:proofErr w:type="spellStart"/>
            <w:r w:rsidRPr="00C12EA1">
              <w:rPr>
                <w:rFonts w:ascii="Courier New" w:hAnsi="Courier New" w:cs="Courier New"/>
                <w:color w:val="000000"/>
                <w:sz w:val="16"/>
                <w:szCs w:val="16"/>
              </w:rPr>
              <w:t>computerizada</w:t>
            </w:r>
            <w:proofErr w:type="spellEnd"/>
            <w:r w:rsidRPr="00C12EA1">
              <w:rPr>
                <w:rFonts w:ascii="Courier New" w:hAnsi="Courier New" w:cs="Courier New"/>
                <w:color w:val="000000"/>
                <w:sz w:val="16"/>
                <w:szCs w:val="16"/>
              </w:rPr>
              <w:t>/escáneres.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0B5BF7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Sistemas de tomografía </w:t>
            </w:r>
            <w:proofErr w:type="spellStart"/>
            <w:r w:rsidRPr="00C12EA1">
              <w:rPr>
                <w:rFonts w:ascii="Courier New" w:hAnsi="Courier New" w:cs="Courier New"/>
                <w:color w:val="000000"/>
                <w:sz w:val="16"/>
                <w:szCs w:val="16"/>
              </w:rPr>
              <w:t>computerizada</w:t>
            </w:r>
            <w:proofErr w:type="spellEnd"/>
            <w:r w:rsidRPr="00C12EA1">
              <w:rPr>
                <w:rFonts w:ascii="Courier New" w:hAnsi="Courier New" w:cs="Courier New"/>
                <w:color w:val="000000"/>
                <w:sz w:val="16"/>
                <w:szCs w:val="16"/>
              </w:rPr>
              <w:t>.</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77FE30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9022 12,</w:t>
            </w:r>
          </w:p>
          <w:p w14:paraId="2036058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9022 14 00</w:t>
            </w:r>
          </w:p>
        </w:tc>
      </w:tr>
      <w:tr w:rsidR="00786B13" w:rsidRPr="00C12EA1" w14:paraId="19C58163"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D026B7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15</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0E1A58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Mascarillas.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B97D1B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Mascarillas faciales textiles, sin filtro reemplazable ni piezas mecánicas, incluidas las mascarillas quirúrgicas y las mascarillas faciales desechables fabricadas con material textil no tejido.</w:t>
            </w:r>
          </w:p>
          <w:p w14:paraId="5A55DAC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Mascarillas faciales FFP2 y FFP3.</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AB7216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6307 90 10</w:t>
            </w:r>
          </w:p>
          <w:p w14:paraId="4E89DBE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6307 90 98</w:t>
            </w:r>
          </w:p>
        </w:tc>
      </w:tr>
      <w:tr w:rsidR="00786B13" w:rsidRPr="00C12EA1" w14:paraId="19797925"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9017859"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872CFD0" w14:textId="77777777" w:rsidR="00786B13" w:rsidRPr="00C12EA1" w:rsidRDefault="00786B13" w:rsidP="009F3F5B">
            <w:pPr>
              <w:spacing w:line="240" w:lineRule="atLeast"/>
              <w:rPr>
                <w:color w:val="000000"/>
                <w:sz w:val="16"/>
                <w:szCs w:val="16"/>
              </w:rPr>
            </w:pP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79B447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Mascarillas quirúrgicas de papel.</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A9E644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4818 90 10</w:t>
            </w:r>
          </w:p>
        </w:tc>
      </w:tr>
      <w:tr w:rsidR="00786B13" w:rsidRPr="00C12EA1" w14:paraId="076F577A"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4293E41"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D463E33"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ACCE44C"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15F132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4818 90 90</w:t>
            </w:r>
          </w:p>
        </w:tc>
      </w:tr>
      <w:tr w:rsidR="00786B13" w:rsidRPr="00C12EA1" w14:paraId="5FE57007"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57BAAA7"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44E9F84"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74A2C1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Máscaras de gas con piezas mecánicas o filtros reemplazables para la protección contra agentes biológicos. También incluye máscaras que incorporen protección ocular o escudos faciales.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89935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9020 00 00</w:t>
            </w:r>
          </w:p>
        </w:tc>
      </w:tr>
      <w:tr w:rsidR="00786B13" w:rsidRPr="00C12EA1" w14:paraId="6D55E8BB"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007A21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16</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FE16B1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Guantes.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5D680C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Guantes de plástico.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16A8C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3926 20 00</w:t>
            </w:r>
          </w:p>
        </w:tc>
      </w:tr>
      <w:tr w:rsidR="00786B13" w:rsidRPr="00C12EA1" w14:paraId="1F8428CE"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3CE333D"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89074D0"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8DE3E9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Guantes de goma quirúrgicos.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14A17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4015 11 00</w:t>
            </w:r>
          </w:p>
        </w:tc>
      </w:tr>
      <w:tr w:rsidR="00786B13" w:rsidRPr="00C12EA1" w14:paraId="4FC48518"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C1E2BFF"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C8AA237"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D7DE3E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Otros guantes de goma.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19C2F0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4015 19 00</w:t>
            </w:r>
          </w:p>
        </w:tc>
      </w:tr>
      <w:tr w:rsidR="00786B13" w:rsidRPr="00C12EA1" w14:paraId="54812E02"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132BEFD"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2D5BE82"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CFA6FD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Guantes de calcetería impregnados o cubiertos de plástico o goma.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A0A90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6116 10</w:t>
            </w:r>
          </w:p>
        </w:tc>
      </w:tr>
      <w:tr w:rsidR="00786B13" w:rsidRPr="00C12EA1" w14:paraId="3CB98D2B"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ACEF2F7"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04BF1AD"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C83751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Guantes textiles distintos a los de calcetería.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A305F0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6216 00</w:t>
            </w:r>
          </w:p>
        </w:tc>
      </w:tr>
      <w:tr w:rsidR="00786B13" w:rsidRPr="00C12EA1" w14:paraId="01C9D373"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69825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17</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BBAF82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Protecciones faciales.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CF169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Protectores faciales desechables y reutilizables</w:t>
            </w:r>
          </w:p>
          <w:p w14:paraId="29A23C3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Protectores faciales de plástico (que cubran una superficie mayor que la ocular).</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ED5EB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3926 20 00</w:t>
            </w:r>
          </w:p>
          <w:p w14:paraId="6056ECD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3926 90 97</w:t>
            </w:r>
          </w:p>
        </w:tc>
      </w:tr>
      <w:tr w:rsidR="00786B13" w:rsidRPr="00C12EA1" w14:paraId="3BE58E2F"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6C18B3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18</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A07804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Gafas.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CD1CBF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Gagas de protección grandes y pequeñas (googles).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78B5D5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9004 90 10</w:t>
            </w:r>
          </w:p>
          <w:p w14:paraId="288971F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9004 90 90</w:t>
            </w:r>
          </w:p>
        </w:tc>
      </w:tr>
      <w:tr w:rsidR="00786B13" w:rsidRPr="00C12EA1" w14:paraId="383C6F21"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08C742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19</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751805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Monos</w:t>
            </w:r>
          </w:p>
          <w:p w14:paraId="6CB4967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Batas impermeables –diversos tipos– diferentes tamaños</w:t>
            </w:r>
          </w:p>
          <w:p w14:paraId="66FC3FE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Prendas de protección para uso quirúrgico/médico de fieltro o tela sin tejer, incluso impregnadas, recubiertas, revestidas o laminadas (tejidos de las partidas 56.02 o 56.03).</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62D16A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Ropa (incluyendo guantes, mitones y manoplas) multiuso, de goma vulcanizada.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ACBD1C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4015 90 00</w:t>
            </w:r>
          </w:p>
        </w:tc>
      </w:tr>
      <w:tr w:rsidR="00786B13" w:rsidRPr="00C12EA1" w14:paraId="1EAD5A6D"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1800DAC"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8993A4E"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95E8C5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Prendas de vestir.</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B3BC2C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3926 20 00</w:t>
            </w:r>
          </w:p>
        </w:tc>
      </w:tr>
      <w:tr w:rsidR="00786B13" w:rsidRPr="00C12EA1" w14:paraId="46636F2F"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B72D3DF"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F370EC4"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E3E5FA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Ropa y accesorios.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9E94E0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4818 50 00</w:t>
            </w:r>
          </w:p>
        </w:tc>
      </w:tr>
      <w:tr w:rsidR="00786B13" w:rsidRPr="00C12EA1" w14:paraId="1FBEC6D1"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FAD3596"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2EDC1B0"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62C631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Prendas de vestir confeccionadas con tejido de punto de las partidas 5903, 5906 o 5907.</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FE14CC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6113 00 10</w:t>
            </w:r>
          </w:p>
          <w:p w14:paraId="014A703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6113 00 90</w:t>
            </w:r>
          </w:p>
        </w:tc>
      </w:tr>
      <w:tr w:rsidR="00786B13" w:rsidRPr="00C12EA1" w14:paraId="10E96F4A"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4DE108C"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62DC14A"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45CD77A"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Otras prendas con tejido de calcetería.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8C3218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6114</w:t>
            </w:r>
          </w:p>
        </w:tc>
      </w:tr>
      <w:tr w:rsidR="00786B13" w:rsidRPr="00C12EA1" w14:paraId="41FF17FF"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65F3569"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D90DA94"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91E4D0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Prendas de vestir de protección para uso quirúrgico/médico hechas con fieltro o tela sin tejer, impregnadas o no, recubiertas, revestidas o laminadas (tejidos de las partidas 56.02 o 56.03). Incluya las prendas de materiales no tejidos («</w:t>
            </w:r>
            <w:proofErr w:type="spellStart"/>
            <w:r w:rsidRPr="00C12EA1">
              <w:rPr>
                <w:rFonts w:ascii="Courier New" w:hAnsi="Courier New" w:cs="Courier New"/>
                <w:color w:val="000000"/>
                <w:sz w:val="16"/>
                <w:szCs w:val="16"/>
              </w:rPr>
              <w:t>spun-bonded</w:t>
            </w:r>
            <w:proofErr w:type="spellEnd"/>
            <w:r w:rsidRPr="00C12EA1">
              <w:rPr>
                <w:rFonts w:ascii="Courier New" w:hAnsi="Courier New" w:cs="Courier New"/>
                <w:color w:val="000000"/>
                <w:sz w:val="16"/>
                <w:szCs w:val="16"/>
              </w:rPr>
              <w:t>»).</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A7D3FA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6210 10</w:t>
            </w:r>
          </w:p>
        </w:tc>
      </w:tr>
      <w:tr w:rsidR="00786B13" w:rsidRPr="00C12EA1" w14:paraId="54B72F8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2486BEC"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F613837" w14:textId="77777777" w:rsidR="00786B13" w:rsidRPr="00C12EA1" w:rsidRDefault="00786B13" w:rsidP="009F3F5B">
            <w:pPr>
              <w:spacing w:line="240" w:lineRule="atLeast"/>
              <w:rPr>
                <w:color w:val="000000"/>
                <w:sz w:val="16"/>
                <w:szCs w:val="16"/>
              </w:rPr>
            </w:pP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FB67D0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Otras prendas de vestir de protección hechas con tejidos cauchutados o impregnados, recubiertos, revestidos o laminados (tejidos de las partidas 59.03, 59.06 o 59.07)-.</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6E6863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6210 20</w:t>
            </w:r>
          </w:p>
        </w:tc>
      </w:tr>
      <w:tr w:rsidR="00786B13" w:rsidRPr="00C12EA1" w14:paraId="36300A19"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2A69E64"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D172817"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C69B1F4"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DDCAEF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6210 30</w:t>
            </w:r>
          </w:p>
        </w:tc>
      </w:tr>
      <w:tr w:rsidR="00786B13" w:rsidRPr="00C12EA1" w14:paraId="4FAB256E"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C0043E9"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13A31E3"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098AF34"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C861A4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6210 40</w:t>
            </w:r>
          </w:p>
        </w:tc>
      </w:tr>
      <w:tr w:rsidR="00786B13" w:rsidRPr="00C12EA1" w14:paraId="25C8D6B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3C7CEAA"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3504A90"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A496B6D"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DAB0AC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6210 50</w:t>
            </w:r>
          </w:p>
        </w:tc>
      </w:tr>
      <w:tr w:rsidR="00786B13" w:rsidRPr="00C12EA1" w14:paraId="251D60DB"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4E14E3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20</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28389B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Cobertores de calzado/calzas.</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B4758F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Cobertores de calzado/calzas.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B2C148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3926 90 97</w:t>
            </w:r>
          </w:p>
        </w:tc>
      </w:tr>
      <w:tr w:rsidR="00786B13" w:rsidRPr="00C12EA1" w14:paraId="2CC6F5C6"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3198028"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4566D20"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2A5425C"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8EFA62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4818 90</w:t>
            </w:r>
          </w:p>
        </w:tc>
      </w:tr>
      <w:tr w:rsidR="00786B13" w:rsidRPr="00C12EA1" w14:paraId="5A40ABFB"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7CF7635"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CF6C1D2"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17664B7"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60288A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6307 90 98</w:t>
            </w:r>
          </w:p>
        </w:tc>
      </w:tr>
      <w:tr w:rsidR="00786B13" w:rsidRPr="00C12EA1" w14:paraId="46BE1852"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E12A33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21</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C0C1F1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Gorros.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811927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Gorras de picos.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52DBD2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6505 00 30</w:t>
            </w:r>
          </w:p>
        </w:tc>
      </w:tr>
      <w:tr w:rsidR="00786B13" w:rsidRPr="00C12EA1" w14:paraId="5048D2DD"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5B7E081"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A2C58C0"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255BE2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Gorros y otras protecciones para la cabeza y redecillas de cualquier material.</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E6DAB1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6505 00 90</w:t>
            </w:r>
          </w:p>
        </w:tc>
      </w:tr>
      <w:tr w:rsidR="00786B13" w:rsidRPr="00C12EA1" w14:paraId="4331443D"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4CE55E9"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AC27528"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1154B2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Los restantes gorros y protecciones para la cabeza, forrados/ajustados o no.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8F03BC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6506</w:t>
            </w:r>
          </w:p>
        </w:tc>
      </w:tr>
      <w:tr w:rsidR="00786B13" w:rsidRPr="00C12EA1" w14:paraId="58227BCF"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413ABE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22</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1B7A62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Termómetros.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D6DCDB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Termómetros de líquido para lectura directa.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87A552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9025 11 20</w:t>
            </w:r>
          </w:p>
        </w:tc>
      </w:tr>
      <w:tr w:rsidR="00786B13" w:rsidRPr="00C12EA1" w14:paraId="3AE36C0A"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DF49395"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ACE9DBB"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38610A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Termómetros digitales, o termómetros infrarrojos para medición sobre la frente.</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93900E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9025 19 00</w:t>
            </w:r>
          </w:p>
        </w:tc>
      </w:tr>
      <w:tr w:rsidR="00786B13" w:rsidRPr="00C12EA1" w14:paraId="57697AE4"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1B48D3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23</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69AE2D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Jabón para el lavado de manos.</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FDBDE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Jabón y productos orgánicos </w:t>
            </w:r>
            <w:proofErr w:type="spellStart"/>
            <w:r w:rsidRPr="00C12EA1">
              <w:rPr>
                <w:rFonts w:ascii="Courier New" w:hAnsi="Courier New" w:cs="Courier New"/>
                <w:color w:val="000000"/>
                <w:sz w:val="16"/>
                <w:szCs w:val="16"/>
              </w:rPr>
              <w:t>tensioactivos</w:t>
            </w:r>
            <w:proofErr w:type="spellEnd"/>
            <w:r w:rsidRPr="00C12EA1">
              <w:rPr>
                <w:rFonts w:ascii="Courier New" w:hAnsi="Courier New" w:cs="Courier New"/>
                <w:color w:val="000000"/>
                <w:sz w:val="16"/>
                <w:szCs w:val="16"/>
              </w:rPr>
              <w:t xml:space="preserve"> y preparados para el lavado de manos (jabón de tocador).</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76B38A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3401 11 00</w:t>
            </w:r>
          </w:p>
        </w:tc>
      </w:tr>
      <w:tr w:rsidR="00786B13" w:rsidRPr="00C12EA1" w14:paraId="0B8C57EE"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49C7252"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0DA6013"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4A479CA"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4E11FC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3401 19 00</w:t>
            </w:r>
          </w:p>
        </w:tc>
      </w:tr>
      <w:tr w:rsidR="00786B13" w:rsidRPr="00C12EA1" w14:paraId="69F94ADF"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2160201"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157B136" w14:textId="77777777" w:rsidR="00786B13" w:rsidRPr="00C12EA1" w:rsidRDefault="00786B13" w:rsidP="009F3F5B">
            <w:pPr>
              <w:spacing w:line="240" w:lineRule="atLeast"/>
              <w:rPr>
                <w:color w:val="000000"/>
                <w:sz w:val="16"/>
                <w:szCs w:val="16"/>
              </w:rPr>
            </w:pP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C363E1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Jabón y productos orgánicos </w:t>
            </w:r>
            <w:proofErr w:type="spellStart"/>
            <w:r w:rsidRPr="00C12EA1">
              <w:rPr>
                <w:rFonts w:ascii="Courier New" w:hAnsi="Courier New" w:cs="Courier New"/>
                <w:color w:val="000000"/>
                <w:sz w:val="16"/>
                <w:szCs w:val="16"/>
              </w:rPr>
              <w:t>tensioactivos</w:t>
            </w:r>
            <w:proofErr w:type="spellEnd"/>
          </w:p>
          <w:p w14:paraId="27F880D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Jabón en otras formas.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372E64A"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3401 20 10</w:t>
            </w:r>
          </w:p>
        </w:tc>
      </w:tr>
      <w:tr w:rsidR="00786B13" w:rsidRPr="00C12EA1" w14:paraId="18B74705"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BBA2A60"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FF864CA"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73F70E7"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7DB076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3401 20 90</w:t>
            </w:r>
          </w:p>
        </w:tc>
      </w:tr>
      <w:tr w:rsidR="00786B13" w:rsidRPr="00C12EA1" w14:paraId="2D4D4778"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A2C4D6D"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0A33ACC"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11362A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Agentes orgánicos </w:t>
            </w:r>
            <w:proofErr w:type="spellStart"/>
            <w:r w:rsidRPr="00C12EA1">
              <w:rPr>
                <w:rFonts w:ascii="Courier New" w:hAnsi="Courier New" w:cs="Courier New"/>
                <w:color w:val="000000"/>
                <w:sz w:val="16"/>
                <w:szCs w:val="16"/>
              </w:rPr>
              <w:t>tensioactivos</w:t>
            </w:r>
            <w:proofErr w:type="spellEnd"/>
            <w:r w:rsidRPr="00C12EA1">
              <w:rPr>
                <w:rFonts w:ascii="Courier New" w:hAnsi="Courier New" w:cs="Courier New"/>
                <w:color w:val="000000"/>
                <w:sz w:val="16"/>
                <w:szCs w:val="16"/>
              </w:rPr>
              <w:t xml:space="preserve"> (distintos del jabón)-Catiónicos.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BD540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3402 12</w:t>
            </w:r>
          </w:p>
        </w:tc>
      </w:tr>
      <w:tr w:rsidR="00786B13" w:rsidRPr="00C12EA1" w14:paraId="0E9D9F68"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8BB7F8B"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C18ACC6"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9A8E10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Productos y preparaciones orgánicos </w:t>
            </w:r>
            <w:proofErr w:type="spellStart"/>
            <w:r w:rsidRPr="00C12EA1">
              <w:rPr>
                <w:rFonts w:ascii="Courier New" w:hAnsi="Courier New" w:cs="Courier New"/>
                <w:color w:val="000000"/>
                <w:sz w:val="16"/>
                <w:szCs w:val="16"/>
              </w:rPr>
              <w:t>tensioactivos</w:t>
            </w:r>
            <w:proofErr w:type="spellEnd"/>
            <w:r w:rsidRPr="00C12EA1">
              <w:rPr>
                <w:rFonts w:ascii="Courier New" w:hAnsi="Courier New" w:cs="Courier New"/>
                <w:color w:val="000000"/>
                <w:sz w:val="16"/>
                <w:szCs w:val="16"/>
              </w:rPr>
              <w:t xml:space="preserve"> para el lavado de la piel, en forma de líquido o crema y preparados para la venta al por menor, que contengan jabón o no.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CD8CC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3401 30 00</w:t>
            </w:r>
          </w:p>
        </w:tc>
      </w:tr>
      <w:tr w:rsidR="00786B13" w:rsidRPr="00C12EA1" w14:paraId="127D3114"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F923B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24</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3DBC92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Dispensadores de desinfectante para manos instalables en pared.</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1C15E7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Dispensadores de desinfectante para manos instalables en pared.</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252185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8479 89 97</w:t>
            </w:r>
          </w:p>
        </w:tc>
      </w:tr>
      <w:tr w:rsidR="00786B13" w:rsidRPr="00C12EA1" w14:paraId="5C1381B4"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7D093D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25</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7C3CB0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Solución </w:t>
            </w:r>
            <w:proofErr w:type="spellStart"/>
            <w:r w:rsidRPr="00C12EA1">
              <w:rPr>
                <w:rFonts w:ascii="Courier New" w:hAnsi="Courier New" w:cs="Courier New"/>
                <w:color w:val="000000"/>
                <w:sz w:val="16"/>
                <w:szCs w:val="16"/>
              </w:rPr>
              <w:t>hidroalcohólica</w:t>
            </w:r>
            <w:proofErr w:type="spellEnd"/>
            <w:r w:rsidRPr="00C12EA1">
              <w:rPr>
                <w:rFonts w:ascii="Courier New" w:hAnsi="Courier New" w:cs="Courier New"/>
                <w:color w:val="000000"/>
                <w:sz w:val="16"/>
                <w:szCs w:val="16"/>
              </w:rPr>
              <w:t xml:space="preserve"> en litros.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D50F9C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2207 10: sin desnaturalizar, con Vol. alcohol etílico del 80% o más.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68A20A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2207 10 00</w:t>
            </w:r>
          </w:p>
        </w:tc>
      </w:tr>
      <w:tr w:rsidR="00786B13" w:rsidRPr="00C12EA1" w14:paraId="3CCFFDC0"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363CAD4"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6690B32"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6DF517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2207 20: desnaturalizado, de cualquier concentración.</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044DC9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2207 20 00</w:t>
            </w:r>
          </w:p>
        </w:tc>
      </w:tr>
      <w:tr w:rsidR="00786B13" w:rsidRPr="00C12EA1" w14:paraId="1D13A32E"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246879E"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6CD7C36" w14:textId="77777777" w:rsidR="00786B13" w:rsidRPr="00C12EA1" w:rsidRDefault="00786B13" w:rsidP="009F3F5B">
            <w:pPr>
              <w:spacing w:line="240" w:lineRule="atLeast"/>
              <w:rPr>
                <w:color w:val="000000"/>
                <w:sz w:val="16"/>
                <w:szCs w:val="16"/>
              </w:rPr>
            </w:pP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422E5D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2208 90: sin desnaturalizar, con Vol. Inferior al 80% de alcohol etílico.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9D8CBEA"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2208 90 91</w:t>
            </w:r>
          </w:p>
        </w:tc>
      </w:tr>
      <w:tr w:rsidR="00786B13" w:rsidRPr="00C12EA1" w14:paraId="183C4C3B"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567E704"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E164CFC"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89432CB"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6D680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2208 90 99</w:t>
            </w:r>
          </w:p>
        </w:tc>
      </w:tr>
      <w:tr w:rsidR="00786B13" w:rsidRPr="00C12EA1" w14:paraId="7C90A861"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C4520C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26</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306D4E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Peróxido de hidrógeno al 3% en litros.</w:t>
            </w:r>
          </w:p>
          <w:p w14:paraId="182333C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Peróxido de hidrógeno incorporado a preparados desinfectantes para la limpieza de superficies.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986558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Peróxido de hidrógeno, solidificado o no con urea.</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8BD5A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2847 00 00</w:t>
            </w:r>
          </w:p>
        </w:tc>
      </w:tr>
      <w:tr w:rsidR="00786B13" w:rsidRPr="00C12EA1" w14:paraId="7726F8D7"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4989855"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D18E1E5"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9F196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Peróxido de hidrógeno a granel.</w:t>
            </w: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89E9780" w14:textId="77777777" w:rsidR="00786B13" w:rsidRPr="00C12EA1" w:rsidRDefault="00786B13" w:rsidP="009F3F5B">
            <w:pPr>
              <w:spacing w:line="240" w:lineRule="atLeast"/>
              <w:rPr>
                <w:color w:val="000000"/>
                <w:sz w:val="16"/>
                <w:szCs w:val="16"/>
              </w:rPr>
            </w:pPr>
          </w:p>
        </w:tc>
      </w:tr>
      <w:tr w:rsidR="00786B13" w:rsidRPr="00C12EA1" w14:paraId="12A551A4"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D254D50"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B13BD9F"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F5E422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Desinfectante para manos.</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E1C66E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3808 94</w:t>
            </w:r>
          </w:p>
        </w:tc>
      </w:tr>
      <w:tr w:rsidR="00786B13" w:rsidRPr="00C12EA1" w14:paraId="013C39D1"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B39B540"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FEB4CB1"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0E9E04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Otros preparados desinfectantes.</w:t>
            </w: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74D72DC" w14:textId="77777777" w:rsidR="00786B13" w:rsidRPr="00C12EA1" w:rsidRDefault="00786B13" w:rsidP="009F3F5B">
            <w:pPr>
              <w:spacing w:line="240" w:lineRule="atLeast"/>
              <w:rPr>
                <w:color w:val="000000"/>
                <w:sz w:val="16"/>
                <w:szCs w:val="16"/>
              </w:rPr>
            </w:pPr>
          </w:p>
        </w:tc>
      </w:tr>
      <w:tr w:rsidR="00786B13" w:rsidRPr="00C12EA1" w14:paraId="49CEADF6"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E82BCD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27</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94AED2" w14:textId="77777777" w:rsidR="00786B13" w:rsidRPr="00C12EA1" w:rsidRDefault="00786B13" w:rsidP="009F3F5B">
            <w:pPr>
              <w:pStyle w:val="cuerpotablacentro1"/>
              <w:rPr>
                <w:rFonts w:ascii="Courier New" w:hAnsi="Courier New" w:cs="Courier New"/>
                <w:color w:val="000000"/>
                <w:sz w:val="16"/>
                <w:szCs w:val="16"/>
              </w:rPr>
            </w:pPr>
            <w:proofErr w:type="spellStart"/>
            <w:r w:rsidRPr="00C12EA1">
              <w:rPr>
                <w:rFonts w:ascii="Courier New" w:hAnsi="Courier New" w:cs="Courier New"/>
                <w:color w:val="000000"/>
                <w:sz w:val="16"/>
                <w:szCs w:val="16"/>
              </w:rPr>
              <w:t>Transportines</w:t>
            </w:r>
            <w:proofErr w:type="spellEnd"/>
            <w:r w:rsidRPr="00C12EA1">
              <w:rPr>
                <w:rFonts w:ascii="Courier New" w:hAnsi="Courier New" w:cs="Courier New"/>
                <w:color w:val="000000"/>
                <w:sz w:val="16"/>
                <w:szCs w:val="16"/>
              </w:rPr>
              <w:t xml:space="preserve"> de emergencia.</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B03A4B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Transporte para personas con discapacidad (sillas de ruedas).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5D43A5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8713</w:t>
            </w:r>
          </w:p>
        </w:tc>
      </w:tr>
      <w:tr w:rsidR="00786B13" w:rsidRPr="00C12EA1" w14:paraId="26A1528B"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8F4A377"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C2FD1B0"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18C356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Camillas y carritos para el traslado de pacientes dentro de los hospitales o clínicas.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AE8F8E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9402 90 00</w:t>
            </w:r>
          </w:p>
        </w:tc>
      </w:tr>
      <w:tr w:rsidR="00786B13" w:rsidRPr="00C12EA1" w14:paraId="3000FD0C"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5E860C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28</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D6B58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Extractores ARN.</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DFEA4BA"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Extractores ARN.</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D02659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9027 80</w:t>
            </w:r>
          </w:p>
        </w:tc>
      </w:tr>
      <w:tr w:rsidR="00786B13" w:rsidRPr="00C12EA1" w14:paraId="2B29E5AD"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0F8740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29</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686F82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Kits de pruebas para el COVID-19 / Instrumental y aparatos utilizados en las pruebas diagnósticas.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2EA7C9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Kits de prueba diagnóstica del Coronavirus</w:t>
            </w:r>
          </w:p>
          <w:p w14:paraId="38BB25F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Reactivos de diagnóstico basados en reacciones inmunológicas</w:t>
            </w:r>
          </w:p>
          <w:p w14:paraId="7EAD596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Equipo de hisopos y medio de transporte viral.</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B4B1C2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3002 13 00</w:t>
            </w:r>
          </w:p>
          <w:p w14:paraId="6B84FC3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3002 14 00</w:t>
            </w:r>
          </w:p>
          <w:p w14:paraId="67CD565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3002 15 00</w:t>
            </w:r>
          </w:p>
          <w:p w14:paraId="4B776CE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3002 90 90</w:t>
            </w:r>
          </w:p>
          <w:p w14:paraId="3F9AA7F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3821 00</w:t>
            </w:r>
          </w:p>
        </w:tc>
      </w:tr>
      <w:tr w:rsidR="00786B13" w:rsidRPr="00C12EA1" w14:paraId="228F39C8"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15CF3DF"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6045334"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EF8DDA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Reactivos de diagnóstico basados en la reacción en cadena de la polimerasa (PCR) prueba del ácido nucleico.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C5BA32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3822 00 00</w:t>
            </w:r>
          </w:p>
        </w:tc>
      </w:tr>
      <w:tr w:rsidR="00786B13" w:rsidRPr="00C12EA1" w14:paraId="7D074AE3"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BA877FC"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90FDF94"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101134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Instrumental utilizado en los laboratorios clínicos para el diagnóstico in vitro.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14E1EF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9027 80 80</w:t>
            </w:r>
          </w:p>
        </w:tc>
      </w:tr>
      <w:tr w:rsidR="00786B13" w:rsidRPr="00C12EA1" w14:paraId="1FA05875"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BD0E027"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733EB0C"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DCCEBA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Kits para muestras.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979134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9018 90</w:t>
            </w:r>
          </w:p>
          <w:p w14:paraId="54E63C3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9027 80</w:t>
            </w:r>
          </w:p>
        </w:tc>
      </w:tr>
      <w:tr w:rsidR="00786B13" w:rsidRPr="00C12EA1" w14:paraId="705AF870"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56E318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30</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6E1A1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Hisopos.</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DED058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Guata, gasa, vendas, bastoncillos de algodón y artículos similares.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8FB00D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3005 90 10</w:t>
            </w:r>
          </w:p>
        </w:tc>
      </w:tr>
      <w:tr w:rsidR="00786B13" w:rsidRPr="00C12EA1" w14:paraId="11111CA4"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6CF9C876"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58C46BC"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1827B7B"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5C7E7B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3005 90 99</w:t>
            </w:r>
          </w:p>
        </w:tc>
      </w:tr>
      <w:tr w:rsidR="00786B13" w:rsidRPr="00C12EA1" w14:paraId="1A9E6B0F"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8848C3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31</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004864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Material para la instalación de hospitales de campaña.</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8A1342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Camas hospitalarias.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B59AF1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9402 90 00</w:t>
            </w:r>
          </w:p>
        </w:tc>
      </w:tr>
      <w:tr w:rsidR="00786B13" w:rsidRPr="00C12EA1" w14:paraId="700604B8"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A7DDB4A"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952929A"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CF0D4A"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Carpas/tiendas de campaña.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53DA69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6306 22 00,</w:t>
            </w:r>
          </w:p>
          <w:p w14:paraId="392C355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6306 29 00</w:t>
            </w:r>
          </w:p>
        </w:tc>
      </w:tr>
      <w:tr w:rsidR="00786B13" w:rsidRPr="00C12EA1" w14:paraId="12E57238"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1EFEBB3"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C31F862"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412B6F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Carpas/tiendas de campaña de plástico.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D01389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3926 90 97</w:t>
            </w:r>
          </w:p>
        </w:tc>
      </w:tr>
      <w:tr w:rsidR="00786B13" w:rsidRPr="00C12EA1" w14:paraId="236EE18B"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75B950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32</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F7005DA"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Medicinas.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79D68C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 </w:t>
            </w:r>
            <w:proofErr w:type="spellStart"/>
            <w:r w:rsidRPr="00C12EA1">
              <w:rPr>
                <w:rFonts w:ascii="Courier New" w:hAnsi="Courier New" w:cs="Courier New"/>
                <w:color w:val="000000"/>
                <w:sz w:val="16"/>
                <w:szCs w:val="16"/>
              </w:rPr>
              <w:t>Remdesivir</w:t>
            </w:r>
            <w:proofErr w:type="spellEnd"/>
          </w:p>
          <w:p w14:paraId="1CC9089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 </w:t>
            </w:r>
            <w:proofErr w:type="spellStart"/>
            <w:r w:rsidRPr="00C12EA1">
              <w:rPr>
                <w:rFonts w:ascii="Courier New" w:hAnsi="Courier New" w:cs="Courier New"/>
                <w:color w:val="000000"/>
                <w:sz w:val="16"/>
                <w:szCs w:val="16"/>
              </w:rPr>
              <w:t>Dexametasona</w:t>
            </w:r>
            <w:proofErr w:type="spellEnd"/>
            <w:r w:rsidRPr="00C12EA1">
              <w:rPr>
                <w:rFonts w:ascii="Courier New" w:hAnsi="Courier New" w:cs="Courier New"/>
                <w:color w:val="000000"/>
                <w:sz w:val="16"/>
                <w:szCs w:val="16"/>
              </w:rPr>
              <w:t>.</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75C279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2934 99 90</w:t>
            </w:r>
          </w:p>
          <w:p w14:paraId="5568447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2937 22 00</w:t>
            </w:r>
          </w:p>
          <w:p w14:paraId="1C177D4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3003 39 00</w:t>
            </w:r>
          </w:p>
          <w:p w14:paraId="4C2E8DF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3003 90 00</w:t>
            </w:r>
          </w:p>
          <w:p w14:paraId="310865B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3004 32 00</w:t>
            </w:r>
          </w:p>
          <w:p w14:paraId="2A33E1E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3004 90 00</w:t>
            </w:r>
          </w:p>
        </w:tc>
      </w:tr>
      <w:tr w:rsidR="00786B13" w:rsidRPr="00C12EA1" w14:paraId="632CCFC8"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FCF5DE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33</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1530B1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Esterilizadores médicos, quirúrgicos o de laboratorio.</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9DC470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Esterilizadores médicos, quirúrgicos o de laboratorio.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29E4FD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8419 20 00</w:t>
            </w:r>
          </w:p>
          <w:p w14:paraId="4E6A683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8419 90 15</w:t>
            </w:r>
          </w:p>
        </w:tc>
      </w:tr>
      <w:tr w:rsidR="00786B13" w:rsidRPr="00C12EA1" w14:paraId="0F857472"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92C28A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34</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E1FCE2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1- propanol (alcohol propílico) y 2 – propanol (alcohol </w:t>
            </w:r>
            <w:proofErr w:type="spellStart"/>
            <w:r w:rsidRPr="00C12EA1">
              <w:rPr>
                <w:rFonts w:ascii="Courier New" w:hAnsi="Courier New" w:cs="Courier New"/>
                <w:color w:val="000000"/>
                <w:sz w:val="16"/>
                <w:szCs w:val="16"/>
              </w:rPr>
              <w:t>isopropílico</w:t>
            </w:r>
            <w:proofErr w:type="spellEnd"/>
            <w:r w:rsidRPr="00C12EA1">
              <w:rPr>
                <w:rFonts w:ascii="Courier New" w:hAnsi="Courier New" w:cs="Courier New"/>
                <w:color w:val="000000"/>
                <w:sz w:val="16"/>
                <w:szCs w:val="16"/>
              </w:rPr>
              <w:t>).</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5349F4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1- propanol (alcohol propílico) y 2 – propanol (alcohol </w:t>
            </w:r>
            <w:proofErr w:type="spellStart"/>
            <w:r w:rsidRPr="00C12EA1">
              <w:rPr>
                <w:rFonts w:ascii="Courier New" w:hAnsi="Courier New" w:cs="Courier New"/>
                <w:color w:val="000000"/>
                <w:sz w:val="16"/>
                <w:szCs w:val="16"/>
              </w:rPr>
              <w:t>isopropílico</w:t>
            </w:r>
            <w:proofErr w:type="spellEnd"/>
            <w:r w:rsidRPr="00C12EA1">
              <w:rPr>
                <w:rFonts w:ascii="Courier New" w:hAnsi="Courier New" w:cs="Courier New"/>
                <w:color w:val="000000"/>
                <w:sz w:val="16"/>
                <w:szCs w:val="16"/>
              </w:rPr>
              <w:t>).</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ED07E2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2905 12 00</w:t>
            </w:r>
          </w:p>
        </w:tc>
      </w:tr>
      <w:tr w:rsidR="00786B13" w:rsidRPr="00C12EA1" w14:paraId="604306A7"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DD0E2B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35</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195CA1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Éteres, éteres-alcoholes, éteres fenoles, éteres-alcohol-fenoles, peróxidos de alcohol, otros peróxidos, peróxidos de cetona.</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A769EC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Éteres, éteres-alcoholes, éteres fenoles, éteres-alcohol-fenoles, peróxidos de alcohol, otros peróxidos, peróxidos de cetona.</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3B5607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2909</w:t>
            </w:r>
          </w:p>
        </w:tc>
      </w:tr>
      <w:tr w:rsidR="00786B13" w:rsidRPr="00C12EA1" w14:paraId="284997AB"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66328D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36</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521558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Ácido fórmico.</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ADA1A9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Ácido fórmico (y sales derivadas).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C3A0B4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2915 11 00</w:t>
            </w:r>
          </w:p>
          <w:p w14:paraId="09D0BF5A"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2915 12 00</w:t>
            </w:r>
          </w:p>
        </w:tc>
      </w:tr>
      <w:tr w:rsidR="00786B13" w:rsidRPr="00C12EA1" w14:paraId="5D6D3320"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A4C48E6"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37</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B9567D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Ácido salicílico.</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DBE47A0"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Ácido salicílico y sales derivadas.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7CEA3C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2918 21 00</w:t>
            </w:r>
          </w:p>
        </w:tc>
      </w:tr>
      <w:tr w:rsidR="00786B13" w:rsidRPr="00C12EA1" w14:paraId="3FAC4841"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14F30C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38</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6105B6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Paños de un solo uso hechos de tejidos de la partida 5603, del tipo utilizado durante los procedimientos quirúrgicos.</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C8F4EF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Paños de un solo uso hechos de tejidos de la partida 5603, del tipo utilizado durante los procedimientos quirúrgicos.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0D53DA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6307 90 92</w:t>
            </w:r>
          </w:p>
        </w:tc>
      </w:tr>
      <w:tr w:rsidR="00786B13" w:rsidRPr="00C12EA1" w14:paraId="6F01E9E8"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4F5CABD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39</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13878B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Telas no tejidas, estén o no impregnadas, recubiertas, revestidas o laminadas.</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E7B239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Telas no tejidas, estén o no impregnadas, recubiertas, revestidas o laminadas.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1183B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5603 11 10</w:t>
            </w:r>
          </w:p>
          <w:p w14:paraId="7BF7DDB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a</w:t>
            </w:r>
          </w:p>
        </w:tc>
      </w:tr>
      <w:tr w:rsidR="00786B13" w:rsidRPr="00C12EA1" w14:paraId="710DE5BF"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3777521B"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795B424"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52CBD38"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063D5C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5603 94 90</w:t>
            </w:r>
          </w:p>
        </w:tc>
      </w:tr>
      <w:tr w:rsidR="00786B13" w:rsidRPr="00C12EA1" w14:paraId="4953F834"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D33CD2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40</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751C88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Artículos de uso quirúrgico, médico o higiénico, no destinados a la venta al por menor.</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787A75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Cobertores de cama de papel.</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A2B471D"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4818 90</w:t>
            </w:r>
          </w:p>
        </w:tc>
      </w:tr>
      <w:tr w:rsidR="00786B13" w:rsidRPr="00C12EA1" w14:paraId="01DFFE57"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565C67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41</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C7BD2C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Cristalería de laboratorio, higiénica o farmacéutica.</w:t>
            </w:r>
          </w:p>
        </w:tc>
        <w:tc>
          <w:tcPr>
            <w:tcW w:w="4456"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552907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Cristalería de laboratorio, higiénica o farmacéutica, tanto si están calibrados o graduados o no.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B7DBD9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7017 10 00</w:t>
            </w:r>
          </w:p>
        </w:tc>
      </w:tr>
      <w:tr w:rsidR="00786B13" w:rsidRPr="00C12EA1" w14:paraId="5A69E4F8"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92CFBF7"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1DCAFA97"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0EFC44BF"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EE60C1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7017 20 00</w:t>
            </w:r>
          </w:p>
        </w:tc>
      </w:tr>
      <w:tr w:rsidR="00786B13" w:rsidRPr="00C12EA1" w14:paraId="1020DA40"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B81D8D5"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2F683BF2" w14:textId="77777777" w:rsidR="00786B13" w:rsidRPr="00C12EA1" w:rsidRDefault="00786B13" w:rsidP="009F3F5B">
            <w:pPr>
              <w:spacing w:line="240" w:lineRule="atLeast"/>
              <w:rPr>
                <w:color w:val="000000"/>
                <w:sz w:val="16"/>
                <w:szCs w:val="16"/>
              </w:rPr>
            </w:pPr>
          </w:p>
        </w:tc>
        <w:tc>
          <w:tcPr>
            <w:tcW w:w="4456"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4CD08137" w14:textId="77777777" w:rsidR="00786B13" w:rsidRPr="00C12EA1" w:rsidRDefault="00786B13" w:rsidP="009F3F5B">
            <w:pPr>
              <w:spacing w:line="240" w:lineRule="atLeast"/>
              <w:rPr>
                <w:color w:val="000000"/>
                <w:sz w:val="16"/>
                <w:szCs w:val="16"/>
              </w:rPr>
            </w:pP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5F9EDB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7017 90 00</w:t>
            </w:r>
          </w:p>
        </w:tc>
      </w:tr>
      <w:tr w:rsidR="00786B13" w:rsidRPr="00C12EA1" w14:paraId="138C5AFA"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7618438"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42</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531A304F" w14:textId="77777777" w:rsidR="00786B13" w:rsidRPr="00C12EA1" w:rsidRDefault="00786B13" w:rsidP="009F3F5B">
            <w:pPr>
              <w:pStyle w:val="cuerpotablacentro1"/>
              <w:rPr>
                <w:rFonts w:ascii="Courier New" w:hAnsi="Courier New" w:cs="Courier New"/>
                <w:color w:val="000000"/>
                <w:sz w:val="16"/>
                <w:szCs w:val="16"/>
              </w:rPr>
            </w:pPr>
            <w:proofErr w:type="spellStart"/>
            <w:r w:rsidRPr="00C12EA1">
              <w:rPr>
                <w:rFonts w:ascii="Courier New" w:hAnsi="Courier New" w:cs="Courier New"/>
                <w:color w:val="000000"/>
                <w:sz w:val="16"/>
                <w:szCs w:val="16"/>
              </w:rPr>
              <w:t>Fluxímetro</w:t>
            </w:r>
            <w:proofErr w:type="spellEnd"/>
            <w:r w:rsidRPr="00C12EA1">
              <w:rPr>
                <w:rFonts w:ascii="Courier New" w:hAnsi="Courier New" w:cs="Courier New"/>
                <w:color w:val="000000"/>
                <w:sz w:val="16"/>
                <w:szCs w:val="16"/>
              </w:rPr>
              <w:t xml:space="preserve">, </w:t>
            </w:r>
            <w:proofErr w:type="spellStart"/>
            <w:r w:rsidRPr="00C12EA1">
              <w:rPr>
                <w:rFonts w:ascii="Courier New" w:hAnsi="Courier New" w:cs="Courier New"/>
                <w:color w:val="000000"/>
                <w:sz w:val="16"/>
                <w:szCs w:val="16"/>
              </w:rPr>
              <w:t>flujómetro</w:t>
            </w:r>
            <w:proofErr w:type="spellEnd"/>
            <w:r w:rsidRPr="00C12EA1">
              <w:rPr>
                <w:rFonts w:ascii="Courier New" w:hAnsi="Courier New" w:cs="Courier New"/>
                <w:color w:val="000000"/>
                <w:sz w:val="16"/>
                <w:szCs w:val="16"/>
              </w:rPr>
              <w:t xml:space="preserve"> de tubo </w:t>
            </w:r>
            <w:proofErr w:type="spellStart"/>
            <w:r w:rsidRPr="00C12EA1">
              <w:rPr>
                <w:rFonts w:ascii="Courier New" w:hAnsi="Courier New" w:cs="Courier New"/>
                <w:color w:val="000000"/>
                <w:sz w:val="16"/>
                <w:szCs w:val="16"/>
              </w:rPr>
              <w:t>Thorpe</w:t>
            </w:r>
            <w:proofErr w:type="spellEnd"/>
            <w:r w:rsidRPr="00C12EA1">
              <w:rPr>
                <w:rFonts w:ascii="Courier New" w:hAnsi="Courier New" w:cs="Courier New"/>
                <w:color w:val="000000"/>
                <w:sz w:val="16"/>
                <w:szCs w:val="16"/>
              </w:rPr>
              <w:t xml:space="preserve"> para suministrar oxígeno 0-15 L/min.</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2EBC29F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El </w:t>
            </w:r>
            <w:proofErr w:type="spellStart"/>
            <w:r w:rsidRPr="00C12EA1">
              <w:rPr>
                <w:rFonts w:ascii="Courier New" w:hAnsi="Courier New" w:cs="Courier New"/>
                <w:color w:val="000000"/>
                <w:sz w:val="16"/>
                <w:szCs w:val="16"/>
              </w:rPr>
              <w:t>flujómetro</w:t>
            </w:r>
            <w:proofErr w:type="spellEnd"/>
            <w:r w:rsidRPr="00C12EA1">
              <w:rPr>
                <w:rFonts w:ascii="Courier New" w:hAnsi="Courier New" w:cs="Courier New"/>
                <w:color w:val="000000"/>
                <w:sz w:val="16"/>
                <w:szCs w:val="16"/>
              </w:rPr>
              <w:t xml:space="preserve"> de tubo </w:t>
            </w:r>
            <w:proofErr w:type="spellStart"/>
            <w:r w:rsidRPr="00C12EA1">
              <w:rPr>
                <w:rFonts w:ascii="Courier New" w:hAnsi="Courier New" w:cs="Courier New"/>
                <w:color w:val="000000"/>
                <w:sz w:val="16"/>
                <w:szCs w:val="16"/>
              </w:rPr>
              <w:t>Thorpe</w:t>
            </w:r>
            <w:proofErr w:type="spellEnd"/>
            <w:r w:rsidRPr="00C12EA1">
              <w:rPr>
                <w:rFonts w:ascii="Courier New" w:hAnsi="Courier New" w:cs="Courier New"/>
                <w:color w:val="000000"/>
                <w:sz w:val="16"/>
                <w:szCs w:val="16"/>
              </w:rPr>
              <w:t xml:space="preserve"> está compuesto de puertos de entrada y salida, un regulador, una válvula y un tubo de medición cónico transparente. Sirve para conectarlo con varias fuentes de gases médicos, como un sistema centralizado, cilindros (bombonas), concentradores o compresores. Versiones de </w:t>
            </w:r>
            <w:proofErr w:type="spellStart"/>
            <w:r w:rsidRPr="00C12EA1">
              <w:rPr>
                <w:rFonts w:ascii="Courier New" w:hAnsi="Courier New" w:cs="Courier New"/>
                <w:color w:val="000000"/>
                <w:sz w:val="16"/>
                <w:szCs w:val="16"/>
              </w:rPr>
              <w:t>fluxímetro</w:t>
            </w:r>
            <w:proofErr w:type="spellEnd"/>
            <w:r w:rsidRPr="00C12EA1">
              <w:rPr>
                <w:rFonts w:ascii="Courier New" w:hAnsi="Courier New" w:cs="Courier New"/>
                <w:color w:val="000000"/>
                <w:sz w:val="16"/>
                <w:szCs w:val="16"/>
              </w:rPr>
              <w:t xml:space="preserve"> (</w:t>
            </w:r>
            <w:proofErr w:type="spellStart"/>
            <w:r w:rsidRPr="00C12EA1">
              <w:rPr>
                <w:rFonts w:ascii="Courier New" w:hAnsi="Courier New" w:cs="Courier New"/>
                <w:color w:val="000000"/>
                <w:sz w:val="16"/>
                <w:szCs w:val="16"/>
              </w:rPr>
              <w:t>flujómetro</w:t>
            </w:r>
            <w:proofErr w:type="spellEnd"/>
            <w:r w:rsidRPr="00C12EA1">
              <w:rPr>
                <w:rFonts w:ascii="Courier New" w:hAnsi="Courier New" w:cs="Courier New"/>
                <w:color w:val="000000"/>
                <w:sz w:val="16"/>
                <w:szCs w:val="16"/>
              </w:rPr>
              <w:t>) ordinario (absoluto, no compensado) y de presión compensada, adecuadas para rangos de flujo específicos.</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3A34F8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9026 80 20</w:t>
            </w:r>
          </w:p>
          <w:p w14:paraId="2B2E1973"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9026 80 80</w:t>
            </w:r>
          </w:p>
          <w:p w14:paraId="229327D9"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9026 10 21</w:t>
            </w:r>
          </w:p>
          <w:p w14:paraId="026C65DC"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9026 10 81</w:t>
            </w:r>
          </w:p>
        </w:tc>
      </w:tr>
      <w:tr w:rsidR="00786B13" w:rsidRPr="00C12EA1" w14:paraId="52699E76" w14:textId="77777777" w:rsidTr="009F3F5B">
        <w:tc>
          <w:tcPr>
            <w:tcW w:w="0" w:type="auto"/>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A8AE931"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43</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20A20B"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Detector de CO2 colorimétrico de espiración.</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4F53E0A"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 xml:space="preserve">Tamaño compatible con el tubo </w:t>
            </w:r>
            <w:proofErr w:type="spellStart"/>
            <w:r w:rsidRPr="00C12EA1">
              <w:rPr>
                <w:rFonts w:ascii="Courier New" w:hAnsi="Courier New" w:cs="Courier New"/>
                <w:color w:val="000000"/>
                <w:sz w:val="16"/>
                <w:szCs w:val="16"/>
              </w:rPr>
              <w:t>endotraqueal</w:t>
            </w:r>
            <w:proofErr w:type="spellEnd"/>
            <w:r w:rsidRPr="00C12EA1">
              <w:rPr>
                <w:rFonts w:ascii="Courier New" w:hAnsi="Courier New" w:cs="Courier New"/>
                <w:color w:val="000000"/>
                <w:sz w:val="16"/>
                <w:szCs w:val="16"/>
              </w:rPr>
              <w:t xml:space="preserve"> de niños y adulto. De un solo uso.</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1F59C865"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9027 80</w:t>
            </w:r>
          </w:p>
        </w:tc>
      </w:tr>
      <w:tr w:rsidR="00786B13" w:rsidRPr="00C12EA1" w14:paraId="3211FBA4" w14:textId="77777777" w:rsidTr="009F3F5B">
        <w:tc>
          <w:tcPr>
            <w:tcW w:w="0" w:type="auto"/>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38F0F18E"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44</w:t>
            </w:r>
          </w:p>
        </w:tc>
        <w:tc>
          <w:tcPr>
            <w:tcW w:w="2552" w:type="dxa"/>
            <w:vMerge w:val="restart"/>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0E6FA28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Película o placas de rayos X.</w:t>
            </w: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BBA51D4"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Plana sensibilizada y sin impresionar.</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5E234D7"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3701 10 00</w:t>
            </w:r>
          </w:p>
        </w:tc>
      </w:tr>
      <w:tr w:rsidR="00786B13" w:rsidRPr="00C12EA1" w14:paraId="539808D2" w14:textId="77777777" w:rsidTr="009F3F5B">
        <w:tc>
          <w:tcPr>
            <w:tcW w:w="0" w:type="auto"/>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76EF8CC1" w14:textId="77777777" w:rsidR="00786B13" w:rsidRPr="00C12EA1" w:rsidRDefault="00786B13" w:rsidP="009F3F5B">
            <w:pPr>
              <w:spacing w:line="240" w:lineRule="atLeast"/>
              <w:rPr>
                <w:color w:val="000000"/>
                <w:sz w:val="16"/>
                <w:szCs w:val="16"/>
              </w:rPr>
            </w:pPr>
          </w:p>
        </w:tc>
        <w:tc>
          <w:tcPr>
            <w:tcW w:w="2552" w:type="dxa"/>
            <w:vMerge/>
            <w:tcBorders>
              <w:top w:val="single" w:sz="6" w:space="0" w:color="A0B0C0"/>
              <w:left w:val="single" w:sz="6" w:space="0" w:color="A0B0C0"/>
              <w:bottom w:val="single" w:sz="6" w:space="0" w:color="A0B0C0"/>
              <w:right w:val="single" w:sz="6" w:space="0" w:color="A0B0C0"/>
            </w:tcBorders>
            <w:shd w:val="clear" w:color="auto" w:fill="auto"/>
            <w:vAlign w:val="center"/>
            <w:hideMark/>
          </w:tcPr>
          <w:p w14:paraId="5EF7C192" w14:textId="77777777" w:rsidR="00786B13" w:rsidRPr="00C12EA1" w:rsidRDefault="00786B13" w:rsidP="009F3F5B">
            <w:pPr>
              <w:spacing w:line="240" w:lineRule="atLeast"/>
              <w:rPr>
                <w:color w:val="000000"/>
                <w:sz w:val="16"/>
                <w:szCs w:val="16"/>
              </w:rPr>
            </w:pPr>
          </w:p>
        </w:tc>
        <w:tc>
          <w:tcPr>
            <w:tcW w:w="4456"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61C9E8C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En rollos</w:t>
            </w:r>
          </w:p>
          <w:p w14:paraId="19F5472F"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Sensibilizada y sin impresionar.</w:t>
            </w:r>
          </w:p>
        </w:tc>
        <w:tc>
          <w:tcPr>
            <w:tcW w:w="2552" w:type="dxa"/>
            <w:tcBorders>
              <w:top w:val="single" w:sz="6" w:space="0" w:color="A0B0C0"/>
              <w:left w:val="single" w:sz="6" w:space="0" w:color="A0B0C0"/>
              <w:bottom w:val="single" w:sz="6" w:space="0" w:color="A0B0C0"/>
              <w:right w:val="single" w:sz="6" w:space="0" w:color="A0B0C0"/>
            </w:tcBorders>
            <w:shd w:val="clear" w:color="auto" w:fill="auto"/>
            <w:tcMar>
              <w:top w:w="48" w:type="dxa"/>
              <w:left w:w="96" w:type="dxa"/>
              <w:bottom w:w="48" w:type="dxa"/>
              <w:right w:w="96" w:type="dxa"/>
            </w:tcMar>
            <w:vAlign w:val="center"/>
            <w:hideMark/>
          </w:tcPr>
          <w:p w14:paraId="71B8A4D2" w14:textId="77777777" w:rsidR="00786B13" w:rsidRPr="00C12EA1" w:rsidRDefault="00786B13" w:rsidP="009F3F5B">
            <w:pPr>
              <w:pStyle w:val="cuerpotablacentro1"/>
              <w:rPr>
                <w:rFonts w:ascii="Courier New" w:hAnsi="Courier New" w:cs="Courier New"/>
                <w:color w:val="000000"/>
                <w:sz w:val="16"/>
                <w:szCs w:val="16"/>
              </w:rPr>
            </w:pPr>
            <w:r w:rsidRPr="00C12EA1">
              <w:rPr>
                <w:rFonts w:ascii="Courier New" w:hAnsi="Courier New" w:cs="Courier New"/>
                <w:color w:val="000000"/>
                <w:sz w:val="16"/>
                <w:szCs w:val="16"/>
              </w:rPr>
              <w:t>ex 3702 10 00</w:t>
            </w:r>
          </w:p>
        </w:tc>
      </w:tr>
    </w:tbl>
    <w:p w14:paraId="0A9735F0" w14:textId="77777777" w:rsidR="00786B13" w:rsidRPr="00C12EA1" w:rsidRDefault="00786B13" w:rsidP="00786B13">
      <w:pPr>
        <w:spacing w:before="240" w:line="360" w:lineRule="auto"/>
      </w:pPr>
    </w:p>
    <w:p w14:paraId="65FCDCE6" w14:textId="77777777" w:rsidR="00786B13" w:rsidRDefault="00786B13" w:rsidP="00786B13">
      <w:pPr>
        <w:pStyle w:val="Acuerdos"/>
      </w:pPr>
    </w:p>
    <w:p w14:paraId="611CD603" w14:textId="65EC3067" w:rsidR="00945770" w:rsidRDefault="00945770">
      <w:bookmarkStart w:id="3" w:name="_GoBack"/>
      <w:bookmarkEnd w:id="3"/>
    </w:p>
    <w:sectPr w:rsidR="00945770">
      <w:headerReference w:type="even" r:id="rId13"/>
      <w:headerReference w:type="default" r:id="rId14"/>
      <w:footerReference w:type="even" r:id="rId15"/>
      <w:footerReference w:type="default" r:id="rId16"/>
      <w:headerReference w:type="first" r:id="rId17"/>
      <w:footerReference w:type="first" r:id="rId18"/>
      <w:type w:val="oddPage"/>
      <w:pgSz w:w="11907" w:h="16840"/>
      <w:pgMar w:top="2835" w:right="1134" w:bottom="1134" w:left="283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1810A" w14:textId="77777777" w:rsidR="00E74A3B" w:rsidRDefault="00E74A3B">
      <w:r>
        <w:separator/>
      </w:r>
    </w:p>
  </w:endnote>
  <w:endnote w:type="continuationSeparator" w:id="0">
    <w:p w14:paraId="49235056" w14:textId="77777777" w:rsidR="00E74A3B" w:rsidRDefault="00E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W1)">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71F4" w14:textId="77777777" w:rsidR="00F3452F" w:rsidRDefault="00F3452F">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327070" w14:textId="77777777" w:rsidR="00F3452F" w:rsidRDefault="00F3452F">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449BB" w14:textId="77777777" w:rsidR="00F3452F" w:rsidRDefault="00F3452F">
    <w:pPr>
      <w:pStyle w:val="Piedepgina"/>
      <w:framePr w:wrap="around" w:vAnchor="text" w:hAnchor="margin" w:xAlign="outside" w:y="1"/>
      <w:rPr>
        <w:rStyle w:val="Nmerodepgina"/>
      </w:rPr>
    </w:pPr>
  </w:p>
  <w:p w14:paraId="46DD35F1" w14:textId="77777777" w:rsidR="00F3452F" w:rsidRDefault="00F3452F">
    <w:pPr>
      <w:pStyle w:val="Piedep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05CB1" w14:textId="77777777" w:rsidR="005B2039" w:rsidRDefault="00786B1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FA0B74F" w14:textId="77777777" w:rsidR="005B2039" w:rsidRDefault="00C902A2">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06B89" w14:textId="77777777" w:rsidR="005B2039" w:rsidRDefault="00C902A2">
    <w:pPr>
      <w:pStyle w:val="Piedepgina"/>
      <w:framePr w:wrap="around" w:vAnchor="text" w:hAnchor="margin" w:xAlign="outside" w:y="1"/>
      <w:rPr>
        <w:rStyle w:val="Nmerodepgina"/>
      </w:rPr>
    </w:pPr>
  </w:p>
  <w:p w14:paraId="109A3FF0" w14:textId="77777777" w:rsidR="005B2039" w:rsidRDefault="00C902A2">
    <w:pPr>
      <w:pStyle w:val="Piedepgina"/>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3FBD" w14:textId="77777777" w:rsidR="005B2039" w:rsidRDefault="00C902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7898C" w14:textId="77777777" w:rsidR="00E74A3B" w:rsidRDefault="00E74A3B">
      <w:r>
        <w:separator/>
      </w:r>
    </w:p>
  </w:footnote>
  <w:footnote w:type="continuationSeparator" w:id="0">
    <w:p w14:paraId="2170BF99" w14:textId="77777777" w:rsidR="00E74A3B" w:rsidRDefault="00E7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363E8" w14:textId="77777777" w:rsidR="005B2039" w:rsidRDefault="00C902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EEDFA" w14:textId="77777777" w:rsidR="005B2039" w:rsidRDefault="00C902A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EBA58" w14:textId="77777777" w:rsidR="005B2039" w:rsidRDefault="00C902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4108F"/>
    <w:multiLevelType w:val="singleLevel"/>
    <w:tmpl w:val="67DE2B20"/>
    <w:lvl w:ilvl="0">
      <w:start w:val="1"/>
      <w:numFmt w:val="decimal"/>
      <w:pStyle w:val="Acuerdosvietas"/>
      <w:lvlText w:val="%1."/>
      <w:lvlJc w:val="left"/>
      <w:pPr>
        <w:tabs>
          <w:tab w:val="num" w:pos="360"/>
        </w:tabs>
        <w:ind w:left="360" w:hanging="360"/>
      </w:pPr>
    </w:lvl>
  </w:abstractNum>
  <w:abstractNum w:abstractNumId="1">
    <w:nsid w:val="51556FD9"/>
    <w:multiLevelType w:val="singleLevel"/>
    <w:tmpl w:val="7DEC5C42"/>
    <w:lvl w:ilvl="0">
      <w:start w:val="1"/>
      <w:numFmt w:val="decimal"/>
      <w:pStyle w:val="trasladosvietas"/>
      <w:lvlText w:val="%1."/>
      <w:lvlJc w:val="left"/>
      <w:pPr>
        <w:tabs>
          <w:tab w:val="num" w:pos="36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55"/>
    <w:rsid w:val="00031E5C"/>
    <w:rsid w:val="000334E2"/>
    <w:rsid w:val="0008429F"/>
    <w:rsid w:val="000B3964"/>
    <w:rsid w:val="000B5767"/>
    <w:rsid w:val="000F28AE"/>
    <w:rsid w:val="00117B0E"/>
    <w:rsid w:val="001300C9"/>
    <w:rsid w:val="001618B1"/>
    <w:rsid w:val="00167004"/>
    <w:rsid w:val="00185EE8"/>
    <w:rsid w:val="001E6489"/>
    <w:rsid w:val="00234953"/>
    <w:rsid w:val="00271183"/>
    <w:rsid w:val="00274244"/>
    <w:rsid w:val="002863F9"/>
    <w:rsid w:val="002F7290"/>
    <w:rsid w:val="00341FDF"/>
    <w:rsid w:val="00394284"/>
    <w:rsid w:val="003F418E"/>
    <w:rsid w:val="00427D26"/>
    <w:rsid w:val="00432316"/>
    <w:rsid w:val="004704E5"/>
    <w:rsid w:val="004F37E3"/>
    <w:rsid w:val="004F57E9"/>
    <w:rsid w:val="005567A8"/>
    <w:rsid w:val="005D4140"/>
    <w:rsid w:val="00605D70"/>
    <w:rsid w:val="00632AA4"/>
    <w:rsid w:val="00663B94"/>
    <w:rsid w:val="00685B81"/>
    <w:rsid w:val="006A24B2"/>
    <w:rsid w:val="006A5377"/>
    <w:rsid w:val="006C7DB1"/>
    <w:rsid w:val="00702123"/>
    <w:rsid w:val="0070598B"/>
    <w:rsid w:val="00744ED7"/>
    <w:rsid w:val="00753650"/>
    <w:rsid w:val="00786B13"/>
    <w:rsid w:val="00790E64"/>
    <w:rsid w:val="007D7349"/>
    <w:rsid w:val="007E24E0"/>
    <w:rsid w:val="007F6FEE"/>
    <w:rsid w:val="00802597"/>
    <w:rsid w:val="00822BB8"/>
    <w:rsid w:val="00835124"/>
    <w:rsid w:val="008C6AE7"/>
    <w:rsid w:val="008D22CE"/>
    <w:rsid w:val="008D62A2"/>
    <w:rsid w:val="008E5450"/>
    <w:rsid w:val="008F63EF"/>
    <w:rsid w:val="00917998"/>
    <w:rsid w:val="00936EC9"/>
    <w:rsid w:val="00937001"/>
    <w:rsid w:val="00945770"/>
    <w:rsid w:val="00980252"/>
    <w:rsid w:val="009954E6"/>
    <w:rsid w:val="009A2156"/>
    <w:rsid w:val="009B1D06"/>
    <w:rsid w:val="009B4B27"/>
    <w:rsid w:val="00A65C8A"/>
    <w:rsid w:val="00A77E61"/>
    <w:rsid w:val="00A869A0"/>
    <w:rsid w:val="00A97C8E"/>
    <w:rsid w:val="00AB7E7E"/>
    <w:rsid w:val="00AC6D61"/>
    <w:rsid w:val="00AD7D43"/>
    <w:rsid w:val="00B42E2E"/>
    <w:rsid w:val="00B433AD"/>
    <w:rsid w:val="00B67620"/>
    <w:rsid w:val="00B93164"/>
    <w:rsid w:val="00BB4F61"/>
    <w:rsid w:val="00BF5501"/>
    <w:rsid w:val="00C05919"/>
    <w:rsid w:val="00C902A2"/>
    <w:rsid w:val="00CC0B30"/>
    <w:rsid w:val="00CF4538"/>
    <w:rsid w:val="00D82355"/>
    <w:rsid w:val="00D84266"/>
    <w:rsid w:val="00D91FDD"/>
    <w:rsid w:val="00DC1E2D"/>
    <w:rsid w:val="00DF795A"/>
    <w:rsid w:val="00E04FE8"/>
    <w:rsid w:val="00E24C7B"/>
    <w:rsid w:val="00E3750A"/>
    <w:rsid w:val="00E5666F"/>
    <w:rsid w:val="00E61B39"/>
    <w:rsid w:val="00E74A3B"/>
    <w:rsid w:val="00EB21AC"/>
    <w:rsid w:val="00EE7A58"/>
    <w:rsid w:val="00F26F7B"/>
    <w:rsid w:val="00F3452F"/>
    <w:rsid w:val="00F41348"/>
    <w:rsid w:val="00F6407D"/>
    <w:rsid w:val="00F84B00"/>
    <w:rsid w:val="00FD0EB5"/>
    <w:rsid w:val="00FE5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s-ES" w:eastAsia="es-ES" w:bidi="ar-SA"/>
    </w:rPr>
  </w:style>
  <w:style w:type="character" w:customStyle="1" w:styleId="EncabezadoCar">
    <w:name w:val="Encabezado Car"/>
    <w:link w:val="Encabezado"/>
    <w:rsid w:val="00D82355"/>
    <w:rPr>
      <w:rFonts w:ascii="Courier New" w:hAnsi="Courier New"/>
      <w:sz w:val="24"/>
      <w:szCs w:val="22"/>
      <w:lang w:val="es-ES" w:eastAsia="es-ES" w:bidi="ar-SA"/>
    </w:rPr>
  </w:style>
  <w:style w:type="paragraph" w:styleId="Prrafodelista">
    <w:name w:val="List Paragraph"/>
    <w:basedOn w:val="Normal"/>
    <w:uiPriority w:val="34"/>
    <w:qFormat/>
    <w:rsid w:val="00917998"/>
    <w:pPr>
      <w:ind w:left="720"/>
      <w:contextualSpacing/>
    </w:pPr>
  </w:style>
  <w:style w:type="paragraph" w:customStyle="1" w:styleId="cabezatabla3">
    <w:name w:val="cabeza_tabla3"/>
    <w:basedOn w:val="Normal"/>
    <w:rsid w:val="00786B13"/>
    <w:pPr>
      <w:spacing w:line="240" w:lineRule="atLeast"/>
      <w:ind w:firstLine="0"/>
      <w:jc w:val="center"/>
    </w:pPr>
    <w:rPr>
      <w:rFonts w:ascii="Times New Roman" w:hAnsi="Times New Roman" w:cs="Times New Roman"/>
      <w:b/>
      <w:bCs/>
      <w:sz w:val="20"/>
    </w:rPr>
  </w:style>
  <w:style w:type="paragraph" w:customStyle="1" w:styleId="cuerpotablacentro1">
    <w:name w:val="cuerpo_tabla_centro1"/>
    <w:basedOn w:val="Normal"/>
    <w:rsid w:val="00786B13"/>
    <w:pPr>
      <w:spacing w:line="240" w:lineRule="atLeast"/>
      <w:ind w:firstLine="0"/>
      <w:jc w:val="left"/>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lang w:val="es-ES" w:eastAsia="es-ES" w:bidi="ar-SA"/>
      </w:rPr>
    </w:rPrDefault>
    <w:pPrDefault>
      <w:pPr>
        <w:spacing w:line="380" w:lineRule="atLeast"/>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3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aslados">
    <w:name w:val="traslados"/>
    <w:pPr>
      <w:tabs>
        <w:tab w:val="left" w:pos="709"/>
        <w:tab w:val="center" w:pos="3856"/>
      </w:tabs>
    </w:pPr>
    <w:rPr>
      <w:noProof/>
    </w:rPr>
  </w:style>
  <w:style w:type="paragraph" w:customStyle="1" w:styleId="Estilofirma">
    <w:name w:val="Estilofirma"/>
    <w:basedOn w:val="Normal"/>
    <w:pPr>
      <w:tabs>
        <w:tab w:val="left" w:pos="709"/>
        <w:tab w:val="center" w:pos="3856"/>
      </w:tabs>
    </w:pPr>
    <w:rPr>
      <w:rFonts w:ascii="Courier" w:hAnsi="Courier"/>
      <w:lang w:val="es-ES_tradnl"/>
    </w:rPr>
  </w:style>
  <w:style w:type="paragraph" w:customStyle="1" w:styleId="EstiloActas">
    <w:name w:val="EstiloActas"/>
    <w:pPr>
      <w:spacing w:line="360" w:lineRule="auto"/>
      <w:ind w:firstLine="851"/>
    </w:pPr>
    <w:rPr>
      <w:rFonts w:ascii="Arial" w:hAnsi="Arial"/>
      <w:noProof/>
      <w:sz w:val="22"/>
    </w:rPr>
  </w:style>
  <w:style w:type="paragraph" w:customStyle="1" w:styleId="Estiloindice">
    <w:name w:val="Estiloindice"/>
    <w:pPr>
      <w:tabs>
        <w:tab w:val="left" w:pos="567"/>
      </w:tabs>
      <w:spacing w:line="360" w:lineRule="auto"/>
      <w:ind w:left="1418" w:hanging="1418"/>
    </w:pPr>
    <w:rPr>
      <w:noProof/>
    </w:rPr>
  </w:style>
  <w:style w:type="paragraph" w:customStyle="1" w:styleId="Acuerdos">
    <w:name w:val="Acuerdos"/>
    <w:basedOn w:val="Normal"/>
    <w:pPr>
      <w:tabs>
        <w:tab w:val="left" w:pos="709"/>
        <w:tab w:val="center" w:pos="3856"/>
      </w:tabs>
    </w:pPr>
  </w:style>
  <w:style w:type="paragraph" w:customStyle="1" w:styleId="Acuerdosvietas">
    <w:name w:val="Acuerdosviñetas"/>
    <w:basedOn w:val="Acuerdos"/>
    <w:pPr>
      <w:numPr>
        <w:numId w:val="3"/>
      </w:numPr>
      <w:tabs>
        <w:tab w:val="clear" w:pos="360"/>
        <w:tab w:val="left" w:pos="1134"/>
      </w:tabs>
      <w:ind w:left="0" w:firstLine="709"/>
    </w:pPr>
  </w:style>
  <w:style w:type="paragraph" w:customStyle="1" w:styleId="trasladosvietas">
    <w:name w:val="trasladosviñetas"/>
    <w:basedOn w:val="traslados"/>
    <w:pPr>
      <w:numPr>
        <w:numId w:val="2"/>
      </w:numPr>
      <w:tabs>
        <w:tab w:val="clear" w:pos="360"/>
        <w:tab w:val="left" w:pos="1134"/>
      </w:tabs>
      <w:ind w:firstLine="709"/>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rsid w:val="008D62A2"/>
    <w:pPr>
      <w:tabs>
        <w:tab w:val="center" w:pos="4252"/>
        <w:tab w:val="right" w:pos="8504"/>
      </w:tabs>
    </w:pPr>
  </w:style>
  <w:style w:type="character" w:customStyle="1" w:styleId="PiedepginaCar">
    <w:name w:val="Pie de página Car"/>
    <w:basedOn w:val="Fuentedeprrafopredeter"/>
    <w:link w:val="Piedepgina"/>
    <w:locked/>
    <w:rsid w:val="00D82355"/>
    <w:rPr>
      <w:rFonts w:ascii="Courier New" w:hAnsi="Courier New"/>
      <w:sz w:val="24"/>
      <w:szCs w:val="22"/>
      <w:lang w:val="es-ES" w:eastAsia="es-ES" w:bidi="ar-SA"/>
    </w:rPr>
  </w:style>
  <w:style w:type="character" w:customStyle="1" w:styleId="EncabezadoCar">
    <w:name w:val="Encabezado Car"/>
    <w:link w:val="Encabezado"/>
    <w:rsid w:val="00D82355"/>
    <w:rPr>
      <w:rFonts w:ascii="Courier New" w:hAnsi="Courier New"/>
      <w:sz w:val="24"/>
      <w:szCs w:val="22"/>
      <w:lang w:val="es-ES" w:eastAsia="es-ES" w:bidi="ar-SA"/>
    </w:rPr>
  </w:style>
  <w:style w:type="paragraph" w:styleId="Prrafodelista">
    <w:name w:val="List Paragraph"/>
    <w:basedOn w:val="Normal"/>
    <w:uiPriority w:val="34"/>
    <w:qFormat/>
    <w:rsid w:val="00917998"/>
    <w:pPr>
      <w:ind w:left="720"/>
      <w:contextualSpacing/>
    </w:pPr>
  </w:style>
  <w:style w:type="paragraph" w:customStyle="1" w:styleId="cabezatabla3">
    <w:name w:val="cabeza_tabla3"/>
    <w:basedOn w:val="Normal"/>
    <w:rsid w:val="00786B13"/>
    <w:pPr>
      <w:spacing w:line="240" w:lineRule="atLeast"/>
      <w:ind w:firstLine="0"/>
      <w:jc w:val="center"/>
    </w:pPr>
    <w:rPr>
      <w:rFonts w:ascii="Times New Roman" w:hAnsi="Times New Roman" w:cs="Times New Roman"/>
      <w:b/>
      <w:bCs/>
      <w:sz w:val="20"/>
    </w:rPr>
  </w:style>
  <w:style w:type="paragraph" w:customStyle="1" w:styleId="cuerpotablacentro1">
    <w:name w:val="cuerpo_tabla_centro1"/>
    <w:basedOn w:val="Normal"/>
    <w:rsid w:val="00786B13"/>
    <w:pPr>
      <w:spacing w:line="240" w:lineRule="atLeast"/>
      <w:ind w:firstLine="0"/>
      <w:jc w:val="left"/>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391CBE25-62D2-4897-A5F9-6A3388FC2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D42552-4D4C-46D0-9841-D170DC7B96CD}">
  <ds:schemaRef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4D33DF-8FA8-455B-AB09-B2A8C74BC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4216</Words>
  <Characters>23191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Iñaki De Santiago</cp:lastModifiedBy>
  <cp:revision>2</cp:revision>
  <dcterms:created xsi:type="dcterms:W3CDTF">2021-01-21T11:49:00Z</dcterms:created>
  <dcterms:modified xsi:type="dcterms:W3CDTF">2021-01-21T11:49:00Z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