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transferentzia arrunten aparteko funtsa ordaintzeari buruzkoa, COVID-19ak 2020ko ekitaldiko udal aurrekontuetan duen inpaktua apaltzeko. Galdera 2020ko urriaren 30eko 117. Nafarroako Parlamentuko Aldizkari Ofizialean argitaratu zen.</w:t>
      </w:r>
    </w:p>
    <w:p>
      <w:pPr>
        <w:pStyle w:val="0"/>
        <w:suppressAutoHyphens w:val="false"/>
        <w:rPr>
          <w:rStyle w:val="1"/>
        </w:rPr>
      </w:pPr>
      <w:r>
        <w:rPr>
          <w:rStyle w:val="1"/>
        </w:rPr>
        <w:t xml:space="preserve">Iruñean, 2020ko azaroaren 20an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idatziz erantzuteko galdera egin dio (10-20/PES-00269) Nafarroako Gobernuko Lurralde Kohesiorako kontseilariari. Bertan, honako galdera hauek egiten ditu:</w:t>
      </w:r>
    </w:p>
    <w:p>
      <w:pPr>
        <w:pStyle w:val="0"/>
        <w:suppressAutoHyphens w:val="false"/>
        <w:rPr>
          <w:rStyle w:val="1"/>
        </w:rPr>
      </w:pPr>
      <w:r>
        <w:rPr>
          <w:rStyle w:val="1"/>
        </w:rPr>
        <w:t xml:space="preserve">1. Lurralde Kohesiorako Departamentuak ordaindu al dizkie udalei funtsean aurreikusitako zenbatekoak? Noiz? Ordaintzeko ebazpenaren edo ebazpenen kopia eskatzen da.</w:t>
      </w:r>
    </w:p>
    <w:p>
      <w:pPr>
        <w:pStyle w:val="0"/>
        <w:suppressAutoHyphens w:val="false"/>
        <w:rPr>
          <w:rStyle w:val="1"/>
        </w:rPr>
      </w:pPr>
      <w:r>
        <w:rPr>
          <w:rStyle w:val="1"/>
        </w:rPr>
        <w:t xml:space="preserve">2. Lurralde Kohesiorako Departamentuak kontrolatu al du 25 milioi eurotik zenbat bideratu den azkenean egoitzetara? Hala bada, eskatzen da adieraz daitezen kopurua eta zein toki erakundek bideratu duten diru hori egoitzetara.</w:t>
      </w:r>
    </w:p>
    <w:p>
      <w:pPr>
        <w:pStyle w:val="0"/>
        <w:suppressAutoHyphens w:val="false"/>
        <w:rPr>
          <w:rStyle w:val="1"/>
        </w:rPr>
      </w:pPr>
      <w:r>
        <w:rPr>
          <w:rStyle w:val="1"/>
        </w:rPr>
        <w:t xml:space="preserve">3. Lurralde Kohesiorako Departamentuak jakinarazi al dizkio Eskubide Sozialetako Departamentuari zein diren udalei, egoitzetan erabil ditzaten, bideratutako kopuruak? Hala baldin bada jakinarazpen horren kopia jaso nahi dugu.</w:t>
      </w:r>
    </w:p>
    <w:p>
      <w:pPr>
        <w:pStyle w:val="0"/>
        <w:suppressAutoHyphens w:val="false"/>
        <w:rPr>
          <w:rStyle w:val="1"/>
        </w:rPr>
      </w:pPr>
      <w:r>
        <w:rPr>
          <w:rStyle w:val="1"/>
        </w:rPr>
        <w:t xml:space="preserve">Lehenengo gaiari dagokionez, erantzun behar dizut Lurralde Kohesiorako Departamentuak funtsean aurreikusitako zenbatekoak ordaindu dizkiela udalei, ondoren zehazten diren egunetan. Ordaintzeko ebazpenen kopia eransten dizut.</w:t>
      </w:r>
    </w:p>
    <w:p>
      <w:pPr>
        <w:pStyle w:val="0"/>
        <w:suppressAutoHyphens w:val="false"/>
        <w:rPr>
          <w:rStyle w:val="1"/>
        </w:rPr>
      </w:pPr>
      <w:r>
        <w:rPr>
          <w:rStyle w:val="1"/>
        </w:rPr>
        <w:t xml:space="preserve">• 10,5 milioi euro 2020ko abuztuaren 3an: inpaktu funtsak</w:t>
      </w:r>
    </w:p>
    <w:p>
      <w:pPr>
        <w:pStyle w:val="0"/>
        <w:suppressAutoHyphens w:val="false"/>
        <w:rPr>
          <w:rStyle w:val="1"/>
        </w:rPr>
      </w:pPr>
      <w:r>
        <w:rPr>
          <w:rStyle w:val="1"/>
        </w:rPr>
        <w:t xml:space="preserve">• 13,5 milioi euro 2020ko irailaren 23an: sustapen funtsa</w:t>
      </w:r>
    </w:p>
    <w:p>
      <w:pPr>
        <w:pStyle w:val="0"/>
        <w:suppressAutoHyphens w:val="false"/>
        <w:rPr>
          <w:rStyle w:val="1"/>
        </w:rPr>
      </w:pPr>
      <w:r>
        <w:rPr>
          <w:rStyle w:val="1"/>
        </w:rPr>
        <w:t xml:space="preserve">• Milioi bat euro hiri-garraiorako: ordainketa izapidetzen ari da.</w:t>
      </w:r>
    </w:p>
    <w:p>
      <w:pPr>
        <w:pStyle w:val="0"/>
        <w:suppressAutoHyphens w:val="false"/>
        <w:rPr>
          <w:rStyle w:val="1"/>
        </w:rPr>
      </w:pPr>
      <w:r>
        <w:rPr>
          <w:rStyle w:val="1"/>
        </w:rPr>
        <w:t xml:space="preserve">Bigarren gaiari dagokionez, gogorarazi behar da 25 milioi euroko funtsa hiru funtsetan banatuta dagoela: 10,5 milioi euro udal aurrekontuetako inpaktu arrunta arintzeko, 13.5 milioi euro tokiko ekonomia sustatzeko inbertsioetarako, eta milioi 1 euro COVID-19ak hiri-garraioan daukan inpaktua arintzeko.</w:t>
      </w:r>
    </w:p>
    <w:p>
      <w:pPr>
        <w:pStyle w:val="0"/>
        <w:suppressAutoHyphens w:val="false"/>
        <w:rPr>
          <w:rStyle w:val="1"/>
        </w:rPr>
      </w:pPr>
      <w:r>
        <w:rPr>
          <w:rStyle w:val="1"/>
        </w:rPr>
        <w:t xml:space="preserve">10,5 milioi euroko funtsa pandemiak udal-aurrekontuetan, bai gastuak handitzeagatik, bai diru-sarrerak galtzeagatik, eragiten dituen ondorioak arintzeko beharraren ondorioz sortu da. Pandemiaren hasierako fase kritikoan azterketa- eta ebaluazio-lan handia eginez, inkestak egin zitzaizkien toki-entitateei, datu eguneratuak lortzeko. Horri eta udal-zerbitzuen kostuen analisiari esker, inpaktu ekonomikoa kuantifikatzeko eta horretarako sortutako funtsa banatzeko formulak finkatzeko proposamena egin ahal izan da.</w:t>
      </w:r>
    </w:p>
    <w:p>
      <w:pPr>
        <w:pStyle w:val="0"/>
        <w:suppressAutoHyphens w:val="false"/>
        <w:rPr>
          <w:rStyle w:val="1"/>
        </w:rPr>
      </w:pPr>
      <w:r>
        <w:rPr>
          <w:rStyle w:val="1"/>
        </w:rPr>
        <w:t xml:space="preserve">Inkesten azterketatik, ekonomikoki eragiten ari diren udal zerbitzu nagusiak eta eragiten duten aurrekontu-inpaktuaren proportzioa identifikatu dira. Helburua da ahalik eta objektiboena den formula ezartzea funtsa banatzeko, baina horrek ez du esan nahi ondoriozko zifrak kasu bakoitzean errealak direnik nahitaez, baizik eta banaketa-formulan udalerri bakoitzari esleitutako kopuruen proportzio objektibo bat mantentzen dela.</w:t>
      </w:r>
    </w:p>
    <w:p>
      <w:pPr>
        <w:pStyle w:val="0"/>
        <w:suppressAutoHyphens w:val="false"/>
        <w:rPr>
          <w:rStyle w:val="1"/>
        </w:rPr>
      </w:pPr>
      <w:r>
        <w:rPr>
          <w:rStyle w:val="1"/>
        </w:rPr>
        <w:t xml:space="preserve">Hortik abiatuta finkatzen dira zortzi banaketa-irizpideak, eta bakoitzari banatu beharreko zenbateko bat ematen zaio, eragin handiena duten zerbitzuak direlako eta formularako banaketa-indize batzuk dituztelako. Eta udal bakoitzak zerbitzu horiek ezarrita dituen heinean, funtsaren banaketa orokorra izanen da. Horrek ez du esan nahi ukitutako zerbitzu gehiago ez dagoenik, baizik eta zerbitzu horiek hartu direla garrantziaren araberako banaketa-irizpidetzat.</w:t>
      </w:r>
    </w:p>
    <w:p>
      <w:pPr>
        <w:pStyle w:val="0"/>
        <w:suppressAutoHyphens w:val="false"/>
        <w:rPr>
          <w:rStyle w:val="1"/>
        </w:rPr>
      </w:pPr>
      <w:r>
        <w:rPr>
          <w:rStyle w:val="1"/>
        </w:rPr>
        <w:t xml:space="preserve">Ateratzen den zenbatekoa formula bat aplikatzearen ondorioa da. Formula horrek erakunde bakoitzari zenbateko orokor bat banatzen dio, aurrekontuetan COVID-19aren inpaktua arintzeko. Ez da zehaztutako zerbitzuen finantzazio zehatzaren kontu banakatu bat, baizik eta udal bakoitzean eragin oso desberdinak izan ditzakeen inpaktu ekonomiko bat arintzeko funts bat banatzeko irizpide bat, are banaketa-aldagaietan kontuan hartu ez diren beste arrazoi batzuengatik ere.</w:t>
      </w:r>
    </w:p>
    <w:p>
      <w:pPr>
        <w:pStyle w:val="0"/>
        <w:suppressAutoHyphens w:val="false"/>
        <w:rPr>
          <w:rStyle w:val="1"/>
        </w:rPr>
      </w:pPr>
      <w:r>
        <w:rPr>
          <w:rStyle w:val="1"/>
        </w:rPr>
        <w:t xml:space="preserve">Ateratzen den zenbatekoa ez da finalista; horrek esan nahi du ez dela helburu jakin batera bideratu behar, baizik eta sor daitezkeen premien osotasuna finantzatzeko balio duela.</w:t>
      </w:r>
    </w:p>
    <w:p>
      <w:pPr>
        <w:pStyle w:val="0"/>
        <w:suppressAutoHyphens w:val="false"/>
        <w:rPr>
          <w:rStyle w:val="1"/>
        </w:rPr>
      </w:pPr>
      <w:r>
        <w:rPr>
          <w:rStyle w:val="1"/>
        </w:rPr>
        <w:t xml:space="preserve">Beraz, toki-entitateek ez dute esleitutako zenbatekoa erabili diren zortzi zerbitzuetara (besteak beste, egoitzetara) bideratzeko betebeharrik, banaketa-irizpide gisa. Udalaren borondatearen araberakoa izanen da finantzaketa gehigarriaren xedea zehaztea; jakina, xedeen artean udal egoitzak egon daitezke, baina banaketa-aldagai horrengatik kobratutako kopuruaren mende egon gabe.</w:t>
      </w:r>
    </w:p>
    <w:p>
      <w:pPr>
        <w:pStyle w:val="0"/>
        <w:suppressAutoHyphens w:val="false"/>
        <w:rPr>
          <w:rStyle w:val="1"/>
        </w:rPr>
      </w:pPr>
      <w:r>
        <w:rPr>
          <w:rStyle w:val="1"/>
        </w:rPr>
        <w:t xml:space="preserve">Tokiko ekonomia sustatzeko 13,5 milioi euroko funtsari dagokionez, funts horren helburua da udalen inbertsioak sustatzea xede jakin batzuetan; besteak beste, zuzkidurak egokitzea. Udal-egoitzak ere inbertsio horien hartzaileak izan litezke, baina erabilera hori udalaren borondatearen mende egonen da berriz ere.</w:t>
      </w:r>
    </w:p>
    <w:p>
      <w:pPr>
        <w:pStyle w:val="0"/>
        <w:suppressAutoHyphens w:val="false"/>
        <w:rPr>
          <w:rStyle w:val="1"/>
        </w:rPr>
      </w:pPr>
      <w:r>
        <w:rPr>
          <w:rStyle w:val="1"/>
        </w:rPr>
        <w:t xml:space="preserve">Hortaz, Departamentuari ez dagokio kontrolatzea zenbat bideratu den azkenean adinekoentzako egoitzetara —finalista ez den funts bat baita, formula bat aplikatzetik heldu dena, aldagai batzuen banaketa-indizeen arabera, eta egoitzak aldagai horietako bat dira—, baina horrek ez du esan nahi formulan sartutako zerbitzuetara soilik bideratu behar direnik, ezta zenbateko hori bera bideratu behar denik ere. Hori dela eta, udalek ere ez dute zertan informazio hori eman.</w:t>
      </w:r>
    </w:p>
    <w:p>
      <w:pPr>
        <w:pStyle w:val="0"/>
        <w:suppressAutoHyphens w:val="false"/>
        <w:rPr>
          <w:rStyle w:val="1"/>
        </w:rPr>
      </w:pPr>
      <w:r>
        <w:rPr>
          <w:rStyle w:val="1"/>
        </w:rPr>
        <w:t xml:space="preserve">Udalak dira, beren udal autonomiaren barruan, beren udalerrien beharrak hobekien ezagutzen dituztenak eta jasotako zenbatekoak nola banatu hobekien dakitenak, eta horrelaxe ulertzen du departamentu honek.</w:t>
      </w:r>
    </w:p>
    <w:p>
      <w:pPr>
        <w:pStyle w:val="0"/>
        <w:suppressAutoHyphens w:val="false"/>
        <w:rPr>
          <w:rStyle w:val="1"/>
        </w:rPr>
      </w:pPr>
      <w:r>
        <w:rPr>
          <w:rStyle w:val="1"/>
        </w:rPr>
        <w:t xml:space="preserve">Gainera, gogorarazi behar da finalista ez den funtsaren izaera hori toki entitateekin adostu zela Nafarroako Udal eta Kontzejuen Federazioaren bidez, eta, ondoren, Nafarroako Parlamentuan onetsi zela.</w:t>
      </w:r>
    </w:p>
    <w:p>
      <w:pPr>
        <w:pStyle w:val="0"/>
        <w:suppressAutoHyphens w:val="false"/>
        <w:rPr>
          <w:rStyle w:val="1"/>
        </w:rPr>
      </w:pPr>
      <w:r>
        <w:rPr>
          <w:rStyle w:val="1"/>
        </w:rPr>
        <w:t xml:space="preserve">Hirugarren gaiari dagokionez, jakinarazi behar da Toki Administrazioaren eta Despopulazioaren Zuzendaritza Nagusiak Pertsonen Autonomiarako eta Garapenerako Nafarroako Agentziako zuzendari kudeatzaileari 10,5 milioi euroko funtsaren osaeraren berri eman diola, udal aurrekontuetan gertatutako inpaktu arrunta arintzeko, bai eta informazioa banatzeko erabilitako formularen berri ere; alabaina, informazio hori ez da ofizialki helarazi, ez baitago udal egoitzetarako diru-kopururik. Izan badagoena toki entitateentzako banaketa bat da, eskuratutako dirua pandemiaren inpaktuagatik egokiena iruditzen zaien helburura bidera dezaten.</w:t>
      </w:r>
    </w:p>
    <w:p>
      <w:pPr>
        <w:pStyle w:val="0"/>
        <w:suppressAutoHyphens w:val="false"/>
        <w:rPr>
          <w:rStyle w:val="1"/>
        </w:rPr>
      </w:pPr>
      <w:r>
        <w:rPr>
          <w:rStyle w:val="1"/>
        </w:rPr>
        <w:t xml:space="preserve">Hori jakinarazten dizut Nafarroako Parlamentuaren Erregelamenduaren 194. artikuluan xedatutakoa betetzeko.</w:t>
      </w:r>
    </w:p>
    <w:p>
      <w:pPr>
        <w:pStyle w:val="0"/>
        <w:suppressAutoHyphens w:val="false"/>
        <w:rPr>
          <w:rStyle w:val="1"/>
        </w:rPr>
      </w:pPr>
      <w:r>
        <w:rPr>
          <w:rStyle w:val="1"/>
        </w:rPr>
        <w:t xml:space="preserve">Iruñean, 2020ko azaroaren 19an</w:t>
      </w:r>
    </w:p>
    <w:p>
      <w:pPr>
        <w:pStyle w:val="0"/>
        <w:suppressAutoHyphens w:val="false"/>
        <w:rPr>
          <w:rStyle w:val="1"/>
        </w:rPr>
      </w:pPr>
      <w:r>
        <w:rPr>
          <w:rStyle w:val="1"/>
        </w:rPr>
        <w:t xml:space="preserve">Lurralde Kohesiorako kontseilaria: Bernardo Ciriza Pérez</w:t>
      </w:r>
    </w:p>
    <w:p>
      <w:pPr>
        <w:pStyle w:val="0"/>
        <w:suppressAutoHyphens w:val="false"/>
        <w:rPr>
          <w:rStyle w:val="1"/>
        </w:rPr>
      </w:pPr>
      <w:r>
        <w:rPr>
          <w:rStyle w:val="1"/>
        </w:rPr>
        <w:t xml:space="preserve">(Oharra: Aipatu eranskina foru parlamentarien eskura dago kudeaketa parlamentarioko Ágora sisteman).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