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concierto con las residencias de Padre y Benito Menni,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concierto con las residencias de Padre y Benito Menni,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