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financiación con fondos europeos de la 2ª Fase del Canal de Navarra, formulada por el Ilmo. Sr. D. Adolfo Araiz Flamarique.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 de febrero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Adolfo Araiz Flamarique, miembro del Grupo Parlamentario E.H. Bildu Nafarroa, ante la Mesa de la Cámara presenta para su tramitación las siguientes preguntas para su respuesta escrita: </w:t>
      </w:r>
    </w:p>
    <w:p>
      <w:pPr>
        <w:pStyle w:val="0"/>
        <w:suppressAutoHyphens w:val="false"/>
        <w:rPr>
          <w:rStyle w:val="1"/>
        </w:rPr>
      </w:pPr>
      <w:r>
        <w:rPr>
          <w:rStyle w:val="1"/>
        </w:rPr>
        <w:t xml:space="preserve">Hoy el Gobierno de Navarra después de que el pasado mes de octubre presentara su Estrategia Digital Navarra 2030 y su Estrategia de Transición Ecológica/Navarra Green, ha presentado lo que considera el “paquete de cohesión territorial y social”. En este tercer paquete, el Gobierno foral se ha marcado entre los objetivos la puesta en marcha de 49 proyectos estratégicos, indicándose que en “todos ellos subyace la cohesión social y territorial como elemento clave, ya que ella depende el desarrollo socioeconómico equilibrado de las regiones” Se plantea que el Gobierno de Navarra en los próximos seis años invierta un total de 1.534 millones de euros. </w:t>
      </w:r>
    </w:p>
    <w:p>
      <w:pPr>
        <w:pStyle w:val="0"/>
        <w:suppressAutoHyphens w:val="false"/>
        <w:rPr>
          <w:rStyle w:val="1"/>
        </w:rPr>
      </w:pPr>
      <w:r>
        <w:rPr>
          <w:rStyle w:val="1"/>
        </w:rPr>
        <w:t xml:space="preserve">Entre las iniciativas previstas destaca el Plan de Transformación y Resiliencia de Navarra, que, con un presupuesto de 846 millones, prevé abordar la modernización de las infraestructuras de transporte y la finalización de la segunda fase del Canal de Navarra. Se indica que la previsión de la inversión alcanzaría en el periodo 2023-2026 un total de 221 millones de euros </w:t>
      </w:r>
    </w:p>
    <w:p>
      <w:pPr>
        <w:pStyle w:val="0"/>
        <w:suppressAutoHyphens w:val="false"/>
        <w:rPr>
          <w:rStyle w:val="1"/>
        </w:rPr>
      </w:pPr>
      <w:r>
        <w:rPr>
          <w:rStyle w:val="1"/>
        </w:rPr>
        <w:t xml:space="preserve">Teniendo en cuenta los acuerdos firmados con el Gobierno del Estado en relación con el Canal de Navarra, se formulan las siguientes preguntas para su respuesta por escrito. </w:t>
      </w:r>
    </w:p>
    <w:p>
      <w:pPr>
        <w:pStyle w:val="0"/>
        <w:suppressAutoHyphens w:val="false"/>
        <w:rPr>
          <w:rStyle w:val="1"/>
        </w:rPr>
      </w:pPr>
      <w:r>
        <w:rPr>
          <w:rStyle w:val="1"/>
        </w:rPr>
        <w:t xml:space="preserve">-¿En qué sesión del Consejo de Administración de la sociedad pública Canal de Navarra S.A. se ha tratado el tema de solicitar la inclusión de esta inversión como una de las susceptibles de ser financiada por los fondos europeos del plan Next Generation?</w:t>
      </w:r>
    </w:p>
    <w:p>
      <w:pPr>
        <w:pStyle w:val="0"/>
        <w:suppressAutoHyphens w:val="false"/>
        <w:rPr>
          <w:rStyle w:val="1"/>
        </w:rPr>
      </w:pPr>
      <w:r>
        <w:rPr>
          <w:rStyle w:val="1"/>
        </w:rPr>
        <w:t xml:space="preserve">-¿Supone la inclusión de este proyecto en el Plan de Transformación y Resiliencia de Navarra que Navarra asumirá el 100 % de los costes de la 2ª Fase del Canal de Navarra? </w:t>
      </w:r>
    </w:p>
    <w:p>
      <w:pPr>
        <w:pStyle w:val="0"/>
        <w:suppressAutoHyphens w:val="false"/>
        <w:rPr>
          <w:rStyle w:val="1"/>
        </w:rPr>
      </w:pPr>
      <w:r>
        <w:rPr>
          <w:rStyle w:val="1"/>
        </w:rPr>
        <w:t xml:space="preserve">-En caso negativo, ¿para cuándo está previsto que el Gobierno del Estado y el de Navarra determinen cómo se va a financiar la ejecución de las obras de la 2ª Fase del Canal de Navarra? ¿Cuál será la posición del Gobierno de Navarra? ¿Planteará un peaje a la sombra como en la Ampliación de la 1 ª Fase? ¿Acudirán al endeudamiento de Canasa? </w:t>
      </w:r>
    </w:p>
    <w:p>
      <w:pPr>
        <w:pStyle w:val="0"/>
        <w:suppressAutoHyphens w:val="false"/>
        <w:rPr>
          <w:rStyle w:val="1"/>
        </w:rPr>
      </w:pPr>
      <w:r>
        <w:rPr>
          <w:rStyle w:val="1"/>
        </w:rPr>
        <w:t xml:space="preserve">Iruñea/Pamplona a 25 de enero de 2021 </w:t>
      </w:r>
    </w:p>
    <w:p>
      <w:pPr>
        <w:pStyle w:val="0"/>
        <w:suppressAutoHyphens w:val="false"/>
        <w:rPr>
          <w:rStyle w:val="1"/>
          <w:spacing w:val="-1.919"/>
        </w:rPr>
      </w:pPr>
      <w:r>
        <w:rPr>
          <w:rStyle w:val="1"/>
          <w:spacing w:val="-1.919"/>
        </w:rPr>
        <w:t xml:space="preserve">El Parlamentario Foral: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