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73" w:rsidRDefault="00B66485" w:rsidP="00CA544A">
      <w:pPr>
        <w:spacing w:after="120"/>
        <w:rPr>
          <w:rFonts w:cs="Arial"/>
        </w:rPr>
      </w:pPr>
      <w:r>
        <w:rPr>
          <w:rFonts w:cs="Arial"/>
        </w:rPr>
        <w:t>11 de diciembre</w:t>
      </w:r>
    </w:p>
    <w:p w:rsidR="00321AF2" w:rsidRPr="00B66485" w:rsidRDefault="00CD4DF7" w:rsidP="00B66485">
      <w:pPr>
        <w:spacing w:after="120"/>
        <w:rPr>
          <w:rFonts w:cs="Arial"/>
        </w:rPr>
      </w:pPr>
      <w:r w:rsidRPr="00321AF2">
        <w:rPr>
          <w:rFonts w:cs="Arial"/>
        </w:rPr>
        <w:t>La</w:t>
      </w:r>
      <w:r w:rsidR="0006150C" w:rsidRPr="00321AF2">
        <w:rPr>
          <w:rFonts w:cs="Arial"/>
        </w:rPr>
        <w:t xml:space="preserve"> </w:t>
      </w:r>
      <w:r w:rsidRPr="00321AF2">
        <w:rPr>
          <w:rFonts w:cs="Arial"/>
        </w:rPr>
        <w:t>Consejera</w:t>
      </w:r>
      <w:r w:rsidR="0006150C" w:rsidRPr="00321AF2">
        <w:rPr>
          <w:rFonts w:cs="Arial"/>
        </w:rPr>
        <w:t xml:space="preserve"> de Derechos Sociales </w:t>
      </w:r>
      <w:r w:rsidR="00865890" w:rsidRPr="00321AF2">
        <w:rPr>
          <w:rFonts w:cs="Arial"/>
        </w:rPr>
        <w:t>del Gobierno de Navarra</w:t>
      </w:r>
      <w:r w:rsidR="0006150C" w:rsidRPr="00321AF2">
        <w:rPr>
          <w:rFonts w:cs="Arial"/>
        </w:rPr>
        <w:t xml:space="preserve">, en relación </w:t>
      </w:r>
      <w:r w:rsidR="00B67C4B" w:rsidRPr="00321AF2">
        <w:rPr>
          <w:rFonts w:cs="Arial"/>
        </w:rPr>
        <w:t>con</w:t>
      </w:r>
      <w:r w:rsidR="0006150C" w:rsidRPr="00321AF2">
        <w:rPr>
          <w:rFonts w:cs="Arial"/>
        </w:rPr>
        <w:t xml:space="preserve"> la </w:t>
      </w:r>
      <w:r w:rsidR="00321AF2" w:rsidRPr="00321AF2">
        <w:rPr>
          <w:rFonts w:cs="Arial"/>
        </w:rPr>
        <w:t>pregunta</w:t>
      </w:r>
      <w:r w:rsidR="0006150C" w:rsidRPr="00321AF2">
        <w:rPr>
          <w:rFonts w:cs="Arial"/>
        </w:rPr>
        <w:t xml:space="preserve"> </w:t>
      </w:r>
      <w:r w:rsidR="00865890" w:rsidRPr="00321AF2">
        <w:rPr>
          <w:rFonts w:cs="Arial"/>
        </w:rPr>
        <w:t>formulada</w:t>
      </w:r>
      <w:r w:rsidR="0006150C" w:rsidRPr="00321AF2">
        <w:rPr>
          <w:rFonts w:cs="Arial"/>
        </w:rPr>
        <w:t xml:space="preserve"> por </w:t>
      </w:r>
      <w:r w:rsidR="00EA2D5B" w:rsidRPr="00321AF2">
        <w:rPr>
          <w:rFonts w:cs="Arial"/>
        </w:rPr>
        <w:t>la</w:t>
      </w:r>
      <w:r w:rsidR="003860DD" w:rsidRPr="00321AF2">
        <w:rPr>
          <w:rFonts w:cs="Arial"/>
        </w:rPr>
        <w:t xml:space="preserve"> parlamentari</w:t>
      </w:r>
      <w:r w:rsidR="00EA2D5B" w:rsidRPr="00321AF2">
        <w:rPr>
          <w:rFonts w:cs="Arial"/>
        </w:rPr>
        <w:t>a</w:t>
      </w:r>
      <w:r w:rsidR="00B67C4B" w:rsidRPr="00321AF2">
        <w:rPr>
          <w:rFonts w:cs="Arial"/>
        </w:rPr>
        <w:t xml:space="preserve"> d</w:t>
      </w:r>
      <w:r w:rsidR="00EC31C9" w:rsidRPr="00321AF2">
        <w:rPr>
          <w:rFonts w:cs="Arial"/>
        </w:rPr>
        <w:t>o</w:t>
      </w:r>
      <w:r w:rsidR="00EA2D5B" w:rsidRPr="00321AF2">
        <w:rPr>
          <w:rFonts w:cs="Arial"/>
        </w:rPr>
        <w:t>ña</w:t>
      </w:r>
      <w:r w:rsidR="0006150C" w:rsidRPr="00321AF2">
        <w:rPr>
          <w:rFonts w:cs="Arial"/>
        </w:rPr>
        <w:t xml:space="preserve"> </w:t>
      </w:r>
      <w:r w:rsidR="001A1B4A" w:rsidRPr="00321AF2">
        <w:rPr>
          <w:rFonts w:cs="Arial"/>
        </w:rPr>
        <w:t>Marta Álvarez Alonso</w:t>
      </w:r>
      <w:r w:rsidR="0006150C" w:rsidRPr="00321AF2">
        <w:rPr>
          <w:rFonts w:cs="Arial"/>
        </w:rPr>
        <w:t>, adscrit</w:t>
      </w:r>
      <w:r w:rsidR="00EA2D5B" w:rsidRPr="00321AF2">
        <w:rPr>
          <w:rFonts w:cs="Arial"/>
        </w:rPr>
        <w:t>a</w:t>
      </w:r>
      <w:r w:rsidR="0006150C" w:rsidRPr="00321AF2">
        <w:rPr>
          <w:rFonts w:cs="Arial"/>
        </w:rPr>
        <w:t xml:space="preserve"> al Grupo </w:t>
      </w:r>
      <w:r w:rsidR="00B67C4B" w:rsidRPr="00321AF2">
        <w:rPr>
          <w:rFonts w:cs="Arial"/>
        </w:rPr>
        <w:t>P</w:t>
      </w:r>
      <w:r w:rsidR="0006150C" w:rsidRPr="00321AF2">
        <w:rPr>
          <w:rFonts w:cs="Arial"/>
        </w:rPr>
        <w:t xml:space="preserve">arlamentario </w:t>
      </w:r>
      <w:r w:rsidR="001A1B4A" w:rsidRPr="00321AF2">
        <w:rPr>
          <w:rFonts w:cs="Arial"/>
        </w:rPr>
        <w:t>Navarra Suma</w:t>
      </w:r>
      <w:r w:rsidR="0006150C" w:rsidRPr="00321AF2">
        <w:rPr>
          <w:rFonts w:cs="Arial"/>
        </w:rPr>
        <w:t xml:space="preserve">, </w:t>
      </w:r>
      <w:r w:rsidR="0068120C" w:rsidRPr="00321AF2">
        <w:rPr>
          <w:rFonts w:cs="Arial"/>
        </w:rPr>
        <w:t xml:space="preserve">sobre </w:t>
      </w:r>
      <w:r w:rsidR="00321AF2" w:rsidRPr="00321AF2">
        <w:rPr>
          <w:rFonts w:cs="Arial"/>
        </w:rPr>
        <w:t>diversas cuestiones relativas al Ingreso Mínimo Vital y Renta Garantizada</w:t>
      </w:r>
      <w:r w:rsidR="00C70D9F" w:rsidRPr="00321AF2">
        <w:rPr>
          <w:rFonts w:cs="Arial"/>
        </w:rPr>
        <w:t xml:space="preserve"> </w:t>
      </w:r>
      <w:r w:rsidR="006566C9" w:rsidRPr="00321AF2">
        <w:rPr>
          <w:rFonts w:cs="Arial"/>
        </w:rPr>
        <w:t>(10</w:t>
      </w:r>
      <w:r w:rsidR="00560F7E" w:rsidRPr="00321AF2">
        <w:rPr>
          <w:rFonts w:cs="Arial"/>
        </w:rPr>
        <w:t>-20</w:t>
      </w:r>
      <w:r w:rsidR="00BF65B2" w:rsidRPr="00321AF2">
        <w:rPr>
          <w:rFonts w:cs="Arial"/>
        </w:rPr>
        <w:t>/PE</w:t>
      </w:r>
      <w:r w:rsidR="00321AF2" w:rsidRPr="00321AF2">
        <w:rPr>
          <w:rFonts w:cs="Arial"/>
        </w:rPr>
        <w:t>S</w:t>
      </w:r>
      <w:r w:rsidR="00BF65B2" w:rsidRPr="00321AF2">
        <w:rPr>
          <w:rFonts w:cs="Arial"/>
        </w:rPr>
        <w:t>-00</w:t>
      </w:r>
      <w:r w:rsidR="00321AF2" w:rsidRPr="00321AF2">
        <w:rPr>
          <w:rFonts w:cs="Arial"/>
        </w:rPr>
        <w:t>28</w:t>
      </w:r>
      <w:r w:rsidR="008768AC" w:rsidRPr="00321AF2">
        <w:rPr>
          <w:rFonts w:cs="Arial"/>
        </w:rPr>
        <w:t>1</w:t>
      </w:r>
      <w:r w:rsidR="00865890" w:rsidRPr="00321AF2">
        <w:rPr>
          <w:rFonts w:cs="Arial"/>
        </w:rPr>
        <w:t>)</w:t>
      </w:r>
      <w:r w:rsidR="0006150C" w:rsidRPr="00321AF2">
        <w:rPr>
          <w:rFonts w:cs="Arial"/>
        </w:rPr>
        <w:t xml:space="preserve">, </w:t>
      </w:r>
      <w:r w:rsidR="00CB3E16" w:rsidRPr="00321AF2">
        <w:rPr>
          <w:rFonts w:cs="Arial"/>
        </w:rPr>
        <w:t>tiene el honor de informarle lo siguiente</w:t>
      </w:r>
      <w:r w:rsidR="00EC3319" w:rsidRPr="00321AF2">
        <w:rPr>
          <w:rFonts w:cs="Arial"/>
        </w:rPr>
        <w:t>:</w:t>
      </w:r>
      <w:bookmarkStart w:id="0" w:name="_Toc454952117"/>
    </w:p>
    <w:p w:rsidR="00321AF2" w:rsidRPr="00321AF2" w:rsidRDefault="00321AF2" w:rsidP="00321AF2">
      <w:pPr>
        <w:rPr>
          <w:rFonts w:cs="Arial"/>
        </w:rPr>
      </w:pPr>
      <w:r w:rsidRPr="00321AF2">
        <w:rPr>
          <w:rFonts w:cs="Arial"/>
        </w:rPr>
        <w:t xml:space="preserve">Es preceptivo informar que es el Instituto Nacional de Seguridad Social la administración competente en la gestión y tramitación del Ingreso Mínimo Vital por lo que, desde el Departamento solamente podemos ofrecer los datos que dicha administración ha comunicado a lo largo del periodo al que se refiere. Así, el número de expedientes en lo que va de año (hasta el 31 de octubre), desglosados por meses, de perceptores del Ingreso Mínimo Vital que el INSS ha comunicado a este departamento es el siguiente: </w:t>
      </w:r>
    </w:p>
    <w:tbl>
      <w:tblPr>
        <w:tblW w:w="4684" w:type="dxa"/>
        <w:jc w:val="center"/>
        <w:tblInd w:w="55" w:type="dxa"/>
        <w:tblLayout w:type="fixed"/>
        <w:tblCellMar>
          <w:left w:w="70" w:type="dxa"/>
          <w:right w:w="70" w:type="dxa"/>
        </w:tblCellMar>
        <w:tblLook w:val="04A0" w:firstRow="1" w:lastRow="0" w:firstColumn="1" w:lastColumn="0" w:noHBand="0" w:noVBand="1"/>
      </w:tblPr>
      <w:tblGrid>
        <w:gridCol w:w="2342"/>
        <w:gridCol w:w="2342"/>
      </w:tblGrid>
      <w:tr w:rsidR="00321AF2" w:rsidRPr="00321AF2" w:rsidTr="00321AF2">
        <w:trPr>
          <w:trHeight w:val="362"/>
          <w:jc w:val="center"/>
        </w:trPr>
        <w:tc>
          <w:tcPr>
            <w:tcW w:w="2342" w:type="dxa"/>
            <w:tcBorders>
              <w:top w:val="nil"/>
              <w:left w:val="nil"/>
              <w:bottom w:val="single" w:sz="4" w:space="0" w:color="95B3D7"/>
              <w:right w:val="nil"/>
            </w:tcBorders>
            <w:shd w:val="clear" w:color="DCE6F1" w:fill="DCE6F1"/>
            <w:noWrap/>
            <w:vAlign w:val="center"/>
            <w:hideMark/>
          </w:tcPr>
          <w:p w:rsidR="00321AF2" w:rsidRPr="00321AF2" w:rsidRDefault="00321AF2" w:rsidP="00321AF2">
            <w:pPr>
              <w:spacing w:line="240" w:lineRule="auto"/>
              <w:jc w:val="left"/>
              <w:rPr>
                <w:rFonts w:cs="Arial"/>
                <w:b/>
                <w:bCs/>
                <w:sz w:val="22"/>
              </w:rPr>
            </w:pPr>
            <w:r w:rsidRPr="00321AF2">
              <w:rPr>
                <w:rFonts w:cs="Arial"/>
                <w:b/>
                <w:bCs/>
                <w:sz w:val="22"/>
              </w:rPr>
              <w:t>MES</w:t>
            </w:r>
          </w:p>
        </w:tc>
        <w:tc>
          <w:tcPr>
            <w:tcW w:w="2342" w:type="dxa"/>
            <w:tcBorders>
              <w:top w:val="nil"/>
              <w:left w:val="nil"/>
              <w:bottom w:val="single" w:sz="4" w:space="0" w:color="95B3D7"/>
              <w:right w:val="nil"/>
            </w:tcBorders>
            <w:shd w:val="clear" w:color="DCE6F1" w:fill="DCE6F1"/>
            <w:noWrap/>
            <w:vAlign w:val="center"/>
            <w:hideMark/>
          </w:tcPr>
          <w:p w:rsidR="00321AF2" w:rsidRPr="00321AF2" w:rsidRDefault="00321AF2" w:rsidP="00321AF2">
            <w:pPr>
              <w:spacing w:line="240" w:lineRule="auto"/>
              <w:jc w:val="left"/>
              <w:rPr>
                <w:rFonts w:cs="Arial"/>
                <w:b/>
                <w:bCs/>
                <w:sz w:val="22"/>
              </w:rPr>
            </w:pPr>
            <w:r w:rsidRPr="00321AF2">
              <w:rPr>
                <w:rFonts w:cs="Arial"/>
                <w:b/>
                <w:bCs/>
                <w:sz w:val="22"/>
              </w:rPr>
              <w:t>Nº EXPEDIENTES</w:t>
            </w:r>
          </w:p>
        </w:tc>
      </w:tr>
      <w:tr w:rsidR="00321AF2" w:rsidRPr="00321AF2" w:rsidTr="00321AF2">
        <w:trPr>
          <w:trHeight w:val="362"/>
          <w:jc w:val="center"/>
        </w:trPr>
        <w:tc>
          <w:tcPr>
            <w:tcW w:w="2342" w:type="dxa"/>
            <w:tcBorders>
              <w:top w:val="nil"/>
              <w:left w:val="nil"/>
              <w:bottom w:val="nil"/>
              <w:right w:val="nil"/>
            </w:tcBorders>
            <w:shd w:val="clear" w:color="auto" w:fill="auto"/>
            <w:noWrap/>
            <w:vAlign w:val="center"/>
            <w:hideMark/>
          </w:tcPr>
          <w:p w:rsidR="00321AF2" w:rsidRPr="00321AF2" w:rsidRDefault="00321AF2" w:rsidP="00321AF2">
            <w:pPr>
              <w:spacing w:line="240" w:lineRule="auto"/>
              <w:jc w:val="left"/>
              <w:rPr>
                <w:rFonts w:cs="Arial"/>
                <w:sz w:val="22"/>
              </w:rPr>
            </w:pPr>
            <w:r w:rsidRPr="00321AF2">
              <w:rPr>
                <w:rFonts w:cs="Arial"/>
                <w:sz w:val="22"/>
              </w:rPr>
              <w:t>Julio</w:t>
            </w:r>
          </w:p>
        </w:tc>
        <w:tc>
          <w:tcPr>
            <w:tcW w:w="2342" w:type="dxa"/>
            <w:tcBorders>
              <w:top w:val="nil"/>
              <w:left w:val="nil"/>
              <w:bottom w:val="nil"/>
              <w:right w:val="nil"/>
            </w:tcBorders>
            <w:shd w:val="clear" w:color="auto" w:fill="auto"/>
            <w:noWrap/>
            <w:vAlign w:val="center"/>
            <w:hideMark/>
          </w:tcPr>
          <w:p w:rsidR="00321AF2" w:rsidRPr="00321AF2" w:rsidRDefault="00321AF2" w:rsidP="00321AF2">
            <w:pPr>
              <w:spacing w:line="240" w:lineRule="auto"/>
              <w:ind w:right="996"/>
              <w:jc w:val="right"/>
              <w:rPr>
                <w:rFonts w:cs="Arial"/>
                <w:sz w:val="22"/>
              </w:rPr>
            </w:pPr>
            <w:r w:rsidRPr="00321AF2">
              <w:rPr>
                <w:rFonts w:cs="Arial"/>
                <w:sz w:val="22"/>
              </w:rPr>
              <w:t>1</w:t>
            </w:r>
          </w:p>
        </w:tc>
      </w:tr>
      <w:tr w:rsidR="00321AF2" w:rsidRPr="00321AF2" w:rsidTr="00321AF2">
        <w:trPr>
          <w:trHeight w:val="362"/>
          <w:jc w:val="center"/>
        </w:trPr>
        <w:tc>
          <w:tcPr>
            <w:tcW w:w="2342" w:type="dxa"/>
            <w:tcBorders>
              <w:top w:val="nil"/>
              <w:left w:val="nil"/>
              <w:bottom w:val="nil"/>
              <w:right w:val="nil"/>
            </w:tcBorders>
            <w:shd w:val="clear" w:color="auto" w:fill="auto"/>
            <w:noWrap/>
            <w:vAlign w:val="center"/>
            <w:hideMark/>
          </w:tcPr>
          <w:p w:rsidR="00321AF2" w:rsidRPr="00321AF2" w:rsidRDefault="00321AF2" w:rsidP="00321AF2">
            <w:pPr>
              <w:spacing w:line="240" w:lineRule="auto"/>
              <w:jc w:val="left"/>
              <w:rPr>
                <w:rFonts w:cs="Arial"/>
                <w:sz w:val="22"/>
              </w:rPr>
            </w:pPr>
            <w:r w:rsidRPr="00321AF2">
              <w:rPr>
                <w:rFonts w:cs="Arial"/>
                <w:sz w:val="22"/>
              </w:rPr>
              <w:t>Septiembre</w:t>
            </w:r>
          </w:p>
        </w:tc>
        <w:tc>
          <w:tcPr>
            <w:tcW w:w="2342" w:type="dxa"/>
            <w:tcBorders>
              <w:top w:val="nil"/>
              <w:left w:val="nil"/>
              <w:bottom w:val="nil"/>
              <w:right w:val="nil"/>
            </w:tcBorders>
            <w:shd w:val="clear" w:color="auto" w:fill="auto"/>
            <w:noWrap/>
            <w:vAlign w:val="center"/>
            <w:hideMark/>
          </w:tcPr>
          <w:p w:rsidR="00321AF2" w:rsidRPr="00321AF2" w:rsidRDefault="00321AF2" w:rsidP="00321AF2">
            <w:pPr>
              <w:spacing w:line="240" w:lineRule="auto"/>
              <w:ind w:right="996"/>
              <w:jc w:val="right"/>
              <w:rPr>
                <w:rFonts w:cs="Arial"/>
                <w:sz w:val="22"/>
              </w:rPr>
            </w:pPr>
            <w:r w:rsidRPr="00321AF2">
              <w:rPr>
                <w:rFonts w:cs="Arial"/>
                <w:sz w:val="22"/>
              </w:rPr>
              <w:t>1</w:t>
            </w:r>
            <w:r>
              <w:rPr>
                <w:rFonts w:cs="Arial"/>
                <w:sz w:val="22"/>
              </w:rPr>
              <w:t>.</w:t>
            </w:r>
            <w:r w:rsidRPr="00321AF2">
              <w:rPr>
                <w:rFonts w:cs="Arial"/>
                <w:sz w:val="22"/>
              </w:rPr>
              <w:t>314</w:t>
            </w:r>
          </w:p>
        </w:tc>
      </w:tr>
      <w:tr w:rsidR="00321AF2" w:rsidRPr="00321AF2" w:rsidTr="00321AF2">
        <w:trPr>
          <w:trHeight w:val="362"/>
          <w:jc w:val="center"/>
        </w:trPr>
        <w:tc>
          <w:tcPr>
            <w:tcW w:w="2342" w:type="dxa"/>
            <w:tcBorders>
              <w:top w:val="nil"/>
              <w:left w:val="nil"/>
              <w:bottom w:val="nil"/>
              <w:right w:val="nil"/>
            </w:tcBorders>
            <w:shd w:val="clear" w:color="auto" w:fill="auto"/>
            <w:noWrap/>
            <w:vAlign w:val="center"/>
            <w:hideMark/>
          </w:tcPr>
          <w:p w:rsidR="00321AF2" w:rsidRPr="00321AF2" w:rsidRDefault="00321AF2" w:rsidP="00321AF2">
            <w:pPr>
              <w:spacing w:line="240" w:lineRule="auto"/>
              <w:jc w:val="left"/>
              <w:rPr>
                <w:rFonts w:cs="Arial"/>
                <w:sz w:val="22"/>
              </w:rPr>
            </w:pPr>
            <w:r w:rsidRPr="00321AF2">
              <w:rPr>
                <w:rFonts w:cs="Arial"/>
                <w:sz w:val="22"/>
              </w:rPr>
              <w:t>Octubre</w:t>
            </w:r>
          </w:p>
        </w:tc>
        <w:tc>
          <w:tcPr>
            <w:tcW w:w="2342" w:type="dxa"/>
            <w:tcBorders>
              <w:top w:val="nil"/>
              <w:left w:val="nil"/>
              <w:bottom w:val="nil"/>
              <w:right w:val="nil"/>
            </w:tcBorders>
            <w:shd w:val="clear" w:color="auto" w:fill="auto"/>
            <w:noWrap/>
            <w:vAlign w:val="center"/>
            <w:hideMark/>
          </w:tcPr>
          <w:p w:rsidR="00321AF2" w:rsidRPr="00321AF2" w:rsidRDefault="00321AF2" w:rsidP="00321AF2">
            <w:pPr>
              <w:spacing w:line="240" w:lineRule="auto"/>
              <w:ind w:right="996"/>
              <w:jc w:val="right"/>
              <w:rPr>
                <w:rFonts w:cs="Arial"/>
                <w:sz w:val="22"/>
              </w:rPr>
            </w:pPr>
            <w:r w:rsidRPr="00321AF2">
              <w:rPr>
                <w:rFonts w:cs="Arial"/>
                <w:sz w:val="22"/>
              </w:rPr>
              <w:t>19</w:t>
            </w:r>
          </w:p>
        </w:tc>
      </w:tr>
      <w:tr w:rsidR="00321AF2" w:rsidRPr="00321AF2" w:rsidTr="00321AF2">
        <w:trPr>
          <w:trHeight w:val="362"/>
          <w:jc w:val="center"/>
        </w:trPr>
        <w:tc>
          <w:tcPr>
            <w:tcW w:w="2342" w:type="dxa"/>
            <w:tcBorders>
              <w:top w:val="single" w:sz="4" w:space="0" w:color="95B3D7"/>
              <w:left w:val="nil"/>
              <w:bottom w:val="nil"/>
              <w:right w:val="nil"/>
            </w:tcBorders>
            <w:shd w:val="clear" w:color="DCE6F1" w:fill="DCE6F1"/>
            <w:noWrap/>
            <w:vAlign w:val="center"/>
            <w:hideMark/>
          </w:tcPr>
          <w:p w:rsidR="00321AF2" w:rsidRPr="00321AF2" w:rsidRDefault="00321AF2" w:rsidP="00742122">
            <w:pPr>
              <w:spacing w:line="240" w:lineRule="auto"/>
              <w:jc w:val="left"/>
              <w:rPr>
                <w:rFonts w:cs="Arial"/>
                <w:b/>
                <w:bCs/>
                <w:sz w:val="22"/>
              </w:rPr>
            </w:pPr>
            <w:r w:rsidRPr="00321AF2">
              <w:rPr>
                <w:rFonts w:cs="Arial"/>
                <w:b/>
                <w:bCs/>
                <w:sz w:val="22"/>
              </w:rPr>
              <w:t>Total</w:t>
            </w:r>
          </w:p>
        </w:tc>
        <w:tc>
          <w:tcPr>
            <w:tcW w:w="2342" w:type="dxa"/>
            <w:tcBorders>
              <w:top w:val="single" w:sz="4" w:space="0" w:color="95B3D7"/>
              <w:left w:val="nil"/>
              <w:bottom w:val="nil"/>
              <w:right w:val="nil"/>
            </w:tcBorders>
            <w:shd w:val="clear" w:color="DCE6F1" w:fill="DCE6F1"/>
            <w:noWrap/>
            <w:vAlign w:val="center"/>
            <w:hideMark/>
          </w:tcPr>
          <w:p w:rsidR="00321AF2" w:rsidRPr="00321AF2" w:rsidRDefault="00321AF2" w:rsidP="00321AF2">
            <w:pPr>
              <w:spacing w:line="240" w:lineRule="auto"/>
              <w:ind w:right="996"/>
              <w:jc w:val="right"/>
              <w:rPr>
                <w:rFonts w:cs="Arial"/>
                <w:b/>
                <w:bCs/>
                <w:sz w:val="22"/>
              </w:rPr>
            </w:pPr>
            <w:r w:rsidRPr="00321AF2">
              <w:rPr>
                <w:rFonts w:cs="Arial"/>
                <w:b/>
                <w:bCs/>
                <w:sz w:val="22"/>
              </w:rPr>
              <w:t>1</w:t>
            </w:r>
            <w:r>
              <w:rPr>
                <w:rFonts w:cs="Arial"/>
                <w:b/>
                <w:bCs/>
                <w:sz w:val="22"/>
              </w:rPr>
              <w:t>.</w:t>
            </w:r>
            <w:r w:rsidRPr="00321AF2">
              <w:rPr>
                <w:rFonts w:cs="Arial"/>
                <w:b/>
                <w:bCs/>
                <w:sz w:val="22"/>
              </w:rPr>
              <w:t>334</w:t>
            </w:r>
          </w:p>
        </w:tc>
      </w:tr>
    </w:tbl>
    <w:p w:rsidR="00321AF2" w:rsidRDefault="00321AF2" w:rsidP="00321AF2">
      <w:pPr>
        <w:rPr>
          <w:rFonts w:cs="Arial"/>
          <w:b/>
        </w:rPr>
      </w:pPr>
    </w:p>
    <w:p w:rsidR="00321AF2" w:rsidRPr="00321AF2" w:rsidRDefault="00321AF2" w:rsidP="00321AF2">
      <w:pPr>
        <w:rPr>
          <w:rFonts w:cs="Arial"/>
        </w:rPr>
      </w:pPr>
      <w:r w:rsidRPr="00321AF2">
        <w:rPr>
          <w:rFonts w:cs="Arial"/>
        </w:rPr>
        <w:t>De estas unidades familiares, 1</w:t>
      </w:r>
      <w:r>
        <w:rPr>
          <w:rFonts w:cs="Arial"/>
        </w:rPr>
        <w:t>.</w:t>
      </w:r>
      <w:r w:rsidRPr="00321AF2">
        <w:rPr>
          <w:rFonts w:cs="Arial"/>
        </w:rPr>
        <w:t>147 compatibilizan la RG y el IMV en este momento.</w:t>
      </w:r>
    </w:p>
    <w:p w:rsidR="00742122" w:rsidRDefault="00321AF2" w:rsidP="00321AF2">
      <w:pPr>
        <w:rPr>
          <w:rFonts w:cs="Arial"/>
        </w:rPr>
      </w:pPr>
      <w:r w:rsidRPr="00321AF2">
        <w:rPr>
          <w:rFonts w:cs="Arial"/>
        </w:rPr>
        <w:t>El 70 % se abonará con cargo al Ingreso Mínimo Vital y el 30% con cargo a la Renta Garantizada.</w:t>
      </w:r>
    </w:p>
    <w:p w:rsidR="00321AF2" w:rsidRPr="00321AF2" w:rsidRDefault="00321AF2" w:rsidP="00321AF2">
      <w:pPr>
        <w:rPr>
          <w:rFonts w:cs="Arial"/>
        </w:rPr>
      </w:pPr>
      <w:r w:rsidRPr="00321AF2">
        <w:rPr>
          <w:rFonts w:cs="Arial"/>
        </w:rPr>
        <w:t>Los expedientes de perceptores de Renta garantizada que no tienen derecho a IMV a 31/10/2020, es decir, que ya han sido denegados por el INSS son:</w:t>
      </w:r>
    </w:p>
    <w:tbl>
      <w:tblPr>
        <w:tblW w:w="4556" w:type="dxa"/>
        <w:jc w:val="center"/>
        <w:tblInd w:w="-242" w:type="dxa"/>
        <w:tblCellMar>
          <w:left w:w="70" w:type="dxa"/>
          <w:right w:w="70" w:type="dxa"/>
        </w:tblCellMar>
        <w:tblLook w:val="04A0" w:firstRow="1" w:lastRow="0" w:firstColumn="1" w:lastColumn="0" w:noHBand="0" w:noVBand="1"/>
      </w:tblPr>
      <w:tblGrid>
        <w:gridCol w:w="2137"/>
        <w:gridCol w:w="2419"/>
      </w:tblGrid>
      <w:tr w:rsidR="00321AF2" w:rsidRPr="00742122" w:rsidTr="00742122">
        <w:trPr>
          <w:trHeight w:val="354"/>
          <w:jc w:val="center"/>
        </w:trPr>
        <w:tc>
          <w:tcPr>
            <w:tcW w:w="2137" w:type="dxa"/>
            <w:tcBorders>
              <w:top w:val="nil"/>
              <w:left w:val="nil"/>
              <w:bottom w:val="single" w:sz="4" w:space="0" w:color="95B3D7"/>
              <w:right w:val="nil"/>
            </w:tcBorders>
            <w:shd w:val="clear" w:color="DCE6F1" w:fill="DCE6F1"/>
            <w:noWrap/>
            <w:vAlign w:val="center"/>
            <w:hideMark/>
          </w:tcPr>
          <w:p w:rsidR="00321AF2" w:rsidRPr="00742122" w:rsidRDefault="00321AF2" w:rsidP="00742122">
            <w:pPr>
              <w:spacing w:line="240" w:lineRule="auto"/>
              <w:jc w:val="left"/>
              <w:rPr>
                <w:rFonts w:cs="Arial"/>
                <w:b/>
                <w:bCs/>
                <w:sz w:val="22"/>
              </w:rPr>
            </w:pPr>
            <w:r w:rsidRPr="00742122">
              <w:rPr>
                <w:rFonts w:cs="Arial"/>
                <w:b/>
                <w:bCs/>
                <w:sz w:val="22"/>
              </w:rPr>
              <w:t>MES</w:t>
            </w:r>
          </w:p>
        </w:tc>
        <w:tc>
          <w:tcPr>
            <w:tcW w:w="2419" w:type="dxa"/>
            <w:tcBorders>
              <w:top w:val="nil"/>
              <w:left w:val="nil"/>
              <w:bottom w:val="single" w:sz="4" w:space="0" w:color="95B3D7"/>
              <w:right w:val="nil"/>
            </w:tcBorders>
            <w:shd w:val="clear" w:color="DCE6F1" w:fill="DCE6F1"/>
            <w:noWrap/>
            <w:vAlign w:val="center"/>
            <w:hideMark/>
          </w:tcPr>
          <w:p w:rsidR="00321AF2" w:rsidRPr="00742122" w:rsidRDefault="00321AF2" w:rsidP="00742122">
            <w:pPr>
              <w:spacing w:line="240" w:lineRule="auto"/>
              <w:jc w:val="left"/>
              <w:rPr>
                <w:rFonts w:cs="Arial"/>
                <w:b/>
                <w:bCs/>
                <w:sz w:val="22"/>
              </w:rPr>
            </w:pPr>
            <w:r w:rsidRPr="00742122">
              <w:rPr>
                <w:rFonts w:cs="Arial"/>
                <w:b/>
                <w:bCs/>
                <w:sz w:val="22"/>
              </w:rPr>
              <w:t>Nº EXPEDIENTES</w:t>
            </w:r>
          </w:p>
        </w:tc>
      </w:tr>
      <w:tr w:rsidR="00321AF2" w:rsidRPr="00742122" w:rsidTr="00742122">
        <w:trPr>
          <w:trHeight w:val="354"/>
          <w:jc w:val="center"/>
        </w:trPr>
        <w:tc>
          <w:tcPr>
            <w:tcW w:w="2137" w:type="dxa"/>
            <w:tcBorders>
              <w:top w:val="nil"/>
              <w:left w:val="nil"/>
              <w:bottom w:val="nil"/>
              <w:right w:val="nil"/>
            </w:tcBorders>
            <w:shd w:val="clear" w:color="auto" w:fill="auto"/>
            <w:noWrap/>
            <w:vAlign w:val="center"/>
            <w:hideMark/>
          </w:tcPr>
          <w:p w:rsidR="00321AF2" w:rsidRPr="00742122" w:rsidRDefault="00742122" w:rsidP="00742122">
            <w:pPr>
              <w:spacing w:line="240" w:lineRule="auto"/>
              <w:jc w:val="left"/>
              <w:rPr>
                <w:rFonts w:cs="Arial"/>
                <w:sz w:val="22"/>
              </w:rPr>
            </w:pPr>
            <w:r w:rsidRPr="00742122">
              <w:rPr>
                <w:rFonts w:cs="Arial"/>
                <w:sz w:val="22"/>
              </w:rPr>
              <w:t>Agosto</w:t>
            </w:r>
          </w:p>
        </w:tc>
        <w:tc>
          <w:tcPr>
            <w:tcW w:w="2419" w:type="dxa"/>
            <w:tcBorders>
              <w:top w:val="nil"/>
              <w:left w:val="nil"/>
              <w:bottom w:val="nil"/>
              <w:right w:val="nil"/>
            </w:tcBorders>
            <w:shd w:val="clear" w:color="auto" w:fill="auto"/>
            <w:noWrap/>
            <w:vAlign w:val="center"/>
            <w:hideMark/>
          </w:tcPr>
          <w:p w:rsidR="00321AF2" w:rsidRPr="00742122" w:rsidRDefault="00321AF2" w:rsidP="00742122">
            <w:pPr>
              <w:spacing w:line="240" w:lineRule="auto"/>
              <w:ind w:right="1078"/>
              <w:jc w:val="right"/>
              <w:rPr>
                <w:rFonts w:cs="Arial"/>
                <w:sz w:val="22"/>
              </w:rPr>
            </w:pPr>
            <w:r w:rsidRPr="00742122">
              <w:rPr>
                <w:rFonts w:cs="Arial"/>
                <w:sz w:val="22"/>
              </w:rPr>
              <w:t>12</w:t>
            </w:r>
          </w:p>
        </w:tc>
      </w:tr>
      <w:tr w:rsidR="00321AF2" w:rsidRPr="00742122" w:rsidTr="00742122">
        <w:trPr>
          <w:trHeight w:val="354"/>
          <w:jc w:val="center"/>
        </w:trPr>
        <w:tc>
          <w:tcPr>
            <w:tcW w:w="2137" w:type="dxa"/>
            <w:tcBorders>
              <w:top w:val="nil"/>
              <w:left w:val="nil"/>
              <w:bottom w:val="nil"/>
              <w:right w:val="nil"/>
            </w:tcBorders>
            <w:shd w:val="clear" w:color="auto" w:fill="auto"/>
            <w:noWrap/>
            <w:vAlign w:val="center"/>
            <w:hideMark/>
          </w:tcPr>
          <w:p w:rsidR="00321AF2" w:rsidRPr="00742122" w:rsidRDefault="00742122" w:rsidP="00742122">
            <w:pPr>
              <w:spacing w:line="240" w:lineRule="auto"/>
              <w:jc w:val="left"/>
              <w:rPr>
                <w:rFonts w:cs="Arial"/>
                <w:sz w:val="22"/>
              </w:rPr>
            </w:pPr>
            <w:r w:rsidRPr="00742122">
              <w:rPr>
                <w:rFonts w:cs="Arial"/>
                <w:sz w:val="22"/>
              </w:rPr>
              <w:t>Septiembre</w:t>
            </w:r>
          </w:p>
        </w:tc>
        <w:tc>
          <w:tcPr>
            <w:tcW w:w="2419" w:type="dxa"/>
            <w:tcBorders>
              <w:top w:val="nil"/>
              <w:left w:val="nil"/>
              <w:bottom w:val="nil"/>
              <w:right w:val="nil"/>
            </w:tcBorders>
            <w:shd w:val="clear" w:color="auto" w:fill="auto"/>
            <w:noWrap/>
            <w:vAlign w:val="center"/>
            <w:hideMark/>
          </w:tcPr>
          <w:p w:rsidR="00321AF2" w:rsidRPr="00742122" w:rsidRDefault="00321AF2" w:rsidP="00742122">
            <w:pPr>
              <w:spacing w:line="240" w:lineRule="auto"/>
              <w:ind w:right="1078"/>
              <w:jc w:val="right"/>
              <w:rPr>
                <w:rFonts w:cs="Arial"/>
                <w:sz w:val="22"/>
              </w:rPr>
            </w:pPr>
            <w:r w:rsidRPr="00742122">
              <w:rPr>
                <w:rFonts w:cs="Arial"/>
                <w:sz w:val="22"/>
              </w:rPr>
              <w:t>180</w:t>
            </w:r>
          </w:p>
        </w:tc>
      </w:tr>
      <w:tr w:rsidR="00321AF2" w:rsidRPr="00742122" w:rsidTr="00742122">
        <w:trPr>
          <w:trHeight w:val="354"/>
          <w:jc w:val="center"/>
        </w:trPr>
        <w:tc>
          <w:tcPr>
            <w:tcW w:w="2137" w:type="dxa"/>
            <w:tcBorders>
              <w:top w:val="nil"/>
              <w:left w:val="nil"/>
              <w:bottom w:val="nil"/>
              <w:right w:val="nil"/>
            </w:tcBorders>
            <w:shd w:val="clear" w:color="auto" w:fill="auto"/>
            <w:noWrap/>
            <w:vAlign w:val="center"/>
            <w:hideMark/>
          </w:tcPr>
          <w:p w:rsidR="00321AF2" w:rsidRPr="00742122" w:rsidRDefault="00742122" w:rsidP="00742122">
            <w:pPr>
              <w:spacing w:line="240" w:lineRule="auto"/>
              <w:jc w:val="left"/>
              <w:rPr>
                <w:rFonts w:cs="Arial"/>
                <w:sz w:val="22"/>
              </w:rPr>
            </w:pPr>
            <w:r w:rsidRPr="00742122">
              <w:rPr>
                <w:rFonts w:cs="Arial"/>
                <w:sz w:val="22"/>
              </w:rPr>
              <w:t>Octubre</w:t>
            </w:r>
          </w:p>
        </w:tc>
        <w:tc>
          <w:tcPr>
            <w:tcW w:w="2419" w:type="dxa"/>
            <w:tcBorders>
              <w:top w:val="nil"/>
              <w:left w:val="nil"/>
              <w:bottom w:val="nil"/>
              <w:right w:val="nil"/>
            </w:tcBorders>
            <w:shd w:val="clear" w:color="auto" w:fill="auto"/>
            <w:noWrap/>
            <w:vAlign w:val="center"/>
            <w:hideMark/>
          </w:tcPr>
          <w:p w:rsidR="00321AF2" w:rsidRPr="00742122" w:rsidRDefault="00321AF2" w:rsidP="00742122">
            <w:pPr>
              <w:spacing w:line="240" w:lineRule="auto"/>
              <w:ind w:right="1078"/>
              <w:jc w:val="right"/>
              <w:rPr>
                <w:rFonts w:cs="Arial"/>
                <w:sz w:val="22"/>
              </w:rPr>
            </w:pPr>
            <w:r w:rsidRPr="00742122">
              <w:rPr>
                <w:rFonts w:cs="Arial"/>
                <w:sz w:val="22"/>
              </w:rPr>
              <w:t>398</w:t>
            </w:r>
          </w:p>
        </w:tc>
      </w:tr>
      <w:tr w:rsidR="00321AF2" w:rsidRPr="00742122" w:rsidTr="00742122">
        <w:trPr>
          <w:trHeight w:val="354"/>
          <w:jc w:val="center"/>
        </w:trPr>
        <w:tc>
          <w:tcPr>
            <w:tcW w:w="2137" w:type="dxa"/>
            <w:tcBorders>
              <w:top w:val="single" w:sz="4" w:space="0" w:color="95B3D7"/>
              <w:left w:val="nil"/>
              <w:bottom w:val="nil"/>
              <w:right w:val="nil"/>
            </w:tcBorders>
            <w:shd w:val="clear" w:color="DCE6F1" w:fill="DCE6F1"/>
            <w:noWrap/>
            <w:vAlign w:val="center"/>
            <w:hideMark/>
          </w:tcPr>
          <w:p w:rsidR="00321AF2" w:rsidRPr="00742122" w:rsidRDefault="00321AF2" w:rsidP="00742122">
            <w:pPr>
              <w:spacing w:line="240" w:lineRule="auto"/>
              <w:jc w:val="left"/>
              <w:rPr>
                <w:rFonts w:cs="Arial"/>
                <w:b/>
                <w:bCs/>
                <w:sz w:val="22"/>
              </w:rPr>
            </w:pPr>
            <w:r w:rsidRPr="00742122">
              <w:rPr>
                <w:rFonts w:cs="Arial"/>
                <w:b/>
                <w:bCs/>
                <w:sz w:val="22"/>
              </w:rPr>
              <w:t>Total</w:t>
            </w:r>
          </w:p>
        </w:tc>
        <w:tc>
          <w:tcPr>
            <w:tcW w:w="2419" w:type="dxa"/>
            <w:tcBorders>
              <w:top w:val="single" w:sz="4" w:space="0" w:color="95B3D7"/>
              <w:left w:val="nil"/>
              <w:bottom w:val="nil"/>
              <w:right w:val="nil"/>
            </w:tcBorders>
            <w:shd w:val="clear" w:color="DCE6F1" w:fill="DCE6F1"/>
            <w:noWrap/>
            <w:vAlign w:val="center"/>
            <w:hideMark/>
          </w:tcPr>
          <w:p w:rsidR="00321AF2" w:rsidRPr="00742122" w:rsidRDefault="00321AF2" w:rsidP="00742122">
            <w:pPr>
              <w:spacing w:line="240" w:lineRule="auto"/>
              <w:ind w:right="1078"/>
              <w:jc w:val="right"/>
              <w:rPr>
                <w:rFonts w:cs="Arial"/>
                <w:b/>
                <w:bCs/>
                <w:sz w:val="22"/>
              </w:rPr>
            </w:pPr>
            <w:r w:rsidRPr="00742122">
              <w:rPr>
                <w:rFonts w:cs="Arial"/>
                <w:b/>
                <w:bCs/>
                <w:sz w:val="22"/>
              </w:rPr>
              <w:t>590</w:t>
            </w:r>
          </w:p>
        </w:tc>
      </w:tr>
    </w:tbl>
    <w:p w:rsidR="00321AF2" w:rsidRPr="00321AF2" w:rsidRDefault="00321AF2" w:rsidP="00321AF2">
      <w:pPr>
        <w:rPr>
          <w:rFonts w:cs="Arial"/>
        </w:rPr>
      </w:pPr>
    </w:p>
    <w:p w:rsidR="00321AF2" w:rsidRDefault="00321AF2" w:rsidP="00321AF2">
      <w:pPr>
        <w:rPr>
          <w:rFonts w:cs="Arial"/>
        </w:rPr>
      </w:pPr>
      <w:r w:rsidRPr="00321AF2">
        <w:rPr>
          <w:rFonts w:cs="Arial"/>
        </w:rPr>
        <w:t xml:space="preserve">Dado que en estos momentos la tramitación, gestión y reconocimiento del derecho al IMV es competencia del Instituto Nacional de la Seguridad Social y </w:t>
      </w:r>
      <w:r w:rsidRPr="00321AF2">
        <w:rPr>
          <w:rFonts w:cs="Arial"/>
        </w:rPr>
        <w:lastRenderedPageBreak/>
        <w:t>que la norma reguladora precisa de criterios internos de aplicación por parte del INSS en tanto que no se produzca el desarrollo reglamentario, no se dispone de mayor información sobre los perceptores de renta garantizada que no tienen derecho a esa prestación.</w:t>
      </w:r>
    </w:p>
    <w:p w:rsidR="0068120C" w:rsidRDefault="003A311C" w:rsidP="008768AC">
      <w:pPr>
        <w:rPr>
          <w:rFonts w:cs="Arial"/>
        </w:rPr>
      </w:pPr>
      <w:r>
        <w:rPr>
          <w:rFonts w:cs="Arial"/>
        </w:rPr>
        <w:t>No es posible hacer un cálculo sobre el ahorro económico o no que esta prestación va a suponer</w:t>
      </w:r>
      <w:r w:rsidRPr="00321AF2">
        <w:rPr>
          <w:rFonts w:cs="Arial"/>
        </w:rPr>
        <w:t>.</w:t>
      </w:r>
      <w:r>
        <w:rPr>
          <w:rFonts w:cs="Arial"/>
        </w:rPr>
        <w:t xml:space="preserve"> Esa cuestión será posible cuando conozcamos la aportación que tendrá que realizar Navarra a través del convenio económico, para sufragar el coste de esta nueva prestación en el conjunto de España.</w:t>
      </w:r>
      <w:bookmarkEnd w:id="0"/>
    </w:p>
    <w:p w:rsidR="0006150C" w:rsidRPr="00C96585" w:rsidRDefault="0006150C" w:rsidP="00CA544A">
      <w:pPr>
        <w:spacing w:after="120"/>
        <w:rPr>
          <w:rFonts w:cs="Arial"/>
        </w:rPr>
      </w:pPr>
      <w:r w:rsidRPr="00C96585">
        <w:rPr>
          <w:rFonts w:cs="Arial"/>
        </w:rPr>
        <w:t>Es cuanto tengo el honor de informar en cumplimiento del artículo 1</w:t>
      </w:r>
      <w:r w:rsidR="00B66485">
        <w:rPr>
          <w:rFonts w:cs="Arial"/>
        </w:rPr>
        <w:t>9</w:t>
      </w:r>
      <w:r w:rsidRPr="00C96585">
        <w:rPr>
          <w:rFonts w:cs="Arial"/>
        </w:rPr>
        <w:t>4 del Reglamento del Parlamento de Navarra.</w:t>
      </w:r>
    </w:p>
    <w:p w:rsidR="0006150C" w:rsidRPr="00C70D9F" w:rsidRDefault="0006150C" w:rsidP="00CA544A">
      <w:pPr>
        <w:spacing w:after="120"/>
        <w:jc w:val="center"/>
        <w:outlineLvl w:val="0"/>
        <w:rPr>
          <w:rFonts w:cs="Arial"/>
        </w:rPr>
      </w:pPr>
      <w:r w:rsidRPr="00580273">
        <w:rPr>
          <w:rFonts w:cs="Arial"/>
        </w:rPr>
        <w:t xml:space="preserve">Pamplona, </w:t>
      </w:r>
      <w:r w:rsidR="00580273" w:rsidRPr="00580273">
        <w:rPr>
          <w:rFonts w:cs="Arial"/>
        </w:rPr>
        <w:t>10 de diciembre</w:t>
      </w:r>
      <w:r w:rsidR="00AA6EA2" w:rsidRPr="00580273">
        <w:rPr>
          <w:rFonts w:cs="Arial"/>
        </w:rPr>
        <w:t xml:space="preserve"> de 20</w:t>
      </w:r>
      <w:r w:rsidR="003960F4" w:rsidRPr="00580273">
        <w:rPr>
          <w:rFonts w:cs="Arial"/>
        </w:rPr>
        <w:t>20</w:t>
      </w:r>
      <w:r w:rsidRPr="00580273">
        <w:rPr>
          <w:rFonts w:cs="Arial"/>
        </w:rPr>
        <w:t>.</w:t>
      </w:r>
    </w:p>
    <w:p w:rsidR="0006150C" w:rsidRDefault="00B66485" w:rsidP="00CA544A">
      <w:pPr>
        <w:spacing w:after="120"/>
        <w:jc w:val="center"/>
        <w:outlineLvl w:val="0"/>
      </w:pPr>
      <w:bookmarkStart w:id="1" w:name="_GoBack"/>
      <w:bookmarkEnd w:id="1"/>
      <w:r w:rsidRPr="00321AF2">
        <w:rPr>
          <w:rFonts w:cs="Arial"/>
        </w:rPr>
        <w:t>La Consejera de Derechos Sociales</w:t>
      </w:r>
      <w:r>
        <w:rPr>
          <w:rFonts w:cs="Arial"/>
        </w:rPr>
        <w:t>:</w:t>
      </w:r>
      <w:r w:rsidRPr="00321AF2">
        <w:rPr>
          <w:rFonts w:cs="Arial"/>
        </w:rPr>
        <w:t xml:space="preserve"> </w:t>
      </w:r>
      <w:r w:rsidR="00CD4DF7">
        <w:rPr>
          <w:rFonts w:cs="Arial"/>
        </w:rPr>
        <w:t>María Carmen Maeztu Villafranca</w:t>
      </w:r>
    </w:p>
    <w:sectPr w:rsidR="0006150C" w:rsidSect="003B62F5">
      <w:headerReference w:type="default" r:id="rId8"/>
      <w:footerReference w:type="even" r:id="rId9"/>
      <w:footerReference w:type="default" r:id="rId10"/>
      <w:pgSz w:w="11906" w:h="16838" w:code="9"/>
      <w:pgMar w:top="199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40" w:rsidRDefault="00E16940">
      <w:r>
        <w:separator/>
      </w:r>
    </w:p>
  </w:endnote>
  <w:endnote w:type="continuationSeparator" w:id="0">
    <w:p w:rsidR="00E16940" w:rsidRDefault="00E1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B66485">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B66485">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-20</w:t>
    </w:r>
    <w:r w:rsidRPr="00332E76">
      <w:rPr>
        <w:rFonts w:cs="Arial"/>
        <w:sz w:val="20"/>
        <w:szCs w:val="20"/>
      </w:rPr>
      <w:t>/</w:t>
    </w:r>
    <w:r w:rsidR="00580273">
      <w:rPr>
        <w:rFonts w:cs="Arial"/>
        <w:sz w:val="20"/>
        <w:szCs w:val="20"/>
      </w:rPr>
      <w:t>PES</w:t>
    </w:r>
    <w:r w:rsidRPr="00EA2D5B">
      <w:rPr>
        <w:rFonts w:cs="Arial"/>
        <w:sz w:val="20"/>
        <w:szCs w:val="20"/>
      </w:rPr>
      <w:t>-00</w:t>
    </w:r>
    <w:r w:rsidR="00580273">
      <w:rPr>
        <w:rFonts w:cs="Arial"/>
        <w:sz w:val="20"/>
        <w:szCs w:val="20"/>
      </w:rPr>
      <w:t>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B66485">
    <w:pPr>
      <w:pStyle w:val="Piedepgina"/>
      <w:pBdr>
        <w:top w:val="single" w:sz="4" w:space="5"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40" w:rsidRDefault="00E16940">
      <w:r>
        <w:separator/>
      </w:r>
    </w:p>
  </w:footnote>
  <w:footnote w:type="continuationSeparator" w:id="0">
    <w:p w:rsidR="00E16940" w:rsidRDefault="00E16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EBB"/>
    <w:rsid w:val="001068E7"/>
    <w:rsid w:val="001207D5"/>
    <w:rsid w:val="0015056C"/>
    <w:rsid w:val="00194A38"/>
    <w:rsid w:val="0019679B"/>
    <w:rsid w:val="001A1B4A"/>
    <w:rsid w:val="001D2F3E"/>
    <w:rsid w:val="001D6EBA"/>
    <w:rsid w:val="00225C7D"/>
    <w:rsid w:val="00241092"/>
    <w:rsid w:val="00252442"/>
    <w:rsid w:val="003077D0"/>
    <w:rsid w:val="00321AF2"/>
    <w:rsid w:val="00332E76"/>
    <w:rsid w:val="003575FF"/>
    <w:rsid w:val="00360CD5"/>
    <w:rsid w:val="003770D5"/>
    <w:rsid w:val="003860DD"/>
    <w:rsid w:val="003926A4"/>
    <w:rsid w:val="00394EE0"/>
    <w:rsid w:val="003960F4"/>
    <w:rsid w:val="003A311C"/>
    <w:rsid w:val="003B62F5"/>
    <w:rsid w:val="003E7CAB"/>
    <w:rsid w:val="004376AA"/>
    <w:rsid w:val="00462A9A"/>
    <w:rsid w:val="00493BB2"/>
    <w:rsid w:val="004D3ACF"/>
    <w:rsid w:val="004E53CE"/>
    <w:rsid w:val="0055627E"/>
    <w:rsid w:val="0056046D"/>
    <w:rsid w:val="00560F7E"/>
    <w:rsid w:val="00580273"/>
    <w:rsid w:val="0058384E"/>
    <w:rsid w:val="00592DD9"/>
    <w:rsid w:val="005D4333"/>
    <w:rsid w:val="005E5A1A"/>
    <w:rsid w:val="005F73CD"/>
    <w:rsid w:val="00625CDC"/>
    <w:rsid w:val="00630D27"/>
    <w:rsid w:val="006345F0"/>
    <w:rsid w:val="00641778"/>
    <w:rsid w:val="00652453"/>
    <w:rsid w:val="006566C9"/>
    <w:rsid w:val="0066390E"/>
    <w:rsid w:val="00666A3F"/>
    <w:rsid w:val="0068120C"/>
    <w:rsid w:val="006E6321"/>
    <w:rsid w:val="006F2E41"/>
    <w:rsid w:val="007008C6"/>
    <w:rsid w:val="007130CC"/>
    <w:rsid w:val="0072343A"/>
    <w:rsid w:val="00742122"/>
    <w:rsid w:val="007477D1"/>
    <w:rsid w:val="007648EE"/>
    <w:rsid w:val="007704FF"/>
    <w:rsid w:val="0077073F"/>
    <w:rsid w:val="007749E1"/>
    <w:rsid w:val="007902DF"/>
    <w:rsid w:val="007A7B54"/>
    <w:rsid w:val="007C1800"/>
    <w:rsid w:val="007E0158"/>
    <w:rsid w:val="0080339F"/>
    <w:rsid w:val="008230A2"/>
    <w:rsid w:val="00832DA8"/>
    <w:rsid w:val="00842D01"/>
    <w:rsid w:val="008436CF"/>
    <w:rsid w:val="008442C4"/>
    <w:rsid w:val="00865890"/>
    <w:rsid w:val="008768AC"/>
    <w:rsid w:val="008A7332"/>
    <w:rsid w:val="008B7359"/>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6563A"/>
    <w:rsid w:val="00B66485"/>
    <w:rsid w:val="00B67C4B"/>
    <w:rsid w:val="00BF65B2"/>
    <w:rsid w:val="00C01B8F"/>
    <w:rsid w:val="00C46301"/>
    <w:rsid w:val="00C517F4"/>
    <w:rsid w:val="00C703AD"/>
    <w:rsid w:val="00C70D9F"/>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C2615"/>
    <w:rsid w:val="00DD3F5C"/>
    <w:rsid w:val="00E023C6"/>
    <w:rsid w:val="00E16940"/>
    <w:rsid w:val="00E179F4"/>
    <w:rsid w:val="00E20828"/>
    <w:rsid w:val="00E25FCA"/>
    <w:rsid w:val="00E26C41"/>
    <w:rsid w:val="00E4466D"/>
    <w:rsid w:val="00E46BEC"/>
    <w:rsid w:val="00E56279"/>
    <w:rsid w:val="00E6542D"/>
    <w:rsid w:val="00E7291A"/>
    <w:rsid w:val="00E75145"/>
    <w:rsid w:val="00EA2D5B"/>
    <w:rsid w:val="00EB1387"/>
    <w:rsid w:val="00EB1B69"/>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580273"/>
    <w:pPr>
      <w:spacing w:line="240" w:lineRule="auto"/>
    </w:pPr>
    <w:rPr>
      <w:rFonts w:ascii="Segoe UI" w:hAnsi="Segoe UI" w:cs="Segoe UI"/>
      <w:sz w:val="18"/>
      <w:szCs w:val="18"/>
    </w:rPr>
  </w:style>
  <w:style w:type="character" w:customStyle="1" w:styleId="TextodegloboCar">
    <w:name w:val="Texto de globo Car"/>
    <w:link w:val="Textodeglobo"/>
    <w:rsid w:val="005802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580273"/>
    <w:pPr>
      <w:spacing w:line="240" w:lineRule="auto"/>
    </w:pPr>
    <w:rPr>
      <w:rFonts w:ascii="Segoe UI" w:hAnsi="Segoe UI" w:cs="Segoe UI"/>
      <w:sz w:val="18"/>
      <w:szCs w:val="18"/>
    </w:rPr>
  </w:style>
  <w:style w:type="character" w:customStyle="1" w:styleId="TextodegloboCar">
    <w:name w:val="Texto de globo Car"/>
    <w:link w:val="Textodeglobo"/>
    <w:rsid w:val="005802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2020-12-10T12:57:00Z</cp:lastPrinted>
  <dcterms:created xsi:type="dcterms:W3CDTF">2020-12-15T13:20:00Z</dcterms:created>
  <dcterms:modified xsi:type="dcterms:W3CDTF">2020-12-15T13:21:00Z</dcterms:modified>
</cp:coreProperties>
</file>