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gestión del castor en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w:t>
      </w:r>
    </w:p>
    <w:p>
      <w:pPr>
        <w:pStyle w:val="0"/>
        <w:suppressAutoHyphens w:val="false"/>
        <w:rPr>
          <w:rStyle w:val="1"/>
        </w:rPr>
      </w:pPr>
      <w:r>
        <w:rPr>
          <w:rStyle w:val="1"/>
        </w:rPr>
        <w:t xml:space="preserve">• Respecto a la gestión del castor en Navarra, este Parlamentario desea conocer cuál es la situación actual, cuáles son las incidencias y cuáles las medidas dispuestas.</w:t>
      </w:r>
    </w:p>
    <w:p>
      <w:pPr>
        <w:pStyle w:val="0"/>
        <w:suppressAutoHyphens w:val="false"/>
        <w:rPr>
          <w:rStyle w:val="1"/>
        </w:rPr>
      </w:pPr>
      <w:r>
        <w:rPr>
          <w:rStyle w:val="1"/>
        </w:rPr>
        <w:t xml:space="preserve">En lruñea, a 25 de febrero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