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Jorge Esparza Garrido jaunak egindako galderaren erantzuna, Foru Diputazioak emana, “Justiziaren arloko lankidetza eta koordinazioa hobetzea” proiektuaren aurrekontu-partidari buruzkoa. Galdera 2021eko urtarrilaren 29ko 10. Nafarroako Parlamentuko Aldizkari Ofizialean argitaratu zen.</w:t>
      </w:r>
    </w:p>
    <w:p>
      <w:pPr>
        <w:pStyle w:val="0"/>
        <w:suppressAutoHyphens w:val="false"/>
        <w:rPr>
          <w:rStyle w:val="1"/>
        </w:rPr>
      </w:pPr>
      <w:r>
        <w:rPr>
          <w:rStyle w:val="1"/>
        </w:rPr>
        <w:t xml:space="preserve">Iruñean, 2021eko otsailaren 19an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Nafarroako Gorteetako kide den eta Navarra Suma talde parlamentarioari atxikita dagoen Jorge Esparza Garrido jaunak galdera hauek egin ditu (10-21/PES-00035), Nafarroako Gobernuko Migrazio Politiketako eta Justiziako kontseilariak idatziz erantzun ditzan:</w:t>
      </w:r>
    </w:p>
    <w:p>
      <w:pPr>
        <w:pStyle w:val="0"/>
        <w:suppressAutoHyphens w:val="false"/>
        <w:rPr>
          <w:rStyle w:val="1"/>
          <w:i w:val="true"/>
        </w:rPr>
      </w:pPr>
      <w:r>
        <w:rPr>
          <w:rStyle w:val="1"/>
          <w:i w:val="true"/>
        </w:rPr>
        <w:t xml:space="preserve">“10-20/PES-00329 galderari emandako erantzunean aitortzen duen bezala, Migrazio Politiketako eta Justiziako Departamentuak “Justiziaren arloko lankidetza eta koordinazioa hobetzea” proiektua exekutatzeko 100.000 euroko aurreikuspena du aurtengo aurrekontuetan.</w:t>
      </w:r>
    </w:p>
    <w:p>
      <w:pPr>
        <w:pStyle w:val="0"/>
        <w:suppressAutoHyphens w:val="false"/>
        <w:rPr>
          <w:rStyle w:val="1"/>
        </w:rPr>
      </w:pPr>
      <w:r>
        <w:rPr>
          <w:rStyle w:val="1"/>
          <w:i w:val="true"/>
        </w:rPr>
        <w:t xml:space="preserve">2021erako Nafarroako aurrekontuetako zein partidatan kokatzen dira ekitaldi honetan proiektu hori gauzatzeko ezarri diren 100.000 euroak?”</w:t>
      </w:r>
      <w:r>
        <w:rPr>
          <w:rStyle w:val="1"/>
        </w:rPr>
      </w:r>
    </w:p>
    <w:p>
      <w:pPr>
        <w:pStyle w:val="0"/>
        <w:suppressAutoHyphens w:val="false"/>
        <w:rPr>
          <w:rStyle w:val="1"/>
        </w:rPr>
      </w:pPr>
      <w:r>
        <w:rPr>
          <w:rStyle w:val="1"/>
        </w:rPr>
        <w:t xml:space="preserve">Hona hemen erantzuna:</w:t>
      </w:r>
    </w:p>
    <w:p>
      <w:pPr>
        <w:pStyle w:val="0"/>
        <w:suppressAutoHyphens w:val="false"/>
        <w:rPr>
          <w:rStyle w:val="1"/>
        </w:rPr>
      </w:pPr>
      <w:r>
        <w:rPr>
          <w:rStyle w:val="1"/>
        </w:rPr>
        <w:t xml:space="preserve">Nex Generation proiektuen epe administratiboak ez dira oraindik hasi ez Europar Batasunean ez Espainiako Gobernuan. Beraz, ezin dugu inolako argibiderik eman harik eta epe horiek hasi, proiektuak modu ofizialean, epean eta behar den moduan aurkeztu, eta, azkenik, Europar Batasunak eta Espainiako Gobernuak ezarritako parametroen barnean adjudikatu diren ala ez jakiten dugun arte. Prozesu hori bete aurretik edozein informazio emateak Nafarroako interesei kaltea baino ezin die ekarri funts horiek eskuratzeko ahaleginean.</w:t>
      </w:r>
    </w:p>
    <w:p>
      <w:pPr>
        <w:pStyle w:val="0"/>
        <w:suppressAutoHyphens w:val="false"/>
        <w:rPr>
          <w:rStyle w:val="1"/>
        </w:rPr>
      </w:pPr>
      <w:r>
        <w:rPr>
          <w:rStyle w:val="1"/>
        </w:rPr>
        <w:t xml:space="preserve">Hori jakinarazten dizut, Nafarroako Parlamentuko Erregelamenduaren 194. artikuluan xedatutakoa betez.</w:t>
      </w:r>
    </w:p>
    <w:p>
      <w:pPr>
        <w:pStyle w:val="0"/>
        <w:suppressAutoHyphens w:val="false"/>
        <w:rPr>
          <w:rStyle w:val="1"/>
        </w:rPr>
      </w:pPr>
      <w:r>
        <w:rPr>
          <w:rStyle w:val="1"/>
        </w:rPr>
        <w:t xml:space="preserve">Iruñean, 2021eko otsailaren 19an</w:t>
      </w:r>
    </w:p>
    <w:p>
      <w:pPr>
        <w:pStyle w:val="0"/>
        <w:suppressAutoHyphens w:val="false"/>
        <w:rPr>
          <w:rStyle w:val="1"/>
        </w:rPr>
      </w:pPr>
      <w:r>
        <w:rPr>
          <w:rStyle w:val="1"/>
        </w:rPr>
        <w:t xml:space="preserve">Migrazio Politiketako eta Justiziako kontseilaria, Eduardo Santos Itoiz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