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52" w:rsidRPr="00E01693" w:rsidRDefault="00402D52" w:rsidP="00402D52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bookmarkStart w:id="0" w:name="_GoBack"/>
      <w:bookmarkEnd w:id="0"/>
      <w:r>
        <w:rPr>
          <w:rFonts w:ascii="Calibri" w:hAnsi="Calibri"/>
          <w:sz w:val="28"/>
        </w:rPr>
        <w:t>Nafarroako Abereen Osasunari buruzko azaroaren 16ko 11/2000 Foru Legea aldatzeko Foru Lege proposamena.</w:t>
      </w:r>
    </w:p>
    <w:p w:rsidR="00402D52" w:rsidRPr="00E01693" w:rsidRDefault="00402D52" w:rsidP="00402D52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ZIOEN AZALPENA</w:t>
      </w:r>
    </w:p>
    <w:p w:rsidR="00402D52" w:rsidRPr="00E01693" w:rsidRDefault="00402D52" w:rsidP="00402D52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Martxoaren 20ko 31/2019 Foru Dekretuaren bidez ezarri ziren abeltzaintzako ustiategiek eta horien instalazioek Nafarroako Foru Komunitatean bete behar dituzten baldintza </w:t>
      </w:r>
      <w:proofErr w:type="spellStart"/>
      <w:r>
        <w:rPr>
          <w:rFonts w:ascii="Calibri" w:hAnsi="Calibri"/>
          <w:sz w:val="28"/>
        </w:rPr>
        <w:t>higieniko-sanitarioak</w:t>
      </w:r>
      <w:proofErr w:type="spellEnd"/>
      <w:r>
        <w:rPr>
          <w:rFonts w:ascii="Calibri" w:hAnsi="Calibri"/>
          <w:sz w:val="28"/>
        </w:rPr>
        <w:t xml:space="preserve">, animalien ongizatekoak eta antolamendu </w:t>
      </w:r>
      <w:proofErr w:type="spellStart"/>
      <w:r>
        <w:rPr>
          <w:rFonts w:ascii="Calibri" w:hAnsi="Calibri"/>
          <w:sz w:val="28"/>
        </w:rPr>
        <w:t>zooteknikokoak</w:t>
      </w:r>
      <w:proofErr w:type="spellEnd"/>
      <w:r>
        <w:rPr>
          <w:rFonts w:ascii="Calibri" w:hAnsi="Calibri"/>
          <w:sz w:val="28"/>
        </w:rPr>
        <w:t>.</w:t>
      </w:r>
    </w:p>
    <w:p w:rsidR="00402D52" w:rsidRPr="00E01693" w:rsidRDefault="00402D52" w:rsidP="00402D52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Foru dekretu horren 5. eranskinean Nafarroako abeltzaintza-ustiategien tamaina mugatzen da, epidemia-arriskuak direla-eta, halako moduz non ustiategi berriek edota jada badaudenen zabalkundeek ezin izanen dituzten gainditu ondoko gehienezko tamainak: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4"/>
        <w:gridCol w:w="3585"/>
      </w:tblGrid>
      <w:tr w:rsidR="00402D52" w:rsidRPr="00EF16D4" w:rsidTr="00EA33E9">
        <w:trPr>
          <w:trHeight w:val="85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D52" w:rsidRPr="006D48A8" w:rsidRDefault="00402D52" w:rsidP="00EA33E9">
            <w:pPr>
              <w:pStyle w:val="Estilo"/>
              <w:spacing w:before="40" w:after="4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USTIATEGI-MOTA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D52" w:rsidRPr="006D48A8" w:rsidRDefault="00402D52" w:rsidP="00EA33E9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GEHIENEZKO TAMAINA</w:t>
            </w:r>
          </w:p>
          <w:p w:rsidR="00402D52" w:rsidRPr="006D48A8" w:rsidRDefault="00402D52" w:rsidP="00EA33E9">
            <w:pPr>
              <w:pStyle w:val="Estilo"/>
              <w:spacing w:before="40" w:after="4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Postuak edo azienda larriko unitateak </w:t>
            </w:r>
            <w:r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(1)</w:t>
            </w:r>
          </w:p>
        </w:tc>
      </w:tr>
      <w:tr w:rsidR="00402D52" w:rsidRPr="00EF16D4" w:rsidTr="00EA33E9">
        <w:trPr>
          <w:trHeight w:val="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Txerri-azienda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Azienda larriko 864 unitate</w:t>
            </w:r>
          </w:p>
        </w:tc>
      </w:tr>
      <w:tr w:rsidR="00402D52" w:rsidRPr="00EF16D4" w:rsidTr="00EA33E9">
        <w:trPr>
          <w:trHeight w:val="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Broiler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oilaskoak eta hegaztiak oro har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300.000 toki</w:t>
            </w:r>
          </w:p>
        </w:tc>
      </w:tr>
      <w:tr w:rsidR="00402D52" w:rsidRPr="00EF16D4" w:rsidTr="00EA33E9">
        <w:trPr>
          <w:trHeight w:val="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Arrautzetarako eta hazteko oiloak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300.000 toki</w:t>
            </w:r>
          </w:p>
        </w:tc>
      </w:tr>
      <w:tr w:rsidR="00402D52" w:rsidRPr="00EF16D4" w:rsidTr="00EA33E9">
        <w:trPr>
          <w:trHeight w:val="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Ugalketarako oiloak eta haiek haztea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60.000 toki</w:t>
            </w:r>
          </w:p>
        </w:tc>
      </w:tr>
      <w:tr w:rsidR="00402D52" w:rsidRPr="00EF16D4" w:rsidTr="00EA33E9">
        <w:trPr>
          <w:trHeight w:val="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Kanpora irteten diren hegaztiak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50.000 toki</w:t>
            </w:r>
          </w:p>
        </w:tc>
      </w:tr>
      <w:tr w:rsidR="00402D52" w:rsidRPr="00EF16D4" w:rsidTr="00EA33E9">
        <w:trPr>
          <w:trHeight w:val="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Galeperrak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600.000 toki</w:t>
            </w:r>
          </w:p>
        </w:tc>
      </w:tr>
      <w:tr w:rsidR="00402D52" w:rsidRPr="00EF16D4" w:rsidTr="00EA33E9">
        <w:trPr>
          <w:trHeight w:val="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Esnetarako behiak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Azienda larriko 1.250 unitate</w:t>
            </w:r>
          </w:p>
        </w:tc>
      </w:tr>
      <w:tr w:rsidR="00402D52" w:rsidRPr="00EF16D4" w:rsidTr="00EA33E9">
        <w:trPr>
          <w:trHeight w:val="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Haragitarako behiak </w:t>
            </w:r>
            <w:r>
              <w:rPr>
                <w:rFonts w:asciiTheme="minorHAnsi" w:hAnsiTheme="minorHAnsi"/>
                <w:sz w:val="28"/>
                <w:szCs w:val="28"/>
                <w:vertAlign w:val="superscript"/>
              </w:rPr>
              <w:t>(2)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Azienda larriko 1.250 unitate </w:t>
            </w:r>
          </w:p>
        </w:tc>
      </w:tr>
      <w:tr w:rsidR="00402D52" w:rsidRPr="00EF16D4" w:rsidTr="00EA33E9">
        <w:trPr>
          <w:trHeight w:val="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Esnetarako ardi eta ahuntzak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6.000 ugaltze-animalia</w:t>
            </w:r>
          </w:p>
        </w:tc>
      </w:tr>
      <w:tr w:rsidR="00402D52" w:rsidRPr="00EF16D4" w:rsidTr="00EA33E9">
        <w:trPr>
          <w:trHeight w:val="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Haragitarako ardi eta ahuntzak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8.000 ugaltze-animalia</w:t>
            </w:r>
          </w:p>
        </w:tc>
      </w:tr>
      <w:tr w:rsidR="00402D52" w:rsidRPr="00EF16D4" w:rsidTr="00EA33E9">
        <w:trPr>
          <w:trHeight w:val="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Zaldiak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Azienda larriko 1.250 unitate</w:t>
            </w:r>
          </w:p>
        </w:tc>
      </w:tr>
      <w:tr w:rsidR="00402D52" w:rsidRPr="00EF16D4" w:rsidTr="00EA33E9">
        <w:trPr>
          <w:trHeight w:val="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Untxiak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Azienda larriko 600 unitate</w:t>
            </w:r>
          </w:p>
        </w:tc>
      </w:tr>
      <w:tr w:rsidR="00402D52" w:rsidRPr="00EF16D4" w:rsidTr="00EA33E9">
        <w:trPr>
          <w:trHeight w:val="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Erleen kokalekua </w:t>
            </w:r>
            <w:r>
              <w:rPr>
                <w:rFonts w:asciiTheme="minorHAnsi" w:hAnsiTheme="minorHAnsi"/>
                <w:sz w:val="28"/>
                <w:szCs w:val="28"/>
                <w:vertAlign w:val="superscript"/>
              </w:rPr>
              <w:t>(3)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200 erlauntza</w:t>
            </w:r>
          </w:p>
        </w:tc>
      </w:tr>
      <w:tr w:rsidR="00402D52" w:rsidRPr="00EF16D4" w:rsidTr="00EA33E9">
        <w:trPr>
          <w:trHeight w:val="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Espezie desberdinak dituzten ustiategiak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2" w:rsidRPr="00EF16D4" w:rsidRDefault="00402D52" w:rsidP="00EA33E9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Azienda larriko 1.250 unitate</w:t>
            </w:r>
          </w:p>
        </w:tc>
      </w:tr>
    </w:tbl>
    <w:p w:rsidR="00402D52" w:rsidRPr="006D48A8" w:rsidRDefault="00402D52" w:rsidP="00402D52">
      <w:pPr>
        <w:spacing w:after="0" w:line="240" w:lineRule="auto"/>
        <w:ind w:right="2675"/>
        <w:rPr>
          <w:sz w:val="24"/>
          <w:szCs w:val="24"/>
        </w:rPr>
      </w:pPr>
      <w:r>
        <w:rPr>
          <w:sz w:val="24"/>
          <w:szCs w:val="24"/>
        </w:rPr>
        <w:t>(1) azienda larriko unitate Koadro honetako azienda larriko unitateak kalkulatzeko, aintzat hartuko dira 1. eranskineko azienda larriko unitateen baliokidetzak.</w:t>
      </w:r>
    </w:p>
    <w:p w:rsidR="00402D52" w:rsidRPr="006D48A8" w:rsidRDefault="00402D52" w:rsidP="00402D52">
      <w:pPr>
        <w:spacing w:after="0" w:line="240" w:lineRule="auto"/>
        <w:ind w:right="2675"/>
        <w:rPr>
          <w:sz w:val="24"/>
          <w:szCs w:val="24"/>
        </w:rPr>
      </w:pPr>
      <w:r>
        <w:rPr>
          <w:sz w:val="24"/>
          <w:szCs w:val="24"/>
        </w:rPr>
        <w:t>(2) Azienda suharraren ustiategiak barne.</w:t>
      </w:r>
    </w:p>
    <w:p w:rsidR="00402D52" w:rsidRPr="006D48A8" w:rsidRDefault="00402D52" w:rsidP="00402D52">
      <w:pPr>
        <w:pStyle w:val="Estilo"/>
        <w:widowControl/>
        <w:spacing w:after="200"/>
        <w:ind w:right="2675"/>
        <w:rPr>
          <w:rFonts w:ascii="Calibri" w:hAnsi="Calibri"/>
        </w:rPr>
      </w:pPr>
      <w:r>
        <w:rPr>
          <w:rFonts w:ascii="Calibri" w:hAnsi="Calibri"/>
        </w:rPr>
        <w:lastRenderedPageBreak/>
        <w:t>(3) Gehienezko tamaina erleen kokalekuena da, baina ustiategi batek berak kokaleku bat baino gehiago izan ditzake.</w:t>
      </w:r>
    </w:p>
    <w:p w:rsidR="00402D52" w:rsidRPr="00E01693" w:rsidRDefault="00402D52" w:rsidP="00402D52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Nafarroako Justizia Auzitegi Nagusiko Administrazioarekiko Auzien Salak emandako 114/2020 epaiak, 2020ko ekainaren 8koak, baliogabetu egin zuen behi-azienden sektoreko abeltzaintza-ustiategien tamainari jarritako muga, eta halaber baliogabetu zuen jada badauden behi-azienden sektoreko abeltzaintza-ustiategien handitze-ezintasuna, gehienezko tamaina hori gaindituz gero.</w:t>
      </w:r>
    </w:p>
    <w:p w:rsidR="00402D52" w:rsidRPr="00E01693" w:rsidRDefault="00402D52" w:rsidP="00402D52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Gaur egun, Landa Garapeneko eta Ingurumeneko Departamentuak Abereen Osasunari buruzko azaroaren 16ko 11/2000 Foru Legea aldatzeko foru lege proiektu bat prestatzeko izapideak hasi ditu, bertan jasotze aldera Nafarroako ustiategietan animalien osasun-baldintza egokiak bermatzeko beharrezkoak diren tamaina- eta edukiera-betekizunak. Hori dela eta, aurreikusten da hurrengo hilabeteetan iritsiko dela Nafarroako Parlamentura Foru Komunitatean abeltzaintza-ustiategiak jartzeko baldintzak ezarriko dituen foru lege proiektua.</w:t>
      </w:r>
    </w:p>
    <w:p w:rsidR="00402D52" w:rsidRPr="00E01693" w:rsidRDefault="00402D52" w:rsidP="00402D52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Hala ere, aipatu araua izapidetzen den bitartean, premiazkoa da luzapen bat onestea, galaraziko duena Nafarroan behien ustiategietarako inolako edukiera-mugarik ez egoteak </w:t>
      </w:r>
      <w:proofErr w:type="spellStart"/>
      <w:r>
        <w:rPr>
          <w:rFonts w:ascii="Calibri" w:hAnsi="Calibri"/>
          <w:sz w:val="28"/>
        </w:rPr>
        <w:t>–gainerako</w:t>
      </w:r>
      <w:proofErr w:type="spellEnd"/>
      <w:r>
        <w:rPr>
          <w:rFonts w:ascii="Calibri" w:hAnsi="Calibri"/>
          <w:sz w:val="28"/>
        </w:rPr>
        <w:t xml:space="preserve"> ustiategietarako ez </w:t>
      </w:r>
      <w:proofErr w:type="spellStart"/>
      <w:r>
        <w:rPr>
          <w:rFonts w:ascii="Calibri" w:hAnsi="Calibri"/>
          <w:sz w:val="28"/>
        </w:rPr>
        <w:t>bezala–</w:t>
      </w:r>
      <w:proofErr w:type="spellEnd"/>
      <w:r>
        <w:rPr>
          <w:rFonts w:ascii="Calibri" w:hAnsi="Calibri"/>
          <w:sz w:val="28"/>
        </w:rPr>
        <w:t xml:space="preserve"> kalte konponezinak ekartzea zaindu nahi den interes publikoari, legeak izapidetu, jendaurrean jarri, sektoreari kontsulta egin eta, kasua bada, Parlamentuak onesteko behar den denboran zehar.</w:t>
      </w:r>
    </w:p>
    <w:p w:rsidR="00402D52" w:rsidRPr="00E01693" w:rsidRDefault="00402D52" w:rsidP="00402D52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Hori dela eta, beharrezkotzat jotzen da Nafarroako Abereen Osasunari buruzko azaroaren 16ko 11/2000 Foru Legea aldatzea, honela:</w:t>
      </w:r>
    </w:p>
    <w:p w:rsidR="00402D52" w:rsidRPr="00E01693" w:rsidRDefault="00402D52" w:rsidP="00402D52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1. artikulua.</w:t>
      </w:r>
      <w:r>
        <w:rPr>
          <w:rFonts w:ascii="Calibri" w:hAnsi="Calibri"/>
          <w:sz w:val="28"/>
        </w:rPr>
        <w:t xml:space="preserve"> Nafarroako Abereen Osasunari buruzko azaroaren 16ko 11/2000 Foru Legea aldatzen da, hari hirugarren xedapen iragankor bat gehituz. Hona hemen testua:</w:t>
      </w:r>
    </w:p>
    <w:p w:rsidR="00402D52" w:rsidRPr="00E01693" w:rsidRDefault="00402D52" w:rsidP="00402D52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“Hirugarren xedapen iragankorra. Etetea.</w:t>
      </w:r>
    </w:p>
    <w:p w:rsidR="00402D52" w:rsidRPr="00E01693" w:rsidRDefault="00402D52" w:rsidP="00402D52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1. 2022ko maiatzaren 30era arte ez da eskabiderik onartuko, ez eta abeltzaintza-baimenik emanen ere, azienda larriko 1.250 unitate baino gehiagoko edukiera duten behien abeltzaintza-ustiategiak jartzeko.</w:t>
      </w:r>
    </w:p>
    <w:p w:rsidR="00402D52" w:rsidRDefault="00402D52" w:rsidP="00402D52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2. Halaber, ez da eskabide berririk onartuko, ez eta baimen berririk emanen ere, jada badauden behien abeltzaintza-ustiategiak handitzeko, baldin eta zabalkundearen emaitza azienda larriko 1.250 unitate baino gehiagoko ustiategia izanen bada".</w:t>
      </w:r>
    </w:p>
    <w:p w:rsidR="005D6830" w:rsidRDefault="00402D52" w:rsidP="00402D52">
      <w:r>
        <w:rPr>
          <w:sz w:val="28"/>
        </w:rPr>
        <w:t>Azken xedapena. Foru lege honek Nafarroako Aldizkari Ofizialean argitara eman eta biharamunean hartuko du indarra.</w:t>
      </w:r>
    </w:p>
    <w:sectPr w:rsidR="005D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52"/>
    <w:rsid w:val="000957E2"/>
    <w:rsid w:val="00252F22"/>
    <w:rsid w:val="002602B7"/>
    <w:rsid w:val="00402D52"/>
    <w:rsid w:val="004D7F0B"/>
    <w:rsid w:val="005D6830"/>
    <w:rsid w:val="007806C6"/>
    <w:rsid w:val="008D2D78"/>
    <w:rsid w:val="00913E03"/>
    <w:rsid w:val="00946584"/>
    <w:rsid w:val="00955F78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52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402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52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402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Iñaki De Santiago</cp:lastModifiedBy>
  <cp:revision>2</cp:revision>
  <dcterms:created xsi:type="dcterms:W3CDTF">2021-04-20T12:12:00Z</dcterms:created>
  <dcterms:modified xsi:type="dcterms:W3CDTF">2021-04-20T12:12:00Z</dcterms:modified>
</cp:coreProperties>
</file>