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D66DAC" w:rsidRDefault="00FA495F" w:rsidP="001F38BA">
      <w:pPr>
        <w:pStyle w:val="EstiloPortada"/>
        <w:ind w:left="3969" w:right="-58"/>
        <w:rPr>
          <w:sz w:val="38"/>
          <w:szCs w:val="38"/>
        </w:rPr>
      </w:pPr>
      <w:r>
        <w:rPr>
          <w:rFonts w:ascii="Arial" w:hAnsi="Arial"/>
          <w:noProof/>
          <w:color w:val="808080"/>
          <w:sz w:val="38"/>
          <w:szCs w:val="38"/>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C37FE" w:rsidRPr="003A7956" w:rsidRDefault="000C37FE" w:rsidP="004C3423">
                            <w:pPr>
                              <w:spacing w:after="0"/>
                              <w:ind w:firstLine="0"/>
                              <w:jc w:val="center"/>
                              <w:rPr>
                                <w:sz w:val="18"/>
                                <w:szCs w:val="18"/>
                              </w:rPr>
                            </w:pPr>
                            <w:r>
                              <w:rPr>
                                <w:sz w:val="18"/>
                                <w:szCs w:val="18"/>
                              </w:rPr>
                              <w:t>CAMARA DE</w:t>
                            </w:r>
                          </w:p>
                          <w:p w:rsidR="000C37FE" w:rsidRPr="003A7956" w:rsidRDefault="000C37FE" w:rsidP="004C3423">
                            <w:pPr>
                              <w:spacing w:after="0"/>
                              <w:ind w:firstLine="0"/>
                              <w:jc w:val="center"/>
                              <w:rPr>
                                <w:sz w:val="18"/>
                                <w:szCs w:val="18"/>
                              </w:rPr>
                            </w:pPr>
                            <w:r>
                              <w:rPr>
                                <w:sz w:val="18"/>
                                <w:szCs w:val="18"/>
                              </w:rPr>
                              <w:t>COMPTOS</w:t>
                            </w:r>
                          </w:p>
                          <w:p w:rsidR="000C37FE" w:rsidRPr="003A7956" w:rsidRDefault="000C37FE" w:rsidP="004C3423">
                            <w:pPr>
                              <w:spacing w:after="0"/>
                              <w:ind w:firstLine="0"/>
                              <w:jc w:val="center"/>
                              <w:rPr>
                                <w:sz w:val="18"/>
                                <w:szCs w:val="18"/>
                              </w:rPr>
                            </w:pPr>
                            <w:r>
                              <w:rPr>
                                <w:sz w:val="18"/>
                                <w:szCs w:val="18"/>
                              </w:rPr>
                              <w:t>DE NAVARRA</w:t>
                            </w:r>
                          </w:p>
                          <w:p w:rsidR="000C37FE" w:rsidRPr="003A7956" w:rsidRDefault="000C37FE" w:rsidP="004C3423">
                            <w:pPr>
                              <w:spacing w:after="0"/>
                              <w:ind w:firstLine="0"/>
                              <w:jc w:val="center"/>
                              <w:rPr>
                                <w:color w:val="808080"/>
                                <w:sz w:val="18"/>
                                <w:szCs w:val="18"/>
                              </w:rPr>
                            </w:pPr>
                            <w:r>
                              <w:rPr>
                                <w:color w:val="808080"/>
                                <w:sz w:val="18"/>
                                <w:szCs w:val="18"/>
                              </w:rPr>
                              <w:t>NAFARROAKO</w:t>
                            </w:r>
                          </w:p>
                          <w:p w:rsidR="000C37FE" w:rsidRPr="003A7956" w:rsidRDefault="000C37FE" w:rsidP="004C3423">
                            <w:pPr>
                              <w:spacing w:after="0"/>
                              <w:ind w:firstLine="0"/>
                              <w:jc w:val="center"/>
                              <w:rPr>
                                <w:color w:val="808080"/>
                                <w:sz w:val="18"/>
                                <w:szCs w:val="18"/>
                              </w:rPr>
                            </w:pPr>
                            <w:r>
                              <w:rPr>
                                <w:color w:val="808080"/>
                                <w:sz w:val="18"/>
                                <w:szCs w:val="18"/>
                              </w:rPr>
                              <w:t>KONTUEN</w:t>
                            </w:r>
                          </w:p>
                          <w:p w:rsidR="000C37FE" w:rsidRPr="003A7956" w:rsidRDefault="000C37FE" w:rsidP="004C3423">
                            <w:pPr>
                              <w:spacing w:after="0"/>
                              <w:ind w:firstLine="0"/>
                              <w:jc w:val="center"/>
                              <w:rPr>
                                <w:color w:val="808080"/>
                                <w:sz w:val="18"/>
                                <w:szCs w:val="18"/>
                              </w:rPr>
                            </w:pPr>
                            <w:r>
                              <w:rPr>
                                <w:color w:val="808080"/>
                                <w:sz w:val="18"/>
                                <w:szCs w:val="18"/>
                              </w:rPr>
                              <w:t>GANBERA</w:t>
                            </w:r>
                          </w:p>
                          <w:p w:rsidR="000C37FE" w:rsidRPr="002C7026" w:rsidRDefault="000C37FE"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0C37FE" w:rsidRPr="003A7956" w:rsidRDefault="000C37FE" w:rsidP="004C3423">
                      <w:pPr>
                        <w:spacing w:after="0"/>
                        <w:ind w:firstLine="0"/>
                        <w:jc w:val="center"/>
                        <w:rPr>
                          <w:sz w:val="18"/>
                          <w:szCs w:val="18"/>
                        </w:rPr>
                      </w:pPr>
                      <w:r>
                        <w:rPr>
                          <w:sz w:val="18"/>
                          <w:szCs w:val="18"/>
                        </w:rPr>
                        <w:t>CAMARA DE</w:t>
                      </w:r>
                    </w:p>
                    <w:p w:rsidR="000C37FE" w:rsidRPr="003A7956" w:rsidRDefault="000C37FE" w:rsidP="004C3423">
                      <w:pPr>
                        <w:spacing w:after="0"/>
                        <w:ind w:firstLine="0"/>
                        <w:jc w:val="center"/>
                        <w:rPr>
                          <w:sz w:val="18"/>
                          <w:szCs w:val="18"/>
                        </w:rPr>
                      </w:pPr>
                      <w:r>
                        <w:rPr>
                          <w:sz w:val="18"/>
                          <w:szCs w:val="18"/>
                        </w:rPr>
                        <w:t>COMPTOS</w:t>
                      </w:r>
                    </w:p>
                    <w:p w:rsidR="000C37FE" w:rsidRPr="003A7956" w:rsidRDefault="000C37FE" w:rsidP="004C3423">
                      <w:pPr>
                        <w:spacing w:after="0"/>
                        <w:ind w:firstLine="0"/>
                        <w:jc w:val="center"/>
                        <w:rPr>
                          <w:sz w:val="18"/>
                          <w:szCs w:val="18"/>
                        </w:rPr>
                      </w:pPr>
                      <w:r>
                        <w:rPr>
                          <w:sz w:val="18"/>
                          <w:szCs w:val="18"/>
                        </w:rPr>
                        <w:t>DE NAVARRA</w:t>
                      </w:r>
                    </w:p>
                    <w:p w:rsidR="000C37FE" w:rsidRPr="003A7956" w:rsidRDefault="000C37FE" w:rsidP="004C3423">
                      <w:pPr>
                        <w:spacing w:after="0"/>
                        <w:ind w:firstLine="0"/>
                        <w:jc w:val="center"/>
                        <w:rPr>
                          <w:color w:val="808080"/>
                          <w:sz w:val="18"/>
                          <w:szCs w:val="18"/>
                        </w:rPr>
                      </w:pPr>
                      <w:r>
                        <w:rPr>
                          <w:color w:val="808080"/>
                          <w:sz w:val="18"/>
                          <w:szCs w:val="18"/>
                        </w:rPr>
                        <w:t>NAFARROAKO</w:t>
                      </w:r>
                    </w:p>
                    <w:p w:rsidR="000C37FE" w:rsidRPr="003A7956" w:rsidRDefault="000C37FE" w:rsidP="004C3423">
                      <w:pPr>
                        <w:spacing w:after="0"/>
                        <w:ind w:firstLine="0"/>
                        <w:jc w:val="center"/>
                        <w:rPr>
                          <w:color w:val="808080"/>
                          <w:sz w:val="18"/>
                          <w:szCs w:val="18"/>
                        </w:rPr>
                      </w:pPr>
                      <w:r>
                        <w:rPr>
                          <w:color w:val="808080"/>
                          <w:sz w:val="18"/>
                          <w:szCs w:val="18"/>
                        </w:rPr>
                        <w:t>KONTUEN</w:t>
                      </w:r>
                    </w:p>
                    <w:p w:rsidR="000C37FE" w:rsidRPr="003A7956" w:rsidRDefault="000C37FE" w:rsidP="004C3423">
                      <w:pPr>
                        <w:spacing w:after="0"/>
                        <w:ind w:firstLine="0"/>
                        <w:jc w:val="center"/>
                        <w:rPr>
                          <w:color w:val="808080"/>
                          <w:sz w:val="18"/>
                          <w:szCs w:val="18"/>
                        </w:rPr>
                      </w:pPr>
                      <w:r>
                        <w:rPr>
                          <w:color w:val="808080"/>
                          <w:sz w:val="18"/>
                          <w:szCs w:val="18"/>
                        </w:rPr>
                        <w:t>GANBERA</w:t>
                      </w:r>
                    </w:p>
                    <w:p w:rsidR="000C37FE" w:rsidRPr="002C7026" w:rsidRDefault="000C37FE" w:rsidP="002C7026">
                      <w:pPr>
                        <w:spacing w:after="0"/>
                        <w:ind w:firstLine="0"/>
                        <w:jc w:val="center"/>
                        <w:rPr>
                          <w:rFonts w:ascii="Trajan" w:hAnsi="Trajan"/>
                          <w:color w:val="808080"/>
                          <w:sz w:val="18"/>
                          <w:szCs w:val="18"/>
                          <w:lang w:val="es-ES"/>
                        </w:rPr>
                      </w:pPr>
                    </w:p>
                  </w:txbxContent>
                </v:textbox>
              </v:shape>
            </w:pict>
          </mc:Fallback>
        </mc:AlternateContent>
      </w:r>
    </w:p>
    <w:p w:rsidR="00710CCC" w:rsidRPr="001F38BA" w:rsidRDefault="00710CCC" w:rsidP="001F38BA">
      <w:pPr>
        <w:pStyle w:val="EstiloPortada"/>
        <w:ind w:left="3969"/>
        <w:rPr>
          <w:sz w:val="40"/>
          <w:szCs w:val="40"/>
        </w:rPr>
      </w:pPr>
      <w:r>
        <w:rPr>
          <w:sz w:val="40"/>
          <w:szCs w:val="40"/>
        </w:rPr>
        <w:t>Mendekotasun Legeko ordaink</w:t>
      </w:r>
      <w:r>
        <w:rPr>
          <w:sz w:val="40"/>
          <w:szCs w:val="40"/>
        </w:rPr>
        <w:t>e</w:t>
      </w:r>
      <w:r>
        <w:rPr>
          <w:sz w:val="40"/>
          <w:szCs w:val="40"/>
        </w:rPr>
        <w:t>tak direla-eta Nafarroan eginiko kudeaketaren eta kontrolaren gaineko gomendioen jarraipena</w:t>
      </w:r>
    </w:p>
    <w:p w:rsidR="001C3A32" w:rsidRDefault="001C3A32" w:rsidP="00891D73">
      <w:pPr>
        <w:pStyle w:val="texto"/>
      </w:pPr>
    </w:p>
    <w:p w:rsidR="00710CCC" w:rsidRPr="00204979" w:rsidRDefault="00710CCC"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Pr="00204979" w:rsidRDefault="00212580"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0CCC" w:rsidRPr="001D4F09" w:rsidRDefault="00D66DAC" w:rsidP="00710CCC">
      <w:pPr>
        <w:pStyle w:val="Fechaportada"/>
      </w:pPr>
      <w:r>
        <w:t>2021eko martxoa</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84609D" w:rsidRDefault="0084609D" w:rsidP="0084609D">
      <w:pPr>
        <w:pStyle w:val="ndice"/>
      </w:pPr>
      <w:r>
        <w:lastRenderedPageBreak/>
        <w:t>Aurkibidea</w:t>
      </w:r>
    </w:p>
    <w:p w:rsidR="0084609D" w:rsidRPr="004740FB" w:rsidRDefault="0084609D" w:rsidP="00AB75F8">
      <w:pPr>
        <w:pStyle w:val="ndice"/>
        <w:jc w:val="right"/>
        <w:rPr>
          <w:b w:val="0"/>
          <w:i/>
          <w:sz w:val="16"/>
          <w:szCs w:val="16"/>
        </w:rPr>
      </w:pPr>
      <w:r>
        <w:rPr>
          <w:b w:val="0"/>
          <w:i/>
          <w:sz w:val="16"/>
          <w:szCs w:val="16"/>
        </w:rPr>
        <w:t xml:space="preserve"> Orrialdea</w:t>
      </w:r>
    </w:p>
    <w:p w:rsidR="00240759" w:rsidRDefault="0084609D">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70403855" w:history="1">
        <w:r w:rsidR="00240759" w:rsidRPr="008B6B31">
          <w:rPr>
            <w:rStyle w:val="Hipervnculo"/>
            <w:noProof/>
          </w:rPr>
          <w:t>I. Sarrera</w:t>
        </w:r>
        <w:r w:rsidR="00240759">
          <w:rPr>
            <w:noProof/>
            <w:webHidden/>
          </w:rPr>
          <w:tab/>
        </w:r>
        <w:r w:rsidR="00240759">
          <w:rPr>
            <w:noProof/>
            <w:webHidden/>
          </w:rPr>
          <w:fldChar w:fldCharType="begin"/>
        </w:r>
        <w:r w:rsidR="00240759">
          <w:rPr>
            <w:noProof/>
            <w:webHidden/>
          </w:rPr>
          <w:instrText xml:space="preserve"> PAGEREF _Toc70403855 \h </w:instrText>
        </w:r>
        <w:r w:rsidR="00240759">
          <w:rPr>
            <w:noProof/>
            <w:webHidden/>
          </w:rPr>
        </w:r>
        <w:r w:rsidR="00240759">
          <w:rPr>
            <w:noProof/>
            <w:webHidden/>
          </w:rPr>
          <w:fldChar w:fldCharType="separate"/>
        </w:r>
        <w:r w:rsidR="00240759">
          <w:rPr>
            <w:noProof/>
            <w:webHidden/>
          </w:rPr>
          <w:t>3</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56" w:history="1">
        <w:r w:rsidR="00240759" w:rsidRPr="008B6B31">
          <w:rPr>
            <w:rStyle w:val="Hipervnculo"/>
            <w:noProof/>
          </w:rPr>
          <w:t>II. Helburuak, norainokoa eta mugak</w:t>
        </w:r>
        <w:r w:rsidR="00240759">
          <w:rPr>
            <w:noProof/>
            <w:webHidden/>
          </w:rPr>
          <w:tab/>
        </w:r>
        <w:r w:rsidR="00240759">
          <w:rPr>
            <w:noProof/>
            <w:webHidden/>
          </w:rPr>
          <w:fldChar w:fldCharType="begin"/>
        </w:r>
        <w:r w:rsidR="00240759">
          <w:rPr>
            <w:noProof/>
            <w:webHidden/>
          </w:rPr>
          <w:instrText xml:space="preserve"> PAGEREF _Toc70403856 \h </w:instrText>
        </w:r>
        <w:r w:rsidR="00240759">
          <w:rPr>
            <w:noProof/>
            <w:webHidden/>
          </w:rPr>
        </w:r>
        <w:r w:rsidR="00240759">
          <w:rPr>
            <w:noProof/>
            <w:webHidden/>
          </w:rPr>
          <w:fldChar w:fldCharType="separate"/>
        </w:r>
        <w:r w:rsidR="00240759">
          <w:rPr>
            <w:noProof/>
            <w:webHidden/>
          </w:rPr>
          <w:t>5</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57" w:history="1">
        <w:r w:rsidR="00240759" w:rsidRPr="008B6B31">
          <w:rPr>
            <w:rStyle w:val="Hipervnculo"/>
            <w:noProof/>
          </w:rPr>
          <w:t>III. Konklusioak</w:t>
        </w:r>
        <w:r w:rsidR="00240759">
          <w:rPr>
            <w:noProof/>
            <w:webHidden/>
          </w:rPr>
          <w:tab/>
        </w:r>
        <w:r w:rsidR="00240759">
          <w:rPr>
            <w:noProof/>
            <w:webHidden/>
          </w:rPr>
          <w:fldChar w:fldCharType="begin"/>
        </w:r>
        <w:r w:rsidR="00240759">
          <w:rPr>
            <w:noProof/>
            <w:webHidden/>
          </w:rPr>
          <w:instrText xml:space="preserve"> PAGEREF _Toc70403857 \h </w:instrText>
        </w:r>
        <w:r w:rsidR="00240759">
          <w:rPr>
            <w:noProof/>
            <w:webHidden/>
          </w:rPr>
        </w:r>
        <w:r w:rsidR="00240759">
          <w:rPr>
            <w:noProof/>
            <w:webHidden/>
          </w:rPr>
          <w:fldChar w:fldCharType="separate"/>
        </w:r>
        <w:r w:rsidR="00240759">
          <w:rPr>
            <w:noProof/>
            <w:webHidden/>
          </w:rPr>
          <w:t>7</w:t>
        </w:r>
        <w:r w:rsidR="00240759">
          <w:rPr>
            <w:noProof/>
            <w:webHidden/>
          </w:rPr>
          <w:fldChar w:fldCharType="end"/>
        </w:r>
      </w:hyperlink>
    </w:p>
    <w:p w:rsidR="00240759" w:rsidRDefault="00C3398C">
      <w:pPr>
        <w:pStyle w:val="TDC2"/>
        <w:rPr>
          <w:rFonts w:asciiTheme="minorHAnsi" w:eastAsiaTheme="minorEastAsia" w:hAnsiTheme="minorHAnsi" w:cstheme="minorBidi"/>
          <w:noProof/>
          <w:szCs w:val="22"/>
          <w:lang w:val="es-ES" w:eastAsia="es-ES"/>
        </w:rPr>
      </w:pPr>
      <w:hyperlink w:anchor="_Toc70403858" w:history="1">
        <w:r w:rsidR="00240759" w:rsidRPr="008B6B31">
          <w:rPr>
            <w:rStyle w:val="Hipervnculo"/>
            <w:noProof/>
          </w:rPr>
          <w:t>III.1. Mendekotasun Legea Nafarroan aplikatzearekin zerikusia duten alderdi orokorren bilakaera</w:t>
        </w:r>
        <w:r w:rsidR="00240759">
          <w:rPr>
            <w:noProof/>
            <w:webHidden/>
          </w:rPr>
          <w:tab/>
        </w:r>
        <w:r w:rsidR="00240759">
          <w:rPr>
            <w:noProof/>
            <w:webHidden/>
          </w:rPr>
          <w:fldChar w:fldCharType="begin"/>
        </w:r>
        <w:r w:rsidR="00240759">
          <w:rPr>
            <w:noProof/>
            <w:webHidden/>
          </w:rPr>
          <w:instrText xml:space="preserve"> PAGEREF _Toc70403858 \h </w:instrText>
        </w:r>
        <w:r w:rsidR="00240759">
          <w:rPr>
            <w:noProof/>
            <w:webHidden/>
          </w:rPr>
        </w:r>
        <w:r w:rsidR="00240759">
          <w:rPr>
            <w:noProof/>
            <w:webHidden/>
          </w:rPr>
          <w:fldChar w:fldCharType="separate"/>
        </w:r>
        <w:r w:rsidR="00240759">
          <w:rPr>
            <w:noProof/>
            <w:webHidden/>
          </w:rPr>
          <w:t>7</w:t>
        </w:r>
        <w:r w:rsidR="00240759">
          <w:rPr>
            <w:noProof/>
            <w:webHidden/>
          </w:rPr>
          <w:fldChar w:fldCharType="end"/>
        </w:r>
      </w:hyperlink>
    </w:p>
    <w:p w:rsidR="00240759" w:rsidRDefault="00C3398C">
      <w:pPr>
        <w:pStyle w:val="TDC2"/>
        <w:rPr>
          <w:rFonts w:asciiTheme="minorHAnsi" w:eastAsiaTheme="minorEastAsia" w:hAnsiTheme="minorHAnsi" w:cstheme="minorBidi"/>
          <w:noProof/>
          <w:szCs w:val="22"/>
          <w:lang w:val="es-ES" w:eastAsia="es-ES"/>
        </w:rPr>
      </w:pPr>
      <w:hyperlink w:anchor="_Toc70403859" w:history="1">
        <w:r w:rsidR="00240759" w:rsidRPr="008B6B31">
          <w:rPr>
            <w:rStyle w:val="Hipervnculo"/>
            <w:noProof/>
          </w:rPr>
          <w:t>III.2. Mendekotasunari buruzko txostenetako gomendioen jarraipena</w:t>
        </w:r>
        <w:r w:rsidR="00240759">
          <w:rPr>
            <w:noProof/>
            <w:webHidden/>
          </w:rPr>
          <w:tab/>
        </w:r>
        <w:r w:rsidR="00240759">
          <w:rPr>
            <w:noProof/>
            <w:webHidden/>
          </w:rPr>
          <w:fldChar w:fldCharType="begin"/>
        </w:r>
        <w:r w:rsidR="00240759">
          <w:rPr>
            <w:noProof/>
            <w:webHidden/>
          </w:rPr>
          <w:instrText xml:space="preserve"> PAGEREF _Toc70403859 \h </w:instrText>
        </w:r>
        <w:r w:rsidR="00240759">
          <w:rPr>
            <w:noProof/>
            <w:webHidden/>
          </w:rPr>
        </w:r>
        <w:r w:rsidR="00240759">
          <w:rPr>
            <w:noProof/>
            <w:webHidden/>
          </w:rPr>
          <w:fldChar w:fldCharType="separate"/>
        </w:r>
        <w:r w:rsidR="00240759">
          <w:rPr>
            <w:noProof/>
            <w:webHidden/>
          </w:rPr>
          <w:t>15</w:t>
        </w:r>
        <w:r w:rsidR="00240759">
          <w:rPr>
            <w:noProof/>
            <w:webHidden/>
          </w:rPr>
          <w:fldChar w:fldCharType="end"/>
        </w:r>
      </w:hyperlink>
    </w:p>
    <w:p w:rsidR="00240759" w:rsidRDefault="00C3398C">
      <w:pPr>
        <w:pStyle w:val="TDC2"/>
        <w:rPr>
          <w:rFonts w:asciiTheme="minorHAnsi" w:eastAsiaTheme="minorEastAsia" w:hAnsiTheme="minorHAnsi" w:cstheme="minorBidi"/>
          <w:noProof/>
          <w:szCs w:val="22"/>
          <w:lang w:val="es-ES" w:eastAsia="es-ES"/>
        </w:rPr>
      </w:pPr>
      <w:hyperlink w:anchor="_Toc70403860" w:history="1">
        <w:r w:rsidR="00240759" w:rsidRPr="008B6B31">
          <w:rPr>
            <w:rStyle w:val="Hipervnculo"/>
            <w:noProof/>
          </w:rPr>
          <w:t>III.3 Amai-konklusioa</w:t>
        </w:r>
        <w:r w:rsidR="00240759">
          <w:rPr>
            <w:noProof/>
            <w:webHidden/>
          </w:rPr>
          <w:tab/>
        </w:r>
        <w:r w:rsidR="00240759">
          <w:rPr>
            <w:noProof/>
            <w:webHidden/>
          </w:rPr>
          <w:fldChar w:fldCharType="begin"/>
        </w:r>
        <w:r w:rsidR="00240759">
          <w:rPr>
            <w:noProof/>
            <w:webHidden/>
          </w:rPr>
          <w:instrText xml:space="preserve"> PAGEREF _Toc70403860 \h </w:instrText>
        </w:r>
        <w:r w:rsidR="00240759">
          <w:rPr>
            <w:noProof/>
            <w:webHidden/>
          </w:rPr>
        </w:r>
        <w:r w:rsidR="00240759">
          <w:rPr>
            <w:noProof/>
            <w:webHidden/>
          </w:rPr>
          <w:fldChar w:fldCharType="separate"/>
        </w:r>
        <w:r w:rsidR="00240759">
          <w:rPr>
            <w:noProof/>
            <w:webHidden/>
          </w:rPr>
          <w:t>20</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61" w:history="1">
        <w:r w:rsidR="00240759" w:rsidRPr="008B6B31">
          <w:rPr>
            <w:rStyle w:val="Hipervnculo"/>
            <w:noProof/>
          </w:rPr>
          <w:t>Eranskinak</w:t>
        </w:r>
        <w:r w:rsidR="00240759">
          <w:rPr>
            <w:noProof/>
            <w:webHidden/>
          </w:rPr>
          <w:tab/>
        </w:r>
        <w:r w:rsidR="00240759">
          <w:rPr>
            <w:noProof/>
            <w:webHidden/>
          </w:rPr>
          <w:fldChar w:fldCharType="begin"/>
        </w:r>
        <w:r w:rsidR="00240759">
          <w:rPr>
            <w:noProof/>
            <w:webHidden/>
          </w:rPr>
          <w:instrText xml:space="preserve"> PAGEREF _Toc70403861 \h </w:instrText>
        </w:r>
        <w:r w:rsidR="00240759">
          <w:rPr>
            <w:noProof/>
            <w:webHidden/>
          </w:rPr>
        </w:r>
        <w:r w:rsidR="00240759">
          <w:rPr>
            <w:noProof/>
            <w:webHidden/>
          </w:rPr>
          <w:fldChar w:fldCharType="separate"/>
        </w:r>
        <w:r w:rsidR="00240759">
          <w:rPr>
            <w:noProof/>
            <w:webHidden/>
          </w:rPr>
          <w:t>22</w:t>
        </w:r>
        <w:r w:rsidR="00240759">
          <w:rPr>
            <w:noProof/>
            <w:webHidden/>
          </w:rPr>
          <w:fldChar w:fldCharType="end"/>
        </w:r>
      </w:hyperlink>
    </w:p>
    <w:p w:rsidR="00240759" w:rsidRDefault="00C3398C">
      <w:pPr>
        <w:pStyle w:val="TDC2"/>
        <w:rPr>
          <w:rFonts w:asciiTheme="minorHAnsi" w:eastAsiaTheme="minorEastAsia" w:hAnsiTheme="minorHAnsi" w:cstheme="minorBidi"/>
          <w:noProof/>
          <w:szCs w:val="22"/>
          <w:lang w:val="es-ES" w:eastAsia="es-ES"/>
        </w:rPr>
      </w:pPr>
      <w:hyperlink w:anchor="_Toc70403862" w:history="1">
        <w:r w:rsidR="00240759" w:rsidRPr="008B6B31">
          <w:rPr>
            <w:rStyle w:val="Hipervnculo"/>
            <w:noProof/>
          </w:rPr>
          <w:t>1. eranskina Konklusioak, Mendekotasun Legeko ordainketen kudeaketa eta kontrolari buruz Kontuen Ganberak eginiko txostenekoak (2014ko martxoa)</w:t>
        </w:r>
        <w:r w:rsidR="00240759">
          <w:rPr>
            <w:noProof/>
            <w:webHidden/>
          </w:rPr>
          <w:tab/>
        </w:r>
        <w:r w:rsidR="00240759">
          <w:rPr>
            <w:noProof/>
            <w:webHidden/>
          </w:rPr>
          <w:fldChar w:fldCharType="begin"/>
        </w:r>
        <w:r w:rsidR="00240759">
          <w:rPr>
            <w:noProof/>
            <w:webHidden/>
          </w:rPr>
          <w:instrText xml:space="preserve"> PAGEREF _Toc70403862 \h </w:instrText>
        </w:r>
        <w:r w:rsidR="00240759">
          <w:rPr>
            <w:noProof/>
            <w:webHidden/>
          </w:rPr>
        </w:r>
        <w:r w:rsidR="00240759">
          <w:rPr>
            <w:noProof/>
            <w:webHidden/>
          </w:rPr>
          <w:fldChar w:fldCharType="separate"/>
        </w:r>
        <w:r w:rsidR="00240759">
          <w:rPr>
            <w:noProof/>
            <w:webHidden/>
          </w:rPr>
          <w:t>23</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63" w:history="1">
        <w:r w:rsidR="00240759" w:rsidRPr="008B6B31">
          <w:rPr>
            <w:rStyle w:val="Hipervnculo"/>
            <w:noProof/>
          </w:rPr>
          <w:t>Behin-behineko txostenari aurkeztutako alegazioak</w:t>
        </w:r>
        <w:r w:rsidR="00240759">
          <w:rPr>
            <w:noProof/>
            <w:webHidden/>
          </w:rPr>
          <w:tab/>
        </w:r>
        <w:r w:rsidR="00240759">
          <w:rPr>
            <w:noProof/>
            <w:webHidden/>
          </w:rPr>
          <w:fldChar w:fldCharType="begin"/>
        </w:r>
        <w:r w:rsidR="00240759">
          <w:rPr>
            <w:noProof/>
            <w:webHidden/>
          </w:rPr>
          <w:instrText xml:space="preserve"> PAGEREF _Toc70403863 \h </w:instrText>
        </w:r>
        <w:r w:rsidR="00240759">
          <w:rPr>
            <w:noProof/>
            <w:webHidden/>
          </w:rPr>
        </w:r>
        <w:r w:rsidR="00240759">
          <w:rPr>
            <w:noProof/>
            <w:webHidden/>
          </w:rPr>
          <w:fldChar w:fldCharType="separate"/>
        </w:r>
        <w:r w:rsidR="00240759">
          <w:rPr>
            <w:noProof/>
            <w:webHidden/>
          </w:rPr>
          <w:t>27</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64" w:history="1">
        <w:r w:rsidR="00240759" w:rsidRPr="008B6B31">
          <w:rPr>
            <w:rStyle w:val="Hipervnculo"/>
            <w:noProof/>
          </w:rPr>
          <w:t>Txostenean jasotako informazioari buruz:</w:t>
        </w:r>
        <w:r w:rsidR="00240759">
          <w:rPr>
            <w:noProof/>
            <w:webHidden/>
          </w:rPr>
          <w:tab/>
        </w:r>
        <w:r w:rsidR="00240759">
          <w:rPr>
            <w:noProof/>
            <w:webHidden/>
          </w:rPr>
          <w:fldChar w:fldCharType="begin"/>
        </w:r>
        <w:r w:rsidR="00240759">
          <w:rPr>
            <w:noProof/>
            <w:webHidden/>
          </w:rPr>
          <w:instrText xml:space="preserve"> PAGEREF _Toc70403864 \h </w:instrText>
        </w:r>
        <w:r w:rsidR="00240759">
          <w:rPr>
            <w:noProof/>
            <w:webHidden/>
          </w:rPr>
        </w:r>
        <w:r w:rsidR="00240759">
          <w:rPr>
            <w:noProof/>
            <w:webHidden/>
          </w:rPr>
          <w:fldChar w:fldCharType="separate"/>
        </w:r>
        <w:r w:rsidR="00240759">
          <w:rPr>
            <w:noProof/>
            <w:webHidden/>
          </w:rPr>
          <w:t>27</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65" w:history="1">
        <w:r w:rsidR="00240759" w:rsidRPr="008B6B31">
          <w:rPr>
            <w:rStyle w:val="Hipervnculo"/>
            <w:noProof/>
          </w:rPr>
          <w:t>Kontuen Auzitegiak 2014ko maiatzeko bere txostenean eman zituen gomendioei dagokienez:</w:t>
        </w:r>
        <w:r w:rsidR="00240759">
          <w:rPr>
            <w:noProof/>
            <w:webHidden/>
          </w:rPr>
          <w:tab/>
        </w:r>
        <w:r w:rsidR="00240759">
          <w:rPr>
            <w:noProof/>
            <w:webHidden/>
          </w:rPr>
          <w:fldChar w:fldCharType="begin"/>
        </w:r>
        <w:r w:rsidR="00240759">
          <w:rPr>
            <w:noProof/>
            <w:webHidden/>
          </w:rPr>
          <w:instrText xml:space="preserve"> PAGEREF _Toc70403865 \h </w:instrText>
        </w:r>
        <w:r w:rsidR="00240759">
          <w:rPr>
            <w:noProof/>
            <w:webHidden/>
          </w:rPr>
        </w:r>
        <w:r w:rsidR="00240759">
          <w:rPr>
            <w:noProof/>
            <w:webHidden/>
          </w:rPr>
          <w:fldChar w:fldCharType="separate"/>
        </w:r>
        <w:r w:rsidR="00240759">
          <w:rPr>
            <w:noProof/>
            <w:webHidden/>
          </w:rPr>
          <w:t>27</w:t>
        </w:r>
        <w:r w:rsidR="00240759">
          <w:rPr>
            <w:noProof/>
            <w:webHidden/>
          </w:rPr>
          <w:fldChar w:fldCharType="end"/>
        </w:r>
      </w:hyperlink>
    </w:p>
    <w:p w:rsidR="00240759" w:rsidRDefault="00C3398C">
      <w:pPr>
        <w:pStyle w:val="TDC1"/>
        <w:rPr>
          <w:rFonts w:asciiTheme="minorHAnsi" w:eastAsiaTheme="minorEastAsia" w:hAnsiTheme="minorHAnsi" w:cstheme="minorBidi"/>
          <w:smallCaps w:val="0"/>
          <w:noProof/>
          <w:szCs w:val="22"/>
          <w:lang w:val="es-ES" w:eastAsia="es-ES"/>
        </w:rPr>
      </w:pPr>
      <w:hyperlink w:anchor="_Toc70403866" w:history="1">
        <w:r w:rsidR="00240759" w:rsidRPr="008B6B31">
          <w:rPr>
            <w:rStyle w:val="Hipervnculo"/>
            <w:noProof/>
          </w:rPr>
          <w:t>Behin-behineko txostenari aurkeztutako alegazioei Kontuen Ganberak emandako erantzuna</w:t>
        </w:r>
        <w:r w:rsidR="00240759">
          <w:rPr>
            <w:noProof/>
            <w:webHidden/>
          </w:rPr>
          <w:tab/>
        </w:r>
        <w:r w:rsidR="00240759">
          <w:rPr>
            <w:noProof/>
            <w:webHidden/>
          </w:rPr>
          <w:fldChar w:fldCharType="begin"/>
        </w:r>
        <w:r w:rsidR="00240759">
          <w:rPr>
            <w:noProof/>
            <w:webHidden/>
          </w:rPr>
          <w:instrText xml:space="preserve"> PAGEREF _Toc70403866 \h </w:instrText>
        </w:r>
        <w:r w:rsidR="00240759">
          <w:rPr>
            <w:noProof/>
            <w:webHidden/>
          </w:rPr>
        </w:r>
        <w:r w:rsidR="00240759">
          <w:rPr>
            <w:noProof/>
            <w:webHidden/>
          </w:rPr>
          <w:fldChar w:fldCharType="separate"/>
        </w:r>
        <w:r w:rsidR="00240759">
          <w:rPr>
            <w:noProof/>
            <w:webHidden/>
          </w:rPr>
          <w:t>31</w:t>
        </w:r>
        <w:r w:rsidR="00240759">
          <w:rPr>
            <w:noProof/>
            <w:webHidden/>
          </w:rPr>
          <w:fldChar w:fldCharType="end"/>
        </w:r>
      </w:hyperlink>
    </w:p>
    <w:p w:rsidR="0084609D" w:rsidRDefault="0084609D" w:rsidP="0084609D">
      <w:pPr>
        <w:pStyle w:val="texto"/>
      </w:pPr>
      <w:r>
        <w:fldChar w:fldCharType="end"/>
      </w:r>
    </w:p>
    <w:p w:rsidR="0084609D" w:rsidRDefault="0084609D" w:rsidP="0084609D">
      <w:pPr>
        <w:pStyle w:val="texto"/>
      </w:pPr>
    </w:p>
    <w:p w:rsidR="0084609D" w:rsidRPr="00E703B6" w:rsidRDefault="0084609D" w:rsidP="0084609D"/>
    <w:p w:rsidR="0084609D" w:rsidRDefault="0084609D" w:rsidP="0084609D">
      <w:pPr>
        <w:pStyle w:val="texto"/>
        <w:sectPr w:rsidR="0084609D" w:rsidSect="00160F66">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109" w:right="1559" w:bottom="1644" w:left="1559" w:header="369" w:footer="402" w:gutter="0"/>
          <w:pgNumType w:start="3"/>
          <w:cols w:space="720"/>
          <w:docGrid w:linePitch="360"/>
        </w:sectPr>
      </w:pPr>
    </w:p>
    <w:p w:rsidR="0084609D" w:rsidRPr="003A493B" w:rsidRDefault="0084609D" w:rsidP="0084609D">
      <w:pPr>
        <w:pStyle w:val="atitulo1"/>
        <w:spacing w:before="240"/>
      </w:pPr>
      <w:bookmarkStart w:id="0" w:name="_Toc3461799"/>
      <w:bookmarkStart w:id="1" w:name="_Toc70403855"/>
      <w:r>
        <w:lastRenderedPageBreak/>
        <w:t>I. Sarrera</w:t>
      </w:r>
      <w:bookmarkEnd w:id="0"/>
      <w:bookmarkEnd w:id="1"/>
    </w:p>
    <w:p w:rsidR="0084609D" w:rsidRDefault="0084609D" w:rsidP="005775F1">
      <w:pPr>
        <w:pStyle w:val="texto"/>
        <w:rPr>
          <w:szCs w:val="26"/>
        </w:rPr>
      </w:pPr>
      <w:r>
        <w:t>Autonomia pertsonala sustatzeari eta mendekotasun-egoeran dauden perts</w:t>
      </w:r>
      <w:r>
        <w:t>o</w:t>
      </w:r>
      <w:r>
        <w:t>nak zaintzeari buruzko abenduaren 14ko 39/2006 Legeak (aurrerantzean Me</w:t>
      </w:r>
      <w:r>
        <w:t>n</w:t>
      </w:r>
      <w:r>
        <w:t>dekotasun Legea) oinarrizko baldintzak ezartzen ditu mendekotasun-egoeran dauden pertsonentzako arretarako eta haien autonomia pertsonalaren sustapen</w:t>
      </w:r>
      <w:r>
        <w:t>e</w:t>
      </w:r>
      <w:r>
        <w:t xml:space="preserve">rako. </w:t>
      </w:r>
    </w:p>
    <w:p w:rsidR="0084609D" w:rsidRDefault="0084609D" w:rsidP="005775F1">
      <w:pPr>
        <w:pStyle w:val="texto"/>
        <w:rPr>
          <w:szCs w:val="26"/>
        </w:rPr>
      </w:pPr>
      <w:r>
        <w:t>Arau horrek zenbait babes-maila ezartzen ditu: gutxieneko babes-maila, E</w:t>
      </w:r>
      <w:r>
        <w:t>s</w:t>
      </w:r>
      <w:r>
        <w:t>tatuak definitua eta finantzarioki bermatua; bigarren maila, Estatuaren eta aut</w:t>
      </w:r>
      <w:r>
        <w:t>o</w:t>
      </w:r>
      <w:r>
        <w:t>nomia erkidegoen arteko elkarlan- eta finantzaketa-araubidekoa, eta hirugarren maila gehigarri bat, autonomia-erkidegoek nahi izanez gero garatzekoa.</w:t>
      </w:r>
    </w:p>
    <w:p w:rsidR="0084609D" w:rsidRPr="00D91171" w:rsidRDefault="0084609D" w:rsidP="005775F1">
      <w:pPr>
        <w:pStyle w:val="texto"/>
        <w:rPr>
          <w:szCs w:val="26"/>
        </w:rPr>
      </w:pPr>
      <w:r>
        <w:t>Legeak orobat ezartzen du onuradunaren ahalmen ekonomikoa kontuan ha</w:t>
      </w:r>
      <w:r>
        <w:t>r</w:t>
      </w:r>
      <w:r>
        <w:t xml:space="preserve">tuko dela, hark zerbitzuen kostuan izanen duen partaidetza finkatzeko eta diru-prestazioen zenbatekoa zehazteko. </w:t>
      </w:r>
    </w:p>
    <w:p w:rsidR="0084609D" w:rsidRPr="00D91171" w:rsidRDefault="0084609D" w:rsidP="005775F1">
      <w:pPr>
        <w:pStyle w:val="texto"/>
        <w:rPr>
          <w:szCs w:val="26"/>
        </w:rPr>
      </w:pPr>
      <w:r>
        <w:t>Aurreko guztiak berekin dakar hiru finantza-eragileren esku-hartzea: Est</w:t>
      </w:r>
      <w:r>
        <w:t>a</w:t>
      </w:r>
      <w:r>
        <w:t>tuarena</w:t>
      </w:r>
      <w:r w:rsidR="007D073B">
        <w:rPr>
          <w:rStyle w:val="Refdenotaalpie"/>
          <w:szCs w:val="26"/>
        </w:rPr>
        <w:footnoteReference w:id="1"/>
      </w:r>
      <w:r>
        <w:t xml:space="preserve">, kasuko autonomia-erkidegoarena eta prestazio </w:t>
      </w:r>
      <w:proofErr w:type="spellStart"/>
      <w:r>
        <w:t>eta/edo</w:t>
      </w:r>
      <w:proofErr w:type="spellEnd"/>
      <w:r>
        <w:t xml:space="preserve"> zerbitzuen on</w:t>
      </w:r>
      <w:r>
        <w:t>u</w:t>
      </w:r>
      <w:r>
        <w:t>radunena.</w:t>
      </w:r>
    </w:p>
    <w:p w:rsidR="0084609D" w:rsidRDefault="0084609D" w:rsidP="005775F1">
      <w:pPr>
        <w:pStyle w:val="texto"/>
        <w:rPr>
          <w:szCs w:val="26"/>
        </w:rPr>
      </w:pPr>
      <w:r>
        <w:t xml:space="preserve">Nafarroan, </w:t>
      </w:r>
      <w:proofErr w:type="spellStart"/>
      <w:r>
        <w:t>PAGNA-Pertsonen</w:t>
      </w:r>
      <w:proofErr w:type="spellEnd"/>
      <w:r>
        <w:t xml:space="preserve"> Autonomiarako eta Garapenerako Nafarroako Agentzia da Mendekotasun Legearen aplikazioaz arduratzen den erakunde a</w:t>
      </w:r>
      <w:r>
        <w:t>u</w:t>
      </w:r>
      <w:r>
        <w:t xml:space="preserve">tonomoa, Eskubide Sozialetako Departamentukoa. </w:t>
      </w:r>
    </w:p>
    <w:p w:rsidR="0084609D" w:rsidRDefault="0084609D" w:rsidP="005775F1">
      <w:pPr>
        <w:pStyle w:val="texto"/>
        <w:rPr>
          <w:szCs w:val="26"/>
        </w:rPr>
      </w:pPr>
      <w:proofErr w:type="spellStart"/>
      <w:r>
        <w:t>PAGNAk</w:t>
      </w:r>
      <w:proofErr w:type="spellEnd"/>
      <w:r>
        <w:t xml:space="preserve"> kudeaturiko </w:t>
      </w:r>
      <w:proofErr w:type="spellStart"/>
      <w:r>
        <w:t>PZSSI-Prestazio</w:t>
      </w:r>
      <w:proofErr w:type="spellEnd"/>
      <w:r>
        <w:t xml:space="preserve"> eta Zerbitzu Sozialen Sistema Int</w:t>
      </w:r>
      <w:r>
        <w:t>e</w:t>
      </w:r>
      <w:r>
        <w:t>gratuan jasotzen dira Mendekotasun Legeak Nafarroan dituen onuradunen eta prestazioen oinarrizko zertzelada guztiak. Sistema horretatik, aipatu datuak h</w:t>
      </w:r>
      <w:r>
        <w:t>e</w:t>
      </w:r>
      <w:r>
        <w:t xml:space="preserve">larazi egiten zaizkio </w:t>
      </w:r>
      <w:proofErr w:type="spellStart"/>
      <w:r>
        <w:t>AMASIS-Autonomiarako</w:t>
      </w:r>
      <w:proofErr w:type="spellEnd"/>
      <w:r>
        <w:t xml:space="preserve"> eta Mendekotasunaren Arret</w:t>
      </w:r>
      <w:r>
        <w:t>a</w:t>
      </w:r>
      <w:r>
        <w:t xml:space="preserve">rako Sistemako Informazio Sistemari, zeina </w:t>
      </w:r>
      <w:proofErr w:type="spellStart"/>
      <w:r>
        <w:t>IMSERSOk</w:t>
      </w:r>
      <w:proofErr w:type="spellEnd"/>
      <w:r>
        <w:t xml:space="preserve"> kudeatua baita.</w:t>
      </w:r>
    </w:p>
    <w:p w:rsidR="0084609D" w:rsidRDefault="0084609D" w:rsidP="005775F1">
      <w:pPr>
        <w:pStyle w:val="texto"/>
        <w:rPr>
          <w:szCs w:val="26"/>
        </w:rPr>
      </w:pPr>
      <w:r>
        <w:t>Kontuen Ganberak Mendekotasun Legearekin zerikusia zuten bi txosten jaulki zituen 2013ko maiatzean eta ekainean. Zehazki, arau horren pean zeuden egoitza-arretaren eta eguneko arretaren zerbitzuak eta lege horren 2008-2012 aldiko aplikazioa aztertu zituen. Gero, 2014ko martxoan, Mendekotasun Lege</w:t>
      </w:r>
      <w:r>
        <w:t>a</w:t>
      </w:r>
      <w:r>
        <w:t>ren Nafarroako ordainketen kudeaketari eta kontrolari buruzko txosten bat egin zuen Kontuen Ganberak.</w:t>
      </w:r>
    </w:p>
    <w:p w:rsidR="00B62A64" w:rsidRDefault="0084609D" w:rsidP="005775F1">
      <w:pPr>
        <w:pStyle w:val="texto"/>
        <w:tabs>
          <w:tab w:val="clear" w:pos="2835"/>
          <w:tab w:val="clear" w:pos="3969"/>
          <w:tab w:val="clear" w:pos="5103"/>
          <w:tab w:val="clear" w:pos="6237"/>
          <w:tab w:val="clear" w:pos="7371"/>
        </w:tabs>
        <w:rPr>
          <w:szCs w:val="26"/>
        </w:rPr>
      </w:pPr>
      <w:r>
        <w:t xml:space="preserve">Bestalde, Kontuen Auzitegiak (aurrerantzean, </w:t>
      </w:r>
      <w:proofErr w:type="spellStart"/>
      <w:r>
        <w:t>KoA</w:t>
      </w:r>
      <w:proofErr w:type="spellEnd"/>
      <w:r>
        <w:t>) txosten bat jaulki zuen 2014ko maiatzean, Mendekotasun Legearen kudeatze eta kontrolarekin zerik</w:t>
      </w:r>
      <w:r>
        <w:t>u</w:t>
      </w:r>
      <w:r>
        <w:t>sia zeukaten zenbait alderdiri buruzkoa</w:t>
      </w:r>
      <w:r>
        <w:rPr>
          <w:rStyle w:val="Refdenotaalpie"/>
          <w:szCs w:val="26"/>
        </w:rPr>
        <w:footnoteReference w:id="2"/>
      </w:r>
      <w:r>
        <w:t xml:space="preserve">. </w:t>
      </w:r>
      <w:proofErr w:type="spellStart"/>
      <w:r>
        <w:t>KoAren</w:t>
      </w:r>
      <w:proofErr w:type="spellEnd"/>
      <w:r>
        <w:t xml:space="preserve"> eta kanpo-kontroleko er</w:t>
      </w:r>
      <w:r>
        <w:t>a</w:t>
      </w:r>
      <w:r>
        <w:lastRenderedPageBreak/>
        <w:t>kunde ezberdinen arteko koordinazio-batzordeak deliberatu zuen aipatu txost</w:t>
      </w:r>
      <w:r>
        <w:t>e</w:t>
      </w:r>
      <w:r>
        <w:t>nean jasotako gomendioen jarraipen bat egitea, erakunde horien artean lan k</w:t>
      </w:r>
      <w:r>
        <w:t>o</w:t>
      </w:r>
      <w:r>
        <w:t>ordinatua eginez, eta hura 2019ko fiskalizazio-programan jasoz.</w:t>
      </w:r>
    </w:p>
    <w:p w:rsidR="0084609D" w:rsidRDefault="0084609D" w:rsidP="005775F1">
      <w:pPr>
        <w:pStyle w:val="texto"/>
        <w:tabs>
          <w:tab w:val="clear" w:pos="2835"/>
          <w:tab w:val="clear" w:pos="3969"/>
          <w:tab w:val="clear" w:pos="5103"/>
          <w:tab w:val="clear" w:pos="6237"/>
          <w:tab w:val="clear" w:pos="7371"/>
        </w:tabs>
        <w:rPr>
          <w:szCs w:val="26"/>
        </w:rPr>
      </w:pPr>
      <w:r>
        <w:t xml:space="preserve">Kontuen Ganbera arautzen duen 19/1984 Foru Legeari, abenduaren 20koari, jarraikiz, erakunde honek erabaki zuen, bere ekimenez, 2019rako fiskalizazio-programan sartzea 2014ko martxoan eginiko lanean adierazitako gomendioen jarraipena egiteko txosten bat prestatzea, halaber barne hartuko zuena </w:t>
      </w:r>
      <w:proofErr w:type="spellStart"/>
      <w:r>
        <w:t>KoAk</w:t>
      </w:r>
      <w:proofErr w:type="spellEnd"/>
      <w:r>
        <w:t xml:space="preserve"> eginiko gomendioen egiaztapena.</w:t>
      </w:r>
    </w:p>
    <w:p w:rsidR="0084609D" w:rsidRDefault="0084609D" w:rsidP="005775F1">
      <w:pPr>
        <w:pStyle w:val="texto"/>
      </w:pPr>
      <w:r>
        <w:t>Txostenak hiru atal dauzka, sarrera hau barne; bigarrenean, egindako lanaren helburuak, norainokoa eta mugak jasotzen dira, eta hirugarrenean bilduta daude eginiko lanaren konklusioak. Eranskin bat ere jasotzen da, gai honi buruz Ko</w:t>
      </w:r>
      <w:r>
        <w:t>n</w:t>
      </w:r>
      <w:r>
        <w:t>tuen Ganberak 2014ko martxoan egindako txostenaren konklusioak biltzen d</w:t>
      </w:r>
      <w:r>
        <w:t>i</w:t>
      </w:r>
      <w:r>
        <w:t>tuena, Mendekotasun Legeko ordainketen kudeaketari eta kontrolari dagoki</w:t>
      </w:r>
      <w:r>
        <w:t>e</w:t>
      </w:r>
      <w:r>
        <w:t>nez.</w:t>
      </w:r>
    </w:p>
    <w:p w:rsidR="0084609D" w:rsidRPr="00FE18A4" w:rsidRDefault="0084609D" w:rsidP="005775F1">
      <w:pPr>
        <w:pStyle w:val="texto"/>
      </w:pPr>
      <w:r>
        <w:t>Lana 2020ko azarotik 2021eko otsaila bitartean egin zuen auditoretzako bi teknikarik, sistema informatikoetako erdi mailako teknikari batek eta auditore batek osatutako lantalde batek, Kontuen Ganberaren zerbitzu juridiko eta adm</w:t>
      </w:r>
      <w:r>
        <w:t>i</w:t>
      </w:r>
      <w:r>
        <w:t>nistratiboen laguntzarekin.</w:t>
      </w:r>
    </w:p>
    <w:p w:rsidR="0084609D" w:rsidRDefault="0084609D" w:rsidP="005775F1">
      <w:pPr>
        <w:pStyle w:val="texto"/>
        <w:rPr>
          <w:szCs w:val="26"/>
        </w:rPr>
      </w:pPr>
      <w:r>
        <w:t xml:space="preserve">Eskerrak eman nahi dizkiegu Eskubide Sozialetako Departamentuko eta </w:t>
      </w:r>
      <w:proofErr w:type="spellStart"/>
      <w:r>
        <w:t>PAGNAko</w:t>
      </w:r>
      <w:proofErr w:type="spellEnd"/>
      <w:r>
        <w:t xml:space="preserve"> langileei, eta Errealitate Sozialaren Behatokiaren Zerbitzuari, lan hau egiteko eman diguten laguntzarengatik. </w:t>
      </w:r>
    </w:p>
    <w:p w:rsidR="00133BFA" w:rsidRDefault="00133BFA" w:rsidP="00133BFA">
      <w:pPr>
        <w:pStyle w:val="texto"/>
      </w:pPr>
      <w:r>
        <w:t>Nafarroako Kontuen Ganbera arautzen duen 19/1984 Foru Legearen 11. art</w:t>
      </w:r>
      <w:r>
        <w:t>i</w:t>
      </w:r>
      <w:r>
        <w:t>kuluan xedatuari jarraikiz, lan honen emaitzak honako kargu hauetan zihard</w:t>
      </w:r>
      <w:r>
        <w:t>u</w:t>
      </w:r>
      <w:r>
        <w:t>ten pertsonei jakinarazi zitzaizkien, alegazioak aurkez zitzaten:</w:t>
      </w:r>
    </w:p>
    <w:p w:rsidR="00133BFA" w:rsidRPr="00133BFA" w:rsidRDefault="00133BFA" w:rsidP="00133BFA">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pPr>
      <w:r>
        <w:t>Eskubide Sozialetako kontseilaria.</w:t>
      </w:r>
    </w:p>
    <w:p w:rsidR="00133BFA" w:rsidRPr="00133BFA" w:rsidRDefault="00133BFA" w:rsidP="00133BFA">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pPr>
      <w:r>
        <w:t>Pertsonen Autonomiarako eta Garapenerako Nafarroako Agentziako z</w:t>
      </w:r>
      <w:r>
        <w:t>u</w:t>
      </w:r>
      <w:r>
        <w:t>zendari kudeatzailea.</w:t>
      </w:r>
    </w:p>
    <w:p w:rsidR="0084609D" w:rsidRPr="008A41C2" w:rsidRDefault="00133BFA" w:rsidP="005775F1">
      <w:pPr>
        <w:pStyle w:val="texto"/>
        <w:rPr>
          <w:szCs w:val="26"/>
        </w:rPr>
      </w:pPr>
      <w:r>
        <w:t>Alegazioak aurkeztu ditu, Kontuen Ganberak ezarritako epean, Pertsonen Autonomiarako eta Garapenerako Nafarroako Agentziako zuzendari kudeatza</w:t>
      </w:r>
      <w:r>
        <w:t>i</w:t>
      </w:r>
      <w:r>
        <w:t>leak. Alegazio horiek argipenak dira, eta behin betiko txostenari erantsi zai</w:t>
      </w:r>
      <w:r>
        <w:t>z</w:t>
      </w:r>
      <w:r>
        <w:t>kio.</w:t>
      </w:r>
      <w:r>
        <w:br w:type="page"/>
      </w:r>
    </w:p>
    <w:p w:rsidR="0084609D" w:rsidRPr="00134DF4" w:rsidRDefault="0084609D" w:rsidP="0084609D">
      <w:pPr>
        <w:pStyle w:val="atitulo1"/>
        <w:spacing w:before="240" w:after="160"/>
      </w:pPr>
      <w:bookmarkStart w:id="2" w:name="_Toc11396081"/>
      <w:bookmarkStart w:id="3" w:name="_Toc70403856"/>
      <w:bookmarkStart w:id="4" w:name="_Toc398207038"/>
      <w:bookmarkStart w:id="5" w:name="_Toc432757087"/>
      <w:bookmarkStart w:id="6" w:name="_Toc447195021"/>
      <w:bookmarkStart w:id="7" w:name="_Toc477171874"/>
      <w:bookmarkStart w:id="8" w:name="_Toc432757082"/>
      <w:bookmarkStart w:id="9" w:name="_Toc447195015"/>
      <w:r>
        <w:lastRenderedPageBreak/>
        <w:t xml:space="preserve">II. </w:t>
      </w:r>
      <w:bookmarkStart w:id="10" w:name="_Toc41485556"/>
      <w:r>
        <w:t>Helburuak, norainokoa</w:t>
      </w:r>
      <w:bookmarkEnd w:id="10"/>
      <w:r>
        <w:t xml:space="preserve"> eta mugak</w:t>
      </w:r>
      <w:bookmarkEnd w:id="2"/>
      <w:bookmarkEnd w:id="3"/>
    </w:p>
    <w:p w:rsidR="0084609D" w:rsidRDefault="0084609D" w:rsidP="0084609D">
      <w:pPr>
        <w:pStyle w:val="texto"/>
        <w:tabs>
          <w:tab w:val="clear" w:pos="2835"/>
          <w:tab w:val="clear" w:pos="3969"/>
          <w:tab w:val="clear" w:pos="5103"/>
          <w:tab w:val="clear" w:pos="6237"/>
          <w:tab w:val="clear" w:pos="7371"/>
        </w:tabs>
        <w:spacing w:after="100"/>
        <w:rPr>
          <w:szCs w:val="26"/>
        </w:rPr>
      </w:pPr>
      <w:r>
        <w:t>Hona hemen lan honek izan dituen helburuak:</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t>Mendekotasun Legea Nafarroan aplikatzearekin zerikusia duten alderdi n</w:t>
      </w:r>
      <w:r>
        <w:t>a</w:t>
      </w:r>
      <w:r>
        <w:t>gusien bilakaera aztertzea.</w:t>
      </w:r>
    </w:p>
    <w:p w:rsidR="0084609D" w:rsidRPr="003B7D1F"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t>Jarraipen bat egitea, ikuste aldera zein heinetan bete diren Kontuen Ganb</w:t>
      </w:r>
      <w:r>
        <w:t>e</w:t>
      </w:r>
      <w:r>
        <w:t>rak 2014ko martxoan jaulkitako txosteneko gomendioak, Mendekotasun L</w:t>
      </w:r>
      <w:r>
        <w:t>e</w:t>
      </w:r>
      <w:r>
        <w:t xml:space="preserve">geko ordainketen kudeaketari eta kontrolari dagokienez, bai eta </w:t>
      </w:r>
      <w:proofErr w:type="spellStart"/>
      <w:r>
        <w:t>KoAk</w:t>
      </w:r>
      <w:proofErr w:type="spellEnd"/>
      <w:r>
        <w:t xml:space="preserve"> 2014ko maiatzeko bere txostenean eman zituenak ere, erakunde horren eta kanpo-kontrolerako erakundeen artean abian den lan koordinatuaren ondorioz.</w:t>
      </w:r>
    </w:p>
    <w:p w:rsidR="0084609D" w:rsidRDefault="0084609D" w:rsidP="0084609D">
      <w:pPr>
        <w:pStyle w:val="texto"/>
        <w:tabs>
          <w:tab w:val="clear" w:pos="2835"/>
          <w:tab w:val="clear" w:pos="3969"/>
          <w:tab w:val="clear" w:pos="5103"/>
          <w:tab w:val="clear" w:pos="6237"/>
          <w:tab w:val="clear" w:pos="7371"/>
        </w:tabs>
        <w:spacing w:after="100"/>
        <w:rPr>
          <w:szCs w:val="26"/>
        </w:rPr>
      </w:pPr>
      <w:r>
        <w:t>Gure lanaren norainokoa hauxe izan da:</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t xml:space="preserve">Mendekotasun Legearen aplikazioari buruzko alderdi orokorrak, batik </w:t>
      </w:r>
      <w:proofErr w:type="spellStart"/>
      <w:r>
        <w:t>bat</w:t>
      </w:r>
      <w:proofErr w:type="spellEnd"/>
      <w:r>
        <w:t xml:space="preserve"> honakoei buruzkoak: </w:t>
      </w:r>
      <w:proofErr w:type="spellStart"/>
      <w:r>
        <w:t>onuradun-kopurua</w:t>
      </w:r>
      <w:proofErr w:type="spellEnd"/>
      <w:r>
        <w:t xml:space="preserve">, gastuak eta diru-sarrerak, </w:t>
      </w:r>
      <w:proofErr w:type="spellStart"/>
      <w:r>
        <w:t>PAGNAko</w:t>
      </w:r>
      <w:proofErr w:type="spellEnd"/>
      <w:r>
        <w:t xml:space="preserve"> langileak, kudeatze-epeak, prestazio aitortzeko batez besteko denbora eta pre</w:t>
      </w:r>
      <w:r>
        <w:t>s</w:t>
      </w:r>
      <w:r>
        <w:t>tazio aitortua izanik ordainketa berandutua daukaten espedienteak. Alderdi h</w:t>
      </w:r>
      <w:r>
        <w:t>o</w:t>
      </w:r>
      <w:r>
        <w:t>riek aztertzea xede, sarbidea izan dugu bai SAPGE21 sisteman, bai PZSSI si</w:t>
      </w:r>
      <w:r>
        <w:t>s</w:t>
      </w:r>
      <w:r>
        <w:t>teman ere, zeinak barne hartzen baitu Mendekotasun Legearen Nafarroako k</w:t>
      </w:r>
      <w:r>
        <w:t>u</w:t>
      </w:r>
      <w:r>
        <w:t>deaketari buruzko oinarrizko informazioa.</w:t>
      </w:r>
    </w:p>
    <w:p w:rsidR="0084609D" w:rsidRPr="00652B5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t xml:space="preserve">Nafarroako Errealitate Sozialaren Behatokiak mendekotasunaz eginiko txostenak. </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t xml:space="preserve">Kontuen Ganberaren txostenean eta </w:t>
      </w:r>
      <w:proofErr w:type="spellStart"/>
      <w:r>
        <w:t>KoArenean</w:t>
      </w:r>
      <w:proofErr w:type="spellEnd"/>
      <w:r>
        <w:t xml:space="preserve"> eginiko gomendioak.</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r>
        <w:t>Gure lanak honako mugapen hauek izan ditu:</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proofErr w:type="spellStart"/>
      <w:r>
        <w:t>PAGNAk</w:t>
      </w:r>
      <w:proofErr w:type="spellEnd"/>
      <w:r>
        <w:t xml:space="preserve"> ez dauka ezarrita kontabilitate analitikoko sistemarik, modua em</w:t>
      </w:r>
      <w:r>
        <w:t>a</w:t>
      </w:r>
      <w:r>
        <w:t>nen duenik mendekotasunarekin zerikusia duen gastua identifikatzeko, eta, be</w:t>
      </w:r>
      <w:r>
        <w:t>s</w:t>
      </w:r>
      <w:r>
        <w:t>tetik, mendekotasunarentzako arretarako besterik ez diren aurrekontu-partida edo programa berariazkorik ere ez dago. Mendekotasunerako aurrekontu-partidarik ez egote horrek eragina du, halaber, Mendekotasun Legearen onur</w:t>
      </w:r>
      <w:r>
        <w:t>a</w:t>
      </w:r>
      <w:r>
        <w:t xml:space="preserve">dunengandik heltzen diren diru-sarreren zenbatespenean. </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r>
        <w:t>Horrek esan nahi du ezin ditugula zehatz-mehatz mendekotasunarekin zer</w:t>
      </w:r>
      <w:r>
        <w:t>i</w:t>
      </w:r>
      <w:r>
        <w:t xml:space="preserve">kusia duten gastuak eta diru-sarrerak zenbatetsi; betiere, </w:t>
      </w:r>
      <w:proofErr w:type="spellStart"/>
      <w:r>
        <w:t>PAGNAk</w:t>
      </w:r>
      <w:proofErr w:type="spellEnd"/>
      <w:r>
        <w:t xml:space="preserve"> urteko ziu</w:t>
      </w:r>
      <w:r>
        <w:t>r</w:t>
      </w:r>
      <w:r>
        <w:t xml:space="preserve">tagiri bat bidali behar dio Estatuari, zeinean azalduko baititu mendekotasunaren arretaren zereginei erantzuteko egin dituen gastuak. Horretarako </w:t>
      </w:r>
      <w:proofErr w:type="spellStart"/>
      <w:r>
        <w:t>PAGNAk</w:t>
      </w:r>
      <w:proofErr w:type="spellEnd"/>
      <w:r>
        <w:t xml:space="preserve"> an</w:t>
      </w:r>
      <w:r>
        <w:t>a</w:t>
      </w:r>
      <w:r>
        <w:t>lisi-prozesu korapilatsu bat egiten du gastu horiek kalkulatzeko, eta datu hori</w:t>
      </w:r>
      <w:r>
        <w:t>e</w:t>
      </w:r>
      <w:r>
        <w:t>xek dira gure txostenean jasotzen direnak.</w:t>
      </w:r>
    </w:p>
    <w:p w:rsidR="0084609D" w:rsidRDefault="0084609D" w:rsidP="0084609D">
      <w:pPr>
        <w:pStyle w:val="texto"/>
        <w:rPr>
          <w:rFonts w:ascii="Arial" w:hAnsi="Arial"/>
          <w:b/>
          <w:color w:val="000000"/>
          <w:kern w:val="28"/>
          <w:sz w:val="25"/>
          <w:szCs w:val="26"/>
        </w:rPr>
      </w:pPr>
      <w:r>
        <w:t>Diru-sarreren kasuan, gure txostenak zehazten ditu prestazioen onuradune</w:t>
      </w:r>
      <w:r>
        <w:t>n</w:t>
      </w:r>
      <w:r>
        <w:t>gandik jasotako kopuruak barne hartzen dituzten aurrekontu-partidak, berdin delarik onuradun horiek mendekoak izan ala ez; diru-sarrerak helarazten ditu</w:t>
      </w:r>
      <w:r>
        <w:t>z</w:t>
      </w:r>
      <w:r>
        <w:t>ten pertsonen guztizkoaren gainean mendekoek egiten duten ehunekoaren o</w:t>
      </w:r>
      <w:r>
        <w:t>n</w:t>
      </w:r>
      <w:r>
        <w:lastRenderedPageBreak/>
        <w:t>dorioz, pentsatzekoa da partida horietako diru-sarrerarik gehienak mendekoe</w:t>
      </w:r>
      <w:r>
        <w:t>n</w:t>
      </w:r>
      <w:r>
        <w:t xml:space="preserve">gandikoak direla, baina ezinezkoa zaigu zenbateko hori zehazki kalkulatzea. </w:t>
      </w:r>
      <w:bookmarkStart w:id="11" w:name="_Toc41485557"/>
      <w:r>
        <w:br w:type="page"/>
      </w:r>
    </w:p>
    <w:p w:rsidR="0084609D" w:rsidRPr="00BB1925" w:rsidRDefault="0084609D" w:rsidP="0084609D">
      <w:pPr>
        <w:pStyle w:val="atitulo1"/>
      </w:pPr>
      <w:bookmarkStart w:id="12" w:name="_Toc70403857"/>
      <w:r>
        <w:t>III. Konklusioak</w:t>
      </w:r>
      <w:bookmarkEnd w:id="11"/>
      <w:bookmarkEnd w:id="12"/>
    </w:p>
    <w:p w:rsidR="0084609D" w:rsidRPr="00F377C9" w:rsidRDefault="0084609D" w:rsidP="0084609D">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 xml:space="preserve">Nafarroako Foru Komunitateko Administrazioaren erantzukizuna </w:t>
      </w:r>
    </w:p>
    <w:p w:rsidR="0084609D" w:rsidRPr="00492411" w:rsidRDefault="0084609D" w:rsidP="0084609D">
      <w:pPr>
        <w:pStyle w:val="texto"/>
        <w:rPr>
          <w:i/>
          <w:szCs w:val="26"/>
        </w:rPr>
      </w:pPr>
      <w:r>
        <w:t xml:space="preserve">Mendekotasun Legearen aplikazioaren gaineko kudeaketaren erantzukizuna </w:t>
      </w:r>
      <w:proofErr w:type="spellStart"/>
      <w:r>
        <w:t>PAGNArena</w:t>
      </w:r>
      <w:proofErr w:type="spellEnd"/>
      <w:r>
        <w:t xml:space="preserve"> da, zeina Eskubide Sozialetako Departamentuaren erakunde aut</w:t>
      </w:r>
      <w:r>
        <w:t>o</w:t>
      </w:r>
      <w:r>
        <w:t>nomo bat baita.</w:t>
      </w:r>
    </w:p>
    <w:p w:rsidR="0084609D" w:rsidRDefault="0084609D" w:rsidP="0084609D">
      <w:pPr>
        <w:pStyle w:val="texto"/>
      </w:pPr>
      <w:r>
        <w:t>Eskubide Sozialetako Departamentuak ezarri behar ditu barne-kontroleko sistemak, beharrezko iruditzen zaizkionak bermatzeko ezen Mendekotasun L</w:t>
      </w:r>
      <w:r>
        <w:t>e</w:t>
      </w:r>
      <w:r>
        <w:t>gearen aplikazioa lege-urraketarik eta iruzur nahiz errakuntzaren ondoriozko oker materialik gabekoa dela.</w:t>
      </w:r>
    </w:p>
    <w:p w:rsidR="0084609D" w:rsidRPr="00F377C9" w:rsidRDefault="0084609D" w:rsidP="0084609D">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84609D" w:rsidRPr="00F377C9" w:rsidRDefault="0084609D" w:rsidP="0084609D">
      <w:pPr>
        <w:pStyle w:val="texto"/>
      </w:pPr>
      <w:r>
        <w:t>Gure erantzukizuna da gure fiskalizazioan oinarrituriko konklusio bat adi</w:t>
      </w:r>
      <w:r>
        <w:t>e</w:t>
      </w:r>
      <w:r>
        <w:t xml:space="preserve">raztea Mendekotasun Legea aplikatzearen zertzelada jakin batzuek izandako bilakaerari eta Kontuen Ganberak nahiz, kasua bada, </w:t>
      </w:r>
      <w:proofErr w:type="spellStart"/>
      <w:r>
        <w:t>KoAk</w:t>
      </w:r>
      <w:proofErr w:type="spellEnd"/>
      <w:r>
        <w:t xml:space="preserve"> eginiko gomend</w:t>
      </w:r>
      <w:r>
        <w:t>i</w:t>
      </w:r>
      <w:r>
        <w:t xml:space="preserve">oen betetze-mailari buruz </w:t>
      </w:r>
    </w:p>
    <w:p w:rsidR="0084609D" w:rsidRDefault="0084609D" w:rsidP="0084609D">
      <w:pPr>
        <w:pStyle w:val="texto"/>
      </w:pPr>
      <w:r>
        <w:t>Horretarako, erantzukizun hori bete dugu kanpo kontroleko erakunde publ</w:t>
      </w:r>
      <w:r>
        <w:t>i</w:t>
      </w:r>
      <w:r>
        <w:t xml:space="preserve">koen oinarrizko fiskalizazio-printzipioei heldurik. Printzipio horiek behartzen gaituzte etika-eskakizunak betetzera eta </w:t>
      </w:r>
      <w:proofErr w:type="spellStart"/>
      <w:r>
        <w:t>auditoretza</w:t>
      </w:r>
      <w:proofErr w:type="spellEnd"/>
      <w:r>
        <w:t xml:space="preserve"> halako moduz planifikatu eta egitera non ezagutza egokia lortuko baitugu gomendioak betetze aldera er</w:t>
      </w:r>
      <w:r>
        <w:t>a</w:t>
      </w:r>
      <w:r>
        <w:t xml:space="preserve">bilitako prozedurez, kasua bada, bai eta taxuzko ziurtasun bat ere, informazioa oker materialik gabekoa eta alderdi adierazgarri guztietan araudi indardunaren araberakoa izateari buruz. </w:t>
      </w:r>
    </w:p>
    <w:p w:rsidR="0084609D" w:rsidRDefault="0084609D" w:rsidP="0084609D">
      <w:pPr>
        <w:pStyle w:val="texto"/>
        <w:spacing w:after="240"/>
      </w:pPr>
      <w:r>
        <w:t xml:space="preserve">Gure ustez, lortu dugun </w:t>
      </w:r>
      <w:proofErr w:type="spellStart"/>
      <w:r>
        <w:t>auditoretza-ebidentziak</w:t>
      </w:r>
      <w:proofErr w:type="spellEnd"/>
      <w:r>
        <w:t xml:space="preserve"> behar adinako eta behar b</w:t>
      </w:r>
      <w:r>
        <w:t>e</w:t>
      </w:r>
      <w:r>
        <w:t>zalako oinarria eskaintzen du ateratako konklusioetarako, salbu eta mendekot</w:t>
      </w:r>
      <w:r>
        <w:t>a</w:t>
      </w:r>
      <w:r>
        <w:t>sunarekin zerikusia duten gastu eta diru-sarreren zenbatespenari dagokionez, txosten honen II. epigrafean azaldu dugun bezala.</w:t>
      </w:r>
    </w:p>
    <w:p w:rsidR="0084609D" w:rsidRPr="00794E9D" w:rsidRDefault="0084609D" w:rsidP="0084609D">
      <w:pPr>
        <w:pStyle w:val="atitulo2"/>
        <w:spacing w:before="240" w:after="120"/>
        <w:rPr>
          <w:bCs w:val="0"/>
          <w:iCs w:val="0"/>
        </w:rPr>
      </w:pPr>
      <w:bookmarkStart w:id="13" w:name="_Toc41485558"/>
      <w:bookmarkStart w:id="14" w:name="_Toc70403858"/>
      <w:r>
        <w:t xml:space="preserve">III.1. </w:t>
      </w:r>
      <w:bookmarkEnd w:id="13"/>
      <w:r>
        <w:t>Mendekotasun Legea Nafarroan aplikatzearekin zerikusia duten a</w:t>
      </w:r>
      <w:r>
        <w:t>l</w:t>
      </w:r>
      <w:r>
        <w:t>derdi orokorren bilakaera</w:t>
      </w:r>
      <w:bookmarkEnd w:id="14"/>
    </w:p>
    <w:p w:rsidR="0084609D" w:rsidRDefault="0084609D" w:rsidP="0084609D">
      <w:pPr>
        <w:pStyle w:val="texto"/>
        <w:spacing w:after="120"/>
      </w:pPr>
      <w:r>
        <w:t>Jarraian, Mendekotasun Legea Nafarroan aplikatzearekin zerikusia duten o</w:t>
      </w:r>
      <w:r>
        <w:t>i</w:t>
      </w:r>
      <w:r>
        <w:t>narrizko alderdi batzuen bilakaera azaltzen dugu.</w:t>
      </w:r>
    </w:p>
    <w:p w:rsidR="0084609D" w:rsidRDefault="0084609D" w:rsidP="0084609D">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Nafarroako Gizarte Zerbitzuen Zorroko prestazioen onuradunen kopurua.</w:t>
      </w:r>
    </w:p>
    <w:p w:rsidR="0084609D" w:rsidRDefault="0084609D" w:rsidP="0084609D">
      <w:pPr>
        <w:pStyle w:val="texto"/>
        <w:spacing w:after="240"/>
      </w:pPr>
      <w:r>
        <w:t>Nafarroako Gizarte Zerbitzuen Zorroak arlo ezberdinetan taldekaturiko pre</w:t>
      </w:r>
      <w:r>
        <w:t>s</w:t>
      </w:r>
      <w:r>
        <w:t>tazioen multzo bat barne hartzen du: oinarrizko laguntza, mendekotasunaren arreta, zaharren arreta, desgaituen arreta, gaixotasun mental larria duten perts</w:t>
      </w:r>
      <w:r>
        <w:t>o</w:t>
      </w:r>
      <w:r>
        <w:t>nen arreta, gizarte-bazterketan dauden edo egoteko arriskuan dauden pertsonen arreta, adingabeen arreta eta emakumeen aurkako indarkeriaren biktima diren pertsonen arreta.</w:t>
      </w:r>
    </w:p>
    <w:p w:rsidR="0084609D" w:rsidRDefault="0084609D" w:rsidP="0084609D">
      <w:pPr>
        <w:pStyle w:val="texto"/>
        <w:spacing w:after="200"/>
      </w:pPr>
      <w:r>
        <w:t xml:space="preserve">Hurrengo koadroak azaltzen du zer bilakaera izan duen Nafarroako Gizarte Zerbitzuen Zorroko prestazioen onuradunen kopuruak, </w:t>
      </w:r>
      <w:proofErr w:type="spellStart"/>
      <w:r>
        <w:t>kopuru</w:t>
      </w:r>
      <w:proofErr w:type="spellEnd"/>
      <w:r>
        <w:t xml:space="preserve"> hori urte bako</w:t>
      </w:r>
      <w:r>
        <w:t>i</w:t>
      </w:r>
      <w:r>
        <w:t>tzeko abenduaren 31koa izanik:</w:t>
      </w:r>
    </w:p>
    <w:tbl>
      <w:tblPr>
        <w:tblW w:w="882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9"/>
        <w:gridCol w:w="837"/>
        <w:gridCol w:w="838"/>
        <w:gridCol w:w="837"/>
        <w:gridCol w:w="838"/>
        <w:gridCol w:w="837"/>
        <w:gridCol w:w="838"/>
        <w:gridCol w:w="837"/>
      </w:tblGrid>
      <w:tr w:rsidR="0084609D" w:rsidRPr="00B55AF1" w:rsidTr="007E369D">
        <w:trPr>
          <w:trHeight w:hRule="exact" w:val="255"/>
          <w:jc w:val="center"/>
        </w:trPr>
        <w:tc>
          <w:tcPr>
            <w:tcW w:w="2959" w:type="dxa"/>
            <w:tcBorders>
              <w:bottom w:val="single" w:sz="4" w:space="0" w:color="auto"/>
            </w:tcBorders>
            <w:shd w:val="clear" w:color="auto" w:fill="8DB3E2" w:themeFill="text2" w:themeFillTint="66"/>
            <w:noWrap/>
            <w:vAlign w:val="center"/>
          </w:tcPr>
          <w:p w:rsidR="0084609D" w:rsidRPr="00240759" w:rsidRDefault="0084609D" w:rsidP="00EC05CE">
            <w:pPr>
              <w:pStyle w:val="cuadroCabe"/>
              <w:jc w:val="right"/>
              <w:rPr>
                <w:lang w:eastAsia="es-ES"/>
              </w:rPr>
            </w:pP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2013</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2014</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2015</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2016</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2017</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2018</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pPr>
            <w:r>
              <w:t>2019</w:t>
            </w:r>
          </w:p>
        </w:tc>
      </w:tr>
      <w:tr w:rsidR="0084609D" w:rsidRPr="00B55AF1" w:rsidTr="00D66DAC">
        <w:trPr>
          <w:trHeight w:hRule="exact" w:val="227"/>
          <w:jc w:val="center"/>
        </w:trPr>
        <w:tc>
          <w:tcPr>
            <w:tcW w:w="2959" w:type="dxa"/>
            <w:tcBorders>
              <w:bottom w:val="single" w:sz="2" w:space="0" w:color="auto"/>
            </w:tcBorders>
            <w:shd w:val="clear" w:color="auto" w:fill="auto"/>
            <w:noWrap/>
            <w:vAlign w:val="center"/>
            <w:hideMark/>
          </w:tcPr>
          <w:p w:rsidR="0084609D" w:rsidRPr="009E0AF4" w:rsidRDefault="0084609D" w:rsidP="000E00B8">
            <w:pPr>
              <w:pStyle w:val="cuatexto"/>
            </w:pPr>
            <w:r>
              <w:t>Mendeko gisa baloratuak</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10.174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10.346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11.439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10.322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12.888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13.764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pPr>
            <w:r>
              <w:t xml:space="preserve">13.888 </w:t>
            </w:r>
          </w:p>
        </w:tc>
      </w:tr>
      <w:tr w:rsidR="0084609D" w:rsidRPr="00B55AF1" w:rsidTr="00D66DAC">
        <w:trPr>
          <w:trHeight w:hRule="exact" w:val="227"/>
          <w:jc w:val="center"/>
        </w:trPr>
        <w:tc>
          <w:tcPr>
            <w:tcW w:w="2959" w:type="dxa"/>
            <w:tcBorders>
              <w:top w:val="single" w:sz="2" w:space="0" w:color="auto"/>
            </w:tcBorders>
            <w:shd w:val="clear" w:color="auto" w:fill="auto"/>
            <w:noWrap/>
            <w:vAlign w:val="center"/>
            <w:hideMark/>
          </w:tcPr>
          <w:p w:rsidR="0084609D" w:rsidRPr="009E0AF4" w:rsidRDefault="0084609D" w:rsidP="000E00B8">
            <w:pPr>
              <w:pStyle w:val="cuatexto"/>
            </w:pPr>
            <w:r>
              <w:t>Ez-mendeko gisa baloratuak</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2.283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534 </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503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pPr>
            <w:r>
              <w:t>524</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565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551 </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pPr>
            <w:r>
              <w:t xml:space="preserve">533 </w:t>
            </w:r>
          </w:p>
        </w:tc>
      </w:tr>
      <w:tr w:rsidR="0084609D" w:rsidRPr="00B55AF1" w:rsidTr="0094009E">
        <w:trPr>
          <w:trHeight w:hRule="exact" w:val="255"/>
          <w:jc w:val="center"/>
        </w:trPr>
        <w:tc>
          <w:tcPr>
            <w:tcW w:w="2959" w:type="dxa"/>
            <w:shd w:val="clear" w:color="auto" w:fill="8DB3E2" w:themeFill="text2" w:themeFillTint="66"/>
            <w:noWrap/>
            <w:vAlign w:val="center"/>
            <w:hideMark/>
          </w:tcPr>
          <w:p w:rsidR="0084609D" w:rsidRPr="009E0AF4" w:rsidRDefault="0084609D" w:rsidP="00EC05CE">
            <w:pPr>
              <w:pStyle w:val="cuadroCabe"/>
            </w:pPr>
            <w:r>
              <w:t xml:space="preserve">Pertsonak, guztira  </w:t>
            </w:r>
          </w:p>
        </w:tc>
        <w:tc>
          <w:tcPr>
            <w:tcW w:w="837" w:type="dxa"/>
            <w:shd w:val="clear" w:color="auto" w:fill="8DB3E2" w:themeFill="text2" w:themeFillTint="66"/>
            <w:noWrap/>
            <w:vAlign w:val="center"/>
            <w:hideMark/>
          </w:tcPr>
          <w:p w:rsidR="0084609D" w:rsidRPr="009E0AF4" w:rsidRDefault="0084609D" w:rsidP="00EC05CE">
            <w:pPr>
              <w:pStyle w:val="cuadroCabe"/>
              <w:jc w:val="right"/>
            </w:pPr>
            <w:r>
              <w:t xml:space="preserve">12.457 </w:t>
            </w:r>
          </w:p>
        </w:tc>
        <w:tc>
          <w:tcPr>
            <w:tcW w:w="838" w:type="dxa"/>
            <w:shd w:val="clear" w:color="auto" w:fill="8DB3E2" w:themeFill="text2" w:themeFillTint="66"/>
            <w:noWrap/>
            <w:vAlign w:val="center"/>
            <w:hideMark/>
          </w:tcPr>
          <w:p w:rsidR="0084609D" w:rsidRPr="009E0AF4" w:rsidRDefault="0084609D" w:rsidP="00EC05CE">
            <w:pPr>
              <w:pStyle w:val="cuadroCabe"/>
              <w:jc w:val="right"/>
            </w:pPr>
            <w:r>
              <w:t xml:space="preserve">10.880 </w:t>
            </w:r>
          </w:p>
        </w:tc>
        <w:tc>
          <w:tcPr>
            <w:tcW w:w="837" w:type="dxa"/>
            <w:shd w:val="clear" w:color="auto" w:fill="8DB3E2" w:themeFill="text2" w:themeFillTint="66"/>
            <w:noWrap/>
            <w:vAlign w:val="center"/>
            <w:hideMark/>
          </w:tcPr>
          <w:p w:rsidR="0084609D" w:rsidRPr="009E0AF4" w:rsidRDefault="0084609D" w:rsidP="00EC05CE">
            <w:pPr>
              <w:pStyle w:val="cuadroCabe"/>
              <w:jc w:val="right"/>
            </w:pPr>
            <w:r>
              <w:t xml:space="preserve">11.942 </w:t>
            </w:r>
          </w:p>
        </w:tc>
        <w:tc>
          <w:tcPr>
            <w:tcW w:w="838" w:type="dxa"/>
            <w:shd w:val="clear" w:color="auto" w:fill="8DB3E2" w:themeFill="text2" w:themeFillTint="66"/>
            <w:noWrap/>
            <w:vAlign w:val="center"/>
            <w:hideMark/>
          </w:tcPr>
          <w:p w:rsidR="0084609D" w:rsidRPr="009E0AF4" w:rsidRDefault="0084609D" w:rsidP="00EC05CE">
            <w:pPr>
              <w:pStyle w:val="cuadroCabe"/>
              <w:jc w:val="right"/>
            </w:pPr>
            <w:r>
              <w:t xml:space="preserve">10.846 </w:t>
            </w:r>
          </w:p>
        </w:tc>
        <w:tc>
          <w:tcPr>
            <w:tcW w:w="837" w:type="dxa"/>
            <w:shd w:val="clear" w:color="auto" w:fill="8DB3E2" w:themeFill="text2" w:themeFillTint="66"/>
            <w:noWrap/>
            <w:vAlign w:val="center"/>
            <w:hideMark/>
          </w:tcPr>
          <w:p w:rsidR="0084609D" w:rsidRPr="009E0AF4" w:rsidRDefault="0084609D" w:rsidP="00EC05CE">
            <w:pPr>
              <w:pStyle w:val="cuadroCabe"/>
              <w:jc w:val="right"/>
            </w:pPr>
            <w:r>
              <w:t xml:space="preserve">13.453 </w:t>
            </w:r>
          </w:p>
        </w:tc>
        <w:tc>
          <w:tcPr>
            <w:tcW w:w="838" w:type="dxa"/>
            <w:shd w:val="clear" w:color="auto" w:fill="8DB3E2" w:themeFill="text2" w:themeFillTint="66"/>
            <w:noWrap/>
            <w:vAlign w:val="center"/>
            <w:hideMark/>
          </w:tcPr>
          <w:p w:rsidR="0084609D" w:rsidRPr="009E0AF4" w:rsidRDefault="0084609D" w:rsidP="00EC05CE">
            <w:pPr>
              <w:pStyle w:val="cuadroCabe"/>
              <w:jc w:val="right"/>
            </w:pPr>
            <w:r>
              <w:t xml:space="preserve">14.315 </w:t>
            </w:r>
          </w:p>
        </w:tc>
        <w:tc>
          <w:tcPr>
            <w:tcW w:w="837" w:type="dxa"/>
            <w:shd w:val="clear" w:color="auto" w:fill="8DB3E2" w:themeFill="text2" w:themeFillTint="66"/>
            <w:noWrap/>
            <w:vAlign w:val="center"/>
            <w:hideMark/>
          </w:tcPr>
          <w:p w:rsidR="0084609D" w:rsidRPr="009E0AF4" w:rsidRDefault="0084609D" w:rsidP="00EC05CE">
            <w:pPr>
              <w:pStyle w:val="cuadroCabe"/>
              <w:jc w:val="right"/>
            </w:pPr>
            <w:r>
              <w:t xml:space="preserve">14.421 </w:t>
            </w:r>
          </w:p>
        </w:tc>
      </w:tr>
    </w:tbl>
    <w:p w:rsidR="0084609D" w:rsidRDefault="00056C7E" w:rsidP="0084609D">
      <w:pPr>
        <w:pStyle w:val="texto"/>
        <w:spacing w:before="240" w:after="120"/>
      </w:pPr>
      <w:r>
        <w:t>2019ko abenduaren 31n, 14.421 pertsona ziren Gizarte Zerbitzuen Zorroko prestazioen onuradun, eta horien ehuneko 96 mendeko gisa baloratuak izan z</w:t>
      </w:r>
      <w:r>
        <w:t>i</w:t>
      </w:r>
      <w:r>
        <w:t xml:space="preserve">ren. </w:t>
      </w:r>
    </w:p>
    <w:p w:rsidR="0084609D" w:rsidRDefault="0084609D" w:rsidP="0084609D">
      <w:pPr>
        <w:pStyle w:val="texto"/>
        <w:spacing w:before="120" w:after="120"/>
      </w:pPr>
      <w:r>
        <w:t>Mendekotasuna duten pertsonek onuradun izandako pertsonen guztizko k</w:t>
      </w:r>
      <w:r>
        <w:t>o</w:t>
      </w:r>
      <w:r>
        <w:t>puruaren gainean egiten duten portzentaje horrek ehuneko 95-96ri eusten dio 2014-2019 epean, 2013. urtearekiko igota, hartan ehuneko 82koa izan baitzen.</w:t>
      </w:r>
    </w:p>
    <w:p w:rsidR="0084609D" w:rsidRDefault="0084609D" w:rsidP="0084609D">
      <w:pPr>
        <w:pStyle w:val="texto"/>
        <w:spacing w:before="120" w:after="200"/>
      </w:pPr>
      <w:r>
        <w:t>Mendeko gisa baloraturiko onuradunen guztizkoa, abenduaren 31koa, ez d</w:t>
      </w:r>
      <w:r>
        <w:t>a</w:t>
      </w:r>
      <w:r>
        <w:t>tor bat mendeko gisa baloratuak izanik urtean zehar prestazioren bat jaso duten pertsonen guztizkoarekin, jarraian erakusten den bezala:</w:t>
      </w:r>
    </w:p>
    <w:tbl>
      <w:tblPr>
        <w:tblW w:w="882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9"/>
        <w:gridCol w:w="837"/>
        <w:gridCol w:w="838"/>
        <w:gridCol w:w="837"/>
        <w:gridCol w:w="838"/>
        <w:gridCol w:w="837"/>
        <w:gridCol w:w="838"/>
        <w:gridCol w:w="837"/>
      </w:tblGrid>
      <w:tr w:rsidR="0084609D" w:rsidRPr="00B55AF1" w:rsidTr="007E369D">
        <w:trPr>
          <w:trHeight w:hRule="exact" w:val="255"/>
        </w:trPr>
        <w:tc>
          <w:tcPr>
            <w:tcW w:w="2959" w:type="dxa"/>
            <w:tcBorders>
              <w:bottom w:val="single" w:sz="4" w:space="0" w:color="auto"/>
            </w:tcBorders>
            <w:shd w:val="clear" w:color="auto" w:fill="8DB3E2" w:themeFill="text2" w:themeFillTint="66"/>
            <w:noWrap/>
            <w:vAlign w:val="center"/>
          </w:tcPr>
          <w:p w:rsidR="0084609D" w:rsidRPr="00240759" w:rsidRDefault="0084609D" w:rsidP="00583740">
            <w:pPr>
              <w:pStyle w:val="cuadroCabe"/>
              <w:jc w:val="right"/>
              <w:rPr>
                <w:lang w:eastAsia="es-ES"/>
              </w:rPr>
            </w:pP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2013</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2014</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2015</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2016</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2017</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2018</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pPr>
            <w:r>
              <w:t>2019</w:t>
            </w:r>
          </w:p>
        </w:tc>
      </w:tr>
      <w:tr w:rsidR="0084609D" w:rsidRPr="00B55AF1" w:rsidTr="00D66DAC">
        <w:trPr>
          <w:trHeight w:hRule="exact" w:val="227"/>
        </w:trPr>
        <w:tc>
          <w:tcPr>
            <w:tcW w:w="2959" w:type="dxa"/>
            <w:tcBorders>
              <w:bottom w:val="single" w:sz="2" w:space="0" w:color="auto"/>
            </w:tcBorders>
            <w:shd w:val="clear" w:color="auto" w:fill="auto"/>
            <w:noWrap/>
            <w:vAlign w:val="center"/>
            <w:hideMark/>
          </w:tcPr>
          <w:p w:rsidR="0084609D" w:rsidRPr="00C9550C" w:rsidRDefault="0084609D" w:rsidP="00583740">
            <w:pPr>
              <w:pStyle w:val="cuatexto"/>
            </w:pPr>
            <w:r>
              <w:t>Onuradunak abenduaren 31n</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pPr>
            <w:r>
              <w:t>10.174</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pPr>
            <w:r>
              <w:t>10.346</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pPr>
            <w:r>
              <w:t>11.439</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pPr>
            <w:r>
              <w:t>10.322</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pPr>
            <w:r>
              <w:t>12.888</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pPr>
            <w:r>
              <w:t>13.764</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pPr>
            <w:r>
              <w:t>13.888</w:t>
            </w:r>
          </w:p>
        </w:tc>
      </w:tr>
      <w:tr w:rsidR="0084609D" w:rsidRPr="00B55AF1" w:rsidTr="00D66DAC">
        <w:trPr>
          <w:trHeight w:hRule="exact" w:val="227"/>
        </w:trPr>
        <w:tc>
          <w:tcPr>
            <w:tcW w:w="2959" w:type="dxa"/>
            <w:tcBorders>
              <w:top w:val="single" w:sz="2" w:space="0" w:color="auto"/>
            </w:tcBorders>
            <w:shd w:val="clear" w:color="auto" w:fill="auto"/>
            <w:noWrap/>
            <w:vAlign w:val="center"/>
            <w:hideMark/>
          </w:tcPr>
          <w:p w:rsidR="0084609D" w:rsidRPr="00C9550C" w:rsidRDefault="0084609D" w:rsidP="00583740">
            <w:pPr>
              <w:pStyle w:val="cuatexto"/>
            </w:pPr>
            <w:r>
              <w:t>Urtean zeharreko onuradunak</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pPr>
            <w:r>
              <w:t>11.478</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pPr>
            <w:r>
              <w:t>11.489</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pPr>
            <w:r>
              <w:t>14.019</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pPr>
            <w:r>
              <w:t>15.378</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pPr>
            <w:r>
              <w:t>16.100</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pPr>
            <w:r>
              <w:t>16.924</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pPr>
            <w:r>
              <w:t>17.258</w:t>
            </w:r>
          </w:p>
        </w:tc>
      </w:tr>
    </w:tbl>
    <w:p w:rsidR="0084609D" w:rsidRDefault="0084609D" w:rsidP="0084609D">
      <w:pPr>
        <w:pStyle w:val="texto"/>
        <w:spacing w:before="200" w:after="120"/>
      </w:pPr>
      <w:r>
        <w:t>Ikus daitekeenez, urtean zehar onuradun izandakoen kopurua nabarmenki handiagoa da sistemaren onuradunek abenduaren 31n egiten zuten kopurua baino.</w:t>
      </w:r>
    </w:p>
    <w:p w:rsidR="0084609D" w:rsidRDefault="0084609D" w:rsidP="0084609D">
      <w:pPr>
        <w:keepNext/>
        <w:spacing w:before="200" w:after="120"/>
        <w:ind w:firstLine="0"/>
        <w:rPr>
          <w:rFonts w:ascii="Arial" w:hAnsi="Arial"/>
          <w:i/>
          <w:iCs/>
          <w:color w:val="000000"/>
          <w:spacing w:val="10"/>
          <w:kern w:val="28"/>
          <w:sz w:val="25"/>
          <w:szCs w:val="26"/>
        </w:rPr>
      </w:pPr>
      <w:r>
        <w:rPr>
          <w:rFonts w:ascii="Arial" w:hAnsi="Arial"/>
          <w:i/>
          <w:iCs/>
          <w:color w:val="000000"/>
          <w:sz w:val="25"/>
          <w:szCs w:val="26"/>
        </w:rPr>
        <w:t>Mendekotasun Legearen kudeaketarekin zerikusia duten gastu eta diru-sarrerak</w:t>
      </w:r>
    </w:p>
    <w:p w:rsidR="0084609D" w:rsidRDefault="0084609D" w:rsidP="007E369D">
      <w:pPr>
        <w:pStyle w:val="texto"/>
        <w:spacing w:before="240" w:after="0"/>
      </w:pPr>
      <w:r>
        <w:t xml:space="preserve">Ondoko taulan agertzen dira, 2013-2019 epeari buruz, </w:t>
      </w:r>
      <w:proofErr w:type="spellStart"/>
      <w:r>
        <w:t>PAGNA-Pertsonen</w:t>
      </w:r>
      <w:proofErr w:type="spellEnd"/>
      <w:r>
        <w:t xml:space="preserve"> Autonomiarako eta Garapenerako Nafarroako Agentziaren gastuak, Nafarroak mendekotasun-finantzaketarako eginiko ekarpena frogatzearren Estatuari ig</w:t>
      </w:r>
      <w:r>
        <w:t>o</w:t>
      </w:r>
      <w:r>
        <w:t>rritako ziurtagirian jasotako gastuak (bereizita agertzen dira Estatuak finantz</w:t>
      </w:r>
      <w:r>
        <w:t>a</w:t>
      </w:r>
      <w:r>
        <w:t>turiko gutxieneko maila xede duena eta Nafarroak erabakitako gehigarrira z</w:t>
      </w:r>
      <w:r>
        <w:t>u</w:t>
      </w:r>
      <w:r>
        <w:t>zendutakoa), eta Mendekotasun Legearengatik Estatuarengandik nahiz Gizarte Zerbitzuen Zorroko prestazioren baten onuradunengandik jasotako diru-sarrerak.</w:t>
      </w:r>
    </w:p>
    <w:tbl>
      <w:tblPr>
        <w:tblW w:w="8701" w:type="dxa"/>
        <w:jc w:val="center"/>
        <w:tblLayout w:type="fixed"/>
        <w:tblCellMar>
          <w:left w:w="70" w:type="dxa"/>
          <w:right w:w="70" w:type="dxa"/>
        </w:tblCellMar>
        <w:tblLook w:val="04A0" w:firstRow="1" w:lastRow="0" w:firstColumn="1" w:lastColumn="0" w:noHBand="0" w:noVBand="1"/>
      </w:tblPr>
      <w:tblGrid>
        <w:gridCol w:w="2840"/>
        <w:gridCol w:w="837"/>
        <w:gridCol w:w="837"/>
        <w:gridCol w:w="837"/>
        <w:gridCol w:w="838"/>
        <w:gridCol w:w="837"/>
        <w:gridCol w:w="838"/>
        <w:gridCol w:w="837"/>
      </w:tblGrid>
      <w:tr w:rsidR="0084609D" w:rsidRPr="00C57136" w:rsidTr="006B646D">
        <w:trPr>
          <w:trHeight w:val="300"/>
          <w:jc w:val="center"/>
        </w:trPr>
        <w:tc>
          <w:tcPr>
            <w:tcW w:w="8701" w:type="dxa"/>
            <w:gridSpan w:val="8"/>
            <w:tcBorders>
              <w:bottom w:val="single" w:sz="4" w:space="0" w:color="auto"/>
            </w:tcBorders>
            <w:shd w:val="clear" w:color="auto" w:fill="auto"/>
            <w:noWrap/>
            <w:vAlign w:val="center"/>
          </w:tcPr>
          <w:p w:rsidR="0084609D" w:rsidRPr="00C57136" w:rsidRDefault="0084609D" w:rsidP="007E369D">
            <w:pPr>
              <w:spacing w:before="240" w:after="0"/>
              <w:ind w:firstLine="0"/>
              <w:jc w:val="right"/>
              <w:rPr>
                <w:rFonts w:ascii="Arial" w:hAnsi="Arial" w:cs="Arial"/>
                <w:bCs/>
                <w:color w:val="000000"/>
                <w:sz w:val="18"/>
                <w:szCs w:val="18"/>
              </w:rPr>
            </w:pPr>
            <w:r>
              <w:rPr>
                <w:rFonts w:ascii="Arial" w:hAnsi="Arial"/>
                <w:bCs/>
                <w:color w:val="000000"/>
                <w:sz w:val="18"/>
                <w:szCs w:val="18"/>
              </w:rPr>
              <w:t>(milioitan)</w:t>
            </w:r>
          </w:p>
        </w:tc>
      </w:tr>
      <w:tr w:rsidR="0084609D" w:rsidRPr="006B646D" w:rsidTr="00B21703">
        <w:trPr>
          <w:trHeight w:val="283"/>
          <w:jc w:val="center"/>
        </w:trPr>
        <w:tc>
          <w:tcPr>
            <w:tcW w:w="2840" w:type="dxa"/>
            <w:tcBorders>
              <w:top w:val="single" w:sz="4" w:space="0" w:color="auto"/>
              <w:bottom w:val="single" w:sz="4" w:space="0" w:color="auto"/>
            </w:tcBorders>
            <w:shd w:val="clear" w:color="auto" w:fill="8DB3E2" w:themeFill="text2" w:themeFillTint="66"/>
            <w:noWrap/>
            <w:vAlign w:val="center"/>
          </w:tcPr>
          <w:p w:rsidR="0084609D" w:rsidRPr="006B646D" w:rsidRDefault="0084609D" w:rsidP="00641003">
            <w:pPr>
              <w:pStyle w:val="cuadroCabe"/>
              <w:rPr>
                <w:lang w:val="es-ES" w:eastAsia="es-ES"/>
              </w:rPr>
            </w:pPr>
          </w:p>
        </w:tc>
        <w:tc>
          <w:tcPr>
            <w:tcW w:w="837" w:type="dxa"/>
            <w:tcBorders>
              <w:top w:val="single" w:sz="4" w:space="0" w:color="auto"/>
              <w:bottom w:val="single" w:sz="4" w:space="0" w:color="auto"/>
            </w:tcBorders>
            <w:shd w:val="clear" w:color="auto" w:fill="8DB3E2" w:themeFill="text2" w:themeFillTint="66"/>
            <w:vAlign w:val="center"/>
          </w:tcPr>
          <w:p w:rsidR="0084609D" w:rsidRPr="006B646D" w:rsidRDefault="0084609D" w:rsidP="00641003">
            <w:pPr>
              <w:pStyle w:val="cuadroCabe"/>
              <w:jc w:val="right"/>
            </w:pPr>
            <w:r>
              <w:t>2013</w:t>
            </w:r>
          </w:p>
        </w:tc>
        <w:tc>
          <w:tcPr>
            <w:tcW w:w="837" w:type="dxa"/>
            <w:tcBorders>
              <w:top w:val="single" w:sz="4" w:space="0" w:color="auto"/>
              <w:bottom w:val="single" w:sz="4" w:space="0" w:color="auto"/>
            </w:tcBorders>
            <w:shd w:val="clear" w:color="auto" w:fill="8DB3E2" w:themeFill="text2" w:themeFillTint="66"/>
            <w:vAlign w:val="center"/>
          </w:tcPr>
          <w:p w:rsidR="0084609D" w:rsidRPr="006B646D" w:rsidRDefault="0084609D" w:rsidP="00641003">
            <w:pPr>
              <w:pStyle w:val="cuadroCabe"/>
              <w:jc w:val="right"/>
            </w:pPr>
            <w:r>
              <w:t>2014</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pPr>
            <w:r>
              <w:t>2015</w:t>
            </w:r>
          </w:p>
        </w:tc>
        <w:tc>
          <w:tcPr>
            <w:tcW w:w="838"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pPr>
            <w:r>
              <w:t>2016</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pPr>
            <w:r>
              <w:t>2017</w:t>
            </w:r>
          </w:p>
        </w:tc>
        <w:tc>
          <w:tcPr>
            <w:tcW w:w="838"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pPr>
            <w:r>
              <w:t>2018</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pPr>
            <w:r>
              <w:t>2019</w:t>
            </w:r>
          </w:p>
        </w:tc>
      </w:tr>
      <w:tr w:rsidR="0084609D" w:rsidRPr="006B646D" w:rsidTr="006B646D">
        <w:trPr>
          <w:trHeight w:hRule="exact" w:val="284"/>
          <w:jc w:val="center"/>
        </w:trPr>
        <w:tc>
          <w:tcPr>
            <w:tcW w:w="2840"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pPr>
            <w:proofErr w:type="spellStart"/>
            <w:r>
              <w:t>PAGNAren</w:t>
            </w:r>
            <w:proofErr w:type="spellEnd"/>
            <w:r>
              <w:t xml:space="preserve"> gastuak</w:t>
            </w:r>
          </w:p>
        </w:tc>
        <w:tc>
          <w:tcPr>
            <w:tcW w:w="837" w:type="dxa"/>
            <w:tcBorders>
              <w:top w:val="single" w:sz="4" w:space="0" w:color="auto"/>
              <w:bottom w:val="single" w:sz="2" w:space="0" w:color="auto"/>
            </w:tcBorders>
            <w:shd w:val="clear" w:color="auto" w:fill="auto"/>
            <w:vAlign w:val="center"/>
          </w:tcPr>
          <w:p w:rsidR="0084609D" w:rsidRPr="006B646D" w:rsidRDefault="0084609D" w:rsidP="00641003">
            <w:pPr>
              <w:pStyle w:val="cuatexto"/>
              <w:jc w:val="right"/>
            </w:pPr>
            <w:r>
              <w:t>132.81</w:t>
            </w:r>
          </w:p>
        </w:tc>
        <w:tc>
          <w:tcPr>
            <w:tcW w:w="837" w:type="dxa"/>
            <w:tcBorders>
              <w:top w:val="single" w:sz="4" w:space="0" w:color="auto"/>
              <w:bottom w:val="single" w:sz="2" w:space="0" w:color="auto"/>
            </w:tcBorders>
            <w:shd w:val="clear" w:color="auto" w:fill="auto"/>
            <w:vAlign w:val="center"/>
          </w:tcPr>
          <w:p w:rsidR="0084609D" w:rsidRPr="006B646D" w:rsidRDefault="0084609D" w:rsidP="00641003">
            <w:pPr>
              <w:pStyle w:val="cuatexto"/>
              <w:jc w:val="right"/>
            </w:pPr>
            <w:r>
              <w:t>132.71</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pPr>
            <w:r>
              <w:t>136.98</w:t>
            </w:r>
          </w:p>
        </w:tc>
        <w:tc>
          <w:tcPr>
            <w:tcW w:w="838"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pPr>
            <w:r>
              <w:t>165.30</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pPr>
            <w:r>
              <w:t xml:space="preserve">165.02 </w:t>
            </w:r>
          </w:p>
        </w:tc>
        <w:tc>
          <w:tcPr>
            <w:tcW w:w="838"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pPr>
            <w:r>
              <w:t>182.92</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pPr>
            <w:r>
              <w:t>200.01</w:t>
            </w:r>
          </w:p>
        </w:tc>
      </w:tr>
      <w:tr w:rsidR="0084609D" w:rsidRPr="006B646D" w:rsidTr="006B646D">
        <w:trPr>
          <w:trHeight w:val="300"/>
          <w:jc w:val="center"/>
        </w:trPr>
        <w:tc>
          <w:tcPr>
            <w:tcW w:w="2840"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pPr>
            <w:r>
              <w:t>Mendekotasunaren gastuak:</w:t>
            </w:r>
          </w:p>
          <w:p w:rsidR="0084609D" w:rsidRPr="00033F3A" w:rsidRDefault="0084609D" w:rsidP="00641003">
            <w:pPr>
              <w:pStyle w:val="cuatexto"/>
              <w:rPr>
                <w:sz w:val="18"/>
                <w:szCs w:val="18"/>
              </w:rPr>
            </w:pPr>
            <w:r>
              <w:rPr>
                <w:sz w:val="18"/>
                <w:szCs w:val="18"/>
              </w:rPr>
              <w:t>Estatuaren gutxieneko maila</w:t>
            </w:r>
          </w:p>
          <w:p w:rsidR="0084609D" w:rsidRPr="006B646D" w:rsidRDefault="0084609D" w:rsidP="00641003">
            <w:pPr>
              <w:pStyle w:val="cuatexto"/>
            </w:pPr>
            <w:r>
              <w:rPr>
                <w:sz w:val="18"/>
                <w:szCs w:val="18"/>
              </w:rPr>
              <w:t>Nafarroaren maila gehigarria</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pPr>
            <w:r>
              <w:t>EZ DAGO ESK</w:t>
            </w:r>
            <w:r>
              <w:t>U</w:t>
            </w:r>
            <w:r>
              <w:t>R</w:t>
            </w:r>
            <w:r>
              <w:t>A</w:t>
            </w:r>
            <w:r>
              <w:t>GARRI</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pPr>
            <w:r>
              <w:t>EZ DAGO ESK</w:t>
            </w:r>
            <w:r>
              <w:t>U</w:t>
            </w:r>
            <w:r>
              <w:t>R</w:t>
            </w:r>
            <w:r>
              <w:t>A</w:t>
            </w:r>
            <w:r>
              <w:t>GARRI</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pPr>
            <w:r>
              <w:t>100.23</w:t>
            </w:r>
          </w:p>
          <w:p w:rsidR="0084609D" w:rsidRPr="00033F3A" w:rsidRDefault="0084609D" w:rsidP="00641003">
            <w:pPr>
              <w:pStyle w:val="cuatexto"/>
              <w:jc w:val="right"/>
              <w:rPr>
                <w:sz w:val="18"/>
                <w:szCs w:val="18"/>
              </w:rPr>
            </w:pPr>
            <w:r>
              <w:rPr>
                <w:sz w:val="18"/>
                <w:szCs w:val="18"/>
              </w:rPr>
              <w:t>11.31</w:t>
            </w:r>
          </w:p>
          <w:p w:rsidR="0084609D" w:rsidRPr="006B646D" w:rsidRDefault="0084609D" w:rsidP="00641003">
            <w:pPr>
              <w:pStyle w:val="cuatexto"/>
              <w:jc w:val="right"/>
            </w:pPr>
            <w:r>
              <w:rPr>
                <w:sz w:val="18"/>
                <w:szCs w:val="18"/>
              </w:rPr>
              <w:t>88.92</w:t>
            </w:r>
          </w:p>
        </w:tc>
        <w:tc>
          <w:tcPr>
            <w:tcW w:w="838"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pPr>
            <w:r>
              <w:t>105.35</w:t>
            </w:r>
          </w:p>
          <w:p w:rsidR="0084609D" w:rsidRPr="00033F3A" w:rsidRDefault="0084609D" w:rsidP="00641003">
            <w:pPr>
              <w:pStyle w:val="cuatexto"/>
              <w:jc w:val="right"/>
              <w:rPr>
                <w:sz w:val="18"/>
                <w:szCs w:val="18"/>
              </w:rPr>
            </w:pPr>
            <w:r>
              <w:rPr>
                <w:sz w:val="18"/>
                <w:szCs w:val="18"/>
              </w:rPr>
              <w:t>11.63</w:t>
            </w:r>
          </w:p>
          <w:p w:rsidR="0084609D" w:rsidRPr="006B646D" w:rsidRDefault="0084609D" w:rsidP="00641003">
            <w:pPr>
              <w:pStyle w:val="cuatexto"/>
              <w:jc w:val="right"/>
            </w:pPr>
            <w:r>
              <w:rPr>
                <w:sz w:val="18"/>
                <w:szCs w:val="18"/>
              </w:rPr>
              <w:t>93.72</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pPr>
            <w:r>
              <w:t>110.91</w:t>
            </w:r>
          </w:p>
          <w:p w:rsidR="0084609D" w:rsidRPr="00033F3A" w:rsidRDefault="0084609D" w:rsidP="00641003">
            <w:pPr>
              <w:pStyle w:val="cuatexto"/>
              <w:jc w:val="right"/>
              <w:rPr>
                <w:sz w:val="18"/>
                <w:szCs w:val="18"/>
              </w:rPr>
            </w:pPr>
            <w:r>
              <w:rPr>
                <w:sz w:val="18"/>
                <w:szCs w:val="18"/>
              </w:rPr>
              <w:t>13.44</w:t>
            </w:r>
          </w:p>
          <w:p w:rsidR="0084609D" w:rsidRPr="006B646D" w:rsidRDefault="0084609D" w:rsidP="00641003">
            <w:pPr>
              <w:pStyle w:val="cuatexto"/>
              <w:jc w:val="right"/>
            </w:pPr>
            <w:r>
              <w:rPr>
                <w:sz w:val="18"/>
                <w:szCs w:val="18"/>
              </w:rPr>
              <w:t>97.47</w:t>
            </w:r>
          </w:p>
        </w:tc>
        <w:tc>
          <w:tcPr>
            <w:tcW w:w="838"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pPr>
            <w:r>
              <w:t>119.59</w:t>
            </w:r>
          </w:p>
          <w:p w:rsidR="0084609D" w:rsidRPr="00033F3A" w:rsidRDefault="0084609D" w:rsidP="00641003">
            <w:pPr>
              <w:pStyle w:val="cuatexto"/>
              <w:jc w:val="right"/>
              <w:rPr>
                <w:sz w:val="18"/>
                <w:szCs w:val="18"/>
              </w:rPr>
            </w:pPr>
            <w:r>
              <w:rPr>
                <w:sz w:val="18"/>
                <w:szCs w:val="18"/>
              </w:rPr>
              <w:t>14.78</w:t>
            </w:r>
          </w:p>
          <w:p w:rsidR="0084609D" w:rsidRPr="006B646D" w:rsidRDefault="0084609D" w:rsidP="00641003">
            <w:pPr>
              <w:pStyle w:val="cuatexto"/>
              <w:jc w:val="right"/>
            </w:pPr>
            <w:r>
              <w:rPr>
                <w:sz w:val="18"/>
                <w:szCs w:val="18"/>
              </w:rPr>
              <w:t>104.81</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pPr>
            <w:r>
              <w:t>128.97</w:t>
            </w:r>
          </w:p>
          <w:p w:rsidR="0084609D" w:rsidRPr="00033F3A" w:rsidRDefault="0084609D" w:rsidP="00641003">
            <w:pPr>
              <w:pStyle w:val="cuatexto"/>
              <w:jc w:val="right"/>
              <w:rPr>
                <w:sz w:val="18"/>
                <w:szCs w:val="18"/>
              </w:rPr>
            </w:pPr>
            <w:r>
              <w:rPr>
                <w:sz w:val="18"/>
                <w:szCs w:val="18"/>
              </w:rPr>
              <w:t>14.66</w:t>
            </w:r>
          </w:p>
          <w:p w:rsidR="0084609D" w:rsidRPr="006B646D" w:rsidRDefault="0084609D" w:rsidP="00641003">
            <w:pPr>
              <w:pStyle w:val="cuatexto"/>
              <w:jc w:val="right"/>
            </w:pPr>
            <w:r>
              <w:rPr>
                <w:sz w:val="18"/>
                <w:szCs w:val="18"/>
              </w:rPr>
              <w:t>114.31</w:t>
            </w:r>
          </w:p>
        </w:tc>
      </w:tr>
      <w:tr w:rsidR="0084609D" w:rsidRPr="006B646D" w:rsidTr="006B646D">
        <w:trPr>
          <w:trHeight w:val="300"/>
          <w:jc w:val="center"/>
        </w:trPr>
        <w:tc>
          <w:tcPr>
            <w:tcW w:w="2840"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pPr>
            <w:r>
              <w:t xml:space="preserve">Mendekotasun-gastuak / </w:t>
            </w:r>
            <w:proofErr w:type="spellStart"/>
            <w:r>
              <w:t>PAGN</w:t>
            </w:r>
            <w:r>
              <w:t>A</w:t>
            </w:r>
            <w:r>
              <w:t>ren</w:t>
            </w:r>
            <w:proofErr w:type="spellEnd"/>
            <w:r>
              <w:t xml:space="preserve"> gastuak, portzentajea</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pPr>
            <w:r>
              <w:t>-</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pPr>
            <w:r>
              <w:t>-</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pPr>
            <w:r>
              <w:t>73</w:t>
            </w:r>
          </w:p>
        </w:tc>
        <w:tc>
          <w:tcPr>
            <w:tcW w:w="838"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pPr>
            <w:r>
              <w:t>64</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pPr>
            <w:r>
              <w:t>67</w:t>
            </w:r>
          </w:p>
        </w:tc>
        <w:tc>
          <w:tcPr>
            <w:tcW w:w="838"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pPr>
            <w:r>
              <w:t>65</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pPr>
            <w:r>
              <w:t>64</w:t>
            </w:r>
          </w:p>
        </w:tc>
      </w:tr>
      <w:tr w:rsidR="0084609D" w:rsidRPr="006B646D" w:rsidTr="006B646D">
        <w:trPr>
          <w:trHeight w:val="300"/>
          <w:jc w:val="center"/>
        </w:trPr>
        <w:tc>
          <w:tcPr>
            <w:tcW w:w="2840" w:type="dxa"/>
            <w:tcBorders>
              <w:top w:val="single" w:sz="2" w:space="0" w:color="auto"/>
              <w:bottom w:val="single" w:sz="4" w:space="0" w:color="auto"/>
            </w:tcBorders>
            <w:shd w:val="clear" w:color="auto" w:fill="auto"/>
            <w:noWrap/>
            <w:vAlign w:val="center"/>
            <w:hideMark/>
          </w:tcPr>
          <w:p w:rsidR="0084609D" w:rsidRPr="006B646D" w:rsidRDefault="00B21703" w:rsidP="00641003">
            <w:pPr>
              <w:pStyle w:val="cuatexto"/>
            </w:pPr>
            <w:r>
              <w:t>Diru-sarrerak:</w:t>
            </w:r>
          </w:p>
          <w:p w:rsidR="0084609D" w:rsidRPr="006B646D" w:rsidRDefault="0084609D" w:rsidP="00641003">
            <w:pPr>
              <w:pStyle w:val="cuatexto"/>
              <w:rPr>
                <w:sz w:val="18"/>
                <w:szCs w:val="18"/>
              </w:rPr>
            </w:pPr>
            <w:r>
              <w:rPr>
                <w:sz w:val="18"/>
                <w:szCs w:val="18"/>
              </w:rPr>
              <w:t>Estatuaren ekarpena Mendekotasun Legerako</w:t>
            </w:r>
          </w:p>
          <w:p w:rsidR="0084609D" w:rsidRPr="006B646D" w:rsidRDefault="0084609D" w:rsidP="00641003">
            <w:pPr>
              <w:pStyle w:val="cuatexto"/>
            </w:pPr>
            <w:r>
              <w:rPr>
                <w:sz w:val="18"/>
                <w:szCs w:val="18"/>
              </w:rPr>
              <w:t>Onuradunen parte-hartzea</w:t>
            </w:r>
          </w:p>
        </w:tc>
        <w:tc>
          <w:tcPr>
            <w:tcW w:w="837" w:type="dxa"/>
            <w:tcBorders>
              <w:top w:val="single" w:sz="2" w:space="0" w:color="auto"/>
              <w:bottom w:val="single" w:sz="4" w:space="0" w:color="auto"/>
            </w:tcBorders>
            <w:shd w:val="clear" w:color="auto" w:fill="auto"/>
            <w:vAlign w:val="center"/>
          </w:tcPr>
          <w:p w:rsidR="0084609D" w:rsidRPr="006B646D" w:rsidRDefault="0084609D" w:rsidP="00641003">
            <w:pPr>
              <w:pStyle w:val="cuatexto"/>
              <w:jc w:val="right"/>
            </w:pPr>
            <w:r>
              <w:t>45.61</w:t>
            </w:r>
          </w:p>
          <w:p w:rsidR="0084609D" w:rsidRPr="006B646D" w:rsidRDefault="0084609D" w:rsidP="00641003">
            <w:pPr>
              <w:pStyle w:val="cuatexto"/>
              <w:jc w:val="right"/>
              <w:rPr>
                <w:sz w:val="18"/>
                <w:szCs w:val="18"/>
              </w:rPr>
            </w:pPr>
            <w:r>
              <w:rPr>
                <w:sz w:val="18"/>
                <w:szCs w:val="18"/>
              </w:rPr>
              <w:t>11.55</w:t>
            </w:r>
          </w:p>
          <w:p w:rsidR="0084609D" w:rsidRPr="006B646D" w:rsidRDefault="0084609D" w:rsidP="00641003">
            <w:pPr>
              <w:pStyle w:val="cuatexto"/>
              <w:jc w:val="right"/>
            </w:pPr>
            <w:r>
              <w:rPr>
                <w:sz w:val="18"/>
                <w:szCs w:val="18"/>
              </w:rPr>
              <w:t>34.06</w:t>
            </w:r>
          </w:p>
        </w:tc>
        <w:tc>
          <w:tcPr>
            <w:tcW w:w="837" w:type="dxa"/>
            <w:tcBorders>
              <w:top w:val="single" w:sz="2" w:space="0" w:color="auto"/>
              <w:bottom w:val="single" w:sz="4" w:space="0" w:color="auto"/>
            </w:tcBorders>
            <w:shd w:val="clear" w:color="auto" w:fill="auto"/>
            <w:vAlign w:val="center"/>
          </w:tcPr>
          <w:p w:rsidR="0084609D" w:rsidRPr="006B646D" w:rsidRDefault="0084609D" w:rsidP="00641003">
            <w:pPr>
              <w:pStyle w:val="cuatexto"/>
              <w:jc w:val="right"/>
            </w:pPr>
            <w:r>
              <w:t>45.50</w:t>
            </w:r>
          </w:p>
          <w:p w:rsidR="0084609D" w:rsidRPr="006B646D" w:rsidRDefault="0084609D" w:rsidP="00641003">
            <w:pPr>
              <w:pStyle w:val="cuatexto"/>
              <w:jc w:val="right"/>
              <w:rPr>
                <w:sz w:val="18"/>
                <w:szCs w:val="18"/>
              </w:rPr>
            </w:pPr>
            <w:r>
              <w:rPr>
                <w:sz w:val="18"/>
                <w:szCs w:val="18"/>
              </w:rPr>
              <w:t>12.22</w:t>
            </w:r>
          </w:p>
          <w:p w:rsidR="0084609D" w:rsidRPr="006B646D" w:rsidRDefault="0084609D" w:rsidP="00641003">
            <w:pPr>
              <w:pStyle w:val="cuatexto"/>
              <w:jc w:val="right"/>
            </w:pPr>
            <w:r>
              <w:rPr>
                <w:sz w:val="18"/>
                <w:szCs w:val="18"/>
              </w:rPr>
              <w:t>33.28</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pPr>
            <w:r>
              <w:t>49.07</w:t>
            </w:r>
          </w:p>
          <w:p w:rsidR="0084609D" w:rsidRPr="006B646D" w:rsidRDefault="0084609D" w:rsidP="00641003">
            <w:pPr>
              <w:pStyle w:val="cuatexto"/>
              <w:jc w:val="right"/>
              <w:rPr>
                <w:sz w:val="18"/>
                <w:szCs w:val="18"/>
              </w:rPr>
            </w:pPr>
            <w:r>
              <w:rPr>
                <w:sz w:val="18"/>
                <w:szCs w:val="18"/>
              </w:rPr>
              <w:t>11.31</w:t>
            </w:r>
          </w:p>
          <w:p w:rsidR="0084609D" w:rsidRPr="006B646D" w:rsidRDefault="0084609D" w:rsidP="00641003">
            <w:pPr>
              <w:pStyle w:val="cuatexto"/>
              <w:jc w:val="right"/>
            </w:pPr>
            <w:r>
              <w:rPr>
                <w:sz w:val="18"/>
                <w:szCs w:val="18"/>
              </w:rPr>
              <w:t>37.76</w:t>
            </w:r>
          </w:p>
        </w:tc>
        <w:tc>
          <w:tcPr>
            <w:tcW w:w="838"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pPr>
            <w:r>
              <w:t>49.42</w:t>
            </w:r>
          </w:p>
          <w:p w:rsidR="0084609D" w:rsidRPr="006B646D" w:rsidRDefault="0084609D" w:rsidP="00641003">
            <w:pPr>
              <w:pStyle w:val="cuatexto"/>
              <w:jc w:val="right"/>
              <w:rPr>
                <w:sz w:val="18"/>
                <w:szCs w:val="18"/>
              </w:rPr>
            </w:pPr>
            <w:r>
              <w:rPr>
                <w:sz w:val="18"/>
                <w:szCs w:val="18"/>
              </w:rPr>
              <w:t>11.63</w:t>
            </w:r>
          </w:p>
          <w:p w:rsidR="0084609D" w:rsidRPr="006B646D" w:rsidRDefault="0084609D" w:rsidP="00641003">
            <w:pPr>
              <w:pStyle w:val="cuatexto"/>
              <w:jc w:val="right"/>
              <w:rPr>
                <w:sz w:val="18"/>
                <w:szCs w:val="18"/>
              </w:rPr>
            </w:pPr>
            <w:r>
              <w:rPr>
                <w:sz w:val="18"/>
                <w:szCs w:val="18"/>
              </w:rPr>
              <w:t>37.79</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pPr>
            <w:r>
              <w:t>51.20</w:t>
            </w:r>
          </w:p>
          <w:p w:rsidR="0084609D" w:rsidRPr="006B646D" w:rsidRDefault="0084609D" w:rsidP="00641003">
            <w:pPr>
              <w:pStyle w:val="cuatexto"/>
              <w:jc w:val="right"/>
              <w:rPr>
                <w:sz w:val="18"/>
                <w:szCs w:val="18"/>
              </w:rPr>
            </w:pPr>
            <w:r>
              <w:rPr>
                <w:sz w:val="18"/>
                <w:szCs w:val="18"/>
              </w:rPr>
              <w:t>13.44</w:t>
            </w:r>
          </w:p>
          <w:p w:rsidR="0084609D" w:rsidRPr="006B646D" w:rsidRDefault="0084609D" w:rsidP="00641003">
            <w:pPr>
              <w:pStyle w:val="cuatexto"/>
              <w:jc w:val="right"/>
            </w:pPr>
            <w:r>
              <w:rPr>
                <w:sz w:val="18"/>
                <w:szCs w:val="18"/>
              </w:rPr>
              <w:t>37.76</w:t>
            </w:r>
          </w:p>
        </w:tc>
        <w:tc>
          <w:tcPr>
            <w:tcW w:w="838"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pPr>
            <w:r>
              <w:t>55.11</w:t>
            </w:r>
          </w:p>
          <w:p w:rsidR="0084609D" w:rsidRPr="006B646D" w:rsidRDefault="0084609D" w:rsidP="00641003">
            <w:pPr>
              <w:pStyle w:val="cuatexto"/>
              <w:jc w:val="right"/>
              <w:rPr>
                <w:sz w:val="18"/>
                <w:szCs w:val="18"/>
              </w:rPr>
            </w:pPr>
            <w:r>
              <w:rPr>
                <w:sz w:val="18"/>
                <w:szCs w:val="18"/>
              </w:rPr>
              <w:t>14.78</w:t>
            </w:r>
          </w:p>
          <w:p w:rsidR="0084609D" w:rsidRPr="00033F3A" w:rsidRDefault="0084609D" w:rsidP="00641003">
            <w:pPr>
              <w:pStyle w:val="cuatexto"/>
              <w:jc w:val="right"/>
              <w:rPr>
                <w:sz w:val="18"/>
                <w:szCs w:val="18"/>
              </w:rPr>
            </w:pPr>
            <w:r>
              <w:rPr>
                <w:sz w:val="18"/>
                <w:szCs w:val="18"/>
              </w:rPr>
              <w:t>40.33</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pPr>
            <w:r>
              <w:t>57.18</w:t>
            </w:r>
          </w:p>
          <w:p w:rsidR="0084609D" w:rsidRPr="006B646D" w:rsidRDefault="0084609D" w:rsidP="00641003">
            <w:pPr>
              <w:pStyle w:val="cuatexto"/>
              <w:jc w:val="right"/>
              <w:rPr>
                <w:sz w:val="18"/>
                <w:szCs w:val="18"/>
              </w:rPr>
            </w:pPr>
            <w:r>
              <w:rPr>
                <w:sz w:val="18"/>
                <w:szCs w:val="18"/>
              </w:rPr>
              <w:t>14.66</w:t>
            </w:r>
          </w:p>
          <w:p w:rsidR="0084609D" w:rsidRPr="006B646D" w:rsidRDefault="0084609D" w:rsidP="00641003">
            <w:pPr>
              <w:pStyle w:val="cuatexto"/>
              <w:jc w:val="right"/>
            </w:pPr>
            <w:r>
              <w:rPr>
                <w:sz w:val="18"/>
                <w:szCs w:val="18"/>
              </w:rPr>
              <w:t>42.28</w:t>
            </w:r>
          </w:p>
        </w:tc>
      </w:tr>
    </w:tbl>
    <w:p w:rsidR="0084609D" w:rsidRDefault="0084609D" w:rsidP="0084609D">
      <w:pPr>
        <w:pStyle w:val="texto"/>
        <w:spacing w:before="240" w:after="120"/>
      </w:pPr>
      <w:r>
        <w:t>Aurreko datuen analisitik abiatuta honako zertzelada hauek aipatu behar d</w:t>
      </w:r>
      <w:r>
        <w:t>i</w:t>
      </w:r>
      <w:r>
        <w:t>tugu:</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PAGNAren</w:t>
      </w:r>
      <w:proofErr w:type="spellEnd"/>
      <w:r>
        <w:t xml:space="preserve"> 2019ko gastuek 200,01 milioi egin zuten. Horrek esan nahi du ehuneko 51ko eta 9ko gehikuntza izan zutela 2013koekin eta 2018koekin ald</w:t>
      </w:r>
      <w:r>
        <w:t>e</w:t>
      </w:r>
      <w:r>
        <w:t>ratuta.</w:t>
      </w:r>
    </w:p>
    <w:p w:rsidR="0084609D" w:rsidRPr="00BD7C19"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t>Gastu horietatik, 129 milioi Mendekotasun Legera bideratu ziren 2019an, eta kopuru horrek ehuneko 28ko eta 7ko gehikuntza izan zuen 2015ekoarekin eta 2018koarekin alderatuta. Ez da ageri 2013 eta 2014. urteetan mendekotasunera bideraturiko gastua zehazten duen ziurtagiria; horrenbestez, gastu hori zenbat</w:t>
      </w:r>
      <w:r>
        <w:t>e</w:t>
      </w:r>
      <w:r>
        <w:t>tsi ezinean gaude.</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2019an, mendekotasunera bideraturiko gastuek </w:t>
      </w:r>
      <w:proofErr w:type="spellStart"/>
      <w:r>
        <w:t>PAGNAren</w:t>
      </w:r>
      <w:proofErr w:type="spellEnd"/>
      <w:r>
        <w:t xml:space="preserve"> guztizkoaren ehuneko 64 egin zuten. Portzentaje hori ehuneko 12 jaitsi zen 2015ekoaren a</w:t>
      </w:r>
      <w:r>
        <w:t>l</w:t>
      </w:r>
      <w:r>
        <w:t>dean, eta 2018koaren berdintsua da.</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Estatuak 2019an finantzaturiko mendekotasun-gastuak 14,66 milioi egin zituen; hots, 2015ean baino ehuneko 30 gehiago eta 2018an baino ehuneko 0,8 gutxiago. Nafarroak finantzatu zuenak 114,31 milioi egin zituen. </w: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after="240"/>
      </w:pPr>
      <w:r>
        <w:t>Hurrengo grafikoan agertzen da Estatuak finantzaturiko gastuak eta Naf</w:t>
      </w:r>
      <w:r>
        <w:t>a</w:t>
      </w:r>
      <w:r>
        <w:t>rroak finantzaturikoak zer portzentaje egiten duten guztizkoaren gainean, azte</w:t>
      </w:r>
      <w:r>
        <w:t>r</w:t>
      </w:r>
      <w:r>
        <w:t>gai den eperako:</w:t>
      </w:r>
    </w:p>
    <w:p w:rsidR="00C3398C" w:rsidRDefault="00C3398C" w:rsidP="00C3398C">
      <w:pPr>
        <w:pStyle w:val="texto"/>
        <w:tabs>
          <w:tab w:val="clear" w:pos="2835"/>
          <w:tab w:val="clear" w:pos="3969"/>
          <w:tab w:val="clear" w:pos="5103"/>
          <w:tab w:val="clear" w:pos="6237"/>
          <w:tab w:val="clear" w:pos="7371"/>
          <w:tab w:val="left" w:pos="480"/>
          <w:tab w:val="num" w:pos="600"/>
          <w:tab w:val="num" w:pos="720"/>
          <w:tab w:val="num" w:pos="1320"/>
          <w:tab w:val="num" w:pos="1948"/>
        </w:tabs>
        <w:spacing w:after="240"/>
        <w:ind w:firstLine="0"/>
        <w:rPr>
          <w:rFonts w:cs="Arial"/>
        </w:rPr>
      </w:pPr>
      <w:r>
        <w:rPr>
          <w:rFonts w:cs="Arial"/>
          <w:noProof/>
          <w:lang w:val="es-ES" w:eastAsia="es-ES"/>
        </w:rPr>
        <mc:AlternateContent>
          <mc:Choice Requires="wpc">
            <w:drawing>
              <wp:inline distT="0" distB="0" distL="0" distR="0" wp14:anchorId="78EA32C3" wp14:editId="4BAA607F">
                <wp:extent cx="5581015" cy="3339861"/>
                <wp:effectExtent l="0" t="0" r="514985" b="318135"/>
                <wp:docPr id="49" name="Lienzo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5"/>
                        <wps:cNvSpPr>
                          <a:spLocks noChangeArrowheads="1"/>
                        </wps:cNvSpPr>
                        <wps:spPr bwMode="auto">
                          <a:xfrm>
                            <a:off x="0" y="0"/>
                            <a:ext cx="5575300" cy="334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6"/>
                        <wps:cNvSpPr>
                          <a:spLocks noEditPoints="1"/>
                        </wps:cNvSpPr>
                        <wps:spPr bwMode="auto">
                          <a:xfrm>
                            <a:off x="594995" y="189865"/>
                            <a:ext cx="5290185" cy="2401570"/>
                          </a:xfrm>
                          <a:custGeom>
                            <a:avLst/>
                            <a:gdLst>
                              <a:gd name="T0" fmla="*/ 0 w 8331"/>
                              <a:gd name="T1" fmla="*/ 3782 h 3782"/>
                              <a:gd name="T2" fmla="*/ 8331 w 8331"/>
                              <a:gd name="T3" fmla="*/ 3782 h 3782"/>
                              <a:gd name="T4" fmla="*/ 0 w 8331"/>
                              <a:gd name="T5" fmla="*/ 3363 h 3782"/>
                              <a:gd name="T6" fmla="*/ 8331 w 8331"/>
                              <a:gd name="T7" fmla="*/ 3363 h 3782"/>
                              <a:gd name="T8" fmla="*/ 0 w 8331"/>
                              <a:gd name="T9" fmla="*/ 2941 h 3782"/>
                              <a:gd name="T10" fmla="*/ 8331 w 8331"/>
                              <a:gd name="T11" fmla="*/ 2941 h 3782"/>
                              <a:gd name="T12" fmla="*/ 0 w 8331"/>
                              <a:gd name="T13" fmla="*/ 2522 h 3782"/>
                              <a:gd name="T14" fmla="*/ 8331 w 8331"/>
                              <a:gd name="T15" fmla="*/ 2522 h 3782"/>
                              <a:gd name="T16" fmla="*/ 0 w 8331"/>
                              <a:gd name="T17" fmla="*/ 2100 h 3782"/>
                              <a:gd name="T18" fmla="*/ 8331 w 8331"/>
                              <a:gd name="T19" fmla="*/ 2100 h 3782"/>
                              <a:gd name="T20" fmla="*/ 0 w 8331"/>
                              <a:gd name="T21" fmla="*/ 1681 h 3782"/>
                              <a:gd name="T22" fmla="*/ 8331 w 8331"/>
                              <a:gd name="T23" fmla="*/ 1681 h 3782"/>
                              <a:gd name="T24" fmla="*/ 0 w 8331"/>
                              <a:gd name="T25" fmla="*/ 1259 h 3782"/>
                              <a:gd name="T26" fmla="*/ 8331 w 8331"/>
                              <a:gd name="T27" fmla="*/ 1259 h 3782"/>
                              <a:gd name="T28" fmla="*/ 0 w 8331"/>
                              <a:gd name="T29" fmla="*/ 841 h 3782"/>
                              <a:gd name="T30" fmla="*/ 8331 w 8331"/>
                              <a:gd name="T31" fmla="*/ 841 h 3782"/>
                              <a:gd name="T32" fmla="*/ 0 w 8331"/>
                              <a:gd name="T33" fmla="*/ 422 h 3782"/>
                              <a:gd name="T34" fmla="*/ 8331 w 8331"/>
                              <a:gd name="T35" fmla="*/ 422 h 3782"/>
                              <a:gd name="T36" fmla="*/ 0 w 8331"/>
                              <a:gd name="T37" fmla="*/ 0 h 3782"/>
                              <a:gd name="T38" fmla="*/ 8331 w 8331"/>
                              <a:gd name="T39" fmla="*/ 0 h 3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331" h="3782">
                                <a:moveTo>
                                  <a:pt x="0" y="3782"/>
                                </a:moveTo>
                                <a:lnTo>
                                  <a:pt x="8331" y="3782"/>
                                </a:lnTo>
                                <a:moveTo>
                                  <a:pt x="0" y="3363"/>
                                </a:moveTo>
                                <a:lnTo>
                                  <a:pt x="8331" y="3363"/>
                                </a:lnTo>
                                <a:moveTo>
                                  <a:pt x="0" y="2941"/>
                                </a:moveTo>
                                <a:lnTo>
                                  <a:pt x="8331" y="2941"/>
                                </a:lnTo>
                                <a:moveTo>
                                  <a:pt x="0" y="2522"/>
                                </a:moveTo>
                                <a:lnTo>
                                  <a:pt x="8331" y="2522"/>
                                </a:lnTo>
                                <a:moveTo>
                                  <a:pt x="0" y="2100"/>
                                </a:moveTo>
                                <a:lnTo>
                                  <a:pt x="8331" y="2100"/>
                                </a:lnTo>
                                <a:moveTo>
                                  <a:pt x="0" y="1681"/>
                                </a:moveTo>
                                <a:lnTo>
                                  <a:pt x="8331" y="1681"/>
                                </a:lnTo>
                                <a:moveTo>
                                  <a:pt x="0" y="1259"/>
                                </a:moveTo>
                                <a:lnTo>
                                  <a:pt x="8331" y="1259"/>
                                </a:lnTo>
                                <a:moveTo>
                                  <a:pt x="0" y="841"/>
                                </a:moveTo>
                                <a:lnTo>
                                  <a:pt x="8331" y="841"/>
                                </a:lnTo>
                                <a:moveTo>
                                  <a:pt x="0" y="422"/>
                                </a:moveTo>
                                <a:lnTo>
                                  <a:pt x="8331" y="422"/>
                                </a:lnTo>
                                <a:moveTo>
                                  <a:pt x="0" y="0"/>
                                </a:moveTo>
                                <a:lnTo>
                                  <a:pt x="8331" y="0"/>
                                </a:lnTo>
                              </a:path>
                            </a:pathLst>
                          </a:custGeom>
                          <a:noFill/>
                          <a:ln w="12065" cap="flat">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noEditPoints="1"/>
                        </wps:cNvSpPr>
                        <wps:spPr bwMode="auto">
                          <a:xfrm>
                            <a:off x="855345" y="2528570"/>
                            <a:ext cx="4469765" cy="330200"/>
                          </a:xfrm>
                          <a:custGeom>
                            <a:avLst/>
                            <a:gdLst>
                              <a:gd name="T0" fmla="*/ 0 w 7039"/>
                              <a:gd name="T1" fmla="*/ 45 h 520"/>
                              <a:gd name="T2" fmla="*/ 373 w 7039"/>
                              <a:gd name="T3" fmla="*/ 45 h 520"/>
                              <a:gd name="T4" fmla="*/ 373 w 7039"/>
                              <a:gd name="T5" fmla="*/ 520 h 520"/>
                              <a:gd name="T6" fmla="*/ 0 w 7039"/>
                              <a:gd name="T7" fmla="*/ 520 h 520"/>
                              <a:gd name="T8" fmla="*/ 0 w 7039"/>
                              <a:gd name="T9" fmla="*/ 45 h 520"/>
                              <a:gd name="T10" fmla="*/ 1665 w 7039"/>
                              <a:gd name="T11" fmla="*/ 54 h 520"/>
                              <a:gd name="T12" fmla="*/ 2038 w 7039"/>
                              <a:gd name="T13" fmla="*/ 54 h 520"/>
                              <a:gd name="T14" fmla="*/ 2038 w 7039"/>
                              <a:gd name="T15" fmla="*/ 520 h 520"/>
                              <a:gd name="T16" fmla="*/ 1665 w 7039"/>
                              <a:gd name="T17" fmla="*/ 520 h 520"/>
                              <a:gd name="T18" fmla="*/ 1665 w 7039"/>
                              <a:gd name="T19" fmla="*/ 54 h 520"/>
                              <a:gd name="T20" fmla="*/ 3330 w 7039"/>
                              <a:gd name="T21" fmla="*/ 10 h 520"/>
                              <a:gd name="T22" fmla="*/ 3706 w 7039"/>
                              <a:gd name="T23" fmla="*/ 10 h 520"/>
                              <a:gd name="T24" fmla="*/ 3706 w 7039"/>
                              <a:gd name="T25" fmla="*/ 520 h 520"/>
                              <a:gd name="T26" fmla="*/ 3330 w 7039"/>
                              <a:gd name="T27" fmla="*/ 520 h 520"/>
                              <a:gd name="T28" fmla="*/ 3330 w 7039"/>
                              <a:gd name="T29" fmla="*/ 10 h 520"/>
                              <a:gd name="T30" fmla="*/ 4998 w 7039"/>
                              <a:gd name="T31" fmla="*/ 0 h 520"/>
                              <a:gd name="T32" fmla="*/ 5371 w 7039"/>
                              <a:gd name="T33" fmla="*/ 0 h 520"/>
                              <a:gd name="T34" fmla="*/ 5371 w 7039"/>
                              <a:gd name="T35" fmla="*/ 520 h 520"/>
                              <a:gd name="T36" fmla="*/ 4998 w 7039"/>
                              <a:gd name="T37" fmla="*/ 520 h 520"/>
                              <a:gd name="T38" fmla="*/ 4998 w 7039"/>
                              <a:gd name="T39" fmla="*/ 0 h 520"/>
                              <a:gd name="T40" fmla="*/ 6663 w 7039"/>
                              <a:gd name="T41" fmla="*/ 41 h 520"/>
                              <a:gd name="T42" fmla="*/ 7039 w 7039"/>
                              <a:gd name="T43" fmla="*/ 41 h 520"/>
                              <a:gd name="T44" fmla="*/ 7039 w 7039"/>
                              <a:gd name="T45" fmla="*/ 520 h 520"/>
                              <a:gd name="T46" fmla="*/ 6663 w 7039"/>
                              <a:gd name="T47" fmla="*/ 520 h 520"/>
                              <a:gd name="T48" fmla="*/ 6663 w 7039"/>
                              <a:gd name="T49" fmla="*/ 41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39" h="520">
                                <a:moveTo>
                                  <a:pt x="0" y="45"/>
                                </a:moveTo>
                                <a:lnTo>
                                  <a:pt x="373" y="45"/>
                                </a:lnTo>
                                <a:lnTo>
                                  <a:pt x="373" y="520"/>
                                </a:lnTo>
                                <a:lnTo>
                                  <a:pt x="0" y="520"/>
                                </a:lnTo>
                                <a:lnTo>
                                  <a:pt x="0" y="45"/>
                                </a:lnTo>
                                <a:close/>
                                <a:moveTo>
                                  <a:pt x="1665" y="54"/>
                                </a:moveTo>
                                <a:lnTo>
                                  <a:pt x="2038" y="54"/>
                                </a:lnTo>
                                <a:lnTo>
                                  <a:pt x="2038" y="520"/>
                                </a:lnTo>
                                <a:lnTo>
                                  <a:pt x="1665" y="520"/>
                                </a:lnTo>
                                <a:lnTo>
                                  <a:pt x="1665" y="54"/>
                                </a:lnTo>
                                <a:close/>
                                <a:moveTo>
                                  <a:pt x="3330" y="10"/>
                                </a:moveTo>
                                <a:lnTo>
                                  <a:pt x="3706" y="10"/>
                                </a:lnTo>
                                <a:lnTo>
                                  <a:pt x="3706" y="520"/>
                                </a:lnTo>
                                <a:lnTo>
                                  <a:pt x="3330" y="520"/>
                                </a:lnTo>
                                <a:lnTo>
                                  <a:pt x="3330" y="10"/>
                                </a:lnTo>
                                <a:close/>
                                <a:moveTo>
                                  <a:pt x="4998" y="0"/>
                                </a:moveTo>
                                <a:lnTo>
                                  <a:pt x="5371" y="0"/>
                                </a:lnTo>
                                <a:lnTo>
                                  <a:pt x="5371" y="520"/>
                                </a:lnTo>
                                <a:lnTo>
                                  <a:pt x="4998" y="520"/>
                                </a:lnTo>
                                <a:lnTo>
                                  <a:pt x="4998" y="0"/>
                                </a:lnTo>
                                <a:close/>
                                <a:moveTo>
                                  <a:pt x="6663" y="41"/>
                                </a:moveTo>
                                <a:lnTo>
                                  <a:pt x="7039" y="41"/>
                                </a:lnTo>
                                <a:lnTo>
                                  <a:pt x="7039" y="520"/>
                                </a:lnTo>
                                <a:lnTo>
                                  <a:pt x="6663" y="520"/>
                                </a:lnTo>
                                <a:lnTo>
                                  <a:pt x="6663" y="41"/>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noEditPoints="1"/>
                        </wps:cNvSpPr>
                        <wps:spPr bwMode="auto">
                          <a:xfrm>
                            <a:off x="1156970" y="483870"/>
                            <a:ext cx="4469130" cy="2374900"/>
                          </a:xfrm>
                          <a:custGeom>
                            <a:avLst/>
                            <a:gdLst>
                              <a:gd name="T0" fmla="*/ 0 w 7038"/>
                              <a:gd name="T1" fmla="*/ 13 h 3740"/>
                              <a:gd name="T2" fmla="*/ 372 w 7038"/>
                              <a:gd name="T3" fmla="*/ 13 h 3740"/>
                              <a:gd name="T4" fmla="*/ 372 w 7038"/>
                              <a:gd name="T5" fmla="*/ 3740 h 3740"/>
                              <a:gd name="T6" fmla="*/ 0 w 7038"/>
                              <a:gd name="T7" fmla="*/ 3740 h 3740"/>
                              <a:gd name="T8" fmla="*/ 0 w 7038"/>
                              <a:gd name="T9" fmla="*/ 13 h 3740"/>
                              <a:gd name="T10" fmla="*/ 1665 w 7038"/>
                              <a:gd name="T11" fmla="*/ 0 h 3740"/>
                              <a:gd name="T12" fmla="*/ 2037 w 7038"/>
                              <a:gd name="T13" fmla="*/ 0 h 3740"/>
                              <a:gd name="T14" fmla="*/ 2037 w 7038"/>
                              <a:gd name="T15" fmla="*/ 3740 h 3740"/>
                              <a:gd name="T16" fmla="*/ 1665 w 7038"/>
                              <a:gd name="T17" fmla="*/ 3740 h 3740"/>
                              <a:gd name="T18" fmla="*/ 1665 w 7038"/>
                              <a:gd name="T19" fmla="*/ 0 h 3740"/>
                              <a:gd name="T20" fmla="*/ 3329 w 7038"/>
                              <a:gd name="T21" fmla="*/ 48 h 3740"/>
                              <a:gd name="T22" fmla="*/ 3705 w 7038"/>
                              <a:gd name="T23" fmla="*/ 48 h 3740"/>
                              <a:gd name="T24" fmla="*/ 3705 w 7038"/>
                              <a:gd name="T25" fmla="*/ 3740 h 3740"/>
                              <a:gd name="T26" fmla="*/ 3329 w 7038"/>
                              <a:gd name="T27" fmla="*/ 3740 h 3740"/>
                              <a:gd name="T28" fmla="*/ 3329 w 7038"/>
                              <a:gd name="T29" fmla="*/ 48 h 3740"/>
                              <a:gd name="T30" fmla="*/ 4998 w 7038"/>
                              <a:gd name="T31" fmla="*/ 57 h 3740"/>
                              <a:gd name="T32" fmla="*/ 5370 w 7038"/>
                              <a:gd name="T33" fmla="*/ 57 h 3740"/>
                              <a:gd name="T34" fmla="*/ 5370 w 7038"/>
                              <a:gd name="T35" fmla="*/ 3740 h 3740"/>
                              <a:gd name="T36" fmla="*/ 4998 w 7038"/>
                              <a:gd name="T37" fmla="*/ 3740 h 3740"/>
                              <a:gd name="T38" fmla="*/ 4998 w 7038"/>
                              <a:gd name="T39" fmla="*/ 57 h 3740"/>
                              <a:gd name="T40" fmla="*/ 6663 w 7038"/>
                              <a:gd name="T41" fmla="*/ 16 h 3740"/>
                              <a:gd name="T42" fmla="*/ 7038 w 7038"/>
                              <a:gd name="T43" fmla="*/ 16 h 3740"/>
                              <a:gd name="T44" fmla="*/ 7038 w 7038"/>
                              <a:gd name="T45" fmla="*/ 3740 h 3740"/>
                              <a:gd name="T46" fmla="*/ 6663 w 7038"/>
                              <a:gd name="T47" fmla="*/ 3740 h 3740"/>
                              <a:gd name="T48" fmla="*/ 6663 w 7038"/>
                              <a:gd name="T49" fmla="*/ 16 h 3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38" h="3740">
                                <a:moveTo>
                                  <a:pt x="0" y="13"/>
                                </a:moveTo>
                                <a:lnTo>
                                  <a:pt x="372" y="13"/>
                                </a:lnTo>
                                <a:lnTo>
                                  <a:pt x="372" y="3740"/>
                                </a:lnTo>
                                <a:lnTo>
                                  <a:pt x="0" y="3740"/>
                                </a:lnTo>
                                <a:lnTo>
                                  <a:pt x="0" y="13"/>
                                </a:lnTo>
                                <a:close/>
                                <a:moveTo>
                                  <a:pt x="1665" y="0"/>
                                </a:moveTo>
                                <a:lnTo>
                                  <a:pt x="2037" y="0"/>
                                </a:lnTo>
                                <a:lnTo>
                                  <a:pt x="2037" y="3740"/>
                                </a:lnTo>
                                <a:lnTo>
                                  <a:pt x="1665" y="3740"/>
                                </a:lnTo>
                                <a:lnTo>
                                  <a:pt x="1665" y="0"/>
                                </a:lnTo>
                                <a:close/>
                                <a:moveTo>
                                  <a:pt x="3329" y="48"/>
                                </a:moveTo>
                                <a:lnTo>
                                  <a:pt x="3705" y="48"/>
                                </a:lnTo>
                                <a:lnTo>
                                  <a:pt x="3705" y="3740"/>
                                </a:lnTo>
                                <a:lnTo>
                                  <a:pt x="3329" y="3740"/>
                                </a:lnTo>
                                <a:lnTo>
                                  <a:pt x="3329" y="48"/>
                                </a:lnTo>
                                <a:close/>
                                <a:moveTo>
                                  <a:pt x="4998" y="57"/>
                                </a:moveTo>
                                <a:lnTo>
                                  <a:pt x="5370" y="57"/>
                                </a:lnTo>
                                <a:lnTo>
                                  <a:pt x="5370" y="3740"/>
                                </a:lnTo>
                                <a:lnTo>
                                  <a:pt x="4998" y="3740"/>
                                </a:lnTo>
                                <a:lnTo>
                                  <a:pt x="4998" y="57"/>
                                </a:lnTo>
                                <a:close/>
                                <a:moveTo>
                                  <a:pt x="6663" y="16"/>
                                </a:moveTo>
                                <a:lnTo>
                                  <a:pt x="7038" y="16"/>
                                </a:lnTo>
                                <a:lnTo>
                                  <a:pt x="7038" y="3740"/>
                                </a:lnTo>
                                <a:lnTo>
                                  <a:pt x="6663" y="3740"/>
                                </a:lnTo>
                                <a:lnTo>
                                  <a:pt x="6663" y="16"/>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9"/>
                        <wps:cNvCnPr/>
                        <wps:spPr bwMode="auto">
                          <a:xfrm>
                            <a:off x="594995" y="2858770"/>
                            <a:ext cx="5290185" cy="0"/>
                          </a:xfrm>
                          <a:prstGeom prst="line">
                            <a:avLst/>
                          </a:prstGeom>
                          <a:noFill/>
                          <a:ln w="12065" cap="flat">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4" name="Rectangle 10"/>
                        <wps:cNvSpPr>
                          <a:spLocks noChangeArrowheads="1"/>
                        </wps:cNvSpPr>
                        <wps:spPr bwMode="auto">
                          <a:xfrm>
                            <a:off x="498614" y="229552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%11</w:t>
                              </w:r>
                            </w:p>
                          </w:txbxContent>
                        </wps:txbx>
                        <wps:bodyPr rot="0" vert="horz" wrap="none" lIns="0" tIns="0" rIns="0" bIns="0" anchor="t" anchorCtr="0">
                          <a:spAutoFit/>
                        </wps:bodyPr>
                      </wps:wsp>
                      <wps:wsp>
                        <wps:cNvPr id="15" name="Rectangle 11"/>
                        <wps:cNvSpPr>
                          <a:spLocks noChangeArrowheads="1"/>
                        </wps:cNvSpPr>
                        <wps:spPr bwMode="auto">
                          <a:xfrm>
                            <a:off x="1549490" y="230314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%11</w:t>
                              </w:r>
                            </w:p>
                          </w:txbxContent>
                        </wps:txbx>
                        <wps:bodyPr rot="0" vert="horz" wrap="none" lIns="0" tIns="0" rIns="0" bIns="0" anchor="t" anchorCtr="0">
                          <a:spAutoFit/>
                        </wps:bodyPr>
                      </wps:wsp>
                      <wps:wsp>
                        <wps:cNvPr id="16" name="Rectangle 12"/>
                        <wps:cNvSpPr>
                          <a:spLocks noChangeArrowheads="1"/>
                        </wps:cNvSpPr>
                        <wps:spPr bwMode="auto">
                          <a:xfrm>
                            <a:off x="2600366" y="2273300"/>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%12</w:t>
                              </w:r>
                            </w:p>
                          </w:txbxContent>
                        </wps:txbx>
                        <wps:bodyPr rot="0" vert="horz" wrap="none" lIns="0" tIns="0" rIns="0" bIns="0" anchor="t" anchorCtr="0">
                          <a:spAutoFit/>
                        </wps:bodyPr>
                      </wps:wsp>
                      <wps:wsp>
                        <wps:cNvPr id="17" name="Rectangle 13"/>
                        <wps:cNvSpPr>
                          <a:spLocks noChangeArrowheads="1"/>
                        </wps:cNvSpPr>
                        <wps:spPr bwMode="auto">
                          <a:xfrm>
                            <a:off x="3672344" y="2266950"/>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%12</w:t>
                              </w:r>
                            </w:p>
                          </w:txbxContent>
                        </wps:txbx>
                        <wps:bodyPr rot="0" vert="horz" wrap="none" lIns="0" tIns="0" rIns="0" bIns="0" anchor="t" anchorCtr="0">
                          <a:spAutoFit/>
                        </wps:bodyPr>
                      </wps:wsp>
                      <wps:wsp>
                        <wps:cNvPr id="18" name="Rectangle 14"/>
                        <wps:cNvSpPr>
                          <a:spLocks noChangeArrowheads="1"/>
                        </wps:cNvSpPr>
                        <wps:spPr bwMode="auto">
                          <a:xfrm>
                            <a:off x="4723220" y="229425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%11</w:t>
                              </w:r>
                            </w:p>
                          </w:txbxContent>
                        </wps:txbx>
                        <wps:bodyPr rot="0" vert="horz" wrap="none" lIns="0" tIns="0" rIns="0" bIns="0" anchor="t" anchorCtr="0">
                          <a:spAutoFit/>
                        </wps:bodyPr>
                      </wps:wsp>
                      <wps:wsp>
                        <wps:cNvPr id="19" name="Rectangle 15"/>
                        <wps:cNvSpPr>
                          <a:spLocks noChangeArrowheads="1"/>
                        </wps:cNvSpPr>
                        <wps:spPr bwMode="auto">
                          <a:xfrm>
                            <a:off x="876978" y="23050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%89</w:t>
                              </w:r>
                            </w:p>
                          </w:txbxContent>
                        </wps:txbx>
                        <wps:bodyPr rot="0" vert="horz" wrap="none" lIns="0" tIns="0" rIns="0" bIns="0" anchor="t" anchorCtr="0">
                          <a:spAutoFit/>
                        </wps:bodyPr>
                      </wps:wsp>
                      <wps:wsp>
                        <wps:cNvPr id="21" name="Rectangle 16"/>
                        <wps:cNvSpPr>
                          <a:spLocks noChangeArrowheads="1"/>
                        </wps:cNvSpPr>
                        <wps:spPr bwMode="auto">
                          <a:xfrm>
                            <a:off x="1927854" y="22415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%89</w:t>
                              </w:r>
                            </w:p>
                          </w:txbxContent>
                        </wps:txbx>
                        <wps:bodyPr rot="0" vert="horz" wrap="none" lIns="0" tIns="0" rIns="0" bIns="0" anchor="t" anchorCtr="0">
                          <a:spAutoFit/>
                        </wps:bodyPr>
                      </wps:wsp>
                      <wps:wsp>
                        <wps:cNvPr id="22" name="Rectangle 17"/>
                        <wps:cNvSpPr>
                          <a:spLocks noChangeArrowheads="1"/>
                        </wps:cNvSpPr>
                        <wps:spPr bwMode="auto">
                          <a:xfrm>
                            <a:off x="2985764" y="252730"/>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%88</w:t>
                              </w:r>
                            </w:p>
                          </w:txbxContent>
                        </wps:txbx>
                        <wps:bodyPr rot="0" vert="horz" wrap="none" lIns="0" tIns="0" rIns="0" bIns="0" anchor="t" anchorCtr="0">
                          <a:spAutoFit/>
                        </wps:bodyPr>
                      </wps:wsp>
                      <wps:wsp>
                        <wps:cNvPr id="23" name="Rectangle 18"/>
                        <wps:cNvSpPr>
                          <a:spLocks noChangeArrowheads="1"/>
                        </wps:cNvSpPr>
                        <wps:spPr bwMode="auto">
                          <a:xfrm>
                            <a:off x="4044309" y="25844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%88</w:t>
                              </w:r>
                            </w:p>
                          </w:txbxContent>
                        </wps:txbx>
                        <wps:bodyPr rot="0" vert="horz" wrap="none" lIns="0" tIns="0" rIns="0" bIns="0" anchor="t" anchorCtr="0">
                          <a:spAutoFit/>
                        </wps:bodyPr>
                      </wps:wsp>
                      <wps:wsp>
                        <wps:cNvPr id="24" name="Rectangle 19"/>
                        <wps:cNvSpPr>
                          <a:spLocks noChangeArrowheads="1"/>
                        </wps:cNvSpPr>
                        <wps:spPr bwMode="auto">
                          <a:xfrm>
                            <a:off x="5102219" y="231775"/>
                            <a:ext cx="623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r>
                                <w:rPr>
                                  <w:rFonts w:ascii="Calibri" w:hAnsi="Calibri" w:cs="Calibri"/>
                                  <w:color w:val="404040"/>
                                  <w:sz w:val="24"/>
                                  <w:szCs w:val="24"/>
                                  <w:lang w:val="en-US"/>
                                </w:rPr>
                                <w:t>%89</w:t>
                              </w:r>
                            </w:p>
                          </w:txbxContent>
                        </wps:txbx>
                        <wps:bodyPr rot="0" vert="horz" wrap="none" lIns="0" tIns="0" rIns="0" bIns="0" anchor="t" anchorCtr="0">
                          <a:spAutoFit/>
                        </wps:bodyPr>
                      </wps:wsp>
                      <wps:wsp>
                        <wps:cNvPr id="25" name="Rectangle 20"/>
                        <wps:cNvSpPr>
                          <a:spLocks noChangeArrowheads="1"/>
                        </wps:cNvSpPr>
                        <wps:spPr bwMode="auto">
                          <a:xfrm>
                            <a:off x="269875" y="2757170"/>
                            <a:ext cx="1866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%0</w:t>
                              </w:r>
                            </w:p>
                          </w:txbxContent>
                        </wps:txbx>
                        <wps:bodyPr rot="0" vert="horz" wrap="none" lIns="0" tIns="0" rIns="0" bIns="0" anchor="t" anchorCtr="0">
                          <a:spAutoFit/>
                        </wps:bodyPr>
                      </wps:wsp>
                      <wps:wsp>
                        <wps:cNvPr id="26" name="Rectangle 21"/>
                        <wps:cNvSpPr>
                          <a:spLocks noChangeArrowheads="1"/>
                        </wps:cNvSpPr>
                        <wps:spPr bwMode="auto">
                          <a:xfrm>
                            <a:off x="193040" y="2489200"/>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%10</w:t>
                              </w:r>
                            </w:p>
                          </w:txbxContent>
                        </wps:txbx>
                        <wps:bodyPr rot="0" vert="horz" wrap="none" lIns="0" tIns="0" rIns="0" bIns="0" anchor="t" anchorCtr="0">
                          <a:spAutoFit/>
                        </wps:bodyPr>
                      </wps:wsp>
                      <wps:wsp>
                        <wps:cNvPr id="27" name="Rectangle 22"/>
                        <wps:cNvSpPr>
                          <a:spLocks noChangeArrowheads="1"/>
                        </wps:cNvSpPr>
                        <wps:spPr bwMode="auto">
                          <a:xfrm>
                            <a:off x="193040" y="2222500"/>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w:t>
                              </w:r>
                            </w:p>
                          </w:txbxContent>
                        </wps:txbx>
                        <wps:bodyPr rot="0" vert="horz" wrap="none" lIns="0" tIns="0" rIns="0" bIns="0" anchor="t" anchorCtr="0">
                          <a:spAutoFit/>
                        </wps:bodyPr>
                      </wps:wsp>
                      <wps:wsp>
                        <wps:cNvPr id="28" name="Rectangle 23"/>
                        <wps:cNvSpPr>
                          <a:spLocks noChangeArrowheads="1"/>
                        </wps:cNvSpPr>
                        <wps:spPr bwMode="auto">
                          <a:xfrm>
                            <a:off x="193040" y="195643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%30</w:t>
                              </w:r>
                            </w:p>
                          </w:txbxContent>
                        </wps:txbx>
                        <wps:bodyPr rot="0" vert="horz" wrap="none" lIns="0" tIns="0" rIns="0" bIns="0" anchor="t" anchorCtr="0">
                          <a:spAutoFit/>
                        </wps:bodyPr>
                      </wps:wsp>
                      <wps:wsp>
                        <wps:cNvPr id="29" name="Rectangle 24"/>
                        <wps:cNvSpPr>
                          <a:spLocks noChangeArrowheads="1"/>
                        </wps:cNvSpPr>
                        <wps:spPr bwMode="auto">
                          <a:xfrm>
                            <a:off x="193040" y="168973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%40</w:t>
                              </w:r>
                            </w:p>
                          </w:txbxContent>
                        </wps:txbx>
                        <wps:bodyPr rot="0" vert="horz" wrap="none" lIns="0" tIns="0" rIns="0" bIns="0" anchor="t" anchorCtr="0">
                          <a:spAutoFit/>
                        </wps:bodyPr>
                      </wps:wsp>
                      <wps:wsp>
                        <wps:cNvPr id="30" name="Rectangle 25"/>
                        <wps:cNvSpPr>
                          <a:spLocks noChangeArrowheads="1"/>
                        </wps:cNvSpPr>
                        <wps:spPr bwMode="auto">
                          <a:xfrm>
                            <a:off x="193040" y="142303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%50</w:t>
                              </w:r>
                            </w:p>
                          </w:txbxContent>
                        </wps:txbx>
                        <wps:bodyPr rot="0" vert="horz" wrap="none" lIns="0" tIns="0" rIns="0" bIns="0" anchor="t" anchorCtr="0">
                          <a:spAutoFit/>
                        </wps:bodyPr>
                      </wps:wsp>
                      <wps:wsp>
                        <wps:cNvPr id="31" name="Rectangle 26"/>
                        <wps:cNvSpPr>
                          <a:spLocks noChangeArrowheads="1"/>
                        </wps:cNvSpPr>
                        <wps:spPr bwMode="auto">
                          <a:xfrm>
                            <a:off x="193040" y="115633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%60</w:t>
                              </w:r>
                            </w:p>
                          </w:txbxContent>
                        </wps:txbx>
                        <wps:bodyPr rot="0" vert="horz" wrap="none" lIns="0" tIns="0" rIns="0" bIns="0" anchor="t" anchorCtr="0">
                          <a:spAutoFit/>
                        </wps:bodyPr>
                      </wps:wsp>
                      <wps:wsp>
                        <wps:cNvPr id="32" name="Rectangle 27"/>
                        <wps:cNvSpPr>
                          <a:spLocks noChangeArrowheads="1"/>
                        </wps:cNvSpPr>
                        <wps:spPr bwMode="auto">
                          <a:xfrm>
                            <a:off x="193040" y="88836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%70</w:t>
                              </w:r>
                            </w:p>
                          </w:txbxContent>
                        </wps:txbx>
                        <wps:bodyPr rot="0" vert="horz" wrap="none" lIns="0" tIns="0" rIns="0" bIns="0" anchor="t" anchorCtr="0">
                          <a:spAutoFit/>
                        </wps:bodyPr>
                      </wps:wsp>
                      <wps:wsp>
                        <wps:cNvPr id="33" name="Rectangle 28"/>
                        <wps:cNvSpPr>
                          <a:spLocks noChangeArrowheads="1"/>
                        </wps:cNvSpPr>
                        <wps:spPr bwMode="auto">
                          <a:xfrm>
                            <a:off x="193040" y="621665"/>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%80</w:t>
                              </w:r>
                            </w:p>
                          </w:txbxContent>
                        </wps:txbx>
                        <wps:bodyPr rot="0" vert="horz" wrap="none" lIns="0" tIns="0" rIns="0" bIns="0" anchor="t" anchorCtr="0">
                          <a:spAutoFit/>
                        </wps:bodyPr>
                      </wps:wsp>
                      <wps:wsp>
                        <wps:cNvPr id="34" name="Rectangle 29"/>
                        <wps:cNvSpPr>
                          <a:spLocks noChangeArrowheads="1"/>
                        </wps:cNvSpPr>
                        <wps:spPr bwMode="auto">
                          <a:xfrm>
                            <a:off x="193040" y="355600"/>
                            <a:ext cx="2635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%90</w:t>
                              </w:r>
                            </w:p>
                          </w:txbxContent>
                        </wps:txbx>
                        <wps:bodyPr rot="0" vert="horz" wrap="none" lIns="0" tIns="0" rIns="0" bIns="0" anchor="t" anchorCtr="0">
                          <a:spAutoFit/>
                        </wps:bodyPr>
                      </wps:wsp>
                      <wps:wsp>
                        <wps:cNvPr id="35" name="Rectangle 30"/>
                        <wps:cNvSpPr>
                          <a:spLocks noChangeArrowheads="1"/>
                        </wps:cNvSpPr>
                        <wps:spPr bwMode="auto">
                          <a:xfrm>
                            <a:off x="116205" y="88900"/>
                            <a:ext cx="3409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%100</w:t>
                              </w:r>
                            </w:p>
                          </w:txbxContent>
                        </wps:txbx>
                        <wps:bodyPr rot="0" vert="horz" wrap="none" lIns="0" tIns="0" rIns="0" bIns="0" anchor="t" anchorCtr="0">
                          <a:spAutoFit/>
                        </wps:bodyPr>
                      </wps:wsp>
                      <wps:wsp>
                        <wps:cNvPr id="39" name="Rectangle 31"/>
                        <wps:cNvSpPr>
                          <a:spLocks noChangeArrowheads="1"/>
                        </wps:cNvSpPr>
                        <wps:spPr bwMode="auto">
                          <a:xfrm>
                            <a:off x="971550" y="2953385"/>
                            <a:ext cx="3092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2015</w:t>
                              </w:r>
                            </w:p>
                          </w:txbxContent>
                        </wps:txbx>
                        <wps:bodyPr rot="0" vert="horz" wrap="none" lIns="0" tIns="0" rIns="0" bIns="0" anchor="t" anchorCtr="0">
                          <a:spAutoFit/>
                        </wps:bodyPr>
                      </wps:wsp>
                      <wps:wsp>
                        <wps:cNvPr id="40" name="Rectangle 32"/>
                        <wps:cNvSpPr>
                          <a:spLocks noChangeArrowheads="1"/>
                        </wps:cNvSpPr>
                        <wps:spPr bwMode="auto">
                          <a:xfrm>
                            <a:off x="2029460" y="2953385"/>
                            <a:ext cx="3092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2016</w:t>
                              </w:r>
                            </w:p>
                          </w:txbxContent>
                        </wps:txbx>
                        <wps:bodyPr rot="0" vert="horz" wrap="none" lIns="0" tIns="0" rIns="0" bIns="0" anchor="t" anchorCtr="0">
                          <a:spAutoFit/>
                        </wps:bodyPr>
                      </wps:wsp>
                      <wps:wsp>
                        <wps:cNvPr id="41" name="Rectangle 33"/>
                        <wps:cNvSpPr>
                          <a:spLocks noChangeArrowheads="1"/>
                        </wps:cNvSpPr>
                        <wps:spPr bwMode="auto">
                          <a:xfrm>
                            <a:off x="3087370" y="2953385"/>
                            <a:ext cx="3092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2017</w:t>
                              </w:r>
                            </w:p>
                          </w:txbxContent>
                        </wps:txbx>
                        <wps:bodyPr rot="0" vert="horz" wrap="none" lIns="0" tIns="0" rIns="0" bIns="0" anchor="t" anchorCtr="0">
                          <a:spAutoFit/>
                        </wps:bodyPr>
                      </wps:wsp>
                      <wps:wsp>
                        <wps:cNvPr id="42" name="Rectangle 34"/>
                        <wps:cNvSpPr>
                          <a:spLocks noChangeArrowheads="1"/>
                        </wps:cNvSpPr>
                        <wps:spPr bwMode="auto">
                          <a:xfrm>
                            <a:off x="4145280" y="2953385"/>
                            <a:ext cx="3092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2018</w:t>
                              </w:r>
                            </w:p>
                          </w:txbxContent>
                        </wps:txbx>
                        <wps:bodyPr rot="0" vert="horz" wrap="none" lIns="0" tIns="0" rIns="0" bIns="0" anchor="t" anchorCtr="0">
                          <a:spAutoFit/>
                        </wps:bodyPr>
                      </wps:wsp>
                      <wps:wsp>
                        <wps:cNvPr id="43" name="Rectangle 35"/>
                        <wps:cNvSpPr>
                          <a:spLocks noChangeArrowheads="1"/>
                        </wps:cNvSpPr>
                        <wps:spPr bwMode="auto">
                          <a:xfrm>
                            <a:off x="5203825" y="2953385"/>
                            <a:ext cx="3092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r>
                                <w:rPr>
                                  <w:rFonts w:ascii="Calibri" w:hAnsi="Calibri" w:cs="Calibri"/>
                                  <w:color w:val="595959"/>
                                  <w:sz w:val="24"/>
                                  <w:szCs w:val="24"/>
                                  <w:lang w:val="en-US"/>
                                </w:rPr>
                                <w:t>2019</w:t>
                              </w:r>
                            </w:p>
                          </w:txbxContent>
                        </wps:txbx>
                        <wps:bodyPr rot="0" vert="horz" wrap="none" lIns="0" tIns="0" rIns="0" bIns="0" anchor="t" anchorCtr="0">
                          <a:spAutoFit/>
                        </wps:bodyPr>
                      </wps:wsp>
                      <wps:wsp>
                        <wps:cNvPr id="44" name="Rectangle 36"/>
                        <wps:cNvSpPr>
                          <a:spLocks noChangeArrowheads="1"/>
                        </wps:cNvSpPr>
                        <wps:spPr bwMode="auto">
                          <a:xfrm>
                            <a:off x="930212" y="3348355"/>
                            <a:ext cx="82550" cy="8255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7"/>
                        <wps:cNvSpPr>
                          <a:spLocks noChangeArrowheads="1"/>
                        </wps:cNvSpPr>
                        <wps:spPr bwMode="auto">
                          <a:xfrm>
                            <a:off x="1049592" y="3288030"/>
                            <a:ext cx="1946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proofErr w:type="spellStart"/>
                              <w:r>
                                <w:rPr>
                                  <w:rFonts w:ascii="Calibri" w:hAnsi="Calibri" w:cs="Calibri"/>
                                  <w:color w:val="595959"/>
                                  <w:sz w:val="24"/>
                                  <w:szCs w:val="24"/>
                                  <w:lang w:val="en-US"/>
                                </w:rPr>
                                <w:t>Estatuak</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finantzaturiko</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gastuak</w:t>
                              </w:r>
                              <w:proofErr w:type="spellEnd"/>
                            </w:p>
                          </w:txbxContent>
                        </wps:txbx>
                        <wps:bodyPr rot="0" vert="horz" wrap="none" lIns="0" tIns="0" rIns="0" bIns="0" anchor="t" anchorCtr="0">
                          <a:spAutoFit/>
                        </wps:bodyPr>
                      </wps:wsp>
                      <wps:wsp>
                        <wps:cNvPr id="46" name="Rectangle 38"/>
                        <wps:cNvSpPr>
                          <a:spLocks noChangeArrowheads="1"/>
                        </wps:cNvSpPr>
                        <wps:spPr bwMode="auto">
                          <a:xfrm>
                            <a:off x="3149600" y="3348355"/>
                            <a:ext cx="83185" cy="82550"/>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9"/>
                        <wps:cNvSpPr>
                          <a:spLocks noChangeArrowheads="1"/>
                        </wps:cNvSpPr>
                        <wps:spPr bwMode="auto">
                          <a:xfrm>
                            <a:off x="3270250" y="3288030"/>
                            <a:ext cx="20345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8C" w:rsidRDefault="00C3398C" w:rsidP="00C3398C">
                              <w:pPr>
                                <w:ind w:firstLine="0"/>
                              </w:pPr>
                              <w:proofErr w:type="spellStart"/>
                              <w:r>
                                <w:rPr>
                                  <w:rFonts w:ascii="Calibri" w:hAnsi="Calibri" w:cs="Calibri"/>
                                  <w:color w:val="595959"/>
                                  <w:sz w:val="24"/>
                                  <w:szCs w:val="24"/>
                                  <w:lang w:val="en-US"/>
                                </w:rPr>
                                <w:t>Nafarroak</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finantzaturiko</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gastuak</w:t>
                              </w:r>
                              <w:proofErr w:type="spellEnd"/>
                            </w:p>
                          </w:txbxContent>
                        </wps:txbx>
                        <wps:bodyPr rot="0" vert="horz" wrap="none" lIns="0" tIns="0" rIns="0" bIns="0" anchor="t" anchorCtr="0">
                          <a:spAutoFit/>
                        </wps:bodyPr>
                      </wps:wsp>
                      <wps:wsp>
                        <wps:cNvPr id="48" name="Rectangle 40"/>
                        <wps:cNvSpPr>
                          <a:spLocks noChangeArrowheads="1"/>
                        </wps:cNvSpPr>
                        <wps:spPr bwMode="auto">
                          <a:xfrm>
                            <a:off x="6350" y="6350"/>
                            <a:ext cx="6064885" cy="3624580"/>
                          </a:xfrm>
                          <a:prstGeom prst="rect">
                            <a:avLst/>
                          </a:prstGeom>
                          <a:noFill/>
                          <a:ln w="12065" cap="flat">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Lienzo 49" o:spid="_x0000_s1027" editas="canvas" style="width:439.45pt;height:263pt;mso-position-horizontal-relative:char;mso-position-vertical-relative:line" coordsize="55810,3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9qDBEAAG2+AAAOAAAAZHJzL2Uyb0RvYy54bWzsXW1v2zgS/n7A/QfBHw9II5HUm9F00cbJ&#10;4YDeXXHb+wGKLcfG2ZJXcprsHfa/3wwpUpQlyupLlOyKLVo78Xg0wyGHMw+H5NufnvY750talNs8&#10;u5p5b9yZk2bLfLXN7q9m//58exHNnPKYZKtkl2fp1ezXtJz99O7Pf3r7eJinJN/ku1VaOMAkK+eP&#10;h6vZ5ng8zC8vy+Um3Sflm/yQZvDhOi/2yRF+LO4vV0XyCNz3u0viusHlY16sDkW+TMsSfrsQH87e&#10;cf7rdbo8/nO9LtOjs7uagWxH/n/B/7/D/y/fvU3m90Vy2GyXlRjJN0ixT7YZPFSxWiTHxHkoti1W&#10;++2yyMt8fXyzzPeX+Xq9XaZcB9DGc0+0uU6yL0nJlVlC60gB4d0P5Ht3j3Jn+e12t4PWuATuc/wd&#10;vj6CfVL8eJc1icRvOG1F83gAA5YHZcry+0T8eZMcUq55OV/+48unwtmurmbhzMmSPXSjf4Fhk+x+&#10;lzo+mhAfDlQ/Hz4VKGd5+Jgv/1M6WX69Aar0fVHkj5s0WYFQHtKD4NoX8IcSvurcPf49XwH35OGY&#10;c2s+rYs9MgQ7OU+80/yqOk36dHSW8EvfD33qQt9awmeUMjAj71aXyVx+/VCUx7+m+d7BN1ezAoTn&#10;7JMvH8sjipPMJQkXP99tV2gO/kNxf3e9K5wvCfTgW/6HawBa6mTdBkrmICU8AxmhvLxH/i/2CHM/&#10;kPjiNojCC3bL/Is4dKML14s/xIHLYra4/Q0F9Nh8s12t0uzjNkvl6PDYMMtW41T0az4+nMerWewT&#10;n+vekL7UlXT5ny4l99sjOIvddn81ixRRMkfL3mQraMhkfky2O/H+sik+b2VoA/nKW4X3AzS96EJ3&#10;+epX6AZFDkYCg4JbgzebvPjvzHkEF3E1K395SIp05uz+lkFXij3G0KfwH5gfEvih0D+50z9JsiWw&#10;upodZ454e30UfujhUGzvN/AkjzdMlr+H7rfe8o6BXVNIVXVaGGJC1mcfa+C4xVi7LdIUHbAT9A61&#10;m9X2+CnfZsfvHGR+zOLYnzkwmrwojgI+wEX35cONxK4Xwec43KAfe354OtyWD2K4YX+QQww886oa&#10;CPerSrHPYK/1fgf+/i+Xjus8OhGl3D0gsaTxNBoaRsTZOPiCTaGTEY0M2Ri4UY2shxvTyEyCQRMo&#10;4SkNqEGwQCPrEQw86xBu0CkUmUmwWKMhMfMMgnl66/dI5ukW6OOnm8Akm6cbgPjEZE5Pt0CfcLoV&#10;+vjpZjAKpxuBwDRiajndCn3CNSxh5od+66xViW4GL4hMZiW6GXqEI7ol+vjpljC1HMwptQYe8WND&#10;yxHdDH3C6Zbo46dbwiicbobIOB6oboUe2cBF1br2sNPtYBKN6kZgxtFAdRv0iaaboYedbgWjaLoJ&#10;TCOB6u3fJ5huAp0ZRF5qXkg2IhpL5sunrJor4B3M1pDKuHxuPuQlxoE4ccDs81nEkpweZwMDMRgC&#10;iWkV0QBVDzG0NBLzSQ+E6yeGdkTicBBnaCokjgcRo3NGanC+Ij7tF8SrdAT3Ooi80tIbpqZX6ekN&#10;U9SrNPWGqYreD1UFBzdEdvRvnHyYqqRSFTzUIO6VqmSYqqRSlQxTFV0Myi6inLPdi8qeO0xV9BKc&#10;+zBVaaUqHaYqDnXOvaGq0KEarJhXneb5xcyBPP8OGx+SrOSIY1y+xXwEncbM2UDmhkEdfrLPv6Sf&#10;c05zrJM+GfPBA2uCXaYTClYgo0YrKervHHSmELZV3aImkF8RhDXTmlZS1N/RmWKINJSpRnuGKYRK&#10;g5nWtGeY1plyrYr8yon6GA5VAkiK+ju6+hhKDJVUoz3DFEKKwUxr2n6mMHcP5VmT9rOEOXcoy5q0&#10;n6Vs9bq1Jf2JhSSh+BjGCY42gW3IYYejVcvNFOaEaBIORo+4kO45S0y117tEgCRmoGAR499K4QYZ&#10;oimLpNwI1IR/hGTJvMgfKqDABBpUUFcnbuLGN9FNxC4YCW4umLtYXLy/vWYXwa0X+gu6uL5eeE3c&#10;BEGc78dNUPCGeg24xIQJafiHwJKg9S3+0QWzdmONEDKe4B98omoghzrU+KPwj8j3KYNRABMJJJRR&#10;BW/UAAhjQRzyYYJTDXUBBa+GgIQb9TH2VfhH6FI+nHRgQ882mA95lQ8BEx9LNUYCcYLKH2lIAfvo&#10;4tTINQycIIQYwElPM0CcbqEgvFCsMMnoEknPMYyMIPA4y0jPL0yt1AA8vCDwDUI1AA+fdWuHEbeS&#10;irg0MjHTW93ITG/2PmaDGh7DdSVan56DWh+j+UHcdBOYFG0gHRQGj6HVmmCHoYM1kA4auoGJmW4C&#10;z8RMN0Efs0EmaOAcfXoOMgFmGcoEfdx0E5gUbcAcgPSaOm4D5jA0GiYoSjCfhoi6dg3zBsxh4qUb&#10;oI/XIANgcqMk69NykAEaMEcfN90ABj1xxUJJFgSAG3e3GQSnNR0HrTocP9MNgC1vYqYPASMz3QJ9&#10;zAZZgOkW6NNzkAWYPgT6uOkW0BWF4MsCTR1ImgWajLAhjC0EPAAoh3ALU6de4NACTaaG/CFAkxHd&#10;RX+KZlLJfL+Z0GNy8mFWZeATOfkwTA2dHicfhqmhV+PkMonmsouu9h2YGp+CEVPDGcMMqUGSIzq2&#10;CVqAVILLpwgl8iBfBQIhyar5CcSXn8tXHR8aRtV65HKXlylPe2ppBVuMcLmYPjujD0bWTUopoHwV&#10;HGs6kWoZNaofPZhQyiifaNYLAz0uLbjoc3ZyRb9TlJK7fJWGqujO2UA9ejBh68lmvTB+4nqdUwuD&#10;wAah1Ea+Cq0U2Tlh1YMHE0oJ5QPNSmFIwmVVbqjupvLbQlwxOGHUK0r5uXw9oTsnrXr0YMLWk6Ve&#10;0NHPgoZmIMz/EH9YSJ/SIJtEcdR5aLNRziXroOQr9/e2HgqLSLvxQIxUTwDBCB3jswOCnucD4id8&#10;MYtoJOqdmoCgh76aV0TRkMU/FBHkSpoQQU+UHUEQxOdGEyRIRF7YYqWnhUZWelpIQxMrPSmENsDs&#10;F19O5dKzwgr9aUmlZ4Q9rPSU0MRKTweNCmLPUil5DZi15GoAgyYFT4HB0ND0jUooIzO97SEsMTIb&#10;2PoGaLCt6UATGMDBNj/dDiZlT8BBUoEZLWYNcJBFho52ig5WaG+bmz4GzNx0QwA8aOQ20BAnAKFZ&#10;14GGOIEIzfx0Qxi1NWCErbZrYIR+aLDEKUpoGqsNlNDMTbcExH5GbgMtYUAK27oOtIQBK2zz0y1h&#10;1NaAFra4QUinuzCDJU7hwgr7bXPTx4QXmLjploCw1shtoCUMiGFbuoGWMGCGbX66JRraQjxsQUML&#10;GiJEY6vTTmswfwfVaRY0rDfcFWcK8dCBV4V4MOmYUUNVYmoCOCBFELCVRFglriFfJRglyGSSYATZ&#10;ROI1kExJJx8moQ29bFAIoMA7ifKYFMK4ewAOpcjOiqqePJxSynheLUqhGBVRZZj+zsKGMDPrlJK7&#10;fJWWcgXdWXHVs4dTKinlM80Gq/E7ia6bLIZhIdfMl5SSu3wVmim6s/KqZw+nbD3brJmC8CA/67eZ&#10;GKVgM0UpNZKvQjNFd1Ze9ezhlK1nS82+Dz+8WYQLVRlt8UO7n1Lbh/5V27YN+CEkNQI/5Ltp+ZJb&#10;hR1eZ5+KCkkctA9Z2yIJBYJReIoI+voeSem6ZXXgobkZeQdbe/l0KysFcRBVJDgL2yLdrh377c3N&#10;jbb65tpb9L7YKcbb5os7HUW3rPfUi9U0I7D9YzfVM9jji0LApEJI7OP+cGiFGt4OCMUaWIFuA7jt&#10;yyUeQ4c+t7u+0aFPrPbHL/4W7WrPAeg9B+D4dPfEz5sAWLPyy2ePBsjgeBN5MAD0VnEoALwRBwLA&#10;G3EYALwxHQSAfbE8vIfN/7cvvvkfdua1vQLfrjKSV/B8OIYihtZCt0Bd6omKDOsW3Et11kwjRv2+&#10;PSHWLWCF3ZntMbVbUDtBpuYWYPm0FSzwLWcjuQUSuC4NRLURISGUKFUrvGA6fhqPjRZ+5FYx6xa+&#10;yi2oA3Km5hYAn2y5BQ6/juQWaBASWtXKEhIEsW/dwr128hYPLfXjwmy0MH/uw8TqaIEnrDgSpuYW&#10;YEGn5RZ4AfJIboGBVyBY1iOwBUYEdmCTCJtEqOMDIexv5FHjuQU1EqbmFmB9sOUWlI8c4RjPKIR6&#10;WrEHAKAFH1YXLeDIT5+1yAK4BewML+cUVNQ8MaeARbUtp6DyqRGcgheTMIItXCJWYJ4NFTKbQeCZ&#10;yzxSeGGvoCC2qXkFqNFqeQUFvo7gFUgMB/AElVfwAXC0uIL1Cq/FK6j1uKl5BVVJo5UsqJXaEbwC&#10;cxmjrihzJH7E7NqkjRX4/QyvIVbgM9QE0UY8AKUVK+hVdj8/8+0gvucSAocOi5IFLwwtrmBjhVcS&#10;K4izsKfoFToKmcRhKSOtQZAgjsATcKcQ+qF3WqvrRbBcCUsUfPO+LW+c25XJ8VYmYfv8NMsbcfv7&#10;aawgdliO5BW8mLq4txoXJlkUV2f41guTJKBYCG29wtfcgmasurdlTF9TxiSu2ZhirNBRxiQO1H8B&#10;r0AI8U+LG61XaK7V21hhxFhBLcZNDW3sqGISZ7KO7xW82A8YPcEVrFewXuGlipjEDV5TjBU6ipgA&#10;gazSqRHWILQMAq4xikPrFewaxGtZg4DtvNPEFfDguhauMGZpo+4VGO6btLGCXYN4LWsQU61txGMq&#10;W15BpVMjxwpwmDC1XsHGCq8mVphqbSOeX9jyCmPWNmqxQhRFFG6xgKDNLkHYvVEvvzdKXDs+QVgB&#10;z6BuOQW1SjtuqBAQflCkdQp2b9Sr2AVRn0o2sRUI2lHZCIesvgjWSH0fjmCxkYI9XOF1bI1Sw2Bq&#10;PqGjrlFsThprVdILSHUucxRVNw7VyQNlbhzb+qXVra1fkk0w2sEKKlyemkvoWJIU51mP5BLiEHZN&#10;V0WNsU9pdIIowJYpAlulbFGjdQqjOwUFrE3MKWCR8SmgAMjjeLkDcUnMAusV1uvtMr3sPje8cQCR&#10;LWocr6hRLcJNzSt0rEgC9DieV6BuFMpLUuDQdxsrPMK9sxZTeB2YgirYmZpX6FiRBOxxPK/A4JR3&#10;EtlYwcYKeBVCcX93vSuc11KooAbC1LxCx5KkKCAaCVbw4Wa7CDdD4mZJGysUiY0VXo9XUEHz1LxC&#10;x5okXGU9XqwAG6gJ3nUPToFSFsG6JD68XoEAj4FYJB6rIN7Cp3Cs5zdeGmXO0P0P8YcFf/bpoaG7&#10;DOVR103Bx+I3cFXFxxLuH7K7kgfsSj47rMpfHpIilTcvxR5DxEvcvsT8EA//FjcwVZ+IW5iqT0w3&#10;MTkPh2J7vznCNZf8arwsx1uZ1i9+KxOC5y0wTyGbY1QHuXD/WlyNOhJF7ul5iB5gfQSPO7HHmex2&#10;OMQbUewt/4N+qukr7MEFyXZ3k+GNo1pT4DWZvKUGX8skp5+zTuOPdVkb6zjNBC7ThtYcKUKH29li&#10;rAoyT8bUg8XA55+MJ36F73MvsZ8dV5OajDtOC6GqHGmEyZiS0IUzQsSo65qMIW9mPoZDdjK2k3FV&#10;c/DcLkLdejTVw4lZx3EhMAbHm4zh5DDhE/gbeG6dEwduwCI5EdMAinEAbOdB17fmxSq7xeTWeYSE&#10;ibiwkchZJoer2XqXHHn+ZM6eFzH+rWRokOEd5Iuk3Aj8l3+EZMm8yB94pJjMN2myElFjMj9qEWRf&#10;nu3GN9FNxC4YCW4umLtYXLy/vWYXwa0X+gu6uL5eeL+hzB6bb7arVZphpYrztN9l5Rx+eTXbHI+H&#10;cxfDP/sqP6QPEkXg14XjrfEi2vu9TNEg9nIO/3iAf18kh812uUiOif4zvH88zFOSb/LdKi3e/V8A&#10;AAAA//8DAFBLAwQUAAYACAAAACEAvKuaxtwAAAAFAQAADwAAAGRycy9kb3ducmV2LnhtbEyPwU7D&#10;MBBE70j8g7VI3KhD1YY0xKnaIgQSp5ZeuG3iJYlqr6PYbcLfY7jAZaXRjGbeFuvJGnGhwXeOFdzP&#10;EhDEtdMdNwqO7893GQgfkDUax6Tgizysy+urAnPtRt7T5RAaEUvY56igDaHPpfR1Sxb9zPXE0ft0&#10;g8UQ5dBIPeAYy62R8yRJpcWO40KLPe1aqk+Hs1WQnp6a4+t+WoxhK03FtFy9vXwodXszbR5BBJrC&#10;Xxh+8CM6lJGpcmfWXhgF8ZHwe6OXPWQrEJWC5TxNQJaF/E9ffgMAAP//AwBQSwECLQAUAAYACAAA&#10;ACEAtoM4kv4AAADhAQAAEwAAAAAAAAAAAAAAAAAAAAAAW0NvbnRlbnRfVHlwZXNdLnhtbFBLAQIt&#10;ABQABgAIAAAAIQA4/SH/1gAAAJQBAAALAAAAAAAAAAAAAAAAAC8BAABfcmVscy8ucmVsc1BLAQIt&#10;ABQABgAIAAAAIQD4hL9qDBEAAG2+AAAOAAAAAAAAAAAAAAAAAC4CAABkcnMvZTJvRG9jLnhtbFBL&#10;AQItABQABgAIAAAAIQC8q5rG3AAAAAUBAAAPAAAAAAAAAAAAAAAAAGYTAABkcnMvZG93bnJldi54&#10;bWxQSwUGAAAAAAQABADzAAAA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810;height:33394;visibility:visible;mso-wrap-style:square">
                  <v:fill o:detectmouseclick="t"/>
                  <v:path o:connecttype="none"/>
                </v:shape>
                <v:rect id="Rectangle 5" o:spid="_x0000_s1029" style="position:absolute;width:55753;height:33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shape id="Freeform 6" o:spid="_x0000_s1030" style="position:absolute;left:5949;top:1898;width:52902;height:24016;visibility:visible;mso-wrap-style:square;v-text-anchor:top" coordsize="8331,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HLS74A&#10;AADaAAAADwAAAGRycy9kb3ducmV2LnhtbERPTYvCMBC9C/6HMMLebKqwu7UaRQRB8LBYvXgbmrEN&#10;NpPSxLb77zeHBY+P973ZjbYRPXXeOFawSFIQxKXThisFt+txnoHwAVlj45gU/JKH3XY62WCu3cAX&#10;6otQiRjCPkcFdQhtLqUva7LoE9cSR+7hOoshwq6SusMhhttGLtP0S1o0HBtqbOlQU/ksXlbB2Nrh&#10;M7ufH1nx3Z8RVwWbH6PUx2zcr0EEGsNb/O8+aQVxa7wSb4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y0u+AAAA2gAAAA8AAAAAAAAAAAAAAAAAmAIAAGRycy9kb3ducmV2&#10;LnhtbFBLBQYAAAAABAAEAPUAAACDAwAAAAA=&#10;" path="m,3782r8331,m,3363r8331,m,2941r8331,m,2522r8331,m,2100r8331,m,1681r8331,m,1259r8331,m,841r8331,m,422r8331,m,l8331,e" filled="f" strokecolor="#d9d9d9" strokeweight=".95pt">
                  <v:path arrowok="t" o:connecttype="custom" o:connectlocs="0,2401570;5290185,2401570;0,2135505;5290185,2135505;0,1867535;5290185,1867535;0,1601470;5290185,1601470;0,1333500;5290185,1333500;0,1067435;5290185,1067435;0,799465;5290185,799465;0,534035;5290185,534035;0,267970;5290185,267970;0,0;5290185,0" o:connectangles="0,0,0,0,0,0,0,0,0,0,0,0,0,0,0,0,0,0,0,0"/>
                  <o:lock v:ext="edit" verticies="t"/>
                </v:shape>
                <v:shape id="Freeform 7" o:spid="_x0000_s1031" style="position:absolute;left:8553;top:25285;width:44698;height:3302;visibility:visible;mso-wrap-style:square;v-text-anchor:top" coordsize="703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gIacAA&#10;AADaAAAADwAAAGRycy9kb3ducmV2LnhtbESPQWsCMRSE7wX/Q3iCt5p1kVK3RhFB0FPptpfeHpvX&#10;zbablyV56vrvTaHQ4zAz3zDr7eh7daGYusAGFvMCFHETbMetgY/3w+MzqCTIFvvAZOBGCbabycMa&#10;Kxuu/EaXWlqVIZwqNOBEhkrr1DjymOZhIM7eV4geJcvYahvxmuG+12VRPGmPHecFhwPtHTU/9dkb&#10;+BZcjrF0LpaaXxe1fK7EnoyZTcfdCyihUf7Df+2jNbCC3yv5Bu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gIacAAAADaAAAADwAAAAAAAAAAAAAAAACYAgAAZHJzL2Rvd25y&#10;ZXYueG1sUEsFBgAAAAAEAAQA9QAAAIUDAAAAAA==&#10;" path="m,45r373,l373,520,,520,,45xm1665,54r373,l2038,520r-373,l1665,54xm3330,10r376,l3706,520r-376,l3330,10xm4998,r373,l5371,520r-373,l4998,xm6663,41r376,l7039,520r-376,l6663,41xe" fillcolor="#5b9bd5" stroked="f">
                  <v:path arrowok="t" o:connecttype="custom" o:connectlocs="0,28575;236855,28575;236855,330200;0,330200;0,28575;1057275,34290;1294130,34290;1294130,330200;1057275,330200;1057275,34290;2114550,6350;2353310,6350;2353310,330200;2114550,330200;2114550,6350;3173730,0;3410585,0;3410585,330200;3173730,330200;3173730,0;4231005,26035;4469765,26035;4469765,330200;4231005,330200;4231005,26035" o:connectangles="0,0,0,0,0,0,0,0,0,0,0,0,0,0,0,0,0,0,0,0,0,0,0,0,0"/>
                  <o:lock v:ext="edit" verticies="t"/>
                </v:shape>
                <v:shape id="Freeform 8" o:spid="_x0000_s1032" style="position:absolute;left:11569;top:4838;width:44692;height:23749;visibility:visible;mso-wrap-style:square;v-text-anchor:top" coordsize="7038,3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HMMA&#10;AADbAAAADwAAAGRycy9kb3ducmV2LnhtbESP3WrCQBCF7wu+wzJC7+ombRGJrmIKgi0I/j3AkB2T&#10;YHY2ZleNb9+5ELyb4Zw555vZoneNulEXas8G0lECirjwtubSwPGw+piAChHZYuOZDDwowGI+eJth&#10;Zv2dd3Tbx1JJCIcMDVQxtpnWoajIYRj5lli0k+8cRlm7UtsO7xLuGv2ZJGPtsGZpqLCln4qK8/7q&#10;DHyfCR9/2/YrT39POh1v8vXxkhvzPuyXU1CR+vgyP6/XVvCFXn6RA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aHMMAAADbAAAADwAAAAAAAAAAAAAAAACYAgAAZHJzL2Rv&#10;d25yZXYueG1sUEsFBgAAAAAEAAQA9QAAAIgDAAAAAA==&#10;" path="m,13r372,l372,3740,,3740,,13xm1665,r372,l2037,3740r-372,l1665,xm3329,48r376,l3705,3740r-376,l3329,48xm4998,57r372,l5370,3740r-372,l4998,57xm6663,16r375,l7038,3740r-375,l6663,16xe" fillcolor="#ed7d31" stroked="f">
                  <v:path arrowok="t" o:connecttype="custom" o:connectlocs="0,8255;236220,8255;236220,2374900;0,2374900;0,8255;1057275,0;1293495,0;1293495,2374900;1057275,2374900;1057275,0;2113915,30480;2352675,30480;2352675,2374900;2113915,2374900;2113915,30480;3173730,36195;3409950,36195;3409950,2374900;3173730,2374900;3173730,36195;4231005,10160;4469130,10160;4469130,2374900;4231005,2374900;4231005,10160" o:connectangles="0,0,0,0,0,0,0,0,0,0,0,0,0,0,0,0,0,0,0,0,0,0,0,0,0"/>
                  <o:lock v:ext="edit" verticies="t"/>
                </v:shape>
                <v:line id="Line 9" o:spid="_x0000_s1033" style="position:absolute;visibility:visible;mso-wrap-style:square" from="5949,28587" to="58851,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3VcEAAADbAAAADwAAAGRycy9kb3ducmV2LnhtbERPS2sCMRC+F/wPYQRvNVHpw9UopbrQ&#10;o90Weh0242ZxM1k20V399U1B6G0+vuest4NrxIW6UHvWMJsqEMSlNzVXGr6/8sdXECEiG2w8k4Yr&#10;BdhuRg9rzIzv+ZMuRaxECuGQoQYbY5tJGUpLDsPUt8SJO/rOYUywq6TpsE/hrpFzpZ6lw5pTg8WW&#10;3i2Vp+LsNLzkV3Wwy93cGLpV/dPPye9zpfVkPLytQEQa4r/47v4waf4C/n5J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4HdVwQAAANsAAAAPAAAAAAAAAAAAAAAA&#10;AKECAABkcnMvZG93bnJldi54bWxQSwUGAAAAAAQABAD5AAAAjwMAAAAA&#10;" strokecolor="#d9d9d9" strokeweight=".95pt"/>
                <v:rect id="Rectangle 10" o:spid="_x0000_s1034" style="position:absolute;left:4986;top:22955;width:62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C3398C" w:rsidRDefault="00C3398C" w:rsidP="00C3398C">
                        <w:r>
                          <w:rPr>
                            <w:rFonts w:ascii="Calibri" w:hAnsi="Calibri" w:cs="Calibri"/>
                            <w:color w:val="404040"/>
                            <w:sz w:val="24"/>
                            <w:szCs w:val="24"/>
                            <w:lang w:val="en-US"/>
                          </w:rPr>
                          <w:t>%11</w:t>
                        </w:r>
                      </w:p>
                    </w:txbxContent>
                  </v:textbox>
                </v:rect>
                <v:rect id="Rectangle 11" o:spid="_x0000_s1035" style="position:absolute;left:15494;top:23031;width:623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C3398C" w:rsidRDefault="00C3398C" w:rsidP="00C3398C">
                        <w:r>
                          <w:rPr>
                            <w:rFonts w:ascii="Calibri" w:hAnsi="Calibri" w:cs="Calibri"/>
                            <w:color w:val="404040"/>
                            <w:sz w:val="24"/>
                            <w:szCs w:val="24"/>
                            <w:lang w:val="en-US"/>
                          </w:rPr>
                          <w:t>%11</w:t>
                        </w:r>
                      </w:p>
                    </w:txbxContent>
                  </v:textbox>
                </v:rect>
                <v:rect id="Rectangle 12" o:spid="_x0000_s1036" style="position:absolute;left:26003;top:22733;width:623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C3398C" w:rsidRDefault="00C3398C" w:rsidP="00C3398C">
                        <w:r>
                          <w:rPr>
                            <w:rFonts w:ascii="Calibri" w:hAnsi="Calibri" w:cs="Calibri"/>
                            <w:color w:val="404040"/>
                            <w:sz w:val="24"/>
                            <w:szCs w:val="24"/>
                            <w:lang w:val="en-US"/>
                          </w:rPr>
                          <w:t>%12</w:t>
                        </w:r>
                      </w:p>
                    </w:txbxContent>
                  </v:textbox>
                </v:rect>
                <v:rect id="Rectangle 13" o:spid="_x0000_s1037" style="position:absolute;left:36723;top:22669;width:623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C3398C" w:rsidRDefault="00C3398C" w:rsidP="00C3398C">
                        <w:r>
                          <w:rPr>
                            <w:rFonts w:ascii="Calibri" w:hAnsi="Calibri" w:cs="Calibri"/>
                            <w:color w:val="404040"/>
                            <w:sz w:val="24"/>
                            <w:szCs w:val="24"/>
                            <w:lang w:val="en-US"/>
                          </w:rPr>
                          <w:t>%12</w:t>
                        </w:r>
                      </w:p>
                    </w:txbxContent>
                  </v:textbox>
                </v:rect>
                <v:rect id="Rectangle 14" o:spid="_x0000_s1038" style="position:absolute;left:47232;top:22942;width:623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C3398C" w:rsidRDefault="00C3398C" w:rsidP="00C3398C">
                        <w:r>
                          <w:rPr>
                            <w:rFonts w:ascii="Calibri" w:hAnsi="Calibri" w:cs="Calibri"/>
                            <w:color w:val="404040"/>
                            <w:sz w:val="24"/>
                            <w:szCs w:val="24"/>
                            <w:lang w:val="en-US"/>
                          </w:rPr>
                          <w:t>%11</w:t>
                        </w:r>
                      </w:p>
                    </w:txbxContent>
                  </v:textbox>
                </v:rect>
                <v:rect id="Rectangle 15" o:spid="_x0000_s1039" style="position:absolute;left:8769;top:2305;width:623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C3398C" w:rsidRDefault="00C3398C" w:rsidP="00C3398C">
                        <w:r>
                          <w:rPr>
                            <w:rFonts w:ascii="Calibri" w:hAnsi="Calibri" w:cs="Calibri"/>
                            <w:color w:val="404040"/>
                            <w:sz w:val="24"/>
                            <w:szCs w:val="24"/>
                            <w:lang w:val="en-US"/>
                          </w:rPr>
                          <w:t>%89</w:t>
                        </w:r>
                      </w:p>
                    </w:txbxContent>
                  </v:textbox>
                </v:rect>
                <v:rect id="Rectangle 16" o:spid="_x0000_s1040" style="position:absolute;left:19278;top:2241;width:623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C3398C" w:rsidRDefault="00C3398C" w:rsidP="00C3398C">
                        <w:r>
                          <w:rPr>
                            <w:rFonts w:ascii="Calibri" w:hAnsi="Calibri" w:cs="Calibri"/>
                            <w:color w:val="404040"/>
                            <w:sz w:val="24"/>
                            <w:szCs w:val="24"/>
                            <w:lang w:val="en-US"/>
                          </w:rPr>
                          <w:t>%89</w:t>
                        </w:r>
                      </w:p>
                    </w:txbxContent>
                  </v:textbox>
                </v:rect>
                <v:rect id="Rectangle 17" o:spid="_x0000_s1041" style="position:absolute;left:29857;top:2527;width:623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3398C" w:rsidRDefault="00C3398C" w:rsidP="00C3398C">
                        <w:r>
                          <w:rPr>
                            <w:rFonts w:ascii="Calibri" w:hAnsi="Calibri" w:cs="Calibri"/>
                            <w:color w:val="404040"/>
                            <w:sz w:val="24"/>
                            <w:szCs w:val="24"/>
                            <w:lang w:val="en-US"/>
                          </w:rPr>
                          <w:t>%88</w:t>
                        </w:r>
                      </w:p>
                    </w:txbxContent>
                  </v:textbox>
                </v:rect>
                <v:rect id="Rectangle 18" o:spid="_x0000_s1042" style="position:absolute;left:40443;top:2584;width:623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C3398C" w:rsidRDefault="00C3398C" w:rsidP="00C3398C">
                        <w:r>
                          <w:rPr>
                            <w:rFonts w:ascii="Calibri" w:hAnsi="Calibri" w:cs="Calibri"/>
                            <w:color w:val="404040"/>
                            <w:sz w:val="24"/>
                            <w:szCs w:val="24"/>
                            <w:lang w:val="en-US"/>
                          </w:rPr>
                          <w:t>%88</w:t>
                        </w:r>
                      </w:p>
                    </w:txbxContent>
                  </v:textbox>
                </v:rect>
                <v:rect id="Rectangle 19" o:spid="_x0000_s1043" style="position:absolute;left:51022;top:2317;width:623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3398C" w:rsidRDefault="00C3398C" w:rsidP="00C3398C">
                        <w:r>
                          <w:rPr>
                            <w:rFonts w:ascii="Calibri" w:hAnsi="Calibri" w:cs="Calibri"/>
                            <w:color w:val="404040"/>
                            <w:sz w:val="24"/>
                            <w:szCs w:val="24"/>
                            <w:lang w:val="en-US"/>
                          </w:rPr>
                          <w:t>%89</w:t>
                        </w:r>
                      </w:p>
                    </w:txbxContent>
                  </v:textbox>
                </v:rect>
                <v:rect id="Rectangle 20" o:spid="_x0000_s1044" style="position:absolute;left:2698;top:27571;width:1867;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%0</w:t>
                        </w:r>
                      </w:p>
                    </w:txbxContent>
                  </v:textbox>
                </v:rect>
                <v:rect id="Rectangle 21" o:spid="_x0000_s1045" style="position:absolute;left:1930;top:24892;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%10</w:t>
                        </w:r>
                      </w:p>
                    </w:txbxContent>
                  </v:textbox>
                </v:rect>
                <v:rect id="Rectangle 22" o:spid="_x0000_s1046" style="position:absolute;left:1930;top:22225;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w:t>
                        </w:r>
                      </w:p>
                    </w:txbxContent>
                  </v:textbox>
                </v:rect>
                <v:rect id="Rectangle 23" o:spid="_x0000_s1047" style="position:absolute;left:1930;top:19564;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%30</w:t>
                        </w:r>
                      </w:p>
                    </w:txbxContent>
                  </v:textbox>
                </v:rect>
                <v:rect id="Rectangle 24" o:spid="_x0000_s1048" style="position:absolute;left:1930;top:16897;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%40</w:t>
                        </w:r>
                      </w:p>
                    </w:txbxContent>
                  </v:textbox>
                </v:rect>
                <v:rect id="Rectangle 25" o:spid="_x0000_s1049" style="position:absolute;left:1930;top:14230;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%50</w:t>
                        </w:r>
                      </w:p>
                    </w:txbxContent>
                  </v:textbox>
                </v:rect>
                <v:rect id="Rectangle 26" o:spid="_x0000_s1050" style="position:absolute;left:1930;top:11563;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%60</w:t>
                        </w:r>
                      </w:p>
                    </w:txbxContent>
                  </v:textbox>
                </v:rect>
                <v:rect id="Rectangle 27" o:spid="_x0000_s1051" style="position:absolute;left:1930;top:8883;width:263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%70</w:t>
                        </w:r>
                      </w:p>
                    </w:txbxContent>
                  </v:textbox>
                </v:rect>
                <v:rect id="Rectangle 28" o:spid="_x0000_s1052" style="position:absolute;left:1930;top:6216;width:263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%80</w:t>
                        </w:r>
                      </w:p>
                    </w:txbxContent>
                  </v:textbox>
                </v:rect>
                <v:rect id="Rectangle 29" o:spid="_x0000_s1053" style="position:absolute;left:1930;top:3556;width:263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%90</w:t>
                        </w:r>
                      </w:p>
                    </w:txbxContent>
                  </v:textbox>
                </v:rect>
                <v:rect id="Rectangle 30" o:spid="_x0000_s1054" style="position:absolute;left:1162;top:889;width:3410;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%100</w:t>
                        </w:r>
                      </w:p>
                    </w:txbxContent>
                  </v:textbox>
                </v:rect>
                <v:rect id="Rectangle 31" o:spid="_x0000_s1055" style="position:absolute;left:9715;top:29533;width:3092;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2015</w:t>
                        </w:r>
                      </w:p>
                    </w:txbxContent>
                  </v:textbox>
                </v:rect>
                <v:rect id="Rectangle 32" o:spid="_x0000_s1056" style="position:absolute;left:20294;top:29533;width:309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2016</w:t>
                        </w:r>
                      </w:p>
                    </w:txbxContent>
                  </v:textbox>
                </v:rect>
                <v:rect id="Rectangle 33" o:spid="_x0000_s1057" style="position:absolute;left:30873;top:29533;width:309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2017</w:t>
                        </w:r>
                      </w:p>
                    </w:txbxContent>
                  </v:textbox>
                </v:rect>
                <v:rect id="Rectangle 34" o:spid="_x0000_s1058" style="position:absolute;left:41452;top:29533;width:309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2018</w:t>
                        </w:r>
                      </w:p>
                    </w:txbxContent>
                  </v:textbox>
                </v:rect>
                <v:rect id="Rectangle 35" o:spid="_x0000_s1059" style="position:absolute;left:52038;top:29533;width:3092;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C3398C" w:rsidRDefault="00C3398C" w:rsidP="00C3398C">
                        <w:pPr>
                          <w:ind w:firstLine="0"/>
                        </w:pPr>
                        <w:r>
                          <w:rPr>
                            <w:rFonts w:ascii="Calibri" w:hAnsi="Calibri" w:cs="Calibri"/>
                            <w:color w:val="595959"/>
                            <w:sz w:val="24"/>
                            <w:szCs w:val="24"/>
                            <w:lang w:val="en-US"/>
                          </w:rPr>
                          <w:t>2019</w:t>
                        </w:r>
                      </w:p>
                    </w:txbxContent>
                  </v:textbox>
                </v:rect>
                <v:rect id="Rectangle 36" o:spid="_x0000_s1060" style="position:absolute;left:9302;top:33483;width:825;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7LcMA&#10;AADbAAAADwAAAGRycy9kb3ducmV2LnhtbESPT4vCMBTE74LfIbyFvWm6IlaqUVQQdg8u+Pf8aJ5N&#10;sXkpTdS6n94sCB6HmfkNM523thI3anzpWMFXPwFBnDtdcqHgsF/3xiB8QNZYOSYFD/Iwn3U7U8y0&#10;u/OWbrtQiAhhn6ECE0KdSelzQxZ939XE0Tu7xmKIsimkbvAe4baSgyQZSYslxwWDNa0M5Zfd1SpY&#10;F79yxMd0+bMxy0e1+Ev3p2Oq1OdHu5iACNSGd/jV/tYKhkP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47LcMAAADbAAAADwAAAAAAAAAAAAAAAACYAgAAZHJzL2Rv&#10;d25yZXYueG1sUEsFBgAAAAAEAAQA9QAAAIgDAAAAAA==&#10;" fillcolor="#5b9bd5" stroked="f"/>
                <v:rect id="Rectangle 37" o:spid="_x0000_s1061" style="position:absolute;left:10495;top:32880;width:19463;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C3398C" w:rsidRDefault="00C3398C" w:rsidP="00C3398C">
                        <w:pPr>
                          <w:ind w:firstLine="0"/>
                        </w:pPr>
                        <w:proofErr w:type="spellStart"/>
                        <w:r>
                          <w:rPr>
                            <w:rFonts w:ascii="Calibri" w:hAnsi="Calibri" w:cs="Calibri"/>
                            <w:color w:val="595959"/>
                            <w:sz w:val="24"/>
                            <w:szCs w:val="24"/>
                            <w:lang w:val="en-US"/>
                          </w:rPr>
                          <w:t>Estatuak</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finantzaturiko</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gastuak</w:t>
                        </w:r>
                        <w:proofErr w:type="spellEnd"/>
                      </w:p>
                    </w:txbxContent>
                  </v:textbox>
                </v:rect>
                <v:rect id="Rectangle 38" o:spid="_x0000_s1062" style="position:absolute;left:31496;top:33483;width:831;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Fwi8IA&#10;AADbAAAADwAAAGRycy9kb3ducmV2LnhtbESPT4vCMBTE74LfITzBmyYrIks1lWVVEA+CWjw/mtc/&#10;bPNSmqjVT79ZEPY4zMxvmNW6t424U+drxxo+pgoEce5MzaWG7LKbfILwAdlg45g0PMnDOh0OVpgY&#10;9+AT3c+hFBHCPkENVQhtIqXPK7Lop64ljl7hOoshyq6UpsNHhNtGzpRaSIs1x4UKW/quKP8536yG&#10;/dzzJttQ4bfq8Dper6o9mkzr8aj/WoII1If/8Lu9NxrmC/j7En+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XCLwgAAANsAAAAPAAAAAAAAAAAAAAAAAJgCAABkcnMvZG93&#10;bnJldi54bWxQSwUGAAAAAAQABAD1AAAAhwMAAAAA&#10;" fillcolor="#ed7d31" stroked="f"/>
                <v:rect id="Rectangle 39" o:spid="_x0000_s1063" style="position:absolute;left:32702;top:32880;width:2034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C3398C" w:rsidRDefault="00C3398C" w:rsidP="00C3398C">
                        <w:pPr>
                          <w:ind w:firstLine="0"/>
                        </w:pPr>
                        <w:proofErr w:type="spellStart"/>
                        <w:r>
                          <w:rPr>
                            <w:rFonts w:ascii="Calibri" w:hAnsi="Calibri" w:cs="Calibri"/>
                            <w:color w:val="595959"/>
                            <w:sz w:val="24"/>
                            <w:szCs w:val="24"/>
                            <w:lang w:val="en-US"/>
                          </w:rPr>
                          <w:t>Nafarroak</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finantzaturiko</w:t>
                        </w:r>
                        <w:proofErr w:type="spellEnd"/>
                        <w:r>
                          <w:rPr>
                            <w:rFonts w:ascii="Calibri" w:hAnsi="Calibri" w:cs="Calibri"/>
                            <w:color w:val="595959"/>
                            <w:sz w:val="24"/>
                            <w:szCs w:val="24"/>
                            <w:lang w:val="en-US"/>
                          </w:rPr>
                          <w:t xml:space="preserve"> </w:t>
                        </w:r>
                        <w:proofErr w:type="spellStart"/>
                        <w:r>
                          <w:rPr>
                            <w:rFonts w:ascii="Calibri" w:hAnsi="Calibri" w:cs="Calibri"/>
                            <w:color w:val="595959"/>
                            <w:sz w:val="24"/>
                            <w:szCs w:val="24"/>
                            <w:lang w:val="en-US"/>
                          </w:rPr>
                          <w:t>gastuak</w:t>
                        </w:r>
                        <w:proofErr w:type="spellEnd"/>
                      </w:p>
                    </w:txbxContent>
                  </v:textbox>
                </v:rect>
                <v:rect id="Rectangle 40" o:spid="_x0000_s1064" style="position:absolute;left:63;top:63;width:60649;height:3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YW8IA&#10;AADbAAAADwAAAGRycy9kb3ducmV2LnhtbERPy2rCQBTdF/oPwy10U3TSYiXETEQsKd36QtxdM7dJ&#10;auZOmBk1+vWdRaHLw3nn88F04kLOt5YVvI4TEMSV1S3XCrabcpSC8AFZY2eZFNzIw7x4fMgx0/bK&#10;K7qsQy1iCPsMFTQh9JmUvmrIoB/bnjhy39YZDBG6WmqH1xhuOvmWJFNpsOXY0GBPy4aq0/psFBw+&#10;Vun587R37z/H4WWyw/Ieyk6p56dhMQMRaAj/4j/3l1YwiWPjl/g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ZhbwgAAANsAAAAPAAAAAAAAAAAAAAAAAJgCAABkcnMvZG93&#10;bnJldi54bWxQSwUGAAAAAAQABAD1AAAAhwMAAAAA&#10;" filled="f" strokecolor="#d9d9d9" strokeweight=".95pt">
                  <v:stroke joinstyle="round"/>
                </v:rect>
                <w10:anchorlock/>
              </v:group>
            </w:pict>
          </mc:Fallback>
        </mc:AlternateConten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after="240"/>
        <w:rPr>
          <w:rFonts w:cs="Arial"/>
        </w:rPr>
      </w:pPr>
      <w:r>
        <w:t xml:space="preserve">Ikusten denez, maila gehigarriari dagokion gastuak guztizkoaren ehuneko 89 inguru egiten du, eta gutxieneko mailarenak, gainerako ehuneko 11. </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Gizarte Zerbitzuen Zorroko prestazioen onuradunengandik 2019an held</w:t>
      </w:r>
      <w:r>
        <w:t>u</w:t>
      </w:r>
      <w:r>
        <w:t xml:space="preserve">tako diru-sarrerak 42,28 milioikoak dira. Horrek esan nahi du ehuneko 4ko eta </w:t>
      </w:r>
      <w:bookmarkStart w:id="15" w:name="_GoBack"/>
      <w:bookmarkEnd w:id="15"/>
      <w:r>
        <w:t xml:space="preserve">ehuneko 27ko gehikuntza izan dutela 2018koen eta 2013koen aldean. </w:t>
      </w:r>
    </w:p>
    <w:p w:rsidR="0084609D" w:rsidRDefault="0084609D" w:rsidP="00361EC0">
      <w:pPr>
        <w:pStyle w:val="texto"/>
        <w:tabs>
          <w:tab w:val="clear" w:pos="2835"/>
          <w:tab w:val="clear" w:pos="3969"/>
          <w:tab w:val="clear" w:pos="5103"/>
          <w:tab w:val="clear" w:pos="6237"/>
          <w:tab w:val="clear" w:pos="7371"/>
          <w:tab w:val="left" w:pos="480"/>
          <w:tab w:val="num" w:pos="1948"/>
        </w:tabs>
        <w:rPr>
          <w:rFonts w:cs="Arial"/>
        </w:rPr>
      </w:pPr>
      <w:r>
        <w:t xml:space="preserve">Jada lehenago ere adierazi dugun bezala, ezinezkoa zaigu identifikatzea zer kopuru den mendeko pertsonei dagokiena; dena </w:t>
      </w:r>
      <w:proofErr w:type="spellStart"/>
      <w:r>
        <w:t>den</w:t>
      </w:r>
      <w:proofErr w:type="spellEnd"/>
      <w:r>
        <w:t>, pentsatzekoa da kopuru muntaduna izanen dela, mendeko pertsonek guztizko kopuruaren gain egiten duten portzentajea kontuan harturik.</w:t>
      </w:r>
    </w:p>
    <w:p w:rsidR="0084609D" w:rsidRPr="004D0FE5"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Estatuarengandiko finantzaketa, zeina 2019an 14,55 milioikoa izatera iritsi baitzen, osaturik dago parte finko batekin, </w:t>
      </w:r>
      <w:proofErr w:type="spellStart"/>
      <w:r>
        <w:t>onuradun-kopuruaren</w:t>
      </w:r>
      <w:proofErr w:type="spellEnd"/>
      <w:r>
        <w:t xml:space="preserve"> eta mendek</w:t>
      </w:r>
      <w:r>
        <w:t>o</w:t>
      </w:r>
      <w:r>
        <w:t>tasun-mailaren arabera kalkulatua, eta aldakorra den beste parte batekin, aut</w:t>
      </w:r>
      <w:r>
        <w:t>o</w:t>
      </w:r>
      <w:r>
        <w:t>nomia erkidegoen arteko banatze-koefiziente baten bidez zehaztua. Koefiziente horrek aintzat hartzen ditu autonomia erkidegoek eskainitako prestazioen kop</w:t>
      </w:r>
      <w:r>
        <w:t>u</w:t>
      </w:r>
      <w:r>
        <w:t xml:space="preserve">rua eta mota, eta gaur den egunean nagusi dira ez diru-prestazioak, baizik eta zerbitzuak. </w:t>
      </w:r>
    </w:p>
    <w:p w:rsidR="0084609D" w:rsidRDefault="0011674A" w:rsidP="0084609D">
      <w:pPr>
        <w:pStyle w:val="texto"/>
        <w:tabs>
          <w:tab w:val="clear" w:pos="2835"/>
          <w:tab w:val="clear" w:pos="3969"/>
          <w:tab w:val="clear" w:pos="5103"/>
          <w:tab w:val="clear" w:pos="6237"/>
          <w:tab w:val="clear" w:pos="7371"/>
          <w:tab w:val="left" w:pos="480"/>
          <w:tab w:val="num" w:pos="1948"/>
        </w:tabs>
        <w:rPr>
          <w:szCs w:val="26"/>
        </w:rPr>
      </w:pPr>
      <w:r>
        <w:t xml:space="preserve">Estatuaren irizpide hori </w:t>
      </w:r>
      <w:proofErr w:type="spellStart"/>
      <w:r>
        <w:t>PAGNAk</w:t>
      </w:r>
      <w:proofErr w:type="spellEnd"/>
      <w:r>
        <w:t xml:space="preserve"> gaur egun aukeratu duen ereduaren ald</w:t>
      </w:r>
      <w:r>
        <w:t>e</w:t>
      </w:r>
      <w:r>
        <w:t>rantzizkoa da, eredu horrek aldarrikatzen duelako kasuko pertsona ahal den denbora luzeenaz egon dadila bere familiarekin; ondorioz, Estatuarengandiko finantzaketa Nafarroan ez da beste erkidego batzuetako neurri berean igo.</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Azterturiko aldian, prestazioen onuradunengandiko diru-sarrerak ehuneko 75 ingurukoak dira (guztizkoa aintzat hartuz), eta Estatuarengandikoak, eh</w:t>
      </w:r>
      <w:r>
        <w:t>u</w:t>
      </w:r>
      <w:r>
        <w:t>neko 25ekoak, honako grafiko honek erakusten duen bezala:</w:t>
      </w:r>
    </w:p>
    <w:p w:rsidR="0084609D" w:rsidRPr="006D15FF"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ind w:left="-142" w:firstLine="0"/>
        <w:rPr>
          <w:rFonts w:cs="Arial"/>
          <w:color w:val="FF0000"/>
        </w:rPr>
      </w:pPr>
      <w:r>
        <w:rPr>
          <w:noProof/>
          <w:lang w:val="es-ES" w:eastAsia="es-ES"/>
        </w:rPr>
        <w:drawing>
          <wp:inline distT="0" distB="0" distL="0" distR="0" wp14:anchorId="2831EF0A" wp14:editId="1EAC0879">
            <wp:extent cx="5848350" cy="3533775"/>
            <wp:effectExtent l="0" t="0" r="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609D" w:rsidRDefault="0084609D" w:rsidP="008460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Mendekotasunaren balorazioan diharduen </w:t>
      </w:r>
      <w:proofErr w:type="spellStart"/>
      <w:r>
        <w:rPr>
          <w:rFonts w:ascii="Arial" w:hAnsi="Arial"/>
          <w:i/>
          <w:iCs/>
          <w:color w:val="000000"/>
          <w:sz w:val="25"/>
          <w:szCs w:val="26"/>
        </w:rPr>
        <w:t>PAGNAko</w:t>
      </w:r>
      <w:proofErr w:type="spellEnd"/>
      <w:r>
        <w:rPr>
          <w:rFonts w:ascii="Arial" w:hAnsi="Arial"/>
          <w:i/>
          <w:iCs/>
          <w:color w:val="000000"/>
          <w:sz w:val="25"/>
          <w:szCs w:val="26"/>
        </w:rPr>
        <w:t xml:space="preserve"> langileria</w:t>
      </w:r>
    </w:p>
    <w:p w:rsidR="0084609D" w:rsidRDefault="0084609D" w:rsidP="0084609D">
      <w:pPr>
        <w:pStyle w:val="texto"/>
        <w:spacing w:before="120" w:after="240"/>
      </w:pPr>
      <w:r>
        <w:t xml:space="preserve">2019an 60 profesionalek ziharduten </w:t>
      </w:r>
      <w:proofErr w:type="spellStart"/>
      <w:r>
        <w:t>PAGNAn</w:t>
      </w:r>
      <w:proofErr w:type="spellEnd"/>
      <w:r>
        <w:t xml:space="preserve"> </w:t>
      </w:r>
      <w:proofErr w:type="spellStart"/>
      <w:r>
        <w:t>mendekotasunaren-balorazioan</w:t>
      </w:r>
      <w:proofErr w:type="spellEnd"/>
      <w:r>
        <w:t>, eta horietatik 52 ziren emakumezkoak, eta zortzi gizonezkoak, j</w:t>
      </w:r>
      <w:r>
        <w:t>a</w:t>
      </w:r>
      <w:r>
        <w:t>rraian erakusten den bezalaxe:</w:t>
      </w:r>
    </w:p>
    <w:tbl>
      <w:tblPr>
        <w:tblW w:w="8722"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370"/>
        <w:gridCol w:w="489"/>
        <w:gridCol w:w="489"/>
        <w:gridCol w:w="489"/>
        <w:gridCol w:w="490"/>
        <w:gridCol w:w="490"/>
        <w:gridCol w:w="490"/>
        <w:gridCol w:w="490"/>
        <w:gridCol w:w="490"/>
        <w:gridCol w:w="490"/>
        <w:gridCol w:w="490"/>
        <w:gridCol w:w="490"/>
        <w:gridCol w:w="490"/>
        <w:gridCol w:w="490"/>
      </w:tblGrid>
      <w:tr w:rsidR="00A4191C" w:rsidRPr="00B55AF1" w:rsidTr="00133AD7">
        <w:trPr>
          <w:trHeight w:val="227"/>
          <w:jc w:val="center"/>
        </w:trPr>
        <w:tc>
          <w:tcPr>
            <w:tcW w:w="1985" w:type="dxa"/>
            <w:tcBorders>
              <w:top w:val="single" w:sz="4" w:space="0" w:color="auto"/>
              <w:bottom w:val="nil"/>
              <w:right w:val="nil"/>
            </w:tcBorders>
            <w:shd w:val="clear" w:color="auto" w:fill="8DB3E2" w:themeFill="text2" w:themeFillTint="66"/>
            <w:noWrap/>
            <w:vAlign w:val="center"/>
          </w:tcPr>
          <w:p w:rsidR="0084609D" w:rsidRPr="00240759" w:rsidRDefault="0084609D" w:rsidP="00CC2DA2">
            <w:pPr>
              <w:pStyle w:val="cuadroCabe"/>
              <w:jc w:val="center"/>
              <w:rPr>
                <w:lang w:eastAsia="es-ES"/>
              </w:rPr>
            </w:pPr>
          </w:p>
        </w:tc>
        <w:tc>
          <w:tcPr>
            <w:tcW w:w="859" w:type="dxa"/>
            <w:gridSpan w:val="2"/>
            <w:tcBorders>
              <w:top w:val="single" w:sz="4" w:space="0" w:color="auto"/>
              <w:left w:val="nil"/>
              <w:bottom w:val="nil"/>
              <w:right w:val="single" w:sz="4" w:space="0" w:color="auto"/>
            </w:tcBorders>
            <w:shd w:val="clear" w:color="auto" w:fill="8DB3E2" w:themeFill="text2" w:themeFillTint="66"/>
            <w:vAlign w:val="center"/>
          </w:tcPr>
          <w:p w:rsidR="0084609D" w:rsidRDefault="0084609D" w:rsidP="00996927">
            <w:pPr>
              <w:pStyle w:val="cuadroCabe"/>
              <w:jc w:val="right"/>
            </w:pPr>
            <w:r>
              <w:t>2013</w:t>
            </w:r>
          </w:p>
        </w:tc>
        <w:tc>
          <w:tcPr>
            <w:tcW w:w="978"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pPr>
            <w:r>
              <w:t>2014</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pPr>
            <w:r>
              <w:t>2015</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pPr>
            <w:r>
              <w:t>2016</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pPr>
            <w:r>
              <w:t>2017</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vAlign w:val="center"/>
          </w:tcPr>
          <w:p w:rsidR="0084609D" w:rsidRPr="00DC2AAF" w:rsidRDefault="0084609D" w:rsidP="00996927">
            <w:pPr>
              <w:pStyle w:val="cuadroCabe"/>
              <w:jc w:val="right"/>
            </w:pPr>
            <w:r>
              <w:t>2018</w:t>
            </w:r>
          </w:p>
        </w:tc>
        <w:tc>
          <w:tcPr>
            <w:tcW w:w="980" w:type="dxa"/>
            <w:gridSpan w:val="2"/>
            <w:tcBorders>
              <w:top w:val="single" w:sz="4" w:space="0" w:color="auto"/>
              <w:left w:val="single" w:sz="4" w:space="0" w:color="auto"/>
              <w:bottom w:val="nil"/>
            </w:tcBorders>
            <w:shd w:val="clear" w:color="auto" w:fill="8DB3E2" w:themeFill="text2" w:themeFillTint="66"/>
            <w:vAlign w:val="center"/>
          </w:tcPr>
          <w:p w:rsidR="0084609D" w:rsidRPr="00DC2AAF" w:rsidRDefault="0084609D" w:rsidP="00996927">
            <w:pPr>
              <w:pStyle w:val="cuadroCabe"/>
              <w:jc w:val="right"/>
            </w:pPr>
            <w:r>
              <w:t>2019</w:t>
            </w:r>
          </w:p>
        </w:tc>
      </w:tr>
      <w:tr w:rsidR="00A4191C" w:rsidRPr="00E86CE7" w:rsidTr="00133AD7">
        <w:trPr>
          <w:trHeight w:val="227"/>
          <w:jc w:val="center"/>
        </w:trPr>
        <w:tc>
          <w:tcPr>
            <w:tcW w:w="1985" w:type="dxa"/>
            <w:tcBorders>
              <w:top w:val="nil"/>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p>
        </w:tc>
        <w:tc>
          <w:tcPr>
            <w:tcW w:w="370" w:type="dxa"/>
            <w:tcBorders>
              <w:top w:val="nil"/>
              <w:left w:val="nil"/>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rPr>
            </w:pPr>
            <w:r>
              <w:t>G</w:t>
            </w:r>
          </w:p>
        </w:tc>
        <w:tc>
          <w:tcPr>
            <w:tcW w:w="489" w:type="dxa"/>
            <w:tcBorders>
              <w:top w:val="nil"/>
              <w:left w:val="nil"/>
              <w:bottom w:val="single" w:sz="2" w:space="0" w:color="auto"/>
              <w:right w:val="single" w:sz="4" w:space="0" w:color="auto"/>
            </w:tcBorders>
            <w:shd w:val="clear" w:color="auto" w:fill="8DB3E2" w:themeFill="text2" w:themeFillTint="66"/>
            <w:vAlign w:val="center"/>
          </w:tcPr>
          <w:p w:rsidR="0084609D" w:rsidRPr="00E86CE7" w:rsidRDefault="0084609D" w:rsidP="00E86CE7">
            <w:pPr>
              <w:pStyle w:val="cuadroCabe"/>
              <w:jc w:val="right"/>
              <w:rPr>
                <w:szCs w:val="18"/>
              </w:rPr>
            </w:pPr>
            <w:r>
              <w:t>E</w:t>
            </w:r>
          </w:p>
        </w:tc>
        <w:tc>
          <w:tcPr>
            <w:tcW w:w="489"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rPr>
            </w:pPr>
            <w:r>
              <w:t>G</w:t>
            </w:r>
          </w:p>
        </w:tc>
        <w:tc>
          <w:tcPr>
            <w:tcW w:w="489"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rPr>
            </w:pPr>
            <w:r>
              <w:t>E</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rPr>
            </w:pPr>
            <w:r>
              <w:t>G</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rPr>
            </w:pPr>
            <w:r>
              <w:t>E</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rPr>
            </w:pPr>
            <w:r>
              <w:t>G</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rPr>
            </w:pPr>
            <w:r>
              <w:t>E</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rPr>
            </w:pPr>
            <w:r>
              <w:t>G</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rPr>
            </w:pPr>
            <w:r>
              <w:t>E</w:t>
            </w:r>
          </w:p>
        </w:tc>
        <w:tc>
          <w:tcPr>
            <w:tcW w:w="490" w:type="dxa"/>
            <w:tcBorders>
              <w:top w:val="nil"/>
              <w:left w:val="single" w:sz="4" w:space="0" w:color="auto"/>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rPr>
            </w:pPr>
            <w:r>
              <w:t>G</w:t>
            </w:r>
          </w:p>
        </w:tc>
        <w:tc>
          <w:tcPr>
            <w:tcW w:w="490" w:type="dxa"/>
            <w:tcBorders>
              <w:top w:val="nil"/>
              <w:left w:val="nil"/>
              <w:bottom w:val="single" w:sz="2" w:space="0" w:color="auto"/>
              <w:right w:val="single" w:sz="4" w:space="0" w:color="auto"/>
            </w:tcBorders>
            <w:shd w:val="clear" w:color="auto" w:fill="8DB3E2" w:themeFill="text2" w:themeFillTint="66"/>
            <w:vAlign w:val="center"/>
          </w:tcPr>
          <w:p w:rsidR="0084609D" w:rsidRPr="00E86CE7" w:rsidRDefault="0084609D" w:rsidP="00E86CE7">
            <w:pPr>
              <w:pStyle w:val="cuadroCabe"/>
              <w:jc w:val="right"/>
              <w:rPr>
                <w:szCs w:val="18"/>
              </w:rPr>
            </w:pPr>
            <w:r>
              <w:t>E</w:t>
            </w:r>
          </w:p>
        </w:tc>
        <w:tc>
          <w:tcPr>
            <w:tcW w:w="490" w:type="dxa"/>
            <w:tcBorders>
              <w:top w:val="nil"/>
              <w:left w:val="single" w:sz="4" w:space="0" w:color="auto"/>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rPr>
            </w:pPr>
            <w:r>
              <w:t>G</w:t>
            </w:r>
          </w:p>
        </w:tc>
        <w:tc>
          <w:tcPr>
            <w:tcW w:w="490" w:type="dxa"/>
            <w:tcBorders>
              <w:top w:val="nil"/>
              <w:left w:val="nil"/>
              <w:bottom w:val="single" w:sz="2" w:space="0" w:color="auto"/>
            </w:tcBorders>
            <w:shd w:val="clear" w:color="auto" w:fill="8DB3E2" w:themeFill="text2" w:themeFillTint="66"/>
            <w:vAlign w:val="center"/>
          </w:tcPr>
          <w:p w:rsidR="0084609D" w:rsidRPr="00E86CE7" w:rsidRDefault="0084609D" w:rsidP="00E86CE7">
            <w:pPr>
              <w:pStyle w:val="cuadroCabe"/>
              <w:jc w:val="right"/>
              <w:rPr>
                <w:szCs w:val="18"/>
              </w:rPr>
            </w:pPr>
            <w:r>
              <w:t>E</w:t>
            </w:r>
          </w:p>
        </w:tc>
      </w:tr>
      <w:tr w:rsidR="0084609D" w:rsidRPr="00B55AF1" w:rsidTr="00A4191C">
        <w:trPr>
          <w:trHeight w:hRule="exact" w:val="281"/>
          <w:jc w:val="center"/>
        </w:trPr>
        <w:tc>
          <w:tcPr>
            <w:tcW w:w="1985" w:type="dxa"/>
            <w:tcBorders>
              <w:top w:val="single" w:sz="2" w:space="0" w:color="auto"/>
              <w:bottom w:val="single" w:sz="2" w:space="0" w:color="auto"/>
              <w:right w:val="nil"/>
            </w:tcBorders>
            <w:shd w:val="clear" w:color="auto" w:fill="auto"/>
            <w:noWrap/>
            <w:vAlign w:val="center"/>
          </w:tcPr>
          <w:p w:rsidR="0084609D" w:rsidRPr="008A2C16" w:rsidRDefault="0084609D" w:rsidP="00361EC0">
            <w:pPr>
              <w:pStyle w:val="cuatexto"/>
            </w:pPr>
            <w:r>
              <w:t>Zuzendaritza</w:t>
            </w:r>
          </w:p>
        </w:tc>
        <w:tc>
          <w:tcPr>
            <w:tcW w:w="370" w:type="dxa"/>
            <w:tcBorders>
              <w:top w:val="single" w:sz="2" w:space="0" w:color="auto"/>
              <w:left w:val="nil"/>
              <w:bottom w:val="single" w:sz="2" w:space="0" w:color="auto"/>
              <w:right w:val="nil"/>
            </w:tcBorders>
            <w:shd w:val="clear" w:color="auto" w:fill="auto"/>
            <w:vAlign w:val="center"/>
          </w:tcPr>
          <w:p w:rsidR="0084609D" w:rsidRDefault="0084609D" w:rsidP="00067380">
            <w:pPr>
              <w:pStyle w:val="cuatexto"/>
              <w:jc w:val="right"/>
            </w:pPr>
            <w:r>
              <w:t>3</w:t>
            </w:r>
          </w:p>
        </w:tc>
        <w:tc>
          <w:tcPr>
            <w:tcW w:w="489" w:type="dxa"/>
            <w:tcBorders>
              <w:top w:val="single" w:sz="2" w:space="0" w:color="auto"/>
              <w:left w:val="nil"/>
              <w:bottom w:val="single" w:sz="2" w:space="0" w:color="auto"/>
              <w:right w:val="single" w:sz="2" w:space="0" w:color="auto"/>
            </w:tcBorders>
            <w:vAlign w:val="center"/>
          </w:tcPr>
          <w:p w:rsidR="0084609D" w:rsidRDefault="0084609D" w:rsidP="00067380">
            <w:pPr>
              <w:pStyle w:val="cuatexto"/>
              <w:jc w:val="right"/>
            </w:pPr>
            <w:r>
              <w:t>4</w:t>
            </w:r>
          </w:p>
        </w:tc>
        <w:tc>
          <w:tcPr>
            <w:tcW w:w="489"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pPr>
            <w:r>
              <w:t>3</w:t>
            </w:r>
          </w:p>
        </w:tc>
        <w:tc>
          <w:tcPr>
            <w:tcW w:w="489" w:type="dxa"/>
            <w:tcBorders>
              <w:top w:val="single" w:sz="2" w:space="0" w:color="auto"/>
              <w:bottom w:val="single" w:sz="2" w:space="0" w:color="auto"/>
              <w:right w:val="single" w:sz="4" w:space="0" w:color="auto"/>
            </w:tcBorders>
            <w:shd w:val="clear" w:color="auto" w:fill="auto"/>
            <w:noWrap/>
            <w:vAlign w:val="center"/>
          </w:tcPr>
          <w:p w:rsidR="0084609D" w:rsidRPr="00DC2AAF" w:rsidRDefault="0084609D" w:rsidP="00067380">
            <w:pPr>
              <w:pStyle w:val="cuatexto"/>
              <w:jc w:val="right"/>
            </w:pPr>
            <w:r>
              <w:t>4</w:t>
            </w:r>
          </w:p>
        </w:tc>
        <w:tc>
          <w:tcPr>
            <w:tcW w:w="490" w:type="dxa"/>
            <w:tcBorders>
              <w:top w:val="single" w:sz="2" w:space="0" w:color="auto"/>
              <w:left w:val="single" w:sz="4" w:space="0" w:color="auto"/>
              <w:bottom w:val="single" w:sz="2" w:space="0" w:color="auto"/>
            </w:tcBorders>
            <w:shd w:val="clear" w:color="auto" w:fill="auto"/>
            <w:noWrap/>
            <w:vAlign w:val="center"/>
          </w:tcPr>
          <w:p w:rsidR="0084609D" w:rsidRPr="00DC2AAF" w:rsidRDefault="0084609D" w:rsidP="00067380">
            <w:pPr>
              <w:pStyle w:val="cuatexto"/>
              <w:jc w:val="right"/>
            </w:pPr>
            <w: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pPr>
            <w:r>
              <w:t>4</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pPr>
            <w: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pPr>
            <w:r>
              <w:t>4</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pPr>
            <w:r>
              <w:t>1</w:t>
            </w:r>
          </w:p>
        </w:tc>
        <w:tc>
          <w:tcPr>
            <w:tcW w:w="490" w:type="dxa"/>
            <w:tcBorders>
              <w:top w:val="single" w:sz="2" w:space="0" w:color="auto"/>
              <w:bottom w:val="single" w:sz="2" w:space="0" w:color="auto"/>
              <w:right w:val="single" w:sz="2" w:space="0" w:color="auto"/>
            </w:tcBorders>
            <w:noWrap/>
            <w:vAlign w:val="center"/>
          </w:tcPr>
          <w:p w:rsidR="0084609D" w:rsidRPr="00DC2AAF" w:rsidRDefault="0084609D" w:rsidP="00067380">
            <w:pPr>
              <w:pStyle w:val="cuatexto"/>
              <w:jc w:val="right"/>
            </w:pPr>
            <w:r>
              <w:t>6</w:t>
            </w:r>
          </w:p>
        </w:tc>
        <w:tc>
          <w:tcPr>
            <w:tcW w:w="490" w:type="dxa"/>
            <w:tcBorders>
              <w:top w:val="single" w:sz="2" w:space="0" w:color="auto"/>
              <w:left w:val="single" w:sz="2" w:space="0" w:color="auto"/>
              <w:bottom w:val="single" w:sz="2" w:space="0" w:color="auto"/>
            </w:tcBorders>
            <w:vAlign w:val="center"/>
          </w:tcPr>
          <w:p w:rsidR="0084609D" w:rsidRPr="00DC2AAF" w:rsidRDefault="0084609D" w:rsidP="00067380">
            <w:pPr>
              <w:pStyle w:val="cuatexto"/>
              <w:jc w:val="right"/>
            </w:pPr>
            <w:r>
              <w:t>1</w:t>
            </w:r>
          </w:p>
        </w:tc>
        <w:tc>
          <w:tcPr>
            <w:tcW w:w="490" w:type="dxa"/>
            <w:tcBorders>
              <w:top w:val="single" w:sz="2" w:space="0" w:color="auto"/>
              <w:bottom w:val="single" w:sz="2" w:space="0" w:color="auto"/>
              <w:right w:val="single" w:sz="2" w:space="0" w:color="auto"/>
            </w:tcBorders>
            <w:vAlign w:val="center"/>
          </w:tcPr>
          <w:p w:rsidR="0084609D" w:rsidRPr="00DC2AAF" w:rsidRDefault="0084609D" w:rsidP="00067380">
            <w:pPr>
              <w:pStyle w:val="cuatexto"/>
              <w:jc w:val="right"/>
            </w:pPr>
            <w:r>
              <w:t>6</w:t>
            </w:r>
          </w:p>
        </w:tc>
        <w:tc>
          <w:tcPr>
            <w:tcW w:w="490" w:type="dxa"/>
            <w:tcBorders>
              <w:top w:val="single" w:sz="2" w:space="0" w:color="auto"/>
              <w:left w:val="single" w:sz="2" w:space="0" w:color="auto"/>
              <w:bottom w:val="single" w:sz="2" w:space="0" w:color="auto"/>
            </w:tcBorders>
            <w:vAlign w:val="center"/>
          </w:tcPr>
          <w:p w:rsidR="0084609D" w:rsidRPr="00DC2AAF" w:rsidRDefault="0084609D" w:rsidP="00067380">
            <w:pPr>
              <w:pStyle w:val="cuatexto"/>
              <w:jc w:val="right"/>
            </w:pPr>
            <w:r>
              <w:t>1</w:t>
            </w:r>
          </w:p>
        </w:tc>
        <w:tc>
          <w:tcPr>
            <w:tcW w:w="490" w:type="dxa"/>
            <w:tcBorders>
              <w:top w:val="single" w:sz="2" w:space="0" w:color="auto"/>
              <w:bottom w:val="single" w:sz="2" w:space="0" w:color="auto"/>
            </w:tcBorders>
            <w:vAlign w:val="center"/>
          </w:tcPr>
          <w:p w:rsidR="0084609D" w:rsidRPr="00DC2AAF" w:rsidRDefault="003E05AE" w:rsidP="003E05AE">
            <w:pPr>
              <w:pStyle w:val="cuatexto"/>
              <w:jc w:val="right"/>
            </w:pPr>
            <w:r>
              <w:t>6</w:t>
            </w:r>
          </w:p>
        </w:tc>
      </w:tr>
      <w:tr w:rsidR="0084609D" w:rsidRPr="00B55AF1" w:rsidTr="00A4191C">
        <w:trPr>
          <w:trHeight w:val="300"/>
          <w:jc w:val="center"/>
        </w:trPr>
        <w:tc>
          <w:tcPr>
            <w:tcW w:w="1985" w:type="dxa"/>
            <w:tcBorders>
              <w:top w:val="single" w:sz="2" w:space="0" w:color="auto"/>
              <w:bottom w:val="single" w:sz="2" w:space="0" w:color="auto"/>
              <w:right w:val="nil"/>
            </w:tcBorders>
            <w:shd w:val="clear" w:color="auto" w:fill="auto"/>
            <w:noWrap/>
            <w:vAlign w:val="center"/>
            <w:hideMark/>
          </w:tcPr>
          <w:p w:rsidR="0084609D" w:rsidRPr="00974457" w:rsidRDefault="0084609D" w:rsidP="00361EC0">
            <w:pPr>
              <w:pStyle w:val="cuatexto"/>
              <w:rPr>
                <w:rFonts w:cs="Arial"/>
                <w:bCs/>
              </w:rPr>
            </w:pPr>
            <w:r>
              <w:t xml:space="preserve">Teknikariak </w:t>
            </w:r>
          </w:p>
          <w:p w:rsidR="0084609D" w:rsidRPr="00974457" w:rsidRDefault="0084609D" w:rsidP="00361EC0">
            <w:pPr>
              <w:pStyle w:val="cuatexto"/>
              <w:rPr>
                <w:rFonts w:cs="Arial"/>
                <w:bCs/>
              </w:rPr>
            </w:pPr>
            <w:r>
              <w:t>(goi-mailakoak eta kudeaketakoak)</w:t>
            </w:r>
          </w:p>
        </w:tc>
        <w:tc>
          <w:tcPr>
            <w:tcW w:w="370" w:type="dxa"/>
            <w:tcBorders>
              <w:top w:val="single" w:sz="2" w:space="0" w:color="auto"/>
              <w:left w:val="nil"/>
              <w:bottom w:val="single" w:sz="2" w:space="0" w:color="auto"/>
              <w:right w:val="nil"/>
            </w:tcBorders>
            <w:shd w:val="clear" w:color="auto" w:fill="auto"/>
            <w:vAlign w:val="center"/>
          </w:tcPr>
          <w:p w:rsidR="0084609D" w:rsidRDefault="0084609D" w:rsidP="00067380">
            <w:pPr>
              <w:pStyle w:val="cuatexto"/>
              <w:jc w:val="right"/>
              <w:rPr>
                <w:rFonts w:ascii="Arial" w:hAnsi="Arial" w:cs="Arial"/>
                <w:sz w:val="18"/>
                <w:szCs w:val="18"/>
              </w:rPr>
            </w:pPr>
            <w:r>
              <w:rPr>
                <w:rFonts w:ascii="Arial" w:hAnsi="Arial"/>
                <w:sz w:val="18"/>
                <w:szCs w:val="18"/>
              </w:rPr>
              <w:t>5</w:t>
            </w:r>
          </w:p>
        </w:tc>
        <w:tc>
          <w:tcPr>
            <w:tcW w:w="489" w:type="dxa"/>
            <w:tcBorders>
              <w:top w:val="single" w:sz="2" w:space="0" w:color="auto"/>
              <w:left w:val="nil"/>
              <w:bottom w:val="single" w:sz="2" w:space="0" w:color="auto"/>
              <w:right w:val="single" w:sz="2" w:space="0" w:color="auto"/>
            </w:tcBorders>
            <w:vAlign w:val="center"/>
          </w:tcPr>
          <w:p w:rsidR="0084609D" w:rsidRDefault="0084609D" w:rsidP="00067380">
            <w:pPr>
              <w:pStyle w:val="cuatexto"/>
              <w:jc w:val="right"/>
              <w:rPr>
                <w:rFonts w:ascii="Arial" w:hAnsi="Arial" w:cs="Arial"/>
                <w:sz w:val="18"/>
                <w:szCs w:val="18"/>
              </w:rPr>
            </w:pPr>
            <w:r>
              <w:rPr>
                <w:rFonts w:ascii="Arial" w:hAnsi="Arial"/>
                <w:sz w:val="18"/>
                <w:szCs w:val="18"/>
              </w:rPr>
              <w:t>27</w:t>
            </w:r>
          </w:p>
        </w:tc>
        <w:tc>
          <w:tcPr>
            <w:tcW w:w="489"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5</w:t>
            </w:r>
          </w:p>
        </w:tc>
        <w:tc>
          <w:tcPr>
            <w:tcW w:w="489" w:type="dxa"/>
            <w:tcBorders>
              <w:top w:val="single" w:sz="2" w:space="0" w:color="auto"/>
              <w:bottom w:val="single" w:sz="2" w:space="0" w:color="auto"/>
              <w:right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27</w:t>
            </w:r>
          </w:p>
        </w:tc>
        <w:tc>
          <w:tcPr>
            <w:tcW w:w="490" w:type="dxa"/>
            <w:tcBorders>
              <w:top w:val="single" w:sz="2" w:space="0" w:color="auto"/>
              <w:left w:val="single" w:sz="4"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6</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25</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40</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4</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35</w:t>
            </w:r>
          </w:p>
        </w:tc>
        <w:tc>
          <w:tcPr>
            <w:tcW w:w="490" w:type="dxa"/>
            <w:tcBorders>
              <w:top w:val="single" w:sz="2" w:space="0" w:color="auto"/>
              <w:left w:val="single" w:sz="2" w:space="0" w:color="auto"/>
              <w:bottom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5</w:t>
            </w:r>
          </w:p>
        </w:tc>
        <w:tc>
          <w:tcPr>
            <w:tcW w:w="490" w:type="dxa"/>
            <w:tcBorders>
              <w:top w:val="single" w:sz="2" w:space="0" w:color="auto"/>
              <w:bottom w:val="single" w:sz="2" w:space="0" w:color="auto"/>
              <w:right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33</w:t>
            </w:r>
          </w:p>
        </w:tc>
        <w:tc>
          <w:tcPr>
            <w:tcW w:w="490" w:type="dxa"/>
            <w:tcBorders>
              <w:top w:val="single" w:sz="2" w:space="0" w:color="auto"/>
              <w:left w:val="single" w:sz="2" w:space="0" w:color="auto"/>
              <w:bottom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4</w:t>
            </w:r>
          </w:p>
        </w:tc>
        <w:tc>
          <w:tcPr>
            <w:tcW w:w="490" w:type="dxa"/>
            <w:tcBorders>
              <w:top w:val="single" w:sz="2" w:space="0" w:color="auto"/>
              <w:bottom w:val="single" w:sz="2" w:space="0" w:color="auto"/>
            </w:tcBorders>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33</w:t>
            </w:r>
          </w:p>
        </w:tc>
      </w:tr>
      <w:tr w:rsidR="0084609D" w:rsidRPr="00B55AF1" w:rsidTr="00A4191C">
        <w:trPr>
          <w:trHeight w:val="300"/>
          <w:jc w:val="center"/>
        </w:trPr>
        <w:tc>
          <w:tcPr>
            <w:tcW w:w="1985" w:type="dxa"/>
            <w:tcBorders>
              <w:top w:val="single" w:sz="2" w:space="0" w:color="auto"/>
              <w:bottom w:val="single" w:sz="4" w:space="0" w:color="auto"/>
              <w:right w:val="nil"/>
            </w:tcBorders>
            <w:shd w:val="clear" w:color="auto" w:fill="auto"/>
            <w:noWrap/>
            <w:vAlign w:val="center"/>
          </w:tcPr>
          <w:p w:rsidR="0084609D" w:rsidRPr="00974457" w:rsidRDefault="0084609D" w:rsidP="00361EC0">
            <w:pPr>
              <w:pStyle w:val="cuatexto"/>
              <w:rPr>
                <w:rFonts w:cs="Arial"/>
                <w:bCs/>
              </w:rPr>
            </w:pPr>
            <w:r>
              <w:t>Administrariak</w:t>
            </w:r>
          </w:p>
        </w:tc>
        <w:tc>
          <w:tcPr>
            <w:tcW w:w="370" w:type="dxa"/>
            <w:tcBorders>
              <w:top w:val="single" w:sz="2" w:space="0" w:color="auto"/>
              <w:left w:val="nil"/>
              <w:bottom w:val="single" w:sz="4" w:space="0" w:color="auto"/>
              <w:right w:val="nil"/>
            </w:tcBorders>
            <w:vAlign w:val="center"/>
          </w:tcPr>
          <w:p w:rsidR="0084609D" w:rsidRDefault="0084609D" w:rsidP="00067380">
            <w:pPr>
              <w:pStyle w:val="cuatexto"/>
              <w:jc w:val="right"/>
              <w:rPr>
                <w:rFonts w:ascii="Arial" w:hAnsi="Arial" w:cs="Arial"/>
                <w:sz w:val="18"/>
                <w:szCs w:val="18"/>
              </w:rPr>
            </w:pPr>
            <w:r>
              <w:rPr>
                <w:rFonts w:ascii="Arial" w:hAnsi="Arial"/>
                <w:sz w:val="18"/>
                <w:szCs w:val="18"/>
              </w:rPr>
              <w:t>0</w:t>
            </w:r>
          </w:p>
        </w:tc>
        <w:tc>
          <w:tcPr>
            <w:tcW w:w="489" w:type="dxa"/>
            <w:tcBorders>
              <w:top w:val="single" w:sz="2" w:space="0" w:color="auto"/>
              <w:left w:val="nil"/>
              <w:bottom w:val="single" w:sz="4" w:space="0" w:color="auto"/>
              <w:right w:val="single" w:sz="2" w:space="0" w:color="auto"/>
            </w:tcBorders>
            <w:vAlign w:val="center"/>
          </w:tcPr>
          <w:p w:rsidR="0084609D" w:rsidRDefault="0084609D" w:rsidP="00067380">
            <w:pPr>
              <w:pStyle w:val="cuatexto"/>
              <w:jc w:val="right"/>
              <w:rPr>
                <w:rFonts w:ascii="Arial" w:hAnsi="Arial" w:cs="Arial"/>
                <w:sz w:val="18"/>
                <w:szCs w:val="18"/>
              </w:rPr>
            </w:pPr>
            <w:r>
              <w:rPr>
                <w:rFonts w:ascii="Arial" w:hAnsi="Arial"/>
                <w:sz w:val="18"/>
                <w:szCs w:val="18"/>
              </w:rPr>
              <w:t>15</w:t>
            </w:r>
          </w:p>
        </w:tc>
        <w:tc>
          <w:tcPr>
            <w:tcW w:w="489"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w:t>
            </w:r>
          </w:p>
        </w:tc>
        <w:tc>
          <w:tcPr>
            <w:tcW w:w="489" w:type="dxa"/>
            <w:tcBorders>
              <w:top w:val="single" w:sz="2" w:space="0" w:color="auto"/>
              <w:bottom w:val="single" w:sz="4" w:space="0" w:color="auto"/>
              <w:right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14</w:t>
            </w:r>
          </w:p>
        </w:tc>
        <w:tc>
          <w:tcPr>
            <w:tcW w:w="490" w:type="dxa"/>
            <w:tcBorders>
              <w:top w:val="single" w:sz="2" w:space="0" w:color="auto"/>
              <w:left w:val="single" w:sz="4"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0</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15</w:t>
            </w:r>
          </w:p>
        </w:tc>
        <w:tc>
          <w:tcPr>
            <w:tcW w:w="490"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0</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15</w:t>
            </w:r>
          </w:p>
        </w:tc>
        <w:tc>
          <w:tcPr>
            <w:tcW w:w="490"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15</w:t>
            </w:r>
          </w:p>
        </w:tc>
        <w:tc>
          <w:tcPr>
            <w:tcW w:w="490" w:type="dxa"/>
            <w:tcBorders>
              <w:top w:val="single" w:sz="2" w:space="0" w:color="auto"/>
              <w:left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4</w:t>
            </w:r>
          </w:p>
        </w:tc>
        <w:tc>
          <w:tcPr>
            <w:tcW w:w="490" w:type="dxa"/>
            <w:tcBorders>
              <w:top w:val="single" w:sz="2" w:space="0" w:color="auto"/>
              <w:bottom w:val="single" w:sz="4" w:space="0" w:color="auto"/>
              <w:right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14</w:t>
            </w:r>
          </w:p>
        </w:tc>
        <w:tc>
          <w:tcPr>
            <w:tcW w:w="490" w:type="dxa"/>
            <w:tcBorders>
              <w:top w:val="single" w:sz="2" w:space="0" w:color="auto"/>
              <w:left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3</w:t>
            </w:r>
          </w:p>
        </w:tc>
        <w:tc>
          <w:tcPr>
            <w:tcW w:w="490" w:type="dxa"/>
            <w:tcBorders>
              <w:top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rPr>
            </w:pPr>
            <w:r>
              <w:rPr>
                <w:rFonts w:ascii="Arial" w:hAnsi="Arial"/>
                <w:sz w:val="18"/>
                <w:szCs w:val="18"/>
              </w:rPr>
              <w:t>13</w:t>
            </w:r>
          </w:p>
        </w:tc>
      </w:tr>
      <w:tr w:rsidR="00A4191C" w:rsidRPr="00B55AF1" w:rsidTr="00A4191C">
        <w:trPr>
          <w:trHeight w:val="300"/>
          <w:jc w:val="center"/>
        </w:trPr>
        <w:tc>
          <w:tcPr>
            <w:tcW w:w="1985" w:type="dxa"/>
            <w:tcBorders>
              <w:top w:val="single" w:sz="4" w:space="0" w:color="auto"/>
              <w:bottom w:val="single" w:sz="4" w:space="0" w:color="auto"/>
              <w:right w:val="nil"/>
            </w:tcBorders>
            <w:shd w:val="clear" w:color="auto" w:fill="8DB3E2" w:themeFill="text2" w:themeFillTint="66"/>
            <w:noWrap/>
            <w:vAlign w:val="center"/>
          </w:tcPr>
          <w:p w:rsidR="0084609D" w:rsidRPr="00DC2AAF" w:rsidRDefault="0084609D" w:rsidP="00361EC0">
            <w:pPr>
              <w:pStyle w:val="cuadroCabe"/>
            </w:pPr>
            <w:r>
              <w:t>Guztira</w:t>
            </w:r>
          </w:p>
        </w:tc>
        <w:tc>
          <w:tcPr>
            <w:tcW w:w="370" w:type="dxa"/>
            <w:tcBorders>
              <w:top w:val="single" w:sz="4" w:space="0" w:color="auto"/>
              <w:left w:val="nil"/>
              <w:bottom w:val="single" w:sz="4" w:space="0" w:color="auto"/>
              <w:right w:val="nil"/>
            </w:tcBorders>
            <w:shd w:val="clear" w:color="auto" w:fill="8DB3E2" w:themeFill="text2" w:themeFillTint="66"/>
            <w:vAlign w:val="center"/>
          </w:tcPr>
          <w:p w:rsidR="0084609D" w:rsidRDefault="0084609D" w:rsidP="00067380">
            <w:pPr>
              <w:pStyle w:val="cuadroCabe"/>
              <w:jc w:val="right"/>
            </w:pPr>
            <w:r>
              <w:t>8</w:t>
            </w:r>
          </w:p>
        </w:tc>
        <w:tc>
          <w:tcPr>
            <w:tcW w:w="489" w:type="dxa"/>
            <w:tcBorders>
              <w:top w:val="single" w:sz="4" w:space="0" w:color="auto"/>
              <w:left w:val="nil"/>
              <w:bottom w:val="single" w:sz="4" w:space="0" w:color="auto"/>
              <w:right w:val="single" w:sz="2" w:space="0" w:color="auto"/>
            </w:tcBorders>
            <w:shd w:val="clear" w:color="auto" w:fill="8DB3E2" w:themeFill="text2" w:themeFillTint="66"/>
            <w:vAlign w:val="center"/>
          </w:tcPr>
          <w:p w:rsidR="0084609D" w:rsidRDefault="0084609D" w:rsidP="00067380">
            <w:pPr>
              <w:pStyle w:val="cuadroCabe"/>
              <w:jc w:val="right"/>
            </w:pPr>
            <w:r>
              <w:t>46</w:t>
            </w:r>
          </w:p>
        </w:tc>
        <w:tc>
          <w:tcPr>
            <w:tcW w:w="489"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pPr>
            <w:r>
              <w:t>9</w:t>
            </w:r>
          </w:p>
        </w:tc>
        <w:tc>
          <w:tcPr>
            <w:tcW w:w="489" w:type="dxa"/>
            <w:tcBorders>
              <w:top w:val="single" w:sz="4" w:space="0" w:color="auto"/>
              <w:bottom w:val="single" w:sz="4" w:space="0" w:color="auto"/>
              <w:right w:val="single" w:sz="4" w:space="0" w:color="auto"/>
            </w:tcBorders>
            <w:shd w:val="clear" w:color="auto" w:fill="8DB3E2" w:themeFill="text2" w:themeFillTint="66"/>
            <w:noWrap/>
            <w:vAlign w:val="center"/>
          </w:tcPr>
          <w:p w:rsidR="0084609D" w:rsidRPr="00DC2AAF" w:rsidRDefault="0084609D" w:rsidP="00067380">
            <w:pPr>
              <w:pStyle w:val="cuadroCabe"/>
              <w:jc w:val="right"/>
            </w:pPr>
            <w:r>
              <w:t>45</w:t>
            </w:r>
          </w:p>
        </w:tc>
        <w:tc>
          <w:tcPr>
            <w:tcW w:w="490" w:type="dxa"/>
            <w:tcBorders>
              <w:top w:val="single" w:sz="4" w:space="0" w:color="auto"/>
              <w:left w:val="single" w:sz="4"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pPr>
            <w:r>
              <w:t>9</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pPr>
            <w:r>
              <w:t>44</w:t>
            </w:r>
          </w:p>
        </w:tc>
        <w:tc>
          <w:tcPr>
            <w:tcW w:w="490"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pPr>
            <w:r>
              <w:t>6</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pPr>
            <w:r>
              <w:t>59</w:t>
            </w:r>
          </w:p>
        </w:tc>
        <w:tc>
          <w:tcPr>
            <w:tcW w:w="490"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pPr>
            <w:r>
              <w:t>6</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pPr>
            <w:r>
              <w:t>56</w:t>
            </w:r>
          </w:p>
        </w:tc>
        <w:tc>
          <w:tcPr>
            <w:tcW w:w="490" w:type="dxa"/>
            <w:tcBorders>
              <w:top w:val="single" w:sz="4" w:space="0" w:color="auto"/>
              <w:left w:val="single" w:sz="2" w:space="0" w:color="auto"/>
              <w:bottom w:val="single" w:sz="4" w:space="0" w:color="auto"/>
            </w:tcBorders>
            <w:shd w:val="clear" w:color="auto" w:fill="8DB3E2" w:themeFill="text2" w:themeFillTint="66"/>
            <w:vAlign w:val="center"/>
          </w:tcPr>
          <w:p w:rsidR="0084609D" w:rsidRPr="00DC2AAF" w:rsidRDefault="0084609D" w:rsidP="00067380">
            <w:pPr>
              <w:pStyle w:val="cuadroCabe"/>
              <w:jc w:val="right"/>
            </w:pPr>
            <w:r>
              <w:t>10</w:t>
            </w:r>
          </w:p>
        </w:tc>
        <w:tc>
          <w:tcPr>
            <w:tcW w:w="490" w:type="dxa"/>
            <w:tcBorders>
              <w:top w:val="single" w:sz="4" w:space="0" w:color="auto"/>
              <w:bottom w:val="single" w:sz="4" w:space="0" w:color="auto"/>
              <w:right w:val="single" w:sz="2" w:space="0" w:color="auto"/>
            </w:tcBorders>
            <w:shd w:val="clear" w:color="auto" w:fill="8DB3E2" w:themeFill="text2" w:themeFillTint="66"/>
            <w:vAlign w:val="center"/>
          </w:tcPr>
          <w:p w:rsidR="0084609D" w:rsidRPr="00DC2AAF" w:rsidRDefault="0084609D" w:rsidP="00067380">
            <w:pPr>
              <w:pStyle w:val="cuadroCabe"/>
              <w:jc w:val="right"/>
            </w:pPr>
            <w:r>
              <w:t>53</w:t>
            </w:r>
          </w:p>
        </w:tc>
        <w:tc>
          <w:tcPr>
            <w:tcW w:w="490" w:type="dxa"/>
            <w:tcBorders>
              <w:top w:val="single" w:sz="4" w:space="0" w:color="auto"/>
              <w:left w:val="single" w:sz="2" w:space="0" w:color="auto"/>
              <w:bottom w:val="single" w:sz="4" w:space="0" w:color="auto"/>
            </w:tcBorders>
            <w:shd w:val="clear" w:color="auto" w:fill="8DB3E2" w:themeFill="text2" w:themeFillTint="66"/>
            <w:vAlign w:val="center"/>
          </w:tcPr>
          <w:p w:rsidR="0084609D" w:rsidRPr="00DC2AAF" w:rsidRDefault="0084609D" w:rsidP="00067380">
            <w:pPr>
              <w:pStyle w:val="cuadroCabe"/>
              <w:jc w:val="right"/>
            </w:pPr>
            <w:r>
              <w:t>8</w:t>
            </w:r>
          </w:p>
        </w:tc>
        <w:tc>
          <w:tcPr>
            <w:tcW w:w="490" w:type="dxa"/>
            <w:tcBorders>
              <w:top w:val="single" w:sz="4" w:space="0" w:color="auto"/>
              <w:bottom w:val="single" w:sz="4" w:space="0" w:color="auto"/>
            </w:tcBorders>
            <w:shd w:val="clear" w:color="auto" w:fill="8DB3E2" w:themeFill="text2" w:themeFillTint="66"/>
            <w:vAlign w:val="center"/>
          </w:tcPr>
          <w:p w:rsidR="0084609D" w:rsidRPr="00DC2AAF" w:rsidRDefault="0084609D" w:rsidP="003E05AE">
            <w:pPr>
              <w:pStyle w:val="cuadroCabe"/>
              <w:jc w:val="right"/>
            </w:pPr>
            <w:r>
              <w:t>52</w:t>
            </w:r>
          </w:p>
        </w:tc>
      </w:tr>
    </w:tbl>
    <w:p w:rsidR="00126E6A" w:rsidRDefault="0084609D" w:rsidP="00126E6A">
      <w:pPr>
        <w:pStyle w:val="texto"/>
        <w:spacing w:before="240" w:after="240"/>
      </w:pPr>
      <w:r>
        <w:t>2013-2019 aldian zehar, pertsona-kopuruak ehuneko 11 egin du gora. La</w:t>
      </w:r>
      <w:r>
        <w:t>n</w:t>
      </w:r>
      <w:r>
        <w:t xml:space="preserve">gile horiekin zerikusia duen gastua 2,80 eta 2,91 milioikoa izan zen 2018an eta 2019an, hurrenez </w:t>
      </w:r>
      <w:proofErr w:type="spellStart"/>
      <w:r>
        <w:t>hurren</w:t>
      </w:r>
      <w:proofErr w:type="spellEnd"/>
      <w:r>
        <w:t>.</w:t>
      </w:r>
    </w:p>
    <w:p w:rsidR="0084609D" w:rsidRDefault="0084609D" w:rsidP="0084609D">
      <w:pPr>
        <w:keepNext/>
        <w:spacing w:before="120" w:after="120"/>
        <w:ind w:firstLine="0"/>
        <w:rPr>
          <w:rFonts w:ascii="Arial" w:hAnsi="Arial"/>
          <w:i/>
          <w:iCs/>
          <w:color w:val="000000"/>
          <w:spacing w:val="10"/>
          <w:kern w:val="28"/>
          <w:sz w:val="25"/>
          <w:szCs w:val="26"/>
        </w:rPr>
      </w:pPr>
      <w:r>
        <w:rPr>
          <w:rFonts w:ascii="Arial" w:hAnsi="Arial"/>
          <w:i/>
          <w:iCs/>
          <w:color w:val="000000"/>
          <w:sz w:val="25"/>
          <w:szCs w:val="26"/>
        </w:rPr>
        <w:t>Mendekotasun Legearen kudeaketari buruzko jardun-adierazleak</w:t>
      </w:r>
    </w:p>
    <w:p w:rsidR="0084609D" w:rsidRDefault="0084609D" w:rsidP="0084609D">
      <w:pPr>
        <w:pStyle w:val="texto"/>
        <w:spacing w:before="240" w:after="120"/>
      </w:pPr>
      <w:r>
        <w:t>Eskubide Sozialetako Departamentukoa den Errealitate Sozialaren Behat</w:t>
      </w:r>
      <w:r>
        <w:t>o</w:t>
      </w:r>
      <w:r>
        <w:t>kiak txosten bat egiten du urtero, mendekotasunak Nafarroan duen egoerari b</w:t>
      </w:r>
      <w:r>
        <w:t>u</w:t>
      </w:r>
      <w:r>
        <w:t>ruzkoa</w:t>
      </w:r>
      <w:r>
        <w:rPr>
          <w:rStyle w:val="Refdenotaalpie"/>
        </w:rPr>
        <w:footnoteReference w:id="3"/>
      </w:r>
      <w:r>
        <w:t xml:space="preserve">. </w:t>
      </w:r>
    </w:p>
    <w:p w:rsidR="0084609D" w:rsidRDefault="0084609D" w:rsidP="0084609D">
      <w:pPr>
        <w:pStyle w:val="texto"/>
        <w:spacing w:before="120" w:after="120"/>
      </w:pPr>
      <w:r>
        <w:t xml:space="preserve">2014-2019 eperako, txosten horretako datu batzuk eta </w:t>
      </w:r>
      <w:proofErr w:type="spellStart"/>
      <w:r>
        <w:t>PAGNAk</w:t>
      </w:r>
      <w:proofErr w:type="spellEnd"/>
      <w:r>
        <w:t xml:space="preserve"> eta Erreal</w:t>
      </w:r>
      <w:r>
        <w:t>i</w:t>
      </w:r>
      <w:r>
        <w:t>tate Sozialaren Behatokiak eskainitako beste batzuk, muntadun iruditu zaizk</w:t>
      </w:r>
      <w:r>
        <w:t>i</w:t>
      </w:r>
      <w:r>
        <w:t>gunak, aukeratu ditugu, mendekotasunaren kudeaketaren inguruan aurrera er</w:t>
      </w:r>
      <w:r>
        <w:t>a</w:t>
      </w:r>
      <w:r>
        <w:t>mandako jardunari buruzkoak. Honako hauek dira:</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Mendekotasun-laguntzen onuradun jada badiren edo izan daitezkeen pe</w:t>
      </w:r>
      <w:r>
        <w:t>r</w:t>
      </w:r>
      <w:r>
        <w:t xml:space="preserve">tsonengandik </w:t>
      </w:r>
      <w:proofErr w:type="spellStart"/>
      <w:r>
        <w:t>PAGNAk</w:t>
      </w:r>
      <w:proofErr w:type="spellEnd"/>
      <w:r>
        <w:t xml:space="preserve"> jasotako eskabideen kopurua honako hau da:</w:t>
      </w:r>
    </w:p>
    <w:tbl>
      <w:tblPr>
        <w:tblW w:w="8789" w:type="dxa"/>
        <w:jc w:val="center"/>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1418"/>
        <w:gridCol w:w="850"/>
        <w:gridCol w:w="851"/>
        <w:gridCol w:w="850"/>
        <w:gridCol w:w="851"/>
        <w:gridCol w:w="850"/>
        <w:gridCol w:w="851"/>
        <w:gridCol w:w="1134"/>
        <w:gridCol w:w="1134"/>
      </w:tblGrid>
      <w:tr w:rsidR="0084609D" w:rsidRPr="00E8666B" w:rsidTr="00003600">
        <w:trPr>
          <w:trHeight w:val="300"/>
          <w:jc w:val="center"/>
        </w:trPr>
        <w:tc>
          <w:tcPr>
            <w:tcW w:w="1418" w:type="dxa"/>
            <w:shd w:val="clear" w:color="auto" w:fill="8DB3E2" w:themeFill="text2" w:themeFillTint="66"/>
            <w:noWrap/>
            <w:vAlign w:val="center"/>
          </w:tcPr>
          <w:p w:rsidR="0084609D" w:rsidRPr="00240759" w:rsidRDefault="0084609D" w:rsidP="006B3E3E">
            <w:pPr>
              <w:pStyle w:val="cuadroCabe"/>
              <w:rPr>
                <w:lang w:eastAsia="es-ES"/>
              </w:rPr>
            </w:pPr>
          </w:p>
        </w:tc>
        <w:tc>
          <w:tcPr>
            <w:tcW w:w="850" w:type="dxa"/>
            <w:shd w:val="clear" w:color="auto" w:fill="8DB3E2" w:themeFill="text2" w:themeFillTint="66"/>
            <w:noWrap/>
            <w:vAlign w:val="center"/>
            <w:hideMark/>
          </w:tcPr>
          <w:p w:rsidR="0084609D" w:rsidRPr="00E8666B" w:rsidRDefault="0084609D" w:rsidP="00067380">
            <w:pPr>
              <w:pStyle w:val="cuadroCabe"/>
              <w:jc w:val="right"/>
            </w:pPr>
            <w:r>
              <w:t>2014</w:t>
            </w:r>
          </w:p>
        </w:tc>
        <w:tc>
          <w:tcPr>
            <w:tcW w:w="851" w:type="dxa"/>
            <w:shd w:val="clear" w:color="auto" w:fill="8DB3E2" w:themeFill="text2" w:themeFillTint="66"/>
            <w:noWrap/>
            <w:vAlign w:val="center"/>
            <w:hideMark/>
          </w:tcPr>
          <w:p w:rsidR="0084609D" w:rsidRPr="00E8666B" w:rsidRDefault="0084609D" w:rsidP="00067380">
            <w:pPr>
              <w:pStyle w:val="cuadroCabe"/>
              <w:jc w:val="right"/>
            </w:pPr>
            <w:r>
              <w:t>2015</w:t>
            </w:r>
          </w:p>
        </w:tc>
        <w:tc>
          <w:tcPr>
            <w:tcW w:w="850" w:type="dxa"/>
            <w:shd w:val="clear" w:color="auto" w:fill="8DB3E2" w:themeFill="text2" w:themeFillTint="66"/>
            <w:noWrap/>
            <w:vAlign w:val="center"/>
            <w:hideMark/>
          </w:tcPr>
          <w:p w:rsidR="0084609D" w:rsidRPr="00E8666B" w:rsidRDefault="0084609D" w:rsidP="00067380">
            <w:pPr>
              <w:pStyle w:val="cuadroCabe"/>
              <w:jc w:val="right"/>
            </w:pPr>
            <w:r>
              <w:t>2016</w:t>
            </w:r>
          </w:p>
        </w:tc>
        <w:tc>
          <w:tcPr>
            <w:tcW w:w="851" w:type="dxa"/>
            <w:shd w:val="clear" w:color="auto" w:fill="8DB3E2" w:themeFill="text2" w:themeFillTint="66"/>
            <w:noWrap/>
            <w:vAlign w:val="center"/>
            <w:hideMark/>
          </w:tcPr>
          <w:p w:rsidR="0084609D" w:rsidRPr="00E8666B" w:rsidRDefault="0084609D" w:rsidP="00067380">
            <w:pPr>
              <w:pStyle w:val="cuadroCabe"/>
              <w:jc w:val="right"/>
            </w:pPr>
            <w:r>
              <w:t>2017</w:t>
            </w:r>
          </w:p>
        </w:tc>
        <w:tc>
          <w:tcPr>
            <w:tcW w:w="850" w:type="dxa"/>
            <w:shd w:val="clear" w:color="auto" w:fill="8DB3E2" w:themeFill="text2" w:themeFillTint="66"/>
            <w:noWrap/>
            <w:vAlign w:val="center"/>
            <w:hideMark/>
          </w:tcPr>
          <w:p w:rsidR="0084609D" w:rsidRPr="00E8666B" w:rsidRDefault="0084609D" w:rsidP="00067380">
            <w:pPr>
              <w:pStyle w:val="cuadroCabe"/>
              <w:jc w:val="right"/>
            </w:pPr>
            <w:r>
              <w:t>2018</w:t>
            </w:r>
          </w:p>
        </w:tc>
        <w:tc>
          <w:tcPr>
            <w:tcW w:w="851" w:type="dxa"/>
            <w:shd w:val="clear" w:color="auto" w:fill="8DB3E2" w:themeFill="text2" w:themeFillTint="66"/>
            <w:noWrap/>
            <w:vAlign w:val="center"/>
            <w:hideMark/>
          </w:tcPr>
          <w:p w:rsidR="0084609D" w:rsidRPr="00E8666B" w:rsidRDefault="0084609D" w:rsidP="00067380">
            <w:pPr>
              <w:pStyle w:val="cuadroCabe"/>
              <w:jc w:val="right"/>
            </w:pPr>
            <w:r>
              <w:t>2019</w:t>
            </w:r>
          </w:p>
        </w:tc>
        <w:tc>
          <w:tcPr>
            <w:tcW w:w="1134" w:type="dxa"/>
            <w:shd w:val="clear" w:color="auto" w:fill="8DB3E2" w:themeFill="text2" w:themeFillTint="66"/>
          </w:tcPr>
          <w:p w:rsidR="0084609D" w:rsidRPr="00E8666B" w:rsidRDefault="00E86CE7" w:rsidP="00E86CE7">
            <w:pPr>
              <w:pStyle w:val="cuadroCabe"/>
              <w:jc w:val="right"/>
            </w:pPr>
            <w:r>
              <w:t>Aldea (%) 2019/2014</w:t>
            </w:r>
          </w:p>
        </w:tc>
        <w:tc>
          <w:tcPr>
            <w:tcW w:w="1134" w:type="dxa"/>
            <w:shd w:val="clear" w:color="auto" w:fill="8DB3E2" w:themeFill="text2" w:themeFillTint="66"/>
          </w:tcPr>
          <w:p w:rsidR="0084609D" w:rsidRPr="00E8666B" w:rsidRDefault="00E86CE7" w:rsidP="00E86CE7">
            <w:pPr>
              <w:pStyle w:val="cuadroCabe"/>
              <w:jc w:val="right"/>
            </w:pPr>
            <w:r>
              <w:t>Aldea (%) 2019/2018</w:t>
            </w:r>
          </w:p>
        </w:tc>
      </w:tr>
      <w:tr w:rsidR="0084609D" w:rsidRPr="00E8666B" w:rsidTr="00003600">
        <w:trPr>
          <w:trHeight w:val="300"/>
          <w:jc w:val="center"/>
        </w:trPr>
        <w:tc>
          <w:tcPr>
            <w:tcW w:w="1418" w:type="dxa"/>
            <w:shd w:val="clear" w:color="auto" w:fill="auto"/>
            <w:noWrap/>
            <w:vAlign w:val="center"/>
            <w:hideMark/>
          </w:tcPr>
          <w:p w:rsidR="0084609D" w:rsidRPr="00E8666B" w:rsidRDefault="0084609D" w:rsidP="006B3E3E">
            <w:pPr>
              <w:pStyle w:val="cuatexto"/>
            </w:pPr>
            <w:r>
              <w:t>Eskabide kop</w:t>
            </w:r>
            <w:r>
              <w:t>u</w:t>
            </w:r>
            <w:r>
              <w:t>rua</w:t>
            </w:r>
          </w:p>
        </w:tc>
        <w:tc>
          <w:tcPr>
            <w:tcW w:w="850" w:type="dxa"/>
            <w:shd w:val="clear" w:color="auto" w:fill="auto"/>
            <w:noWrap/>
            <w:vAlign w:val="center"/>
            <w:hideMark/>
          </w:tcPr>
          <w:p w:rsidR="0084609D" w:rsidRPr="00E8666B" w:rsidRDefault="0084609D" w:rsidP="00067380">
            <w:pPr>
              <w:pStyle w:val="cuatexto"/>
              <w:jc w:val="right"/>
            </w:pPr>
            <w:r>
              <w:t>17.104</w:t>
            </w:r>
          </w:p>
        </w:tc>
        <w:tc>
          <w:tcPr>
            <w:tcW w:w="851" w:type="dxa"/>
            <w:shd w:val="clear" w:color="auto" w:fill="auto"/>
            <w:noWrap/>
            <w:vAlign w:val="center"/>
            <w:hideMark/>
          </w:tcPr>
          <w:p w:rsidR="0084609D" w:rsidRPr="00E8666B" w:rsidRDefault="0084609D" w:rsidP="00067380">
            <w:pPr>
              <w:pStyle w:val="cuatexto"/>
              <w:jc w:val="right"/>
            </w:pPr>
            <w:r>
              <w:t>17.457</w:t>
            </w:r>
          </w:p>
        </w:tc>
        <w:tc>
          <w:tcPr>
            <w:tcW w:w="850" w:type="dxa"/>
            <w:shd w:val="clear" w:color="auto" w:fill="auto"/>
            <w:noWrap/>
            <w:vAlign w:val="center"/>
            <w:hideMark/>
          </w:tcPr>
          <w:p w:rsidR="0084609D" w:rsidRPr="00E8666B" w:rsidRDefault="0084609D" w:rsidP="00067380">
            <w:pPr>
              <w:pStyle w:val="cuatexto"/>
              <w:jc w:val="right"/>
            </w:pPr>
            <w:r>
              <w:t>18.323</w:t>
            </w:r>
          </w:p>
        </w:tc>
        <w:tc>
          <w:tcPr>
            <w:tcW w:w="851" w:type="dxa"/>
            <w:shd w:val="clear" w:color="auto" w:fill="auto"/>
            <w:noWrap/>
            <w:vAlign w:val="center"/>
            <w:hideMark/>
          </w:tcPr>
          <w:p w:rsidR="0084609D" w:rsidRPr="00E8666B" w:rsidRDefault="0084609D" w:rsidP="00067380">
            <w:pPr>
              <w:pStyle w:val="cuatexto"/>
              <w:jc w:val="right"/>
            </w:pPr>
            <w:r>
              <w:t>19.891</w:t>
            </w:r>
          </w:p>
        </w:tc>
        <w:tc>
          <w:tcPr>
            <w:tcW w:w="850" w:type="dxa"/>
            <w:shd w:val="clear" w:color="auto" w:fill="auto"/>
            <w:noWrap/>
            <w:vAlign w:val="center"/>
            <w:hideMark/>
          </w:tcPr>
          <w:p w:rsidR="0084609D" w:rsidRPr="00E8666B" w:rsidRDefault="0084609D" w:rsidP="00067380">
            <w:pPr>
              <w:pStyle w:val="cuatexto"/>
              <w:jc w:val="right"/>
            </w:pPr>
            <w:r>
              <w:t>20.012</w:t>
            </w:r>
          </w:p>
        </w:tc>
        <w:tc>
          <w:tcPr>
            <w:tcW w:w="851" w:type="dxa"/>
            <w:shd w:val="clear" w:color="auto" w:fill="auto"/>
            <w:noWrap/>
            <w:vAlign w:val="center"/>
            <w:hideMark/>
          </w:tcPr>
          <w:p w:rsidR="0084609D" w:rsidRPr="00E8666B" w:rsidRDefault="0084609D" w:rsidP="00067380">
            <w:pPr>
              <w:pStyle w:val="cuatexto"/>
              <w:jc w:val="right"/>
            </w:pPr>
            <w:r>
              <w:t>20.052</w:t>
            </w:r>
          </w:p>
        </w:tc>
        <w:tc>
          <w:tcPr>
            <w:tcW w:w="1134" w:type="dxa"/>
            <w:vAlign w:val="center"/>
          </w:tcPr>
          <w:p w:rsidR="0084609D" w:rsidRPr="00E8666B" w:rsidRDefault="0084609D" w:rsidP="00067380">
            <w:pPr>
              <w:pStyle w:val="cuatexto"/>
              <w:jc w:val="right"/>
            </w:pPr>
            <w:r>
              <w:t>17</w:t>
            </w:r>
          </w:p>
        </w:tc>
        <w:tc>
          <w:tcPr>
            <w:tcW w:w="1134" w:type="dxa"/>
            <w:vAlign w:val="center"/>
          </w:tcPr>
          <w:p w:rsidR="0084609D" w:rsidRPr="00E8666B" w:rsidRDefault="0084609D" w:rsidP="00067380">
            <w:pPr>
              <w:pStyle w:val="cuatexto"/>
              <w:jc w:val="right"/>
            </w:pPr>
            <w:r>
              <w:t>0.2</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rPr>
          <w:rFonts w:cs="Arial"/>
        </w:rPr>
      </w:pPr>
      <w:r>
        <w:t>2019an 20.052 eskabide izan ziren, eta haien kopurua 2014koa baino eh</w:t>
      </w:r>
      <w:r>
        <w:t>u</w:t>
      </w:r>
      <w:r>
        <w:t>neko 17 handiagoa izan zen, eta 2018ko berbera, ia. Eskabide horiek batez ere dira balizko onuradunen mendekotasun-balorazio berriei buruzkoak, jada on</w:t>
      </w:r>
      <w:r>
        <w:t>u</w:t>
      </w:r>
      <w:r>
        <w:t>radun badiren pertsonen balorazioen berrikuspenari buruzkoak, prestazio b</w:t>
      </w:r>
      <w:r>
        <w:t>e</w:t>
      </w:r>
      <w:r>
        <w:t>rriei buruzkoak edo jada badaudenak aldatzeari buruzkoak.</w: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240"/>
        <w:rPr>
          <w:rFonts w:cs="Arial"/>
        </w:rPr>
      </w:pPr>
      <w:r>
        <w:t xml:space="preserve">Ondoko taulak erakusten du nolako ratio-bilakaera izan den eskabide-kopuruaren eta </w:t>
      </w:r>
      <w:proofErr w:type="spellStart"/>
      <w:r>
        <w:t>PAGNAn</w:t>
      </w:r>
      <w:proofErr w:type="spellEnd"/>
      <w:r>
        <w:t xml:space="preserve"> mendekotasunaren kudeaketan diharduten langileen kopuruaren artean.</w:t>
      </w:r>
    </w:p>
    <w:tbl>
      <w:tblPr>
        <w:tblW w:w="8789"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313"/>
        <w:gridCol w:w="693"/>
        <w:gridCol w:w="693"/>
        <w:gridCol w:w="694"/>
        <w:gridCol w:w="694"/>
        <w:gridCol w:w="694"/>
        <w:gridCol w:w="694"/>
        <w:gridCol w:w="1180"/>
        <w:gridCol w:w="1134"/>
      </w:tblGrid>
      <w:tr w:rsidR="0084609D" w:rsidRPr="00543CBD" w:rsidTr="00996927">
        <w:trPr>
          <w:trHeight w:val="300"/>
          <w:jc w:val="center"/>
        </w:trPr>
        <w:tc>
          <w:tcPr>
            <w:tcW w:w="2313" w:type="dxa"/>
            <w:shd w:val="clear" w:color="auto" w:fill="8DB3E2" w:themeFill="text2" w:themeFillTint="66"/>
            <w:noWrap/>
            <w:vAlign w:val="center"/>
          </w:tcPr>
          <w:p w:rsidR="0084609D" w:rsidRPr="00240759" w:rsidRDefault="0084609D" w:rsidP="00543CBD">
            <w:pPr>
              <w:pStyle w:val="cuadroCabe"/>
              <w:jc w:val="center"/>
              <w:rPr>
                <w:sz w:val="16"/>
                <w:szCs w:val="16"/>
                <w:lang w:eastAsia="es-ES"/>
              </w:rPr>
            </w:pPr>
          </w:p>
        </w:tc>
        <w:tc>
          <w:tcPr>
            <w:tcW w:w="693"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2014</w:t>
            </w:r>
          </w:p>
        </w:tc>
        <w:tc>
          <w:tcPr>
            <w:tcW w:w="693"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2015</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2016</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2017</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2018</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rPr>
            </w:pPr>
            <w:r>
              <w:rPr>
                <w:sz w:val="16"/>
                <w:szCs w:val="16"/>
              </w:rPr>
              <w:t>2019</w:t>
            </w:r>
          </w:p>
        </w:tc>
        <w:tc>
          <w:tcPr>
            <w:tcW w:w="1180" w:type="dxa"/>
            <w:shd w:val="clear" w:color="auto" w:fill="8DB3E2" w:themeFill="text2" w:themeFillTint="66"/>
          </w:tcPr>
          <w:p w:rsidR="0084609D" w:rsidRPr="00543CBD" w:rsidRDefault="00996927" w:rsidP="00996927">
            <w:pPr>
              <w:pStyle w:val="cuadroCabe"/>
              <w:jc w:val="center"/>
              <w:rPr>
                <w:sz w:val="16"/>
                <w:szCs w:val="16"/>
              </w:rPr>
            </w:pPr>
            <w:r>
              <w:rPr>
                <w:sz w:val="16"/>
                <w:szCs w:val="16"/>
              </w:rPr>
              <w:t>Aldaketa, ehunekotan 2019/2014</w:t>
            </w:r>
          </w:p>
        </w:tc>
        <w:tc>
          <w:tcPr>
            <w:tcW w:w="1134" w:type="dxa"/>
            <w:shd w:val="clear" w:color="auto" w:fill="8DB3E2" w:themeFill="text2" w:themeFillTint="66"/>
          </w:tcPr>
          <w:p w:rsidR="0084609D" w:rsidRPr="00543CBD" w:rsidRDefault="00996927" w:rsidP="00996927">
            <w:pPr>
              <w:pStyle w:val="cuadroCabe"/>
              <w:jc w:val="center"/>
              <w:rPr>
                <w:sz w:val="16"/>
                <w:szCs w:val="16"/>
              </w:rPr>
            </w:pPr>
            <w:r>
              <w:rPr>
                <w:sz w:val="16"/>
                <w:szCs w:val="16"/>
              </w:rPr>
              <w:t>Aldea (%) 2019/2018</w:t>
            </w:r>
          </w:p>
        </w:tc>
      </w:tr>
      <w:tr w:rsidR="0084609D" w:rsidRPr="00B55AF1" w:rsidTr="00996927">
        <w:trPr>
          <w:trHeight w:val="284"/>
          <w:jc w:val="center"/>
        </w:trPr>
        <w:tc>
          <w:tcPr>
            <w:tcW w:w="2313" w:type="dxa"/>
            <w:shd w:val="clear" w:color="auto" w:fill="auto"/>
            <w:noWrap/>
            <w:vAlign w:val="center"/>
            <w:hideMark/>
          </w:tcPr>
          <w:p w:rsidR="0084609D" w:rsidRPr="00543CBD" w:rsidRDefault="0084609D" w:rsidP="00543CBD">
            <w:pPr>
              <w:pStyle w:val="cuatexto"/>
              <w:rPr>
                <w:sz w:val="18"/>
                <w:szCs w:val="18"/>
              </w:rPr>
            </w:pPr>
            <w:r>
              <w:rPr>
                <w:sz w:val="18"/>
                <w:szCs w:val="18"/>
              </w:rPr>
              <w:t>Eskabideak/</w:t>
            </w:r>
            <w:proofErr w:type="spellStart"/>
            <w:r>
              <w:rPr>
                <w:sz w:val="18"/>
                <w:szCs w:val="18"/>
              </w:rPr>
              <w:t>PAGNAko</w:t>
            </w:r>
            <w:proofErr w:type="spellEnd"/>
            <w:r>
              <w:rPr>
                <w:sz w:val="18"/>
                <w:szCs w:val="18"/>
              </w:rPr>
              <w:t xml:space="preserve"> lang</w:t>
            </w:r>
            <w:r>
              <w:rPr>
                <w:sz w:val="18"/>
                <w:szCs w:val="18"/>
              </w:rPr>
              <w:t>i</w:t>
            </w:r>
            <w:r>
              <w:rPr>
                <w:sz w:val="18"/>
                <w:szCs w:val="18"/>
              </w:rPr>
              <w:t>leak</w:t>
            </w:r>
          </w:p>
        </w:tc>
        <w:tc>
          <w:tcPr>
            <w:tcW w:w="693" w:type="dxa"/>
            <w:shd w:val="clear" w:color="auto" w:fill="auto"/>
            <w:noWrap/>
            <w:vAlign w:val="center"/>
            <w:hideMark/>
          </w:tcPr>
          <w:p w:rsidR="0084609D" w:rsidRPr="00543CBD" w:rsidRDefault="0084609D" w:rsidP="00067380">
            <w:pPr>
              <w:pStyle w:val="cuatexto"/>
              <w:jc w:val="right"/>
              <w:rPr>
                <w:sz w:val="18"/>
                <w:szCs w:val="18"/>
              </w:rPr>
            </w:pPr>
            <w:r>
              <w:rPr>
                <w:sz w:val="18"/>
                <w:szCs w:val="18"/>
              </w:rPr>
              <w:t>316.74</w:t>
            </w:r>
          </w:p>
        </w:tc>
        <w:tc>
          <w:tcPr>
            <w:tcW w:w="693" w:type="dxa"/>
            <w:shd w:val="clear" w:color="auto" w:fill="auto"/>
            <w:noWrap/>
            <w:vAlign w:val="center"/>
            <w:hideMark/>
          </w:tcPr>
          <w:p w:rsidR="0084609D" w:rsidRPr="00543CBD" w:rsidRDefault="0084609D" w:rsidP="00067380">
            <w:pPr>
              <w:pStyle w:val="cuatexto"/>
              <w:jc w:val="right"/>
              <w:rPr>
                <w:sz w:val="18"/>
                <w:szCs w:val="18"/>
              </w:rPr>
            </w:pPr>
            <w:r>
              <w:rPr>
                <w:sz w:val="18"/>
                <w:szCs w:val="18"/>
              </w:rPr>
              <w:t>329.38</w:t>
            </w:r>
          </w:p>
        </w:tc>
        <w:tc>
          <w:tcPr>
            <w:tcW w:w="694" w:type="dxa"/>
            <w:shd w:val="clear" w:color="auto" w:fill="auto"/>
            <w:noWrap/>
            <w:vAlign w:val="center"/>
            <w:hideMark/>
          </w:tcPr>
          <w:p w:rsidR="0084609D" w:rsidRPr="00543CBD" w:rsidRDefault="0084609D" w:rsidP="00067380">
            <w:pPr>
              <w:pStyle w:val="cuatexto"/>
              <w:jc w:val="right"/>
              <w:rPr>
                <w:sz w:val="18"/>
                <w:szCs w:val="18"/>
              </w:rPr>
            </w:pPr>
            <w:r>
              <w:rPr>
                <w:sz w:val="18"/>
                <w:szCs w:val="18"/>
              </w:rPr>
              <w:t>281.89</w:t>
            </w:r>
          </w:p>
        </w:tc>
        <w:tc>
          <w:tcPr>
            <w:tcW w:w="694" w:type="dxa"/>
            <w:shd w:val="clear" w:color="auto" w:fill="auto"/>
            <w:noWrap/>
            <w:vAlign w:val="center"/>
            <w:hideMark/>
          </w:tcPr>
          <w:p w:rsidR="0084609D" w:rsidRPr="00543CBD" w:rsidRDefault="0084609D" w:rsidP="00067380">
            <w:pPr>
              <w:pStyle w:val="cuatexto"/>
              <w:jc w:val="right"/>
              <w:rPr>
                <w:sz w:val="18"/>
                <w:szCs w:val="18"/>
              </w:rPr>
            </w:pPr>
            <w:r>
              <w:rPr>
                <w:sz w:val="18"/>
                <w:szCs w:val="18"/>
              </w:rPr>
              <w:t>320.82</w:t>
            </w:r>
          </w:p>
        </w:tc>
        <w:tc>
          <w:tcPr>
            <w:tcW w:w="694" w:type="dxa"/>
            <w:shd w:val="clear" w:color="auto" w:fill="auto"/>
            <w:noWrap/>
            <w:vAlign w:val="center"/>
            <w:hideMark/>
          </w:tcPr>
          <w:p w:rsidR="0084609D" w:rsidRPr="00543CBD" w:rsidRDefault="0084609D" w:rsidP="00067380">
            <w:pPr>
              <w:pStyle w:val="cuatexto"/>
              <w:jc w:val="right"/>
              <w:rPr>
                <w:sz w:val="18"/>
                <w:szCs w:val="18"/>
              </w:rPr>
            </w:pPr>
            <w:r>
              <w:rPr>
                <w:sz w:val="18"/>
                <w:szCs w:val="18"/>
              </w:rPr>
              <w:t>317.65</w:t>
            </w:r>
          </w:p>
        </w:tc>
        <w:tc>
          <w:tcPr>
            <w:tcW w:w="694" w:type="dxa"/>
            <w:shd w:val="clear" w:color="auto" w:fill="auto"/>
            <w:noWrap/>
            <w:vAlign w:val="center"/>
            <w:hideMark/>
          </w:tcPr>
          <w:p w:rsidR="0084609D" w:rsidRPr="00543CBD" w:rsidRDefault="003E05AE" w:rsidP="00067380">
            <w:pPr>
              <w:pStyle w:val="cuatexto"/>
              <w:jc w:val="right"/>
              <w:rPr>
                <w:sz w:val="18"/>
                <w:szCs w:val="18"/>
              </w:rPr>
            </w:pPr>
            <w:r>
              <w:rPr>
                <w:sz w:val="18"/>
                <w:szCs w:val="18"/>
              </w:rPr>
              <w:t>334.20</w:t>
            </w:r>
          </w:p>
        </w:tc>
        <w:tc>
          <w:tcPr>
            <w:tcW w:w="1180" w:type="dxa"/>
            <w:vAlign w:val="center"/>
          </w:tcPr>
          <w:p w:rsidR="0084609D" w:rsidRPr="00543CBD" w:rsidRDefault="003E05AE" w:rsidP="00FE5B13">
            <w:pPr>
              <w:pStyle w:val="cuatexto"/>
              <w:jc w:val="center"/>
              <w:rPr>
                <w:sz w:val="18"/>
                <w:szCs w:val="18"/>
              </w:rPr>
            </w:pPr>
            <w:r>
              <w:rPr>
                <w:sz w:val="18"/>
                <w:szCs w:val="18"/>
              </w:rPr>
              <w:t>6</w:t>
            </w:r>
          </w:p>
        </w:tc>
        <w:tc>
          <w:tcPr>
            <w:tcW w:w="1134" w:type="dxa"/>
            <w:vAlign w:val="center"/>
          </w:tcPr>
          <w:p w:rsidR="0084609D" w:rsidRPr="00543CBD" w:rsidRDefault="003E05AE" w:rsidP="003E05AE">
            <w:pPr>
              <w:pStyle w:val="cuatexto"/>
              <w:jc w:val="center"/>
              <w:rPr>
                <w:sz w:val="18"/>
                <w:szCs w:val="18"/>
              </w:rPr>
            </w:pPr>
            <w:r>
              <w:rPr>
                <w:sz w:val="18"/>
                <w:szCs w:val="18"/>
              </w:rPr>
              <w:t>5</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120"/>
        <w:rPr>
          <w:rFonts w:cs="Arial"/>
        </w:rPr>
      </w:pPr>
      <w:r>
        <w:t xml:space="preserve">2019an, eskabideen eta </w:t>
      </w:r>
      <w:proofErr w:type="spellStart"/>
      <w:r>
        <w:t>PAGNAko</w:t>
      </w:r>
      <w:proofErr w:type="spellEnd"/>
      <w:r>
        <w:t xml:space="preserve"> langileen arteko ratioa 334,20koa izan da; hots, 2018koa baino ehuneko bost handiagoa den kopurua. </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Azterkizun hartutako epean honako mendekotasun-balorazio hauek egin dira:</w:t>
      </w:r>
    </w:p>
    <w:tbl>
      <w:tblPr>
        <w:tblW w:w="8789"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836"/>
        <w:gridCol w:w="728"/>
        <w:gridCol w:w="728"/>
        <w:gridCol w:w="728"/>
        <w:gridCol w:w="728"/>
        <w:gridCol w:w="728"/>
        <w:gridCol w:w="1162"/>
        <w:gridCol w:w="1166"/>
      </w:tblGrid>
      <w:tr w:rsidR="0084609D" w:rsidRPr="00A3357D" w:rsidTr="00A3357D">
        <w:trPr>
          <w:trHeight w:val="255"/>
          <w:jc w:val="center"/>
        </w:trPr>
        <w:tc>
          <w:tcPr>
            <w:tcW w:w="1985" w:type="dxa"/>
            <w:tcBorders>
              <w:bottom w:val="single" w:sz="4" w:space="0" w:color="auto"/>
            </w:tcBorders>
            <w:shd w:val="clear" w:color="auto" w:fill="8DB3E2" w:themeFill="text2" w:themeFillTint="66"/>
            <w:noWrap/>
            <w:vAlign w:val="center"/>
          </w:tcPr>
          <w:p w:rsidR="0084609D" w:rsidRPr="00A3357D" w:rsidRDefault="0084609D" w:rsidP="00381B6A">
            <w:pPr>
              <w:pStyle w:val="cuadroCabe"/>
              <w:rPr>
                <w:sz w:val="16"/>
                <w:szCs w:val="16"/>
                <w:lang w:val="es-ES" w:eastAsia="es-ES"/>
              </w:rPr>
            </w:pPr>
          </w:p>
        </w:tc>
        <w:tc>
          <w:tcPr>
            <w:tcW w:w="836"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2014</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2015</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2016</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2017</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2018</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rPr>
            </w:pPr>
            <w:r>
              <w:rPr>
                <w:sz w:val="16"/>
                <w:szCs w:val="16"/>
              </w:rPr>
              <w:t>2019</w:t>
            </w:r>
          </w:p>
        </w:tc>
        <w:tc>
          <w:tcPr>
            <w:tcW w:w="1162" w:type="dxa"/>
            <w:tcBorders>
              <w:bottom w:val="single" w:sz="4" w:space="0" w:color="auto"/>
            </w:tcBorders>
            <w:shd w:val="clear" w:color="auto" w:fill="8DB3E2" w:themeFill="text2" w:themeFillTint="66"/>
          </w:tcPr>
          <w:p w:rsidR="0084609D" w:rsidRPr="00A3357D" w:rsidRDefault="00996927" w:rsidP="00996927">
            <w:pPr>
              <w:pStyle w:val="cuadroCabe"/>
              <w:jc w:val="center"/>
              <w:rPr>
                <w:sz w:val="16"/>
                <w:szCs w:val="16"/>
              </w:rPr>
            </w:pPr>
            <w:r>
              <w:rPr>
                <w:sz w:val="16"/>
                <w:szCs w:val="16"/>
              </w:rPr>
              <w:t>Aldea (%) 2019/2014</w:t>
            </w:r>
          </w:p>
        </w:tc>
        <w:tc>
          <w:tcPr>
            <w:tcW w:w="1166" w:type="dxa"/>
            <w:tcBorders>
              <w:bottom w:val="single" w:sz="4" w:space="0" w:color="auto"/>
            </w:tcBorders>
            <w:shd w:val="clear" w:color="auto" w:fill="8DB3E2" w:themeFill="text2" w:themeFillTint="66"/>
          </w:tcPr>
          <w:p w:rsidR="0084609D" w:rsidRPr="00A3357D" w:rsidRDefault="00996927" w:rsidP="00996927">
            <w:pPr>
              <w:pStyle w:val="cuadroCabe"/>
              <w:jc w:val="center"/>
              <w:rPr>
                <w:sz w:val="16"/>
                <w:szCs w:val="16"/>
              </w:rPr>
            </w:pPr>
            <w:r>
              <w:rPr>
                <w:sz w:val="16"/>
                <w:szCs w:val="16"/>
              </w:rPr>
              <w:t>Aldaketa, ehunekotan 2019/2018</w:t>
            </w:r>
          </w:p>
        </w:tc>
      </w:tr>
      <w:tr w:rsidR="0084609D" w:rsidRPr="00FE5B13" w:rsidTr="00A3357D">
        <w:trPr>
          <w:trHeight w:val="255"/>
          <w:jc w:val="center"/>
        </w:trPr>
        <w:tc>
          <w:tcPr>
            <w:tcW w:w="1985" w:type="dxa"/>
            <w:tcBorders>
              <w:bottom w:val="single" w:sz="2" w:space="0" w:color="auto"/>
            </w:tcBorders>
            <w:shd w:val="clear" w:color="auto" w:fill="auto"/>
            <w:noWrap/>
            <w:vAlign w:val="center"/>
            <w:hideMark/>
          </w:tcPr>
          <w:p w:rsidR="0084609D" w:rsidRPr="00FE5B13" w:rsidRDefault="0084609D" w:rsidP="00381B6A">
            <w:pPr>
              <w:pStyle w:val="cuatexto"/>
            </w:pPr>
            <w:r>
              <w:t>Balorazio berriak</w:t>
            </w:r>
          </w:p>
        </w:tc>
        <w:tc>
          <w:tcPr>
            <w:tcW w:w="836" w:type="dxa"/>
            <w:tcBorders>
              <w:bottom w:val="single" w:sz="2" w:space="0" w:color="auto"/>
            </w:tcBorders>
            <w:shd w:val="clear" w:color="auto" w:fill="auto"/>
            <w:noWrap/>
            <w:vAlign w:val="center"/>
            <w:hideMark/>
          </w:tcPr>
          <w:p w:rsidR="0084609D" w:rsidRPr="00FE5B13" w:rsidRDefault="0084609D" w:rsidP="00067380">
            <w:pPr>
              <w:pStyle w:val="cuatexto"/>
              <w:jc w:val="right"/>
            </w:pPr>
            <w:r>
              <w:t>3.573</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pPr>
            <w:r>
              <w:t>4.590</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pPr>
            <w:r>
              <w:t>5.611</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pPr>
            <w:r>
              <w:t>6.381</w:t>
            </w:r>
          </w:p>
        </w:tc>
        <w:tc>
          <w:tcPr>
            <w:tcW w:w="728" w:type="dxa"/>
            <w:tcBorders>
              <w:bottom w:val="single" w:sz="2" w:space="0" w:color="auto"/>
            </w:tcBorders>
            <w:shd w:val="clear" w:color="auto" w:fill="auto"/>
            <w:noWrap/>
            <w:vAlign w:val="center"/>
            <w:hideMark/>
          </w:tcPr>
          <w:p w:rsidR="0084609D" w:rsidRPr="00FE5B13" w:rsidRDefault="0084609D" w:rsidP="00067380">
            <w:pPr>
              <w:pStyle w:val="cuatexto"/>
              <w:jc w:val="right"/>
            </w:pPr>
            <w:r>
              <w:t>6.161</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pPr>
            <w:r>
              <w:t>5.955</w:t>
            </w:r>
          </w:p>
        </w:tc>
        <w:tc>
          <w:tcPr>
            <w:tcW w:w="1162" w:type="dxa"/>
            <w:tcBorders>
              <w:bottom w:val="single" w:sz="2" w:space="0" w:color="auto"/>
            </w:tcBorders>
            <w:vAlign w:val="center"/>
          </w:tcPr>
          <w:p w:rsidR="0084609D" w:rsidRPr="00FE5B13" w:rsidRDefault="0084609D" w:rsidP="00FE5B13">
            <w:pPr>
              <w:pStyle w:val="cuatexto"/>
              <w:jc w:val="center"/>
            </w:pPr>
            <w:r>
              <w:t>67</w:t>
            </w:r>
          </w:p>
        </w:tc>
        <w:tc>
          <w:tcPr>
            <w:tcW w:w="1166" w:type="dxa"/>
            <w:tcBorders>
              <w:bottom w:val="single" w:sz="2" w:space="0" w:color="auto"/>
            </w:tcBorders>
            <w:vAlign w:val="center"/>
          </w:tcPr>
          <w:p w:rsidR="0084609D" w:rsidRPr="00FE5B13" w:rsidRDefault="0084609D" w:rsidP="00FE5B13">
            <w:pPr>
              <w:pStyle w:val="cuatexto"/>
              <w:jc w:val="center"/>
            </w:pPr>
            <w:r>
              <w:t>-3</w:t>
            </w:r>
          </w:p>
        </w:tc>
      </w:tr>
      <w:tr w:rsidR="0084609D" w:rsidRPr="00B55AF1" w:rsidTr="00A3357D">
        <w:trPr>
          <w:trHeight w:val="255"/>
          <w:jc w:val="center"/>
        </w:trPr>
        <w:tc>
          <w:tcPr>
            <w:tcW w:w="1985" w:type="dxa"/>
            <w:tcBorders>
              <w:top w:val="single" w:sz="2" w:space="0" w:color="auto"/>
              <w:bottom w:val="single" w:sz="4" w:space="0" w:color="auto"/>
            </w:tcBorders>
            <w:shd w:val="clear" w:color="auto" w:fill="auto"/>
            <w:noWrap/>
            <w:vAlign w:val="center"/>
          </w:tcPr>
          <w:p w:rsidR="0084609D" w:rsidRDefault="0084609D" w:rsidP="00381B6A">
            <w:pPr>
              <w:pStyle w:val="cuatexto"/>
            </w:pPr>
            <w:r>
              <w:t>Balorazio-berrikuspenak</w:t>
            </w:r>
          </w:p>
        </w:tc>
        <w:tc>
          <w:tcPr>
            <w:tcW w:w="836" w:type="dxa"/>
            <w:tcBorders>
              <w:top w:val="single" w:sz="2" w:space="0" w:color="auto"/>
              <w:bottom w:val="single" w:sz="4" w:space="0" w:color="auto"/>
            </w:tcBorders>
            <w:shd w:val="clear" w:color="auto" w:fill="auto"/>
            <w:noWrap/>
            <w:vAlign w:val="center"/>
          </w:tcPr>
          <w:p w:rsidR="0084609D" w:rsidRDefault="0084609D" w:rsidP="00067380">
            <w:pPr>
              <w:pStyle w:val="cuatexto"/>
              <w:jc w:val="right"/>
            </w:pPr>
            <w:r>
              <w:t>457</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pPr>
            <w:r>
              <w:t>214</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pPr>
            <w:r>
              <w:t>436</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pPr>
            <w:r>
              <w:t>474</w:t>
            </w:r>
          </w:p>
        </w:tc>
        <w:tc>
          <w:tcPr>
            <w:tcW w:w="728" w:type="dxa"/>
            <w:tcBorders>
              <w:top w:val="single" w:sz="2" w:space="0" w:color="auto"/>
              <w:bottom w:val="single" w:sz="4" w:space="0" w:color="auto"/>
            </w:tcBorders>
            <w:shd w:val="clear" w:color="auto" w:fill="auto"/>
            <w:noWrap/>
            <w:vAlign w:val="center"/>
          </w:tcPr>
          <w:p w:rsidR="0084609D" w:rsidRDefault="0084609D" w:rsidP="00067380">
            <w:pPr>
              <w:pStyle w:val="cuatexto"/>
              <w:jc w:val="right"/>
            </w:pPr>
            <w:r>
              <w:t>403</w:t>
            </w:r>
          </w:p>
        </w:tc>
        <w:tc>
          <w:tcPr>
            <w:tcW w:w="728" w:type="dxa"/>
            <w:tcBorders>
              <w:top w:val="single" w:sz="2" w:space="0" w:color="auto"/>
              <w:bottom w:val="single" w:sz="4" w:space="0" w:color="auto"/>
            </w:tcBorders>
            <w:shd w:val="clear" w:color="auto" w:fill="auto"/>
            <w:noWrap/>
            <w:vAlign w:val="center"/>
          </w:tcPr>
          <w:p w:rsidR="0084609D" w:rsidRPr="00974457" w:rsidRDefault="0084609D" w:rsidP="00067380">
            <w:pPr>
              <w:pStyle w:val="cuatexto"/>
              <w:jc w:val="right"/>
            </w:pPr>
            <w:r>
              <w:t>474</w:t>
            </w:r>
          </w:p>
        </w:tc>
        <w:tc>
          <w:tcPr>
            <w:tcW w:w="1162" w:type="dxa"/>
            <w:tcBorders>
              <w:top w:val="single" w:sz="2" w:space="0" w:color="auto"/>
              <w:bottom w:val="single" w:sz="4" w:space="0" w:color="auto"/>
            </w:tcBorders>
            <w:vAlign w:val="center"/>
          </w:tcPr>
          <w:p w:rsidR="0084609D" w:rsidRPr="00974457" w:rsidRDefault="0084609D" w:rsidP="00FE5B13">
            <w:pPr>
              <w:pStyle w:val="cuatexto"/>
              <w:jc w:val="center"/>
            </w:pPr>
            <w:r>
              <w:t>4</w:t>
            </w:r>
          </w:p>
        </w:tc>
        <w:tc>
          <w:tcPr>
            <w:tcW w:w="1166" w:type="dxa"/>
            <w:tcBorders>
              <w:top w:val="single" w:sz="2" w:space="0" w:color="auto"/>
              <w:bottom w:val="single" w:sz="4" w:space="0" w:color="auto"/>
            </w:tcBorders>
            <w:vAlign w:val="center"/>
          </w:tcPr>
          <w:p w:rsidR="0084609D" w:rsidRPr="00974457" w:rsidRDefault="0084609D" w:rsidP="00FE5B13">
            <w:pPr>
              <w:pStyle w:val="cuatexto"/>
              <w:jc w:val="center"/>
            </w:pPr>
            <w:r>
              <w:t>18</w:t>
            </w:r>
          </w:p>
        </w:tc>
      </w:tr>
      <w:tr w:rsidR="0084609D" w:rsidRPr="00B66045" w:rsidTr="00A3357D">
        <w:trPr>
          <w:trHeight w:val="255"/>
          <w:jc w:val="center"/>
        </w:trPr>
        <w:tc>
          <w:tcPr>
            <w:tcW w:w="1985" w:type="dxa"/>
            <w:shd w:val="clear" w:color="auto" w:fill="8DB3E2" w:themeFill="text2" w:themeFillTint="66"/>
            <w:noWrap/>
            <w:vAlign w:val="center"/>
          </w:tcPr>
          <w:p w:rsidR="0084609D" w:rsidRPr="00974457" w:rsidRDefault="0084609D" w:rsidP="00381B6A">
            <w:pPr>
              <w:pStyle w:val="cuadroCabe"/>
            </w:pPr>
            <w:r>
              <w:t>Balorazioak guztira</w:t>
            </w:r>
          </w:p>
        </w:tc>
        <w:tc>
          <w:tcPr>
            <w:tcW w:w="836" w:type="dxa"/>
            <w:shd w:val="clear" w:color="auto" w:fill="8DB3E2" w:themeFill="text2" w:themeFillTint="66"/>
            <w:noWrap/>
            <w:vAlign w:val="center"/>
          </w:tcPr>
          <w:p w:rsidR="0084609D" w:rsidRPr="00974457" w:rsidRDefault="0084609D" w:rsidP="00067380">
            <w:pPr>
              <w:pStyle w:val="cuadroCabe"/>
              <w:jc w:val="right"/>
            </w:pPr>
            <w:r>
              <w:t>4.030</w:t>
            </w:r>
          </w:p>
        </w:tc>
        <w:tc>
          <w:tcPr>
            <w:tcW w:w="728" w:type="dxa"/>
            <w:shd w:val="clear" w:color="auto" w:fill="8DB3E2" w:themeFill="text2" w:themeFillTint="66"/>
            <w:noWrap/>
            <w:vAlign w:val="center"/>
          </w:tcPr>
          <w:p w:rsidR="0084609D" w:rsidRPr="00974457" w:rsidRDefault="0084609D" w:rsidP="00067380">
            <w:pPr>
              <w:pStyle w:val="cuadroCabe"/>
              <w:jc w:val="right"/>
            </w:pPr>
            <w:r>
              <w:t>4.804</w:t>
            </w:r>
          </w:p>
        </w:tc>
        <w:tc>
          <w:tcPr>
            <w:tcW w:w="728" w:type="dxa"/>
            <w:shd w:val="clear" w:color="auto" w:fill="8DB3E2" w:themeFill="text2" w:themeFillTint="66"/>
            <w:noWrap/>
            <w:vAlign w:val="center"/>
          </w:tcPr>
          <w:p w:rsidR="0084609D" w:rsidRPr="00974457" w:rsidRDefault="0084609D" w:rsidP="00067380">
            <w:pPr>
              <w:pStyle w:val="cuadroCabe"/>
              <w:jc w:val="right"/>
            </w:pPr>
            <w:r>
              <w:t>6.047</w:t>
            </w:r>
          </w:p>
        </w:tc>
        <w:tc>
          <w:tcPr>
            <w:tcW w:w="728" w:type="dxa"/>
            <w:shd w:val="clear" w:color="auto" w:fill="8DB3E2" w:themeFill="text2" w:themeFillTint="66"/>
            <w:noWrap/>
            <w:vAlign w:val="center"/>
          </w:tcPr>
          <w:p w:rsidR="0084609D" w:rsidRPr="00974457" w:rsidRDefault="0084609D" w:rsidP="00067380">
            <w:pPr>
              <w:pStyle w:val="cuadroCabe"/>
              <w:jc w:val="right"/>
            </w:pPr>
            <w:r>
              <w:t>6.855</w:t>
            </w:r>
          </w:p>
        </w:tc>
        <w:tc>
          <w:tcPr>
            <w:tcW w:w="728" w:type="dxa"/>
            <w:shd w:val="clear" w:color="auto" w:fill="8DB3E2" w:themeFill="text2" w:themeFillTint="66"/>
            <w:noWrap/>
            <w:vAlign w:val="center"/>
          </w:tcPr>
          <w:p w:rsidR="0084609D" w:rsidRPr="00974457" w:rsidRDefault="0084609D" w:rsidP="00067380">
            <w:pPr>
              <w:pStyle w:val="cuadroCabe"/>
              <w:jc w:val="right"/>
            </w:pPr>
            <w:r>
              <w:t>6.564</w:t>
            </w:r>
          </w:p>
        </w:tc>
        <w:tc>
          <w:tcPr>
            <w:tcW w:w="728" w:type="dxa"/>
            <w:shd w:val="clear" w:color="auto" w:fill="8DB3E2" w:themeFill="text2" w:themeFillTint="66"/>
            <w:noWrap/>
            <w:vAlign w:val="center"/>
          </w:tcPr>
          <w:p w:rsidR="0084609D" w:rsidRPr="00974457" w:rsidRDefault="0084609D" w:rsidP="00067380">
            <w:pPr>
              <w:pStyle w:val="cuadroCabe"/>
              <w:jc w:val="right"/>
              <w:rPr>
                <w:color w:val="FF0000"/>
              </w:rPr>
            </w:pPr>
            <w:r>
              <w:t>6.429</w:t>
            </w:r>
          </w:p>
        </w:tc>
        <w:tc>
          <w:tcPr>
            <w:tcW w:w="1162" w:type="dxa"/>
            <w:shd w:val="clear" w:color="auto" w:fill="8DB3E2" w:themeFill="text2" w:themeFillTint="66"/>
            <w:vAlign w:val="center"/>
          </w:tcPr>
          <w:p w:rsidR="0084609D" w:rsidRPr="00974457" w:rsidRDefault="0084609D" w:rsidP="00FE5B13">
            <w:pPr>
              <w:pStyle w:val="cuadroCabe"/>
              <w:jc w:val="center"/>
            </w:pPr>
            <w:r>
              <w:t>60</w:t>
            </w:r>
          </w:p>
        </w:tc>
        <w:tc>
          <w:tcPr>
            <w:tcW w:w="1166" w:type="dxa"/>
            <w:shd w:val="clear" w:color="auto" w:fill="8DB3E2" w:themeFill="text2" w:themeFillTint="66"/>
            <w:vAlign w:val="center"/>
          </w:tcPr>
          <w:p w:rsidR="0084609D" w:rsidRPr="00974457" w:rsidRDefault="0084609D" w:rsidP="00FE5B13">
            <w:pPr>
              <w:pStyle w:val="cuadroCabe"/>
              <w:jc w:val="center"/>
            </w:pPr>
            <w:r>
              <w:t>-2</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ind w:firstLine="289"/>
        <w:rPr>
          <w:rFonts w:cs="Arial"/>
        </w:rPr>
      </w:pPr>
      <w:r>
        <w:t>2019an 6.429 mendekotasun-eskabide baloratu ziren. Kopuru hori ehuneko 60 handiagoa da 2014koa baino, baina ehuneko bi txikiagoa 2018koa baino. Aldian eginiko balorazioen ehuneko 93 onuradun berriei dagozkie, eta gain</w:t>
      </w:r>
      <w:r>
        <w:t>e</w:t>
      </w:r>
      <w:r>
        <w:t>rako ehuneko 7, jada eginiko balorazioen berrikuspenei.</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color w:val="FF0000"/>
        </w:rPr>
      </w:pPr>
      <w:r>
        <w:t>Araudiak sei hilabeteko gehieneko epea ezartzen du eskabide-sarreraren egunaren eta mendekotasun-prestazioa kasua bada aitortzeko ebazpenaren a</w:t>
      </w:r>
      <w:r>
        <w:t>r</w:t>
      </w:r>
      <w:r>
        <w:t>tean.</w:t>
      </w:r>
    </w:p>
    <w:p w:rsidR="0084609D" w:rsidRDefault="0084609D" w:rsidP="00794C0F">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ind w:firstLine="289"/>
        <w:rPr>
          <w:rFonts w:cs="Arial"/>
        </w:rPr>
      </w:pPr>
      <w:r>
        <w:t>Hurrengo taulak erakusten du epe horrek Nafarroan izan duen bilakaera, Kontuen Ganberak aurreko txostena egin zuenetik 2019ko abenduaren 31ra arte.</w:t>
      </w:r>
    </w:p>
    <w:tbl>
      <w:tblPr>
        <w:tblStyle w:val="Tablaconcuadrcula"/>
        <w:tblW w:w="8789"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367"/>
        <w:gridCol w:w="1962"/>
        <w:gridCol w:w="2230"/>
        <w:gridCol w:w="2230"/>
      </w:tblGrid>
      <w:tr w:rsidR="00F71937" w:rsidRPr="006546A7" w:rsidTr="003C2214">
        <w:trPr>
          <w:trHeight w:hRule="exact" w:val="245"/>
        </w:trPr>
        <w:tc>
          <w:tcPr>
            <w:tcW w:w="8943" w:type="dxa"/>
            <w:gridSpan w:val="4"/>
            <w:tcBorders>
              <w:top w:val="nil"/>
              <w:bottom w:val="single" w:sz="4" w:space="0" w:color="auto"/>
            </w:tcBorders>
            <w:shd w:val="clear" w:color="auto" w:fill="FFFFFF" w:themeFill="background1"/>
          </w:tcPr>
          <w:p w:rsidR="00F71937" w:rsidRDefault="00F71937" w:rsidP="00C15AE1">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sz w:val="18"/>
                <w:szCs w:val="18"/>
              </w:rPr>
              <w:t>(hilabetetan)</w:t>
            </w:r>
          </w:p>
        </w:tc>
      </w:tr>
      <w:tr w:rsidR="00794C0F" w:rsidRPr="006546A7" w:rsidTr="003C2214">
        <w:trPr>
          <w:trHeight w:hRule="exact" w:val="499"/>
        </w:trPr>
        <w:tc>
          <w:tcPr>
            <w:tcW w:w="2415" w:type="dxa"/>
            <w:tcBorders>
              <w:bottom w:val="single" w:sz="4" w:space="0" w:color="auto"/>
            </w:tcBorders>
            <w:shd w:val="clear" w:color="auto" w:fill="8DB3E2" w:themeFill="text2" w:themeFillTint="66"/>
          </w:tcPr>
          <w:p w:rsidR="00794C0F" w:rsidRPr="006546A7" w:rsidRDefault="00794C0F" w:rsidP="00C15AE1">
            <w:pPr>
              <w:pStyle w:val="cuadroCabe"/>
            </w:pPr>
          </w:p>
        </w:tc>
        <w:tc>
          <w:tcPr>
            <w:tcW w:w="1992" w:type="dxa"/>
            <w:tcBorders>
              <w:bottom w:val="single" w:sz="4" w:space="0" w:color="auto"/>
            </w:tcBorders>
            <w:shd w:val="clear" w:color="auto" w:fill="8DB3E2" w:themeFill="text2" w:themeFillTint="66"/>
            <w:vAlign w:val="center"/>
          </w:tcPr>
          <w:p w:rsidR="00794C0F" w:rsidRDefault="00794C0F" w:rsidP="00794C0F">
            <w:pPr>
              <w:pStyle w:val="cuadroCabe"/>
              <w:jc w:val="right"/>
            </w:pPr>
            <w:r>
              <w:t>2012ko maiatzaren 1etik</w:t>
            </w:r>
          </w:p>
          <w:p w:rsidR="00794C0F" w:rsidRPr="006546A7" w:rsidRDefault="00794C0F" w:rsidP="00794C0F">
            <w:pPr>
              <w:pStyle w:val="cuadroCabe"/>
              <w:jc w:val="right"/>
            </w:pPr>
            <w:r>
              <w:t xml:space="preserve"> 2013ko apirilaren 30era</w:t>
            </w:r>
          </w:p>
        </w:tc>
        <w:tc>
          <w:tcPr>
            <w:tcW w:w="2268" w:type="dxa"/>
            <w:tcBorders>
              <w:bottom w:val="single" w:sz="4" w:space="0" w:color="auto"/>
            </w:tcBorders>
            <w:shd w:val="clear" w:color="auto" w:fill="8DB3E2" w:themeFill="text2" w:themeFillTint="66"/>
            <w:vAlign w:val="center"/>
          </w:tcPr>
          <w:p w:rsidR="00794C0F" w:rsidRDefault="00794C0F" w:rsidP="00794C0F">
            <w:pPr>
              <w:pStyle w:val="cuadroCabe"/>
              <w:jc w:val="right"/>
            </w:pPr>
            <w:r>
              <w:t xml:space="preserve">2018eko urtarrilaren 1etik </w:t>
            </w:r>
          </w:p>
          <w:p w:rsidR="00794C0F" w:rsidRPr="006546A7" w:rsidRDefault="00794C0F" w:rsidP="00794C0F">
            <w:pPr>
              <w:pStyle w:val="cuadroCabe"/>
              <w:jc w:val="right"/>
            </w:pPr>
            <w:r>
              <w:t>2018ko abenduaren 31ra</w:t>
            </w:r>
          </w:p>
        </w:tc>
        <w:tc>
          <w:tcPr>
            <w:tcW w:w="2268" w:type="dxa"/>
            <w:tcBorders>
              <w:bottom w:val="single" w:sz="4" w:space="0" w:color="auto"/>
            </w:tcBorders>
            <w:shd w:val="clear" w:color="auto" w:fill="8DB3E2" w:themeFill="text2" w:themeFillTint="66"/>
            <w:vAlign w:val="center"/>
          </w:tcPr>
          <w:p w:rsidR="002570F2" w:rsidRDefault="00794C0F" w:rsidP="002570F2">
            <w:pPr>
              <w:pStyle w:val="cuadroCabe"/>
              <w:jc w:val="right"/>
            </w:pPr>
            <w:r>
              <w:t>2019ko urtarrilaren 1etik</w:t>
            </w:r>
          </w:p>
          <w:p w:rsidR="00794C0F" w:rsidRPr="006546A7" w:rsidRDefault="00794C0F" w:rsidP="002570F2">
            <w:pPr>
              <w:pStyle w:val="cuadroCabe"/>
              <w:jc w:val="right"/>
            </w:pPr>
            <w:r>
              <w:t>2019ko abenduaren 31ra</w:t>
            </w:r>
          </w:p>
        </w:tc>
      </w:tr>
      <w:tr w:rsidR="00F71937" w:rsidRPr="006546A7" w:rsidTr="003C2214">
        <w:trPr>
          <w:trHeight w:hRule="exact" w:val="323"/>
        </w:trPr>
        <w:tc>
          <w:tcPr>
            <w:tcW w:w="2415" w:type="dxa"/>
            <w:tcBorders>
              <w:bottom w:val="single" w:sz="4" w:space="0" w:color="auto"/>
            </w:tcBorders>
            <w:shd w:val="clear" w:color="auto" w:fill="FFFFFF" w:themeFill="background1"/>
            <w:vAlign w:val="center"/>
          </w:tcPr>
          <w:p w:rsidR="00F71937" w:rsidRPr="006546A7" w:rsidRDefault="00F71937" w:rsidP="00F71937">
            <w:pPr>
              <w:pStyle w:val="cuatexto"/>
            </w:pPr>
            <w:r>
              <w:t xml:space="preserve">Iragandako epea </w:t>
            </w:r>
          </w:p>
        </w:tc>
        <w:tc>
          <w:tcPr>
            <w:tcW w:w="1992"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t>4.18</w:t>
            </w:r>
          </w:p>
        </w:tc>
        <w:tc>
          <w:tcPr>
            <w:tcW w:w="2268"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t>3.59</w:t>
            </w:r>
          </w:p>
        </w:tc>
        <w:tc>
          <w:tcPr>
            <w:tcW w:w="2268"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t>4.58</w:t>
            </w:r>
          </w:p>
        </w:tc>
      </w:tr>
    </w:tbl>
    <w:p w:rsidR="0084609D" w:rsidRPr="00193B2F"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t>Araudiak ezarritako epea bete egiten da azterturiko epe osoan, eta batez beste 4,58 hilabete egiten du 2019an, nahiz eta ehuneko 28ko igoera izan duen 2018arekin alderatuta.</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Aipatu epean sartuta dago mendekotasunaren balorazioa egiten denetik prestazioaren aitorpena egiten den arte batez beste igarotako denbora. Denbora horretarako epeak, aurreko taulan ezarriak, honako hauek dira:</w:t>
      </w:r>
    </w:p>
    <w:tbl>
      <w:tblPr>
        <w:tblStyle w:val="Tablaconcuadrcula"/>
        <w:tblW w:w="8789"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367"/>
        <w:gridCol w:w="1962"/>
        <w:gridCol w:w="2230"/>
        <w:gridCol w:w="2230"/>
      </w:tblGrid>
      <w:tr w:rsidR="0084609D" w:rsidRPr="006546A7" w:rsidTr="003C2214">
        <w:trPr>
          <w:trHeight w:hRule="exact" w:val="245"/>
        </w:trPr>
        <w:tc>
          <w:tcPr>
            <w:tcW w:w="8943" w:type="dxa"/>
            <w:gridSpan w:val="4"/>
            <w:tcBorders>
              <w:top w:val="nil"/>
              <w:bottom w:val="single" w:sz="4" w:space="0" w:color="auto"/>
            </w:tcBorders>
            <w:shd w:val="clear" w:color="auto" w:fill="FFFFFF" w:themeFill="background1"/>
          </w:tcPr>
          <w:p w:rsidR="0084609D" w:rsidRDefault="0084609D" w:rsidP="00710CCC">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sz w:val="18"/>
                <w:szCs w:val="18"/>
              </w:rPr>
              <w:t>(hilabetetan)</w:t>
            </w:r>
          </w:p>
        </w:tc>
      </w:tr>
      <w:tr w:rsidR="0084609D" w:rsidRPr="006546A7" w:rsidTr="003C2214">
        <w:trPr>
          <w:trHeight w:hRule="exact" w:val="499"/>
        </w:trPr>
        <w:tc>
          <w:tcPr>
            <w:tcW w:w="2415" w:type="dxa"/>
            <w:tcBorders>
              <w:bottom w:val="single" w:sz="4" w:space="0" w:color="auto"/>
            </w:tcBorders>
            <w:shd w:val="clear" w:color="auto" w:fill="8DB3E2" w:themeFill="text2" w:themeFillTint="66"/>
          </w:tcPr>
          <w:p w:rsidR="0084609D" w:rsidRPr="006546A7" w:rsidRDefault="0084609D" w:rsidP="00381B6A">
            <w:pPr>
              <w:pStyle w:val="cuadroCabe"/>
            </w:pPr>
          </w:p>
        </w:tc>
        <w:tc>
          <w:tcPr>
            <w:tcW w:w="1992" w:type="dxa"/>
            <w:tcBorders>
              <w:bottom w:val="single" w:sz="4" w:space="0" w:color="auto"/>
            </w:tcBorders>
            <w:shd w:val="clear" w:color="auto" w:fill="8DB3E2" w:themeFill="text2" w:themeFillTint="66"/>
            <w:vAlign w:val="center"/>
          </w:tcPr>
          <w:p w:rsidR="0084609D" w:rsidRDefault="0084609D" w:rsidP="00067380">
            <w:pPr>
              <w:pStyle w:val="cuadroCabe"/>
              <w:jc w:val="right"/>
            </w:pPr>
            <w:r>
              <w:t>2012ko maiatzaren 1etik</w:t>
            </w:r>
          </w:p>
          <w:p w:rsidR="0084609D" w:rsidRPr="006546A7" w:rsidRDefault="0084609D" w:rsidP="00067380">
            <w:pPr>
              <w:pStyle w:val="cuadroCabe"/>
              <w:jc w:val="right"/>
            </w:pPr>
            <w:r>
              <w:t xml:space="preserve"> 2013ko apirilaren 30era</w:t>
            </w:r>
          </w:p>
        </w:tc>
        <w:tc>
          <w:tcPr>
            <w:tcW w:w="2268"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2018ko urtarrilaren 1etik 2018ko abendu</w:t>
            </w:r>
            <w:r>
              <w:t>a</w:t>
            </w:r>
            <w:r>
              <w:t>ren 31ra</w:t>
            </w:r>
          </w:p>
        </w:tc>
        <w:tc>
          <w:tcPr>
            <w:tcW w:w="2268"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2019ko urtarrilaren 1etik 2019ko abendu</w:t>
            </w:r>
            <w:r>
              <w:t>a</w:t>
            </w:r>
            <w:r>
              <w:t>ren 31ra</w:t>
            </w:r>
          </w:p>
        </w:tc>
      </w:tr>
      <w:tr w:rsidR="0084609D" w:rsidRPr="006546A7" w:rsidTr="003C2214">
        <w:trPr>
          <w:trHeight w:hRule="exact" w:val="323"/>
        </w:trPr>
        <w:tc>
          <w:tcPr>
            <w:tcW w:w="2415" w:type="dxa"/>
            <w:tcBorders>
              <w:bottom w:val="single" w:sz="4" w:space="0" w:color="auto"/>
            </w:tcBorders>
            <w:shd w:val="clear" w:color="auto" w:fill="FFFFFF" w:themeFill="background1"/>
            <w:vAlign w:val="center"/>
          </w:tcPr>
          <w:p w:rsidR="0084609D" w:rsidRPr="006546A7" w:rsidRDefault="0084609D" w:rsidP="00381B6A">
            <w:pPr>
              <w:pStyle w:val="cuatexto"/>
            </w:pPr>
            <w:r>
              <w:t xml:space="preserve">Iragandako epea </w:t>
            </w:r>
          </w:p>
        </w:tc>
        <w:tc>
          <w:tcPr>
            <w:tcW w:w="1992"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0.49</w:t>
            </w:r>
          </w:p>
        </w:tc>
        <w:tc>
          <w:tcPr>
            <w:tcW w:w="2268"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1.86</w:t>
            </w:r>
          </w:p>
        </w:tc>
        <w:tc>
          <w:tcPr>
            <w:tcW w:w="2268"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2.13</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t>Mendekotasun-balorazioa egiten denetik prestazioa aitortzen den arte batez beste igarotako denbora 2,13 hilabetera igo zen 2019an. Adierazle horrek 2018koaren aldean ehuneko 15eko gehikuntza izan du.</w:t>
      </w:r>
    </w:p>
    <w:p w:rsidR="0084609D" w:rsidRPr="009513F0"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color w:val="FF0000"/>
        </w:rPr>
      </w:pPr>
      <w:r>
        <w:t>Aurreko datuak batez besteko denborak dira. Horrenbestez, jarraian aza</w:t>
      </w:r>
      <w:r>
        <w:t>l</w:t>
      </w:r>
      <w:r>
        <w:t>duko ditugu prestazio bat noiz jasoko zain dauden espedienteen kopuruak, mendekotasun-aitorpena jada emana izanik sei hilabete igarota dituztenak e</w:t>
      </w:r>
      <w:r>
        <w:t>s</w:t>
      </w:r>
      <w:r>
        <w:t>kabidea egin zenetik:</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1565"/>
        <w:gridCol w:w="2126"/>
        <w:gridCol w:w="2551"/>
        <w:gridCol w:w="2552"/>
      </w:tblGrid>
      <w:tr w:rsidR="0084609D" w:rsidRPr="006546A7" w:rsidTr="009C6CDF">
        <w:trPr>
          <w:trHeight w:hRule="exact" w:val="499"/>
        </w:trPr>
        <w:tc>
          <w:tcPr>
            <w:tcW w:w="1565" w:type="dxa"/>
            <w:shd w:val="clear" w:color="auto" w:fill="8DB3E2" w:themeFill="text2" w:themeFillTint="66"/>
          </w:tcPr>
          <w:p w:rsidR="0084609D" w:rsidRPr="006546A7" w:rsidRDefault="0084609D" w:rsidP="00381B6A">
            <w:pPr>
              <w:pStyle w:val="cuadroCabe"/>
            </w:pPr>
          </w:p>
        </w:tc>
        <w:tc>
          <w:tcPr>
            <w:tcW w:w="2126" w:type="dxa"/>
            <w:shd w:val="clear" w:color="auto" w:fill="8DB3E2" w:themeFill="text2" w:themeFillTint="66"/>
            <w:vAlign w:val="center"/>
          </w:tcPr>
          <w:p w:rsidR="0084609D" w:rsidRDefault="0084609D" w:rsidP="00067380">
            <w:pPr>
              <w:pStyle w:val="cuadroCabe"/>
              <w:jc w:val="right"/>
            </w:pPr>
            <w:r>
              <w:t>2012ko maiatzaren 1etik</w:t>
            </w:r>
          </w:p>
          <w:p w:rsidR="0084609D" w:rsidRPr="006546A7" w:rsidRDefault="0084609D" w:rsidP="00067380">
            <w:pPr>
              <w:pStyle w:val="cuadroCabe"/>
              <w:jc w:val="right"/>
            </w:pPr>
            <w:r>
              <w:t xml:space="preserve"> 2013ko apirilaren 30era</w:t>
            </w:r>
          </w:p>
        </w:tc>
        <w:tc>
          <w:tcPr>
            <w:tcW w:w="2551" w:type="dxa"/>
            <w:shd w:val="clear" w:color="auto" w:fill="8DB3E2" w:themeFill="text2" w:themeFillTint="66"/>
            <w:vAlign w:val="center"/>
          </w:tcPr>
          <w:p w:rsidR="003737A1" w:rsidRDefault="0084609D" w:rsidP="00067380">
            <w:pPr>
              <w:pStyle w:val="cuadroCabe"/>
              <w:jc w:val="right"/>
            </w:pPr>
            <w:r>
              <w:t>2018eko urtarrilaren 1etik</w:t>
            </w:r>
          </w:p>
          <w:p w:rsidR="0084609D" w:rsidRPr="006546A7" w:rsidRDefault="0084609D" w:rsidP="00067380">
            <w:pPr>
              <w:pStyle w:val="cuadroCabe"/>
              <w:jc w:val="right"/>
            </w:pPr>
            <w:r>
              <w:t>2018ko abenduaren 31ra</w:t>
            </w:r>
          </w:p>
        </w:tc>
        <w:tc>
          <w:tcPr>
            <w:tcW w:w="2552" w:type="dxa"/>
            <w:shd w:val="clear" w:color="auto" w:fill="8DB3E2" w:themeFill="text2" w:themeFillTint="66"/>
            <w:vAlign w:val="center"/>
          </w:tcPr>
          <w:p w:rsidR="003737A1" w:rsidRDefault="0084609D" w:rsidP="00067380">
            <w:pPr>
              <w:pStyle w:val="cuadroCabe"/>
              <w:jc w:val="right"/>
            </w:pPr>
            <w:r>
              <w:t>2019ko urtarrilaren 1etik</w:t>
            </w:r>
          </w:p>
          <w:p w:rsidR="0084609D" w:rsidRPr="006546A7" w:rsidRDefault="0084609D" w:rsidP="00067380">
            <w:pPr>
              <w:pStyle w:val="cuadroCabe"/>
              <w:jc w:val="right"/>
            </w:pPr>
            <w:r>
              <w:t>2019ko abenduaren 31ra</w:t>
            </w:r>
          </w:p>
        </w:tc>
      </w:tr>
      <w:tr w:rsidR="0084609D" w:rsidRPr="006546A7" w:rsidTr="00D66DAC">
        <w:trPr>
          <w:trHeight w:hRule="exact" w:val="227"/>
        </w:trPr>
        <w:tc>
          <w:tcPr>
            <w:tcW w:w="1565" w:type="dxa"/>
            <w:shd w:val="clear" w:color="auto" w:fill="FFFFFF" w:themeFill="background1"/>
            <w:vAlign w:val="center"/>
          </w:tcPr>
          <w:p w:rsidR="0084609D" w:rsidRPr="006546A7" w:rsidRDefault="0084609D" w:rsidP="00381B6A">
            <w:pPr>
              <w:pStyle w:val="cuatexto"/>
            </w:pPr>
            <w:r>
              <w:t>Espediente k</w:t>
            </w:r>
            <w:r>
              <w:t>o</w:t>
            </w:r>
            <w:r>
              <w:t xml:space="preserve">purua </w:t>
            </w:r>
          </w:p>
        </w:tc>
        <w:tc>
          <w:tcPr>
            <w:tcW w:w="2126" w:type="dxa"/>
            <w:shd w:val="clear" w:color="auto" w:fill="FFFFFF" w:themeFill="background1"/>
            <w:vAlign w:val="center"/>
          </w:tcPr>
          <w:p w:rsidR="0084609D" w:rsidRPr="00033F3A" w:rsidRDefault="00033F3A" w:rsidP="00067380">
            <w:pPr>
              <w:pStyle w:val="cuatexto"/>
              <w:jc w:val="right"/>
            </w:pPr>
            <w:r>
              <w:t>838</w:t>
            </w:r>
          </w:p>
        </w:tc>
        <w:tc>
          <w:tcPr>
            <w:tcW w:w="2551" w:type="dxa"/>
            <w:shd w:val="clear" w:color="auto" w:fill="FFFFFF" w:themeFill="background1"/>
            <w:vAlign w:val="center"/>
          </w:tcPr>
          <w:p w:rsidR="0084609D" w:rsidRPr="006546A7" w:rsidRDefault="0084609D" w:rsidP="00067380">
            <w:pPr>
              <w:pStyle w:val="cuatexto"/>
              <w:jc w:val="right"/>
            </w:pPr>
            <w:r>
              <w:t>204</w:t>
            </w:r>
          </w:p>
        </w:tc>
        <w:tc>
          <w:tcPr>
            <w:tcW w:w="2552" w:type="dxa"/>
            <w:shd w:val="clear" w:color="auto" w:fill="FFFFFF" w:themeFill="background1"/>
            <w:vAlign w:val="center"/>
          </w:tcPr>
          <w:p w:rsidR="0084609D" w:rsidRPr="006546A7" w:rsidRDefault="0084609D" w:rsidP="00067380">
            <w:pPr>
              <w:pStyle w:val="cuatexto"/>
              <w:jc w:val="right"/>
            </w:pPr>
            <w:r>
              <w:t>525</w:t>
            </w:r>
          </w:p>
        </w:tc>
      </w:tr>
    </w:tbl>
    <w:p w:rsidR="0084609D" w:rsidRPr="00974457"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b/>
          <w:color w:val="FF0000"/>
        </w:rPr>
      </w:pPr>
      <w:r>
        <w:t>Araudiak ezarritako epeaz kanpo dauden espedienteak 525 izan ziren 2019an, eta 2018koak baino ehuneko 155 gehiago izan ziren, nahiz eta ehuneko 37 behera egin zuten 2012ko maiatzetik 2013ko apirilera bitarteko epearekin alderatuta. Espediente horietatik, 505 espediente 2019an, 198 espediente 2018an, eta 242 espediente 2012ko maiatzetik 2013ko apirilera bitarteko epean, larrialdietako telefono-zerbitzuaren prestazioaren onuradun ziren, baina beste prestazio bat jasotzeko zain zeuden. Gainerakoek ez daukate ezta aipaturiko t</w:t>
      </w:r>
      <w:r>
        <w:t>e</w:t>
      </w:r>
      <w:r>
        <w:t xml:space="preserve">lefono-zerbitzua ere esleituta. </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 xml:space="preserve">Honako hau da eskabidea jasotzen denetik </w:t>
      </w:r>
      <w:proofErr w:type="spellStart"/>
      <w:r>
        <w:t>IMSERSOren</w:t>
      </w:r>
      <w:proofErr w:type="spellEnd"/>
      <w:r>
        <w:t xml:space="preserve"> </w:t>
      </w:r>
      <w:proofErr w:type="spellStart"/>
      <w:r>
        <w:t>AMASIS-Autonomiarako</w:t>
      </w:r>
      <w:proofErr w:type="spellEnd"/>
      <w:r>
        <w:t xml:space="preserve"> eta Mendekotasunaren Arretarako Sistemako Informazio Si</w:t>
      </w:r>
      <w:r>
        <w:t>s</w:t>
      </w:r>
      <w:r>
        <w:t>teman sartzen den arte batez beste igarotako denbora:</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1795"/>
        <w:gridCol w:w="2031"/>
        <w:gridCol w:w="2416"/>
        <w:gridCol w:w="2552"/>
      </w:tblGrid>
      <w:tr w:rsidR="0084609D" w:rsidRPr="006546A7" w:rsidTr="00710CCC">
        <w:trPr>
          <w:trHeight w:hRule="exact" w:val="245"/>
        </w:trPr>
        <w:tc>
          <w:tcPr>
            <w:tcW w:w="8794" w:type="dxa"/>
            <w:gridSpan w:val="4"/>
            <w:tcBorders>
              <w:top w:val="nil"/>
            </w:tcBorders>
            <w:shd w:val="clear" w:color="auto" w:fill="FFFFFF" w:themeFill="background1"/>
          </w:tcPr>
          <w:p w:rsidR="0084609D" w:rsidRDefault="0084609D" w:rsidP="00710CCC">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sz w:val="18"/>
                <w:szCs w:val="18"/>
              </w:rPr>
              <w:t>(hilabetetan)</w:t>
            </w:r>
          </w:p>
        </w:tc>
      </w:tr>
      <w:tr w:rsidR="0084609D" w:rsidRPr="006546A7" w:rsidTr="00710CCC">
        <w:trPr>
          <w:trHeight w:hRule="exact" w:val="535"/>
        </w:trPr>
        <w:tc>
          <w:tcPr>
            <w:tcW w:w="1795" w:type="dxa"/>
            <w:shd w:val="clear" w:color="auto" w:fill="8DB3E2" w:themeFill="text2" w:themeFillTint="66"/>
          </w:tcPr>
          <w:p w:rsidR="0084609D" w:rsidRPr="006546A7" w:rsidRDefault="0084609D" w:rsidP="00381B6A">
            <w:pPr>
              <w:pStyle w:val="cuadroCabe"/>
            </w:pPr>
          </w:p>
        </w:tc>
        <w:tc>
          <w:tcPr>
            <w:tcW w:w="2031" w:type="dxa"/>
            <w:shd w:val="clear" w:color="auto" w:fill="8DB3E2" w:themeFill="text2" w:themeFillTint="66"/>
            <w:vAlign w:val="center"/>
          </w:tcPr>
          <w:p w:rsidR="0084609D" w:rsidRDefault="0084609D" w:rsidP="00067380">
            <w:pPr>
              <w:pStyle w:val="cuadroCabe"/>
              <w:jc w:val="right"/>
            </w:pPr>
            <w:r>
              <w:t>2012ko maiatzaren 1etik</w:t>
            </w:r>
          </w:p>
          <w:p w:rsidR="0084609D" w:rsidRPr="006546A7" w:rsidRDefault="0084609D" w:rsidP="00067380">
            <w:pPr>
              <w:pStyle w:val="cuadroCabe"/>
              <w:jc w:val="right"/>
            </w:pPr>
            <w:r>
              <w:t xml:space="preserve"> 2013ko apirilaren 30era</w:t>
            </w:r>
          </w:p>
        </w:tc>
        <w:tc>
          <w:tcPr>
            <w:tcW w:w="2416" w:type="dxa"/>
            <w:shd w:val="clear" w:color="auto" w:fill="8DB3E2" w:themeFill="text2" w:themeFillTint="66"/>
            <w:vAlign w:val="center"/>
          </w:tcPr>
          <w:p w:rsidR="0084609D" w:rsidRDefault="0084609D" w:rsidP="00067380">
            <w:pPr>
              <w:pStyle w:val="cuadroCabe"/>
              <w:jc w:val="right"/>
            </w:pPr>
            <w:r>
              <w:t xml:space="preserve">2018eko urtarrilaren 1etik </w:t>
            </w:r>
          </w:p>
          <w:p w:rsidR="0084609D" w:rsidRPr="006546A7" w:rsidRDefault="0084609D" w:rsidP="00067380">
            <w:pPr>
              <w:pStyle w:val="cuadroCabe"/>
              <w:jc w:val="right"/>
            </w:pPr>
            <w:r>
              <w:t>2018ko abenduaren 31ra</w:t>
            </w:r>
          </w:p>
        </w:tc>
        <w:tc>
          <w:tcPr>
            <w:tcW w:w="2552" w:type="dxa"/>
            <w:shd w:val="clear" w:color="auto" w:fill="8DB3E2" w:themeFill="text2" w:themeFillTint="66"/>
            <w:vAlign w:val="center"/>
          </w:tcPr>
          <w:p w:rsidR="0084609D" w:rsidRDefault="0084609D" w:rsidP="00067380">
            <w:pPr>
              <w:pStyle w:val="cuadroCabe"/>
              <w:jc w:val="right"/>
            </w:pPr>
            <w:r>
              <w:t xml:space="preserve">2019ko urtarrilaren 1etik </w:t>
            </w:r>
          </w:p>
          <w:p w:rsidR="0084609D" w:rsidRPr="006546A7" w:rsidRDefault="0084609D" w:rsidP="00067380">
            <w:pPr>
              <w:pStyle w:val="cuadroCabe"/>
              <w:jc w:val="right"/>
            </w:pPr>
            <w:r>
              <w:t>2019ko abenduaren 31ra</w:t>
            </w:r>
          </w:p>
        </w:tc>
      </w:tr>
      <w:tr w:rsidR="0084609D" w:rsidRPr="006546A7" w:rsidTr="00D66DAC">
        <w:trPr>
          <w:trHeight w:hRule="exact" w:val="227"/>
        </w:trPr>
        <w:tc>
          <w:tcPr>
            <w:tcW w:w="1795" w:type="dxa"/>
            <w:shd w:val="clear" w:color="auto" w:fill="FFFFFF" w:themeFill="background1"/>
            <w:vAlign w:val="center"/>
          </w:tcPr>
          <w:p w:rsidR="0084609D" w:rsidRPr="006546A7" w:rsidRDefault="0084609D" w:rsidP="00381B6A">
            <w:pPr>
              <w:pStyle w:val="cuatexto"/>
            </w:pPr>
            <w:r>
              <w:t xml:space="preserve">Iragandako epea </w:t>
            </w:r>
          </w:p>
        </w:tc>
        <w:tc>
          <w:tcPr>
            <w:tcW w:w="2031" w:type="dxa"/>
            <w:shd w:val="clear" w:color="auto" w:fill="FFFFFF" w:themeFill="background1"/>
            <w:vAlign w:val="center"/>
          </w:tcPr>
          <w:p w:rsidR="0084609D" w:rsidRPr="006546A7" w:rsidRDefault="0084609D" w:rsidP="00067380">
            <w:pPr>
              <w:pStyle w:val="cuatexto"/>
              <w:jc w:val="right"/>
            </w:pPr>
            <w:r>
              <w:t>4.67</w:t>
            </w:r>
          </w:p>
        </w:tc>
        <w:tc>
          <w:tcPr>
            <w:tcW w:w="2416" w:type="dxa"/>
            <w:shd w:val="clear" w:color="auto" w:fill="FFFFFF" w:themeFill="background1"/>
            <w:vAlign w:val="center"/>
          </w:tcPr>
          <w:p w:rsidR="0084609D" w:rsidRPr="006546A7" w:rsidRDefault="0084609D" w:rsidP="00067380">
            <w:pPr>
              <w:pStyle w:val="cuatexto"/>
              <w:jc w:val="right"/>
            </w:pPr>
            <w:r>
              <w:t>4.80</w:t>
            </w:r>
          </w:p>
        </w:tc>
        <w:tc>
          <w:tcPr>
            <w:tcW w:w="2552" w:type="dxa"/>
            <w:shd w:val="clear" w:color="auto" w:fill="FFFFFF" w:themeFill="background1"/>
            <w:vAlign w:val="center"/>
          </w:tcPr>
          <w:p w:rsidR="0084609D" w:rsidRPr="006546A7" w:rsidRDefault="0084609D" w:rsidP="00067380">
            <w:pPr>
              <w:pStyle w:val="cuatexto"/>
              <w:jc w:val="right"/>
            </w:pPr>
            <w:r>
              <w:t>5.07</w:t>
            </w:r>
          </w:p>
        </w:tc>
      </w:tr>
    </w:tbl>
    <w:p w:rsidR="0084609D" w:rsidRPr="00D007AA"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rPr>
          <w:rFonts w:cs="Arial"/>
        </w:rPr>
      </w:pPr>
      <w:r>
        <w:t>2019an, denbora hori 5,07 hilabetekoa izan zen. Horrenbestez, epe hori eh</w:t>
      </w:r>
      <w:r>
        <w:t>u</w:t>
      </w:r>
      <w:r>
        <w:t>neko sei eta ehuneko bederatzi igo zen 2018. urtearen eta 2013ko apirilaren a</w:t>
      </w:r>
      <w:r>
        <w:t>l</w:t>
      </w:r>
      <w:r>
        <w:t xml:space="preserve">dean. </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color w:val="FF0000"/>
        </w:rPr>
      </w:pPr>
      <w:r>
        <w:t>Batzuetan, Mendekotasun Legeko prestazioen onuradunak arrazoi ezberd</w:t>
      </w:r>
      <w:r>
        <w:t>i</w:t>
      </w:r>
      <w:r>
        <w:t xml:space="preserve">nengatik aurkitzen dira behar ez bezala jasotako kopuruak </w:t>
      </w:r>
      <w:proofErr w:type="spellStart"/>
      <w:r>
        <w:t>PAGNAri</w:t>
      </w:r>
      <w:proofErr w:type="spellEnd"/>
      <w:r>
        <w:t xml:space="preserve"> itzuli b</w:t>
      </w:r>
      <w:r>
        <w:t>e</w:t>
      </w:r>
      <w:r>
        <w:t>harrean. 2018an eta 2019an kopuruak itzuli dituzten onuradunen xehetasunak jarraian agertzen dira:</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983"/>
        <w:gridCol w:w="1452"/>
        <w:gridCol w:w="1453"/>
        <w:gridCol w:w="1453"/>
        <w:gridCol w:w="1453"/>
      </w:tblGrid>
      <w:tr w:rsidR="0084609D" w:rsidRPr="006546A7" w:rsidTr="00AA5504">
        <w:trPr>
          <w:trHeight w:hRule="exact" w:val="255"/>
        </w:trPr>
        <w:tc>
          <w:tcPr>
            <w:tcW w:w="2983" w:type="dxa"/>
            <w:tcBorders>
              <w:bottom w:val="single" w:sz="4" w:space="0" w:color="auto"/>
            </w:tcBorders>
            <w:shd w:val="clear" w:color="auto" w:fill="8DB3E2" w:themeFill="text2" w:themeFillTint="66"/>
          </w:tcPr>
          <w:p w:rsidR="0084609D" w:rsidRPr="006546A7" w:rsidRDefault="0084609D" w:rsidP="00381B6A">
            <w:pPr>
              <w:pStyle w:val="cuadroCabe"/>
            </w:pPr>
          </w:p>
        </w:tc>
        <w:tc>
          <w:tcPr>
            <w:tcW w:w="1452"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2018</w:t>
            </w:r>
          </w:p>
        </w:tc>
        <w:tc>
          <w:tcPr>
            <w:tcW w:w="1453" w:type="dxa"/>
            <w:tcBorders>
              <w:bottom w:val="single" w:sz="4" w:space="0" w:color="auto"/>
            </w:tcBorders>
            <w:shd w:val="clear" w:color="auto" w:fill="8DB3E2" w:themeFill="text2" w:themeFillTint="66"/>
            <w:vAlign w:val="center"/>
          </w:tcPr>
          <w:p w:rsidR="0084609D" w:rsidRDefault="0084609D" w:rsidP="00067380">
            <w:pPr>
              <w:pStyle w:val="cuadroCabe"/>
              <w:jc w:val="right"/>
            </w:pPr>
            <w:r>
              <w:t>Guztizkoaren gaineko po</w:t>
            </w:r>
            <w:r>
              <w:t>r</w:t>
            </w:r>
            <w:r>
              <w:t>tzentajea</w:t>
            </w:r>
          </w:p>
        </w:tc>
        <w:tc>
          <w:tcPr>
            <w:tcW w:w="1453"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2019</w:t>
            </w:r>
          </w:p>
        </w:tc>
        <w:tc>
          <w:tcPr>
            <w:tcW w:w="1453"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Guztizkoaren gaineko po</w:t>
            </w:r>
            <w:r>
              <w:t>r</w:t>
            </w:r>
            <w:r>
              <w:t>tzentajea</w:t>
            </w:r>
          </w:p>
        </w:tc>
      </w:tr>
      <w:tr w:rsidR="0084609D" w:rsidRPr="006546A7" w:rsidTr="00D66DAC">
        <w:trPr>
          <w:trHeight w:hRule="exact" w:val="227"/>
        </w:trPr>
        <w:tc>
          <w:tcPr>
            <w:tcW w:w="2983" w:type="dxa"/>
            <w:tcBorders>
              <w:bottom w:val="single" w:sz="2" w:space="0" w:color="auto"/>
            </w:tcBorders>
            <w:shd w:val="clear" w:color="auto" w:fill="FFFFFF" w:themeFill="background1"/>
            <w:vAlign w:val="center"/>
          </w:tcPr>
          <w:p w:rsidR="0084609D" w:rsidRPr="006546A7" w:rsidRDefault="0084609D" w:rsidP="00381B6A">
            <w:pPr>
              <w:pStyle w:val="cuatexto"/>
            </w:pPr>
            <w:r>
              <w:t>Heriotzagatiko azkentzea</w:t>
            </w:r>
          </w:p>
        </w:tc>
        <w:tc>
          <w:tcPr>
            <w:tcW w:w="1452"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15</w:t>
            </w:r>
          </w:p>
        </w:tc>
        <w:tc>
          <w:tcPr>
            <w:tcW w:w="1453" w:type="dxa"/>
            <w:tcBorders>
              <w:bottom w:val="single" w:sz="2" w:space="0" w:color="auto"/>
            </w:tcBorders>
            <w:shd w:val="clear" w:color="auto" w:fill="FFFFFF" w:themeFill="background1"/>
            <w:vAlign w:val="center"/>
          </w:tcPr>
          <w:p w:rsidR="0084609D" w:rsidRDefault="0084609D" w:rsidP="00067380">
            <w:pPr>
              <w:pStyle w:val="cuatexto"/>
              <w:jc w:val="right"/>
            </w:pPr>
            <w:r>
              <w:t>10</w:t>
            </w:r>
          </w:p>
        </w:tc>
        <w:tc>
          <w:tcPr>
            <w:tcW w:w="1453"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14</w:t>
            </w:r>
          </w:p>
        </w:tc>
        <w:tc>
          <w:tcPr>
            <w:tcW w:w="1453"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1.6</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Pr="006546A7" w:rsidRDefault="0084609D" w:rsidP="00381B6A">
            <w:pPr>
              <w:pStyle w:val="cuatexto"/>
            </w:pPr>
            <w:r>
              <w:t>Egoitzara eramanak</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87</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59</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108</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13</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Pr="006546A7" w:rsidRDefault="0084609D" w:rsidP="00381B6A">
            <w:pPr>
              <w:pStyle w:val="cuatexto"/>
            </w:pPr>
            <w:r>
              <w:t>Eguneko zentroetara eramanak</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44</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30</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59</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7</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Default="0084609D" w:rsidP="00381B6A">
            <w:pPr>
              <w:pStyle w:val="cuatexto"/>
            </w:pPr>
            <w:r>
              <w:t>Prestazioen bateraezintasuna</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0</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671</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78</w:t>
            </w:r>
          </w:p>
        </w:tc>
      </w:tr>
      <w:tr w:rsidR="0084609D" w:rsidRPr="006546A7" w:rsidTr="00D66DAC">
        <w:trPr>
          <w:trHeight w:hRule="exact" w:val="227"/>
        </w:trPr>
        <w:tc>
          <w:tcPr>
            <w:tcW w:w="2983" w:type="dxa"/>
            <w:tcBorders>
              <w:top w:val="single" w:sz="2" w:space="0" w:color="auto"/>
              <w:bottom w:val="single" w:sz="4" w:space="0" w:color="auto"/>
            </w:tcBorders>
            <w:shd w:val="clear" w:color="auto" w:fill="FFFFFF" w:themeFill="background1"/>
            <w:vAlign w:val="center"/>
          </w:tcPr>
          <w:p w:rsidR="0084609D" w:rsidRPr="006546A7" w:rsidRDefault="0084609D" w:rsidP="00381B6A">
            <w:pPr>
              <w:pStyle w:val="cuatexto"/>
            </w:pPr>
            <w:r>
              <w:t>Beste autonomia erkidego batera joanak</w:t>
            </w:r>
          </w:p>
        </w:tc>
        <w:tc>
          <w:tcPr>
            <w:tcW w:w="1452"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2</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1</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3</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0.4</w:t>
            </w:r>
          </w:p>
        </w:tc>
      </w:tr>
      <w:tr w:rsidR="0084609D" w:rsidRPr="006D15FF" w:rsidTr="00F3630C">
        <w:trPr>
          <w:trHeight w:hRule="exact" w:val="255"/>
        </w:trPr>
        <w:tc>
          <w:tcPr>
            <w:tcW w:w="2983" w:type="dxa"/>
            <w:shd w:val="clear" w:color="auto" w:fill="8DB3E2" w:themeFill="text2" w:themeFillTint="66"/>
            <w:vAlign w:val="center"/>
          </w:tcPr>
          <w:p w:rsidR="0084609D" w:rsidRPr="00974457" w:rsidRDefault="0084609D" w:rsidP="00381B6A">
            <w:pPr>
              <w:pStyle w:val="cuadroCabe"/>
            </w:pPr>
            <w:r>
              <w:t>Guztira</w:t>
            </w:r>
          </w:p>
        </w:tc>
        <w:tc>
          <w:tcPr>
            <w:tcW w:w="1452" w:type="dxa"/>
            <w:shd w:val="clear" w:color="auto" w:fill="8DB3E2" w:themeFill="text2" w:themeFillTint="66"/>
            <w:vAlign w:val="center"/>
          </w:tcPr>
          <w:p w:rsidR="0084609D" w:rsidRPr="00974457" w:rsidRDefault="0084609D" w:rsidP="00067380">
            <w:pPr>
              <w:pStyle w:val="cuadroCabe"/>
              <w:jc w:val="right"/>
            </w:pPr>
            <w:r>
              <w:t>148</w:t>
            </w:r>
          </w:p>
        </w:tc>
        <w:tc>
          <w:tcPr>
            <w:tcW w:w="1453" w:type="dxa"/>
            <w:shd w:val="clear" w:color="auto" w:fill="8DB3E2" w:themeFill="text2" w:themeFillTint="66"/>
            <w:vAlign w:val="center"/>
          </w:tcPr>
          <w:p w:rsidR="0084609D" w:rsidRPr="00974457" w:rsidRDefault="0084609D" w:rsidP="00067380">
            <w:pPr>
              <w:pStyle w:val="cuadroCabe"/>
              <w:jc w:val="right"/>
            </w:pPr>
            <w:r>
              <w:t>100</w:t>
            </w:r>
          </w:p>
        </w:tc>
        <w:tc>
          <w:tcPr>
            <w:tcW w:w="1453" w:type="dxa"/>
            <w:shd w:val="clear" w:color="auto" w:fill="8DB3E2" w:themeFill="text2" w:themeFillTint="66"/>
            <w:vAlign w:val="center"/>
          </w:tcPr>
          <w:p w:rsidR="0084609D" w:rsidRPr="00974457" w:rsidRDefault="0084609D" w:rsidP="00067380">
            <w:pPr>
              <w:pStyle w:val="cuadroCabe"/>
              <w:jc w:val="right"/>
            </w:pPr>
            <w:r>
              <w:t>855</w:t>
            </w:r>
          </w:p>
        </w:tc>
        <w:tc>
          <w:tcPr>
            <w:tcW w:w="1453" w:type="dxa"/>
            <w:shd w:val="clear" w:color="auto" w:fill="8DB3E2" w:themeFill="text2" w:themeFillTint="66"/>
            <w:vAlign w:val="center"/>
          </w:tcPr>
          <w:p w:rsidR="0084609D" w:rsidRPr="00974457" w:rsidRDefault="0084609D" w:rsidP="00067380">
            <w:pPr>
              <w:pStyle w:val="cuadroCabe"/>
              <w:jc w:val="right"/>
            </w:pPr>
            <w:r>
              <w:t>100</w:t>
            </w:r>
          </w:p>
        </w:tc>
      </w:tr>
    </w:tbl>
    <w:p w:rsidR="0084609D" w:rsidRDefault="0084609D" w:rsidP="0084609D">
      <w:pPr>
        <w:pStyle w:val="texto"/>
        <w:tabs>
          <w:tab w:val="clear" w:pos="2835"/>
          <w:tab w:val="clear" w:pos="3969"/>
          <w:tab w:val="clear" w:pos="5103"/>
          <w:tab w:val="clear" w:pos="6237"/>
          <w:tab w:val="clear" w:pos="7371"/>
          <w:tab w:val="left" w:pos="480"/>
          <w:tab w:val="num" w:pos="1948"/>
        </w:tabs>
        <w:spacing w:before="240"/>
        <w:rPr>
          <w:rFonts w:cs="Arial"/>
        </w:rPr>
      </w:pPr>
      <w:r>
        <w:t>2018an, itzulketen arrazoi nagusia prestazio-aldaketa izan zen, egoitza batera edo eguneko zentro batera eramanak izateagatik (ehuneko 59 eta ehuneko 30, hurrenez hurren). 2019an, nahiz eta arrazoi horiek kopuruz igo egin ziren, h</w:t>
      </w:r>
      <w:r>
        <w:t>o</w:t>
      </w:r>
      <w:r>
        <w:t>rien pisu erlatiboa nabarmen murriztu zen, beste arrazoi bat agertu baitzen, prestazioen bateraezin tasunarekin zerikusia zeukana eta guztizkoaren ehuneko 79 egiten zuena, zorroan prestazio berri bat gehitu zelako, beste batzuekin bat</w:t>
      </w:r>
      <w:r>
        <w:t>e</w:t>
      </w:r>
      <w:r>
        <w:t xml:space="preserve">raezina zena. </w:t>
      </w:r>
    </w:p>
    <w:p w:rsidR="0084609D" w:rsidRDefault="0084609D" w:rsidP="0084609D">
      <w:pPr>
        <w:pStyle w:val="texto"/>
        <w:tabs>
          <w:tab w:val="clear" w:pos="2835"/>
          <w:tab w:val="clear" w:pos="3969"/>
          <w:tab w:val="clear" w:pos="5103"/>
          <w:tab w:val="clear" w:pos="6237"/>
          <w:tab w:val="clear" w:pos="7371"/>
          <w:tab w:val="left" w:pos="480"/>
          <w:tab w:val="num" w:pos="1948"/>
        </w:tabs>
        <w:spacing w:before="120"/>
        <w:rPr>
          <w:rFonts w:cs="Arial"/>
        </w:rPr>
      </w:pPr>
      <w:r>
        <w:t>Itzulketa-espediente horiek guztira 75.858 euro egin zituzten 2018an, eta 476.634 euro, 2019an.</w:t>
      </w:r>
    </w:p>
    <w:p w:rsidR="0084609D" w:rsidRPr="00974457" w:rsidRDefault="0084609D" w:rsidP="0084609D">
      <w:pPr>
        <w:pStyle w:val="texto"/>
        <w:tabs>
          <w:tab w:val="clear" w:pos="2835"/>
          <w:tab w:val="clear" w:pos="3969"/>
          <w:tab w:val="clear" w:pos="5103"/>
          <w:tab w:val="clear" w:pos="6237"/>
          <w:tab w:val="clear" w:pos="7371"/>
          <w:tab w:val="left" w:pos="480"/>
          <w:tab w:val="num" w:pos="1948"/>
        </w:tabs>
        <w:spacing w:before="120"/>
        <w:rPr>
          <w:rFonts w:cs="Arial"/>
          <w:b/>
          <w:color w:val="FF0000"/>
        </w:rPr>
      </w:pPr>
      <w:r>
        <w:t>Horri buruz adierazi behar dugu itzulketa horiek egoteak ez zuela kasu gu</w:t>
      </w:r>
      <w:r>
        <w:t>z</w:t>
      </w:r>
      <w:r>
        <w:t>tietan esan nahi izan onuradunak kasuko kopurua ordainketa-gutun bidez p</w:t>
      </w:r>
      <w:r>
        <w:t>a</w:t>
      </w:r>
      <w:r>
        <w:t xml:space="preserve">gatu behar izatea, baizik eta, beste prestazio baterako eskubidea izateagatik, </w:t>
      </w:r>
      <w:proofErr w:type="spellStart"/>
      <w:r>
        <w:t>PAGNAk</w:t>
      </w:r>
      <w:proofErr w:type="spellEnd"/>
      <w:r>
        <w:t xml:space="preserve"> konpentsazioaren bidea erabili izan duela administrazio-izapideak azkartzeko.</w:t>
      </w:r>
    </w:p>
    <w:p w:rsidR="0084609D" w:rsidRPr="00CD04FD" w:rsidRDefault="0084609D" w:rsidP="0084609D">
      <w:pPr>
        <w:pStyle w:val="atitulo2"/>
        <w:spacing w:before="240" w:after="120"/>
        <w:rPr>
          <w:bCs w:val="0"/>
          <w:iCs w:val="0"/>
        </w:rPr>
      </w:pPr>
      <w:bookmarkStart w:id="16" w:name="#10007318"/>
      <w:bookmarkStart w:id="17" w:name="_Toc41485559"/>
      <w:bookmarkStart w:id="18" w:name="_Toc70403859"/>
      <w:bookmarkEnd w:id="16"/>
      <w:r>
        <w:t xml:space="preserve">III.2. </w:t>
      </w:r>
      <w:bookmarkEnd w:id="17"/>
      <w:r>
        <w:t>Mendekotasunari buruzko txostenetako gomendioen jarraipena</w:t>
      </w:r>
      <w:bookmarkEnd w:id="18"/>
      <w:r>
        <w:t xml:space="preserve"> </w:t>
      </w:r>
    </w:p>
    <w:p w:rsidR="0084609D"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t xml:space="preserve">Gomendio baten betetzearen maila honako irizpide hauen arabera kalifikatu dugu: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6805"/>
      </w:tblGrid>
      <w:tr w:rsidR="0084609D" w:rsidTr="00710CCC">
        <w:trPr>
          <w:trHeight w:hRule="exact" w:val="284"/>
        </w:trPr>
        <w:tc>
          <w:tcPr>
            <w:tcW w:w="1984" w:type="dxa"/>
            <w:shd w:val="clear" w:color="auto" w:fill="8DB3E2" w:themeFill="text2" w:themeFillTint="66"/>
            <w:vAlign w:val="center"/>
          </w:tcPr>
          <w:p w:rsidR="0084609D" w:rsidRPr="00D55FC9" w:rsidRDefault="0084609D" w:rsidP="00381B6A">
            <w:pPr>
              <w:pStyle w:val="cuadroCabe"/>
            </w:pPr>
            <w:r>
              <w:t>Kategoria</w:t>
            </w:r>
          </w:p>
        </w:tc>
        <w:tc>
          <w:tcPr>
            <w:tcW w:w="6805" w:type="dxa"/>
            <w:shd w:val="clear" w:color="auto" w:fill="8DB3E2" w:themeFill="text2" w:themeFillTint="66"/>
            <w:vAlign w:val="center"/>
          </w:tcPr>
          <w:p w:rsidR="0084609D" w:rsidRPr="00D55FC9" w:rsidRDefault="0084609D" w:rsidP="00381B6A">
            <w:pPr>
              <w:pStyle w:val="cuadroCabe"/>
            </w:pPr>
            <w:r>
              <w:t>Deskribapena</w:t>
            </w:r>
          </w:p>
        </w:tc>
      </w:tr>
      <w:tr w:rsidR="0084609D" w:rsidTr="0057645B">
        <w:trPr>
          <w:trHeight w:val="684"/>
        </w:trPr>
        <w:tc>
          <w:tcPr>
            <w:tcW w:w="1984" w:type="dxa"/>
            <w:tcBorders>
              <w:bottom w:val="single" w:sz="2" w:space="0" w:color="auto"/>
            </w:tcBorders>
            <w:vAlign w:val="center"/>
          </w:tcPr>
          <w:p w:rsidR="0084609D" w:rsidRPr="00D55FC9" w:rsidRDefault="0084609D" w:rsidP="007D481B">
            <w:pPr>
              <w:pStyle w:val="cuatexto"/>
              <w:jc w:val="left"/>
            </w:pPr>
            <w:r>
              <w:t>Osoan edo funtsean aplikatua</w:t>
            </w:r>
          </w:p>
        </w:tc>
        <w:tc>
          <w:tcPr>
            <w:tcW w:w="6805" w:type="dxa"/>
            <w:tcBorders>
              <w:bottom w:val="single" w:sz="2" w:space="0" w:color="auto"/>
            </w:tcBorders>
            <w:vAlign w:val="center"/>
          </w:tcPr>
          <w:p w:rsidR="0084609D" w:rsidRPr="00974457" w:rsidRDefault="0084609D" w:rsidP="00AA5504">
            <w:pPr>
              <w:pStyle w:val="cuatexto"/>
              <w:spacing w:before="120" w:after="120"/>
              <w:rPr>
                <w:sz w:val="18"/>
                <w:szCs w:val="18"/>
              </w:rPr>
            </w:pPr>
            <w:r>
              <w:rPr>
                <w:sz w:val="18"/>
                <w:szCs w:val="18"/>
              </w:rPr>
              <w:t>Baldin eta zuzentze-neurriak, zentzuzkoak eta proportzionalak, hartu badira, horri buruzko behar adinako ebidentzia egonik, modua ematen dutenak irizteko ezen gomendioa eragink</w:t>
            </w:r>
            <w:r>
              <w:rPr>
                <w:sz w:val="18"/>
                <w:szCs w:val="18"/>
              </w:rPr>
              <w:t>o</w:t>
            </w:r>
            <w:r>
              <w:rPr>
                <w:sz w:val="18"/>
                <w:szCs w:val="18"/>
              </w:rPr>
              <w:t>rra izan dela eta ez dela ebazkizun geratu munta nabarmeneko inolako gairik.</w:t>
            </w:r>
          </w:p>
        </w:tc>
      </w:tr>
      <w:tr w:rsidR="0084609D" w:rsidTr="0057645B">
        <w:trPr>
          <w:trHeight w:val="746"/>
        </w:trPr>
        <w:tc>
          <w:tcPr>
            <w:tcW w:w="1984" w:type="dxa"/>
            <w:tcBorders>
              <w:top w:val="single" w:sz="2" w:space="0" w:color="auto"/>
              <w:bottom w:val="single" w:sz="2" w:space="0" w:color="auto"/>
            </w:tcBorders>
            <w:vAlign w:val="center"/>
          </w:tcPr>
          <w:p w:rsidR="0084609D" w:rsidRDefault="0084609D" w:rsidP="007D481B">
            <w:pPr>
              <w:pStyle w:val="cuatexto"/>
              <w:jc w:val="left"/>
            </w:pPr>
            <w:r>
              <w:t xml:space="preserve">Partzialki aplikatua </w:t>
            </w:r>
          </w:p>
          <w:p w:rsidR="0084609D" w:rsidRPr="00D55FC9" w:rsidRDefault="0084609D" w:rsidP="007D481B">
            <w:pPr>
              <w:pStyle w:val="cuatexto"/>
              <w:jc w:val="left"/>
            </w:pPr>
          </w:p>
        </w:tc>
        <w:tc>
          <w:tcPr>
            <w:tcW w:w="6805" w:type="dxa"/>
            <w:tcBorders>
              <w:top w:val="single" w:sz="2" w:space="0" w:color="auto"/>
              <w:bottom w:val="single" w:sz="2" w:space="0" w:color="auto"/>
            </w:tcBorders>
            <w:vAlign w:val="center"/>
          </w:tcPr>
          <w:p w:rsidR="0084609D" w:rsidRPr="00974457" w:rsidRDefault="0011674A" w:rsidP="00AA5504">
            <w:pPr>
              <w:pStyle w:val="cuatexto"/>
              <w:spacing w:before="120" w:after="120"/>
              <w:rPr>
                <w:sz w:val="18"/>
                <w:szCs w:val="18"/>
              </w:rPr>
            </w:pPr>
            <w:r>
              <w:rPr>
                <w:sz w:val="18"/>
                <w:szCs w:val="18"/>
              </w:rPr>
              <w:t>Baldin gomendioa aintzat hartu bada, baldin akatsak, ahuleziak edo gabeziak zuzentzeko urratsak egin badira, baina hasierako fasean baino ez, haien parte batean bakarrik edo alderdiren batean baino ez, eta, ondorioz, gomendioa moduz bete izandakotzat jo ezin iz</w:t>
            </w:r>
            <w:r>
              <w:rPr>
                <w:sz w:val="18"/>
                <w:szCs w:val="18"/>
              </w:rPr>
              <w:t>a</w:t>
            </w:r>
            <w:r>
              <w:rPr>
                <w:sz w:val="18"/>
                <w:szCs w:val="18"/>
              </w:rPr>
              <w:t>nik.</w:t>
            </w:r>
          </w:p>
        </w:tc>
      </w:tr>
      <w:tr w:rsidR="0084609D" w:rsidTr="0057645B">
        <w:trPr>
          <w:trHeight w:val="558"/>
        </w:trPr>
        <w:tc>
          <w:tcPr>
            <w:tcW w:w="1984" w:type="dxa"/>
            <w:tcBorders>
              <w:top w:val="single" w:sz="2" w:space="0" w:color="auto"/>
              <w:bottom w:val="single" w:sz="2" w:space="0" w:color="auto"/>
            </w:tcBorders>
            <w:vAlign w:val="center"/>
          </w:tcPr>
          <w:p w:rsidR="0084609D" w:rsidRPr="00D55FC9" w:rsidRDefault="0084609D" w:rsidP="007D481B">
            <w:pPr>
              <w:pStyle w:val="cuatexto"/>
              <w:jc w:val="left"/>
            </w:pPr>
            <w:r>
              <w:t>Aplikatu gabea</w:t>
            </w:r>
          </w:p>
        </w:tc>
        <w:tc>
          <w:tcPr>
            <w:tcW w:w="6805" w:type="dxa"/>
            <w:tcBorders>
              <w:top w:val="single" w:sz="2" w:space="0" w:color="auto"/>
              <w:bottom w:val="single" w:sz="2" w:space="0" w:color="auto"/>
            </w:tcBorders>
            <w:vAlign w:val="center"/>
          </w:tcPr>
          <w:p w:rsidR="0084609D" w:rsidRPr="00974457" w:rsidRDefault="0084609D" w:rsidP="00AA5504">
            <w:pPr>
              <w:pStyle w:val="cuatexto"/>
              <w:spacing w:before="120" w:after="120"/>
              <w:rPr>
                <w:sz w:val="18"/>
                <w:szCs w:val="18"/>
              </w:rPr>
            </w:pPr>
            <w:r>
              <w:rPr>
                <w:sz w:val="18"/>
                <w:szCs w:val="18"/>
              </w:rPr>
              <w:t>Ez bada egin akatsak, ahuleziak edo gabeziak zuzentzeko jarduketarik, edo eginiko jarduk</w:t>
            </w:r>
            <w:r>
              <w:rPr>
                <w:sz w:val="18"/>
                <w:szCs w:val="18"/>
              </w:rPr>
              <w:t>e</w:t>
            </w:r>
            <w:r>
              <w:rPr>
                <w:sz w:val="18"/>
                <w:szCs w:val="18"/>
              </w:rPr>
              <w:t>tak ez badira aski edo ez badira egokiro egin, halako moldez non gomendioak aplikatu gabe jarraitzen duen.</w:t>
            </w:r>
          </w:p>
        </w:tc>
      </w:tr>
      <w:tr w:rsidR="0084609D" w:rsidTr="0057645B">
        <w:trPr>
          <w:trHeight w:val="836"/>
        </w:trPr>
        <w:tc>
          <w:tcPr>
            <w:tcW w:w="1984" w:type="dxa"/>
            <w:tcBorders>
              <w:top w:val="single" w:sz="2" w:space="0" w:color="auto"/>
              <w:bottom w:val="single" w:sz="2" w:space="0" w:color="auto"/>
            </w:tcBorders>
            <w:vAlign w:val="center"/>
          </w:tcPr>
          <w:p w:rsidR="0084609D" w:rsidRDefault="0084609D" w:rsidP="007D481B">
            <w:pPr>
              <w:pStyle w:val="cuatexto"/>
              <w:jc w:val="left"/>
            </w:pPr>
            <w:r>
              <w:t xml:space="preserve">Baliogabea egungo egoeran </w:t>
            </w:r>
          </w:p>
          <w:p w:rsidR="0084609D" w:rsidRPr="00D55FC9" w:rsidRDefault="0084609D" w:rsidP="007D481B">
            <w:pPr>
              <w:pStyle w:val="cuatexto"/>
              <w:jc w:val="left"/>
            </w:pPr>
          </w:p>
        </w:tc>
        <w:tc>
          <w:tcPr>
            <w:tcW w:w="6805" w:type="dxa"/>
            <w:tcBorders>
              <w:top w:val="single" w:sz="2" w:space="0" w:color="auto"/>
              <w:bottom w:val="single" w:sz="2" w:space="0" w:color="auto"/>
            </w:tcBorders>
            <w:vAlign w:val="center"/>
          </w:tcPr>
          <w:p w:rsidR="0084609D" w:rsidRPr="00974457" w:rsidRDefault="0084609D" w:rsidP="00AA5504">
            <w:pPr>
              <w:pStyle w:val="cuatexto"/>
              <w:spacing w:before="120" w:after="120"/>
              <w:rPr>
                <w:sz w:val="18"/>
                <w:szCs w:val="18"/>
              </w:rPr>
            </w:pPr>
            <w:r>
              <w:rPr>
                <w:sz w:val="18"/>
                <w:szCs w:val="18"/>
              </w:rPr>
              <w:t>Txostena jaulki zenean balioduna eta pertinentea izan arren, egungo testuinguruan ezin aplikatuzkoa den gomendioa, horretarako moduko zirkunstantziarik ez dagoenez edo txo</w:t>
            </w:r>
            <w:r>
              <w:rPr>
                <w:sz w:val="18"/>
                <w:szCs w:val="18"/>
              </w:rPr>
              <w:t>s</w:t>
            </w:r>
            <w:r>
              <w:rPr>
                <w:sz w:val="18"/>
                <w:szCs w:val="18"/>
              </w:rPr>
              <w:t>tenaren jaulkipenaren uneko egokiera bera gertatzen ez denez.</w:t>
            </w:r>
          </w:p>
        </w:tc>
      </w:tr>
      <w:tr w:rsidR="0084609D" w:rsidRPr="00381B6A" w:rsidTr="0057645B">
        <w:trPr>
          <w:trHeight w:val="564"/>
        </w:trPr>
        <w:tc>
          <w:tcPr>
            <w:tcW w:w="1984" w:type="dxa"/>
            <w:tcBorders>
              <w:top w:val="single" w:sz="2" w:space="0" w:color="auto"/>
            </w:tcBorders>
            <w:vAlign w:val="center"/>
          </w:tcPr>
          <w:p w:rsidR="0084609D" w:rsidRPr="00381B6A" w:rsidRDefault="0084609D" w:rsidP="007D481B">
            <w:pPr>
              <w:pStyle w:val="cuatexto"/>
              <w:jc w:val="left"/>
            </w:pPr>
            <w:proofErr w:type="spellStart"/>
            <w:r>
              <w:t>Egiaztatugabea</w:t>
            </w:r>
            <w:proofErr w:type="spellEnd"/>
          </w:p>
        </w:tc>
        <w:tc>
          <w:tcPr>
            <w:tcW w:w="6805" w:type="dxa"/>
            <w:tcBorders>
              <w:top w:val="single" w:sz="2" w:space="0" w:color="auto"/>
            </w:tcBorders>
            <w:vAlign w:val="center"/>
          </w:tcPr>
          <w:p w:rsidR="0084609D" w:rsidRPr="00381B6A" w:rsidRDefault="0084609D" w:rsidP="00AA5504">
            <w:pPr>
              <w:pStyle w:val="cuatexto"/>
              <w:spacing w:before="120" w:after="120"/>
            </w:pPr>
            <w:r>
              <w:rPr>
                <w:sz w:val="18"/>
                <w:szCs w:val="18"/>
              </w:rPr>
              <w:t xml:space="preserve">Gomendio bat, zeinak froga gehigarriak beharko bailituzke azaldutakoa ziurtatzeko, are </w:t>
            </w:r>
            <w:proofErr w:type="spellStart"/>
            <w:r>
              <w:rPr>
                <w:sz w:val="18"/>
                <w:szCs w:val="18"/>
              </w:rPr>
              <w:t>enteak</w:t>
            </w:r>
            <w:proofErr w:type="spellEnd"/>
            <w:r>
              <w:rPr>
                <w:sz w:val="18"/>
                <w:szCs w:val="18"/>
              </w:rPr>
              <w:t xml:space="preserve"> aplikatu egin badu ere.</w:t>
            </w:r>
          </w:p>
        </w:tc>
      </w:tr>
    </w:tbl>
    <w:p w:rsidR="007E3F95" w:rsidRDefault="0084609D" w:rsidP="0084609D">
      <w:pPr>
        <w:pStyle w:val="texto"/>
        <w:tabs>
          <w:tab w:val="left" w:pos="284"/>
        </w:tabs>
        <w:spacing w:before="240" w:after="240"/>
        <w:jc w:val="left"/>
        <w:rPr>
          <w:szCs w:val="26"/>
        </w:rPr>
      </w:pPr>
      <w:r>
        <w:tab/>
        <w:t>Jarraian, lorturiko emaitzen berri emanen dugu, bai Kontuen Ganberaren txostenean jasotako gomendioetarakoak bai Kontuen Auzitegiaren txostenean jasotako gomendioetarakoak.</w:t>
      </w:r>
    </w:p>
    <w:p w:rsidR="007E3F95" w:rsidRDefault="007E3F95">
      <w:pPr>
        <w:spacing w:after="0"/>
        <w:ind w:firstLine="0"/>
        <w:jc w:val="left"/>
        <w:rPr>
          <w:spacing w:val="6"/>
          <w:sz w:val="26"/>
          <w:szCs w:val="26"/>
        </w:rPr>
      </w:pPr>
      <w:r>
        <w:br w:type="page"/>
      </w:r>
    </w:p>
    <w:p w:rsidR="0084609D" w:rsidRPr="002D01A2" w:rsidRDefault="0084609D" w:rsidP="002D01A2">
      <w:pPr>
        <w:pStyle w:val="atitulo3"/>
      </w:pPr>
      <w:r>
        <w:t>III.2.1. Kontuen Ganberaren txostena, Mendekotasun Legeko ordaink</w:t>
      </w:r>
      <w:r>
        <w:t>e</w:t>
      </w:r>
      <w:r>
        <w:t>tak direla-eta Nafarroan eginiko kudeaketaren eta kontrolaren gainekoa</w:t>
      </w:r>
    </w:p>
    <w:p w:rsidR="0084609D" w:rsidRPr="00024271" w:rsidRDefault="0084609D" w:rsidP="0084609D">
      <w:pPr>
        <w:pStyle w:val="texto"/>
        <w:tabs>
          <w:tab w:val="left" w:pos="284"/>
        </w:tabs>
        <w:spacing w:before="240" w:after="120"/>
      </w:pPr>
      <w:r>
        <w:t>Txosten honekin batera doan 1. eranskinean daude bilduta Kontuen Ganb</w:t>
      </w:r>
      <w:r>
        <w:t>e</w:t>
      </w:r>
      <w:r>
        <w:t>rak 2014ko martxoko txostenean iritsi zituen konklusioak. Martxoko txosten horretan gomendioak ere egin ziren, eta horiexek dira jarraian zehaztuko dit</w:t>
      </w:r>
      <w:r>
        <w:t>u</w:t>
      </w:r>
      <w:r>
        <w:t>gunak, haien ezarpen-maila azterturik:</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Ahal den bezain azkar prozedura bat ezartzea, zeinak aukera emanen baitu aztertzeko eta depuratzeko Nafarroak jaso behar zuen finantzaketaren eta egiazki jaso zuen finantzaketaren arteko alderaketatik heldu diren aldeak, E</w:t>
      </w:r>
      <w:r>
        <w:rPr>
          <w:i/>
          <w:szCs w:val="26"/>
        </w:rPr>
        <w:t>s</w:t>
      </w:r>
      <w:r>
        <w:rPr>
          <w:i/>
          <w:szCs w:val="26"/>
        </w:rPr>
        <w:t>tatuarekin behar den kopurua erregularizatzeari begira, kontuan izanda, ga</w:t>
      </w:r>
      <w:r>
        <w:rPr>
          <w:i/>
          <w:szCs w:val="26"/>
        </w:rPr>
        <w:t>i</w:t>
      </w:r>
      <w:r>
        <w:rPr>
          <w:i/>
          <w:szCs w:val="26"/>
        </w:rPr>
        <w:t xml:space="preserve">nera, jada hauteman diren baina konponbidean dauden gorabeherak. </w:t>
      </w:r>
    </w:p>
    <w:p w:rsidR="0084609D" w:rsidRDefault="0084609D" w:rsidP="0084609D">
      <w:pPr>
        <w:pStyle w:val="texto"/>
        <w:tabs>
          <w:tab w:val="left" w:pos="284"/>
          <w:tab w:val="num" w:pos="1948"/>
        </w:tabs>
        <w:spacing w:before="120"/>
        <w:rPr>
          <w:szCs w:val="26"/>
        </w:rPr>
      </w:pPr>
      <w:r>
        <w:t xml:space="preserve">Gomendio hori osoki baliogabea da egungo egoeran; izan ere, nahiz eta </w:t>
      </w:r>
      <w:proofErr w:type="spellStart"/>
      <w:r>
        <w:t>PAGNAk</w:t>
      </w:r>
      <w:proofErr w:type="spellEnd"/>
      <w:r>
        <w:t xml:space="preserve"> ez duen prozedura jakin bat ezarri Estatuarengandik jasotako fina</w:t>
      </w:r>
      <w:r>
        <w:t>n</w:t>
      </w:r>
      <w:r>
        <w:t>tzaketa ea egokia ote den aztertzeko, ez dago modurik egiaztaketa hori egiteko, Nafarroak ez baitaki finantzaketaren parte aldakorra autonomia erkidegoen a</w:t>
      </w:r>
      <w:r>
        <w:t>r</w:t>
      </w:r>
      <w:r>
        <w:t>tean banatzeko erabilitako koefizientea zein den. Horrek esan nahi du ezin dela egiaztatu ea jasotako kopurua egokia den.</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Estatuko Administrazio Orokorrari itzultzea bidegabeki jasotako kopurua, Estatutik ekonomia eta enplegua dinamizatzeko jasotako funtsetatik heldu dena, saiheste aldera kopuru hori handiagoa izan dadila berandutza-interesen eraginez.</w:t>
      </w:r>
    </w:p>
    <w:p w:rsidR="0084609D" w:rsidRDefault="00033F3A" w:rsidP="0084609D">
      <w:pPr>
        <w:pStyle w:val="texto"/>
        <w:tabs>
          <w:tab w:val="left" w:pos="284"/>
        </w:tabs>
        <w:spacing w:before="120"/>
        <w:rPr>
          <w:szCs w:val="26"/>
        </w:rPr>
      </w:pPr>
      <w:r>
        <w:t xml:space="preserve">Gomendio hori guztiz aplikatuta dago, 2014ko irailean egin baitzion kasuko itzulketa </w:t>
      </w:r>
      <w:proofErr w:type="spellStart"/>
      <w:r>
        <w:t>PAGNAk</w:t>
      </w:r>
      <w:proofErr w:type="spellEnd"/>
      <w:r>
        <w:t xml:space="preserve"> Estatuari.</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Ahal den bezain laster jarraipen egokia egitea gauzatzeko dauden ordai</w:t>
      </w:r>
      <w:r>
        <w:rPr>
          <w:i/>
          <w:szCs w:val="26"/>
        </w:rPr>
        <w:t>n</w:t>
      </w:r>
      <w:r>
        <w:rPr>
          <w:i/>
          <w:szCs w:val="26"/>
        </w:rPr>
        <w:t>keta-gutunen gainean, eta beharrezkoa bada bere garaian egindako kobrantz</w:t>
      </w:r>
      <w:r>
        <w:rPr>
          <w:i/>
          <w:szCs w:val="26"/>
        </w:rPr>
        <w:t>a</w:t>
      </w:r>
      <w:r>
        <w:rPr>
          <w:i/>
          <w:szCs w:val="26"/>
        </w:rPr>
        <w:t>ren kudeaketa-prozedura hobetzea, haiek iraungi daitezen saihesteko.</w:t>
      </w:r>
    </w:p>
    <w:p w:rsidR="0084609D" w:rsidRDefault="00033F3A" w:rsidP="0084609D">
      <w:pPr>
        <w:pStyle w:val="texto"/>
        <w:tabs>
          <w:tab w:val="left" w:pos="284"/>
        </w:tabs>
        <w:spacing w:before="120"/>
        <w:rPr>
          <w:szCs w:val="26"/>
        </w:rPr>
      </w:pPr>
      <w:r>
        <w:t xml:space="preserve">Gomendio hori bere osotasunean aplikatu zen, </w:t>
      </w:r>
      <w:proofErr w:type="spellStart"/>
      <w:r>
        <w:t>gauzakizun</w:t>
      </w:r>
      <w:proofErr w:type="spellEnd"/>
      <w:r>
        <w:t xml:space="preserve"> zeuden ordai</w:t>
      </w:r>
      <w:r>
        <w:t>n</w:t>
      </w:r>
      <w:r>
        <w:t>keta-gutunen jarraipena egin baitzen; gainera, kobrantza-kudeaketako proz</w:t>
      </w:r>
      <w:r>
        <w:t>e</w:t>
      </w:r>
      <w:r>
        <w:t>dura nabarmenki hobetu zen, heriotzen berri ematen duten datu-baseekin eg</w:t>
      </w:r>
      <w:r>
        <w:t>u</w:t>
      </w:r>
      <w:r>
        <w:t>nero gurutzaketa automatizatuak egin baitziren.</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Berriki hasitako konpentsazio metodoarekin jarraitzea, prestazioak aldi berean gertatzen diren kasuetan, bidegabeko ordainketak itzultzeko espedie</w:t>
      </w:r>
      <w:r>
        <w:rPr>
          <w:i/>
          <w:szCs w:val="26"/>
        </w:rPr>
        <w:t>n</w:t>
      </w:r>
      <w:r>
        <w:rPr>
          <w:i/>
          <w:szCs w:val="26"/>
        </w:rPr>
        <w:t>teek sortzen dituzten izapide administratiboak saihesteko.</w:t>
      </w:r>
    </w:p>
    <w:p w:rsidR="0084609D" w:rsidRPr="00065106" w:rsidRDefault="00033F3A" w:rsidP="0084609D">
      <w:pPr>
        <w:pStyle w:val="texto"/>
        <w:tabs>
          <w:tab w:val="left" w:pos="284"/>
          <w:tab w:val="num" w:pos="1948"/>
        </w:tabs>
        <w:spacing w:before="120"/>
        <w:rPr>
          <w:i/>
          <w:szCs w:val="26"/>
        </w:rPr>
      </w:pPr>
      <w:r>
        <w:t>Gomendio hori ere bere osotasunean aplikatu da, zeren eta, jada adierazi b</w:t>
      </w:r>
      <w:r>
        <w:t>e</w:t>
      </w:r>
      <w:r>
        <w:t>zala, kobrantza-kudeaketako prozedura hobetu egin baita, eta aipatu konpents</w:t>
      </w:r>
      <w:r>
        <w:t>a</w:t>
      </w:r>
      <w:r>
        <w:t>zio-metodoa gaur egun ohikotasunez egiten da.</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Behar den informazio guztia jasotzea PZSSI datu basean, Mendekotasun Legeko onuradunen egoera erreal eta gaurkotua erakuts dezan.</w:t>
      </w:r>
    </w:p>
    <w:p w:rsidR="0084609D" w:rsidRDefault="00033F3A" w:rsidP="0084609D">
      <w:pPr>
        <w:pStyle w:val="texto"/>
        <w:tabs>
          <w:tab w:val="left" w:pos="284"/>
          <w:tab w:val="num" w:pos="1948"/>
        </w:tabs>
        <w:spacing w:before="120"/>
        <w:rPr>
          <w:szCs w:val="26"/>
        </w:rPr>
      </w:pPr>
      <w:r>
        <w:t xml:space="preserve">Gomendio hori osoki ezarria izan da, nabarmenki hobetu baita </w:t>
      </w:r>
      <w:proofErr w:type="spellStart"/>
      <w:r>
        <w:t>PZSSIko</w:t>
      </w:r>
      <w:proofErr w:type="spellEnd"/>
      <w:r>
        <w:t xml:space="preserve"> i</w:t>
      </w:r>
      <w:r>
        <w:t>n</w:t>
      </w:r>
      <w:r>
        <w:t>formazio-eransketa eta -eguneraketa Ganbera honek bere txostena egin zuen</w:t>
      </w:r>
      <w:r>
        <w:t>e</w:t>
      </w:r>
      <w:r>
        <w:t>tik, halako moldez non murriztu egin baitira informazio-agregazioaren epeak, bai eta aurkituriko okerrak zuzendu ere.</w:t>
      </w:r>
    </w:p>
    <w:p w:rsidR="0084609D" w:rsidRDefault="0084609D" w:rsidP="0084609D">
      <w:pPr>
        <w:pStyle w:val="texto"/>
        <w:tabs>
          <w:tab w:val="left" w:pos="284"/>
          <w:tab w:val="num" w:pos="1948"/>
        </w:tabs>
        <w:spacing w:before="120"/>
        <w:rPr>
          <w:szCs w:val="26"/>
        </w:rPr>
      </w:pPr>
      <w:r>
        <w:t>Azaldu diguten prozesuan izandako hobekuntza hori egiaztatzearren, 80 e</w:t>
      </w:r>
      <w:r>
        <w:t>s</w:t>
      </w:r>
      <w:r>
        <w:t>pedienteko lagin bat berrikusi dugu, eta haietan erkatu dugu ea NANa eta b</w:t>
      </w:r>
      <w:r>
        <w:t>a</w:t>
      </w:r>
      <w:r>
        <w:t xml:space="preserve">lizko onuradunaren eskabidearen data zuzen sartuak izan ote diren </w:t>
      </w:r>
      <w:proofErr w:type="spellStart"/>
      <w:r>
        <w:t>PZSSIn</w:t>
      </w:r>
      <w:proofErr w:type="spellEnd"/>
      <w:r>
        <w:t>. Oro har, asegarria izan da emaitza, eta datuak bat etortzen dira.</w:t>
      </w:r>
    </w:p>
    <w:p w:rsidR="0084609D" w:rsidRDefault="00033F3A" w:rsidP="00033F3A">
      <w:pPr>
        <w:pStyle w:val="atitulo3"/>
        <w:spacing w:before="240"/>
      </w:pPr>
      <w:r>
        <w:t>III.2.2. Kontuen Auzitegiaren txostena, Mendekotasun Legearen kude</w:t>
      </w:r>
      <w:r>
        <w:t>a</w:t>
      </w:r>
      <w:r>
        <w:t xml:space="preserve">ketari buruzkoa </w:t>
      </w:r>
    </w:p>
    <w:p w:rsidR="0084609D" w:rsidRPr="00E041E9"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color w:val="FF0000"/>
          <w:szCs w:val="26"/>
        </w:rPr>
      </w:pPr>
      <w:r>
        <w:t>Kontuen Auzitegiak 2014ko maiatzeko bere txostenean eman zituen gome</w:t>
      </w:r>
      <w:r>
        <w:t>n</w:t>
      </w:r>
      <w:r>
        <w:t xml:space="preserve">dioetatik Nafarroari aplikatzeko modukoak hauexek izan ziren: </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Autonomia erkidegoetako organo eskudunek beharrezko neurriak hartu beharko lituzkete, bai kudeaketakoak bai aurrekontu alorrekoak, betetze aldera sei hilabeteko gehieneko epea, interesdunaren eskabidetik kontatzen hasitakoa, mendekotasun-egoeraren ondoriozko prestazioak aitortzeko ebazpena emat</w:t>
      </w:r>
      <w:r>
        <w:rPr>
          <w:i/>
          <w:szCs w:val="26"/>
        </w:rPr>
        <w:t>e</w:t>
      </w:r>
      <w:r>
        <w:rPr>
          <w:i/>
          <w:szCs w:val="26"/>
        </w:rPr>
        <w:t xml:space="preserve">koa, 39/2006 Legeko azken xedapenetan lehenak ezartzen duen bezala, bai eta aitorpen hori eraginkorra berehala izate aldera. </w:t>
      </w:r>
    </w:p>
    <w:p w:rsidR="0084609D" w:rsidRDefault="00033F3A" w:rsidP="0084609D">
      <w:pPr>
        <w:pStyle w:val="texto"/>
        <w:tabs>
          <w:tab w:val="clear" w:pos="2835"/>
          <w:tab w:val="clear" w:pos="3969"/>
          <w:tab w:val="clear" w:pos="5103"/>
          <w:tab w:val="clear" w:pos="6237"/>
          <w:tab w:val="clear" w:pos="7371"/>
          <w:tab w:val="left" w:pos="284"/>
        </w:tabs>
        <w:rPr>
          <w:szCs w:val="26"/>
        </w:rPr>
      </w:pPr>
      <w:r>
        <w:t>Gomendio hori osoki ezarrita dago, zeren eta, batez beste, sei hilabeteko epea ez baita Nafarroaren kasuan gainditzen. Halaber egiaztatu dugu ezen, oro har, prestazio-aitorpena berehala izaten dela eraginkorra.</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 xml:space="preserve">Autonomia erkidegoetako organo eskudunek beharrezkoak diren neurriak hartu beharko lituzkete, </w:t>
      </w:r>
      <w:proofErr w:type="spellStart"/>
      <w:r>
        <w:rPr>
          <w:i/>
          <w:szCs w:val="26"/>
        </w:rPr>
        <w:t>AMASIS-Autonomiarako</w:t>
      </w:r>
      <w:proofErr w:type="spellEnd"/>
      <w:r>
        <w:rPr>
          <w:i/>
          <w:szCs w:val="26"/>
        </w:rPr>
        <w:t xml:space="preserve"> eta Mendekotasunaren Arr</w:t>
      </w:r>
      <w:r>
        <w:rPr>
          <w:i/>
          <w:szCs w:val="26"/>
        </w:rPr>
        <w:t>e</w:t>
      </w:r>
      <w:r>
        <w:rPr>
          <w:i/>
          <w:szCs w:val="26"/>
        </w:rPr>
        <w:t>tarako Sistemako Informazio Sistema etengabe eta puntualki eguneratuta eg</w:t>
      </w:r>
      <w:r>
        <w:rPr>
          <w:i/>
          <w:szCs w:val="26"/>
        </w:rPr>
        <w:t>o</w:t>
      </w:r>
      <w:r>
        <w:rPr>
          <w:i/>
          <w:szCs w:val="26"/>
        </w:rPr>
        <w:t>teko; batez ere, gutxieneko mailaren likidaziorako beharrezkoak diren datuei dagokienez, abenduaren 17ko Osasuneko, Gizarte Zerbitzuetako eta Berdint</w:t>
      </w:r>
      <w:r>
        <w:rPr>
          <w:i/>
          <w:szCs w:val="26"/>
        </w:rPr>
        <w:t>a</w:t>
      </w:r>
      <w:r>
        <w:rPr>
          <w:i/>
          <w:szCs w:val="26"/>
        </w:rPr>
        <w:t xml:space="preserve">suneko Ministerioaren 2371/2013 Aginduak zehazturiko moduan. Hain zuzen, agindu horrek arautzen du Autonomiarako eta Mendekotasunaren Arretarako Sistemako Informazio Sistema. Saihestekoak dira gehiegizko erregistratze-berandutzak, halakoak antzeman baitira eskabideen </w:t>
      </w:r>
      <w:proofErr w:type="spellStart"/>
      <w:r>
        <w:rPr>
          <w:i/>
          <w:szCs w:val="26"/>
        </w:rPr>
        <w:t>altak</w:t>
      </w:r>
      <w:proofErr w:type="spellEnd"/>
      <w:r>
        <w:rPr>
          <w:i/>
          <w:szCs w:val="26"/>
        </w:rPr>
        <w:t xml:space="preserve"> eta bajak izapid</w:t>
      </w:r>
      <w:r>
        <w:rPr>
          <w:i/>
          <w:szCs w:val="26"/>
        </w:rPr>
        <w:t>e</w:t>
      </w:r>
      <w:r>
        <w:rPr>
          <w:i/>
          <w:szCs w:val="26"/>
        </w:rPr>
        <w:t>tzean, mendekotasun-egoerak, prestazioak eta eskubidearen eraginkortasuna aitortzeko ebazpenetan, gradua edo prestazioa berrikusteagatiko aldatze edo bajetan, lekualdatze, uko egite, heriotza edo beste edozein inguruabarren o</w:t>
      </w:r>
      <w:r>
        <w:rPr>
          <w:i/>
          <w:szCs w:val="26"/>
        </w:rPr>
        <w:t>n</w:t>
      </w:r>
      <w:r>
        <w:rPr>
          <w:i/>
          <w:szCs w:val="26"/>
        </w:rPr>
        <w:t xml:space="preserve">doriozkoetan, eta bermatu behar da une oro bat datorrela </w:t>
      </w:r>
      <w:proofErr w:type="spellStart"/>
      <w:r>
        <w:rPr>
          <w:i/>
          <w:szCs w:val="26"/>
        </w:rPr>
        <w:t>AMASISen</w:t>
      </w:r>
      <w:proofErr w:type="spellEnd"/>
      <w:r>
        <w:rPr>
          <w:i/>
          <w:szCs w:val="26"/>
        </w:rPr>
        <w:t xml:space="preserve"> gord</w:t>
      </w:r>
      <w:r>
        <w:rPr>
          <w:i/>
          <w:szCs w:val="26"/>
        </w:rPr>
        <w:t>e</w:t>
      </w:r>
      <w:r>
        <w:rPr>
          <w:i/>
          <w:szCs w:val="26"/>
        </w:rPr>
        <w:t>tako informazioa mendeko pertsonen egoera errealarekin eta autonomia erk</w:t>
      </w:r>
      <w:r>
        <w:rPr>
          <w:i/>
          <w:szCs w:val="26"/>
        </w:rPr>
        <w:t>i</w:t>
      </w:r>
      <w:r>
        <w:rPr>
          <w:i/>
          <w:szCs w:val="26"/>
        </w:rPr>
        <w:t xml:space="preserve">degoek erabilitako informazio-sistemetan dagoen informazioarekin. </w:t>
      </w:r>
    </w:p>
    <w:p w:rsidR="0084609D" w:rsidRDefault="00033F3A" w:rsidP="00033F3A">
      <w:pPr>
        <w:pStyle w:val="texto"/>
        <w:tabs>
          <w:tab w:val="clear" w:pos="2835"/>
          <w:tab w:val="clear" w:pos="3969"/>
          <w:tab w:val="clear" w:pos="5103"/>
          <w:tab w:val="clear" w:pos="6237"/>
          <w:tab w:val="clear" w:pos="7371"/>
          <w:tab w:val="left" w:pos="284"/>
        </w:tabs>
        <w:rPr>
          <w:szCs w:val="26"/>
        </w:rPr>
      </w:pPr>
      <w:r>
        <w:t>Gomendio hori partzialki aplikatu da, honako arrazoi hauengatik: inform</w:t>
      </w:r>
      <w:r>
        <w:t>a</w:t>
      </w:r>
      <w:r>
        <w:t xml:space="preserve">zioa </w:t>
      </w:r>
      <w:proofErr w:type="spellStart"/>
      <w:r>
        <w:t>PZSSIn</w:t>
      </w:r>
      <w:proofErr w:type="spellEnd"/>
      <w:r>
        <w:t xml:space="preserve"> eguneratuta eta </w:t>
      </w:r>
      <w:proofErr w:type="spellStart"/>
      <w:r>
        <w:t>AMASISi</w:t>
      </w:r>
      <w:proofErr w:type="spellEnd"/>
      <w:r>
        <w:t xml:space="preserve"> puntualki jakinarazita dago, salbu eta heriotzen kasuan, horietan prozedura hobetu beharra baitago, sumatu dugunez. Zehazki, egiaztatu dugu 2020an 3.750 pertsona hil zirela, eta horietako 1.921en berri eman zitzaion </w:t>
      </w:r>
      <w:proofErr w:type="spellStart"/>
      <w:r>
        <w:t>AMASISi</w:t>
      </w:r>
      <w:proofErr w:type="spellEnd"/>
      <w:r>
        <w:t xml:space="preserve"> hilabete baino gehiagoko epean (ehuneko 51), 471ren berri hilabete baino </w:t>
      </w:r>
      <w:proofErr w:type="spellStart"/>
      <w:r>
        <w:t>gutxigokoan</w:t>
      </w:r>
      <w:proofErr w:type="spellEnd"/>
      <w:r>
        <w:t xml:space="preserve"> (ehuneko 13), eta 1.358 ez ziren jak</w:t>
      </w:r>
      <w:r>
        <w:t>i</w:t>
      </w:r>
      <w:r>
        <w:t>narazi (ehuneko 36).</w:t>
      </w:r>
    </w:p>
    <w:p w:rsidR="0084609D" w:rsidRDefault="0084609D" w:rsidP="0084609D">
      <w:pPr>
        <w:pStyle w:val="texto"/>
        <w:tabs>
          <w:tab w:val="clear" w:pos="2835"/>
          <w:tab w:val="clear" w:pos="3969"/>
          <w:tab w:val="clear" w:pos="5103"/>
          <w:tab w:val="clear" w:pos="6237"/>
          <w:tab w:val="clear" w:pos="7371"/>
          <w:tab w:val="left" w:pos="284"/>
        </w:tabs>
        <w:rPr>
          <w:szCs w:val="26"/>
        </w:rPr>
      </w:pPr>
      <w:r>
        <w:t>Jakinarazi gabeko heriotza izan zuten 1.358 pertsonetatik, 238 ez-mendekotzat jotzen ziren, baina gainerako 1.120 pertsonak (ehuneko 82) baz</w:t>
      </w:r>
      <w:r>
        <w:t>i</w:t>
      </w:r>
      <w:r>
        <w:t>ren izan, halako moduz non Nafarroak haiengatiko finantzaketa jaso baitzez</w:t>
      </w:r>
      <w:r>
        <w:t>a</w:t>
      </w:r>
      <w:r>
        <w:t xml:space="preserve">keen. Nahiz eta </w:t>
      </w:r>
      <w:proofErr w:type="spellStart"/>
      <w:r>
        <w:t>IMSERSOk</w:t>
      </w:r>
      <w:proofErr w:type="spellEnd"/>
      <w:r>
        <w:t xml:space="preserve"> egiaztapen gehigarriak egiten dituen horretaz, eta Nafarroari pertsona horiengatiko finantzaketa murrizten dion, txosten hau ida</w:t>
      </w:r>
      <w:r>
        <w:t>z</w:t>
      </w:r>
      <w:r>
        <w:t>teko unean PAGNA ez da heriotzak axola egokiaz jakinarazten ari.</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Autonomia erkidegoek beharrezkoak suertatzen diren arauak sustatu b</w:t>
      </w:r>
      <w:r>
        <w:rPr>
          <w:i/>
          <w:szCs w:val="26"/>
        </w:rPr>
        <w:t>e</w:t>
      </w:r>
      <w:r>
        <w:rPr>
          <w:i/>
          <w:szCs w:val="26"/>
        </w:rPr>
        <w:t>harko dituzte Autonomiarako eta Mendekotasunaren Arretarako Sistemako L</w:t>
      </w:r>
      <w:r>
        <w:rPr>
          <w:i/>
          <w:szCs w:val="26"/>
        </w:rPr>
        <w:t>u</w:t>
      </w:r>
      <w:r>
        <w:rPr>
          <w:i/>
          <w:szCs w:val="26"/>
        </w:rPr>
        <w:t>rralde Kontseiluaren 2012ko uztailaren 10eko Erabakian ezartzen dena bet</w:t>
      </w:r>
      <w:r>
        <w:rPr>
          <w:i/>
          <w:szCs w:val="26"/>
        </w:rPr>
        <w:t>e</w:t>
      </w:r>
      <w:r>
        <w:rPr>
          <w:i/>
          <w:szCs w:val="26"/>
        </w:rPr>
        <w:t xml:space="preserve">tzeko; zeinean, Mendekotasun Legeko 33. artikuluak ezartzen duenari jarraikiz, gutxieneko irizpide </w:t>
      </w:r>
      <w:proofErr w:type="spellStart"/>
      <w:r>
        <w:rPr>
          <w:i/>
          <w:szCs w:val="26"/>
        </w:rPr>
        <w:t>amankomunak</w:t>
      </w:r>
      <w:proofErr w:type="spellEnd"/>
      <w:r>
        <w:rPr>
          <w:i/>
          <w:szCs w:val="26"/>
        </w:rPr>
        <w:t xml:space="preserve"> ezarri baitziren Autonomiarako eta Mend</w:t>
      </w:r>
      <w:r>
        <w:rPr>
          <w:i/>
          <w:szCs w:val="26"/>
        </w:rPr>
        <w:t>e</w:t>
      </w:r>
      <w:r>
        <w:rPr>
          <w:i/>
          <w:szCs w:val="26"/>
        </w:rPr>
        <w:t>kotasunaren Arretarako Sistemaren onuradunen ahalmen ekonomiko perts</w:t>
      </w:r>
      <w:r>
        <w:rPr>
          <w:i/>
          <w:szCs w:val="26"/>
        </w:rPr>
        <w:t>o</w:t>
      </w:r>
      <w:r>
        <w:rPr>
          <w:i/>
          <w:szCs w:val="26"/>
        </w:rPr>
        <w:t>nala zehazteko, bai eta haiek sistemako prestazioetan ekonomikoki parte ha</w:t>
      </w:r>
      <w:r>
        <w:rPr>
          <w:i/>
          <w:szCs w:val="26"/>
        </w:rPr>
        <w:t>r</w:t>
      </w:r>
      <w:r>
        <w:rPr>
          <w:i/>
          <w:szCs w:val="26"/>
        </w:rPr>
        <w:t>tzeko irizpideak ere. Egiten diren arau-aldaketak Estatuko Administrazio Or</w:t>
      </w:r>
      <w:r>
        <w:rPr>
          <w:i/>
          <w:szCs w:val="26"/>
        </w:rPr>
        <w:t>o</w:t>
      </w:r>
      <w:r>
        <w:rPr>
          <w:i/>
          <w:szCs w:val="26"/>
        </w:rPr>
        <w:t>korrari jakinarazi beharko zaizkio, aipatu Erabakiak ezartzen duen bezala.</w:t>
      </w:r>
    </w:p>
    <w:p w:rsidR="0084609D" w:rsidRDefault="00033F3A" w:rsidP="0084609D">
      <w:pPr>
        <w:pStyle w:val="texto"/>
        <w:tabs>
          <w:tab w:val="clear" w:pos="2835"/>
          <w:tab w:val="clear" w:pos="3969"/>
          <w:tab w:val="clear" w:pos="5103"/>
          <w:tab w:val="clear" w:pos="6237"/>
          <w:tab w:val="clear" w:pos="7371"/>
          <w:tab w:val="left" w:pos="284"/>
        </w:tabs>
        <w:rPr>
          <w:szCs w:val="26"/>
        </w:rPr>
      </w:pPr>
      <w:r>
        <w:t xml:space="preserve">Gomendio hori partzialki dago aplikatuta; izan ere, </w:t>
      </w:r>
      <w:proofErr w:type="spellStart"/>
      <w:r>
        <w:t>PAGNAk</w:t>
      </w:r>
      <w:proofErr w:type="spellEnd"/>
      <w:r>
        <w:t xml:space="preserve"> Mendekotasun Legearen onuradunen ahalmen ekonomiko pertsonala zehazteko irizpideak j</w:t>
      </w:r>
      <w:r>
        <w:t>a</w:t>
      </w:r>
      <w:r>
        <w:t>sotzen ditu, bai eta arau horretako prestazioetan izanen duten parte-hartze ek</w:t>
      </w:r>
      <w:r>
        <w:t>o</w:t>
      </w:r>
      <w:r>
        <w:t>nomikoa zehazteko ere. Baina eginiko arau-aldaketak ez zaizkio jakinarazten Estatuko Administrazio Orokorrari.</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Autonomia erkidegoak beharrezkoak diren kontabilitate-prozedurak ezarri beharko lituzkete, ziurtatzearren mendekotasunaren arretara bideraturiko gastu ororen kontabilitate-kontrola, finantzaketa atxikidun gastu diren aldetik, halako moldez non mendekotasunaren arretara bideraturiko gastu oro behar bezala identifikatuta egonen baita bere bizialdian zehar kode bakar eta alda</w:t>
      </w:r>
      <w:r>
        <w:rPr>
          <w:i/>
          <w:szCs w:val="26"/>
        </w:rPr>
        <w:t>e</w:t>
      </w:r>
      <w:r>
        <w:rPr>
          <w:i/>
          <w:szCs w:val="26"/>
        </w:rPr>
        <w:t xml:space="preserve">zin baten bitartez, zeinak </w:t>
      </w:r>
      <w:proofErr w:type="spellStart"/>
      <w:r>
        <w:rPr>
          <w:i/>
          <w:szCs w:val="26"/>
        </w:rPr>
        <w:t>indibidualizatu</w:t>
      </w:r>
      <w:proofErr w:type="spellEnd"/>
      <w:r>
        <w:rPr>
          <w:i/>
          <w:szCs w:val="26"/>
        </w:rPr>
        <w:t xml:space="preserve"> eginen baitu kontabilitate-informazioko sisteman, eta ahalbidetuko baitu urteko kontuetako oroitidazkiak kasuko informazioa eskain dezan. Halaber, finantzaketa atxikidun beste gastu batzuetara bideraturiko kredituak sartuta egon beharko lirateke berariazko programa edo aplikazioetan, gainerako gastuetatik bereizirik. Autonomia-erkidegoek ezarritako kontabilitate- eta kontrol-mekanismoek ahalbidetu b</w:t>
      </w:r>
      <w:r>
        <w:rPr>
          <w:i/>
          <w:szCs w:val="26"/>
        </w:rPr>
        <w:t>e</w:t>
      </w:r>
      <w:r>
        <w:rPr>
          <w:i/>
          <w:szCs w:val="26"/>
        </w:rPr>
        <w:t>harko dute behar bezala betetzea sisteman sarturiko kudeaketaren eta inform</w:t>
      </w:r>
      <w:r>
        <w:rPr>
          <w:i/>
          <w:szCs w:val="26"/>
        </w:rPr>
        <w:t>a</w:t>
      </w:r>
      <w:r>
        <w:rPr>
          <w:i/>
          <w:szCs w:val="26"/>
        </w:rPr>
        <w:t>zio horren egiazkotasunaren hileroko ziurtapena egiteko betebeharra, bai eta ekitaldi bakoitzean Autonomiarako eta Mendekotasunaren Arretarako Sistem</w:t>
      </w:r>
      <w:r>
        <w:rPr>
          <w:i/>
          <w:szCs w:val="26"/>
        </w:rPr>
        <w:t>a</w:t>
      </w:r>
      <w:r>
        <w:rPr>
          <w:i/>
          <w:szCs w:val="26"/>
        </w:rPr>
        <w:t>ren finantzaketarako helarazi dituzten kopuruen urtean behingo ziurtapena eg</w:t>
      </w:r>
      <w:r>
        <w:rPr>
          <w:i/>
          <w:szCs w:val="26"/>
        </w:rPr>
        <w:t>i</w:t>
      </w:r>
      <w:r>
        <w:rPr>
          <w:i/>
          <w:szCs w:val="26"/>
        </w:rPr>
        <w:t xml:space="preserve">tekoa ere. Ziurtapen horrek modua eman beharko luke bai gutxieneko babes-maila bai zerbitzu- eta prestazio-mota bakoitzaren kostua eta onuradunen ekarpen edo </w:t>
      </w:r>
      <w:proofErr w:type="spellStart"/>
      <w:r>
        <w:rPr>
          <w:i/>
          <w:szCs w:val="26"/>
        </w:rPr>
        <w:t>koordainketa</w:t>
      </w:r>
      <w:proofErr w:type="spellEnd"/>
      <w:r>
        <w:rPr>
          <w:i/>
          <w:szCs w:val="26"/>
        </w:rPr>
        <w:t xml:space="preserve"> zenbatesteko, horretarako jarraiturik abenduaren 27ko 1050/2013 Errege Dekretuan eta abenduaren 17ko Osasuneko, Gizarte Zerbitzuetako eta Berdintasuneko Ministerioaren 2371/2013 Aginduan ezarr</w:t>
      </w:r>
      <w:r>
        <w:rPr>
          <w:i/>
          <w:szCs w:val="26"/>
        </w:rPr>
        <w:t>i</w:t>
      </w:r>
      <w:r>
        <w:rPr>
          <w:i/>
          <w:szCs w:val="26"/>
        </w:rPr>
        <w:t xml:space="preserve">takoari. Harik eta kontabilitate analitikoko metodorik edo finantzaketa atxikiko gastuen jarraipenerako metodorik, zerbitzuen kostuaren zenbatespen zehatza ahalbidetzen duenik, ezartzen </w:t>
      </w:r>
      <w:proofErr w:type="spellStart"/>
      <w:r>
        <w:rPr>
          <w:i/>
          <w:szCs w:val="26"/>
        </w:rPr>
        <w:t>ez</w:t>
      </w:r>
      <w:proofErr w:type="spellEnd"/>
      <w:r>
        <w:rPr>
          <w:i/>
          <w:szCs w:val="26"/>
        </w:rPr>
        <w:t xml:space="preserve"> den bitartean, kalkulua egin beharko da L</w:t>
      </w:r>
      <w:r>
        <w:rPr>
          <w:i/>
          <w:szCs w:val="26"/>
        </w:rPr>
        <w:t>u</w:t>
      </w:r>
      <w:r>
        <w:rPr>
          <w:i/>
          <w:szCs w:val="26"/>
        </w:rPr>
        <w:t>rralde Kontseiluak ezarritako erreferentzia-kostuak aplikatuz edo, kasua bada, autonomia erkidegoek zeinek bere esparruan eta berdintasun-printzipioa ne</w:t>
      </w:r>
      <w:r>
        <w:rPr>
          <w:i/>
          <w:szCs w:val="26"/>
        </w:rPr>
        <w:t>u</w:t>
      </w:r>
      <w:r>
        <w:rPr>
          <w:i/>
          <w:szCs w:val="26"/>
        </w:rPr>
        <w:t xml:space="preserve">rririk handienean babestuz ezartzen dituztenak aplikatuz. </w:t>
      </w:r>
    </w:p>
    <w:p w:rsidR="0084609D" w:rsidRDefault="00033F3A" w:rsidP="0084609D">
      <w:pPr>
        <w:pStyle w:val="texto"/>
        <w:tabs>
          <w:tab w:val="clear" w:pos="2835"/>
          <w:tab w:val="clear" w:pos="3969"/>
          <w:tab w:val="clear" w:pos="5103"/>
          <w:tab w:val="clear" w:pos="6237"/>
          <w:tab w:val="clear" w:pos="7371"/>
          <w:tab w:val="left" w:pos="284"/>
        </w:tabs>
        <w:rPr>
          <w:szCs w:val="26"/>
        </w:rPr>
      </w:pPr>
      <w:r>
        <w:t>Gomendio hori ez dago gauzatuta txosten honen idazte-aldian, egiaztatu ba</w:t>
      </w:r>
      <w:r>
        <w:t>i</w:t>
      </w:r>
      <w:r>
        <w:t xml:space="preserve">tugu ez dagoela berariazko aurrekontu-partidarik mendekotasunerakoak diren gastuetarako ez eta diru-sarreretarako ere. Horrekin batera, ez dago emandako zerbitzuen kontabilitate analitikorik; ondorioz, </w:t>
      </w:r>
      <w:proofErr w:type="spellStart"/>
      <w:r>
        <w:t>PAGNAk</w:t>
      </w:r>
      <w:proofErr w:type="spellEnd"/>
      <w:r>
        <w:t xml:space="preserve"> Estatuari ziurtaturiko gastua zenbatespen bat da, neketsuegia eta garestiegia den prozedura baten b</w:t>
      </w:r>
      <w:r>
        <w:t>i</w:t>
      </w:r>
      <w:r>
        <w:t>tartez egina.</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Autonomia-erkidegoek, herritarrek zerbitzu publikoetara sarbide elektr</w:t>
      </w:r>
      <w:r>
        <w:rPr>
          <w:i/>
          <w:szCs w:val="26"/>
        </w:rPr>
        <w:t>o</w:t>
      </w:r>
      <w:r>
        <w:rPr>
          <w:i/>
          <w:szCs w:val="26"/>
        </w:rPr>
        <w:t xml:space="preserve">nikoa izateari buruzko ekainaren 22ko 11/2007 Legearen aplikazioz eta </w:t>
      </w:r>
      <w:proofErr w:type="spellStart"/>
      <w:r>
        <w:rPr>
          <w:i/>
          <w:szCs w:val="26"/>
        </w:rPr>
        <w:t>I</w:t>
      </w:r>
      <w:r>
        <w:rPr>
          <w:i/>
          <w:szCs w:val="26"/>
        </w:rPr>
        <w:t>M</w:t>
      </w:r>
      <w:r>
        <w:rPr>
          <w:i/>
          <w:szCs w:val="26"/>
        </w:rPr>
        <w:t>SERSOrekin</w:t>
      </w:r>
      <w:proofErr w:type="spellEnd"/>
      <w:r>
        <w:rPr>
          <w:i/>
          <w:szCs w:val="26"/>
        </w:rPr>
        <w:t xml:space="preserve"> aurretiaz akordio batera iritsita, mendekotasunaren kudeaketari buruzko espediente elektronikoak egiteko sistema bat ezarri beharko lukete. Espediente horiek baldintzatuta leudeke, beren egituran, formatuan eta igortze- nahiz eskuratze-zerbitzuen nolakotasunetan, </w:t>
      </w:r>
      <w:proofErr w:type="spellStart"/>
      <w:r>
        <w:rPr>
          <w:i/>
          <w:szCs w:val="26"/>
        </w:rPr>
        <w:t>Elkarreragingarritasun</w:t>
      </w:r>
      <w:proofErr w:type="spellEnd"/>
      <w:r>
        <w:rPr>
          <w:i/>
          <w:szCs w:val="26"/>
        </w:rPr>
        <w:t xml:space="preserve"> Eskema Nazionaleko eta Segurtasun Eskema Nazionaleko betebeharretara. </w:t>
      </w:r>
    </w:p>
    <w:p w:rsidR="0084609D" w:rsidRDefault="00033F3A" w:rsidP="0084609D">
      <w:pPr>
        <w:pStyle w:val="texto"/>
        <w:tabs>
          <w:tab w:val="clear" w:pos="2835"/>
          <w:tab w:val="clear" w:pos="3969"/>
          <w:tab w:val="clear" w:pos="5103"/>
          <w:tab w:val="clear" w:pos="6237"/>
          <w:tab w:val="clear" w:pos="7371"/>
          <w:tab w:val="left" w:pos="284"/>
        </w:tabs>
        <w:rPr>
          <w:szCs w:val="26"/>
        </w:rPr>
      </w:pPr>
      <w:r>
        <w:t>Gomendio hori guztiz aplikatuta dago, 2014ko azarotik aurrera bete egin ba</w:t>
      </w:r>
      <w:r>
        <w:t>i</w:t>
      </w:r>
      <w:r>
        <w:t xml:space="preserve">tira aipatu eskemetako eskakizunak, espedienteei buruzko informazioez PZSSI eta </w:t>
      </w:r>
      <w:proofErr w:type="spellStart"/>
      <w:r>
        <w:t>AMASISen</w:t>
      </w:r>
      <w:proofErr w:type="spellEnd"/>
      <w:r>
        <w:t xml:space="preserve"> artean izandako komunikazioetan. </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Autonomia erkidegoek hobetu egin behar dute mendekotasun-prestazioak jasotzeko eskubidea bukatzearen kasuen kontrola, eta bereziki onuradunak b</w:t>
      </w:r>
      <w:r>
        <w:rPr>
          <w:i/>
          <w:szCs w:val="26"/>
        </w:rPr>
        <w:t>i</w:t>
      </w:r>
      <w:r>
        <w:rPr>
          <w:i/>
          <w:szCs w:val="26"/>
        </w:rPr>
        <w:t xml:space="preserve">zirik egotearen kontrola, </w:t>
      </w:r>
      <w:proofErr w:type="spellStart"/>
      <w:r>
        <w:rPr>
          <w:i/>
          <w:szCs w:val="26"/>
        </w:rPr>
        <w:t>kontrol</w:t>
      </w:r>
      <w:proofErr w:type="spellEnd"/>
      <w:r>
        <w:rPr>
          <w:i/>
          <w:szCs w:val="26"/>
        </w:rPr>
        <w:t xml:space="preserve"> propioak ezarriz, </w:t>
      </w:r>
      <w:proofErr w:type="spellStart"/>
      <w:r>
        <w:rPr>
          <w:i/>
          <w:szCs w:val="26"/>
        </w:rPr>
        <w:t>IMSERSOk</w:t>
      </w:r>
      <w:proofErr w:type="spellEnd"/>
      <w:r>
        <w:rPr>
          <w:i/>
          <w:szCs w:val="26"/>
        </w:rPr>
        <w:t xml:space="preserve"> eginikoei aurrea hartu ahal dietenak. Betiere, axola areagotu beharko dute jada detektatu diren edo etorkizunean detekta litezkeen okerreko ordainketen kasuetan itzulketa-espedienteei ekitean.</w:t>
      </w:r>
    </w:p>
    <w:p w:rsidR="0084609D" w:rsidRDefault="00033F3A" w:rsidP="0084609D">
      <w:pPr>
        <w:pStyle w:val="texto"/>
        <w:tabs>
          <w:tab w:val="clear" w:pos="2835"/>
          <w:tab w:val="clear" w:pos="3969"/>
          <w:tab w:val="clear" w:pos="5103"/>
          <w:tab w:val="clear" w:pos="6237"/>
          <w:tab w:val="clear" w:pos="7371"/>
          <w:tab w:val="left" w:pos="284"/>
        </w:tabs>
        <w:rPr>
          <w:szCs w:val="26"/>
        </w:rPr>
      </w:pPr>
      <w:r>
        <w:t xml:space="preserve">Gomendio hori partzialki aplikatu da, </w:t>
      </w:r>
      <w:proofErr w:type="spellStart"/>
      <w:r>
        <w:t>PAGNAk</w:t>
      </w:r>
      <w:proofErr w:type="spellEnd"/>
      <w:r>
        <w:t xml:space="preserve"> ez dituelako axola egokiaz komunikatzen heriotzak, nahiz eta axola hobetu duen itzulketa-espedienteei ekiteari dagokionez, konpentsazioa gehiturik administrazio-prozedurak azka</w:t>
      </w:r>
      <w:r>
        <w:t>r</w:t>
      </w:r>
      <w:r>
        <w:t xml:space="preserve">tzeko metodo gisa. </w:t>
      </w:r>
    </w:p>
    <w:p w:rsidR="0084609D" w:rsidRPr="0077483F"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Gizarte Zerbitzuen eta Autonomiarako eta Mendekotasun-arretarako Si</w:t>
      </w:r>
      <w:r>
        <w:rPr>
          <w:i/>
          <w:szCs w:val="26"/>
        </w:rPr>
        <w:t>s</w:t>
      </w:r>
      <w:r>
        <w:rPr>
          <w:i/>
          <w:szCs w:val="26"/>
        </w:rPr>
        <w:t>temaren Lurralde Kontseiluak eta autonomia erkidegoek indartu egin beharko lituzkete Mendekotasun Legearen 18.4 eta 36. artikuluetan aurreikusitako pre</w:t>
      </w:r>
      <w:r>
        <w:rPr>
          <w:i/>
          <w:szCs w:val="26"/>
        </w:rPr>
        <w:t>s</w:t>
      </w:r>
      <w:r>
        <w:rPr>
          <w:i/>
          <w:szCs w:val="26"/>
        </w:rPr>
        <w:t>takuntza-jarduerak eta -programak, zaintzaile ez-profesionalei zuzenduak, er</w:t>
      </w:r>
      <w:r>
        <w:rPr>
          <w:i/>
          <w:szCs w:val="26"/>
        </w:rPr>
        <w:t>a</w:t>
      </w:r>
      <w:r>
        <w:rPr>
          <w:i/>
          <w:szCs w:val="26"/>
        </w:rPr>
        <w:t>ginkorki lagungarriak badira, haiei trebakuntza profesional egokia emanez, mendekotasunaren arretarako zerbitzuetan enplegua sustatzeko.</w:t>
      </w:r>
    </w:p>
    <w:p w:rsidR="0084609D" w:rsidRDefault="00033F3A" w:rsidP="0084609D">
      <w:pPr>
        <w:pStyle w:val="texto"/>
        <w:tabs>
          <w:tab w:val="clear" w:pos="2835"/>
          <w:tab w:val="clear" w:pos="3969"/>
          <w:tab w:val="clear" w:pos="5103"/>
          <w:tab w:val="clear" w:pos="6237"/>
          <w:tab w:val="clear" w:pos="7371"/>
          <w:tab w:val="left" w:pos="284"/>
        </w:tabs>
        <w:rPr>
          <w:rFonts w:ascii="Arial" w:hAnsi="Arial"/>
          <w:i/>
          <w:iCs/>
          <w:color w:val="000000"/>
          <w:spacing w:val="10"/>
          <w:kern w:val="28"/>
          <w:sz w:val="25"/>
          <w:szCs w:val="26"/>
        </w:rPr>
      </w:pPr>
      <w:r>
        <w:t>Gomendio hori ez da aplikatu, ez baitira indartu mendekotasunaren arret</w:t>
      </w:r>
      <w:r>
        <w:t>a</w:t>
      </w:r>
      <w:r>
        <w:t>rako zerbitzuetan zaintzaile ez-profesionalei zuzendutako prestakuntza-jarduerak eta -programak.</w:t>
      </w:r>
    </w:p>
    <w:p w:rsidR="0084609D" w:rsidRDefault="0084609D" w:rsidP="0084609D">
      <w:pPr>
        <w:pStyle w:val="atitulo2"/>
        <w:spacing w:before="240" w:after="120"/>
        <w:rPr>
          <w:bCs w:val="0"/>
          <w:iCs w:val="0"/>
        </w:rPr>
      </w:pPr>
      <w:bookmarkStart w:id="19" w:name="_Toc41485561"/>
      <w:bookmarkStart w:id="20" w:name="_Toc70403860"/>
      <w:r>
        <w:t xml:space="preserve">III.3 </w:t>
      </w:r>
      <w:bookmarkEnd w:id="19"/>
      <w:r>
        <w:t>Amai-konklusioa</w:t>
      </w:r>
      <w:bookmarkEnd w:id="20"/>
      <w:r>
        <w:t xml:space="preserve"> </w:t>
      </w:r>
    </w:p>
    <w:p w:rsidR="0084609D" w:rsidRDefault="0084609D" w:rsidP="0084609D">
      <w:pPr>
        <w:pStyle w:val="texto"/>
        <w:tabs>
          <w:tab w:val="left" w:pos="284"/>
        </w:tabs>
        <w:spacing w:after="120"/>
      </w:pPr>
      <w:r>
        <w:t>Mendekotasun Legeak pertsonen eskubide subjektibo bat taxutzen du, un</w:t>
      </w:r>
      <w:r>
        <w:t>i</w:t>
      </w:r>
      <w:r>
        <w:t xml:space="preserve">bertsaltasun, </w:t>
      </w:r>
      <w:proofErr w:type="spellStart"/>
      <w:r>
        <w:t>ekitate</w:t>
      </w:r>
      <w:proofErr w:type="spellEnd"/>
      <w:r>
        <w:t xml:space="preserve"> eta irisgarritasun printzipioetan oinarritua, non hiru fina</w:t>
      </w:r>
      <w:r>
        <w:t>n</w:t>
      </w:r>
      <w:r>
        <w:t>tza-agentek parte hartzen baitute: autonomia erkidegoak, Estatuak eta aurre</w:t>
      </w:r>
      <w:r>
        <w:t>i</w:t>
      </w:r>
      <w:r>
        <w:t xml:space="preserve">kusten dituen prestazioen onuradunek. </w:t>
      </w:r>
    </w:p>
    <w:p w:rsidR="0084609D" w:rsidRDefault="0084609D" w:rsidP="0084609D">
      <w:pPr>
        <w:pStyle w:val="texto"/>
        <w:tabs>
          <w:tab w:val="left" w:pos="284"/>
        </w:tabs>
        <w:spacing w:after="120"/>
      </w:pPr>
      <w:r>
        <w:t xml:space="preserve">2019an zehar, lege horren aplikazioak 17.258 pertsonari ekarri zien onura, eta horietatik 13.888 zeuden aktibo sisteman abenduaren 31n. </w:t>
      </w:r>
      <w:proofErr w:type="spellStart"/>
      <w:r>
        <w:t>PAGNAk</w:t>
      </w:r>
      <w:proofErr w:type="spellEnd"/>
      <w:r>
        <w:t xml:space="preserve"> Est</w:t>
      </w:r>
      <w:r>
        <w:t>a</w:t>
      </w:r>
      <w:r>
        <w:t>tuari igorritako ziurtagiriaren arabera, mendekotasun-gastuak urte horretan 128,97 milioi egin zituen, eta Estatuarengandik guztira 14,66 milioi jaso ziren.</w:t>
      </w:r>
    </w:p>
    <w:p w:rsidR="0084609D" w:rsidRDefault="0084609D" w:rsidP="0084609D">
      <w:pPr>
        <w:pStyle w:val="texto"/>
        <w:tabs>
          <w:tab w:val="left" w:pos="284"/>
        </w:tabs>
        <w:spacing w:after="120"/>
      </w:pPr>
      <w:r>
        <w:t>Kontuen Ganberak txosten bat argitaratu zuen 2014ko martxoan, Mendek</w:t>
      </w:r>
      <w:r>
        <w:t>o</w:t>
      </w:r>
      <w:r>
        <w:t>tasun Legearekin zerikusia zuten ordainketen kudeaketari eta kontrolari buru</w:t>
      </w:r>
      <w:r>
        <w:t>z</w:t>
      </w:r>
      <w:r>
        <w:t>koa, eta Kontuen Auzitegiak gai horri buruzko beste bat 2014ko maiatzean, a</w:t>
      </w:r>
      <w:r>
        <w:t>u</w:t>
      </w:r>
      <w:r>
        <w:t xml:space="preserve">tonomia erkidegoekin elkarlanean. </w:t>
      </w:r>
    </w:p>
    <w:p w:rsidR="0084609D" w:rsidRPr="0089122F" w:rsidRDefault="0084609D" w:rsidP="0084609D">
      <w:pPr>
        <w:pStyle w:val="texto"/>
        <w:tabs>
          <w:tab w:val="left" w:pos="284"/>
        </w:tabs>
        <w:spacing w:after="120"/>
        <w:rPr>
          <w:rFonts w:ascii="CIDFont+F1" w:hAnsi="CIDFont+F1" w:cs="Calibri"/>
          <w:szCs w:val="26"/>
        </w:rPr>
      </w:pPr>
      <w:r>
        <w:t>Egiaztatu ahal izan dugu bi txosten horietako zenbait gomendio aplikatu d</w:t>
      </w:r>
      <w:r>
        <w:t>i</w:t>
      </w:r>
      <w:r>
        <w:t>rela, eta halatan hobetu egin dela Mendekotasun Legearen aplikazioaren k</w:t>
      </w:r>
      <w:r>
        <w:t>u</w:t>
      </w:r>
      <w:r>
        <w:t xml:space="preserve">deaketa. Gomendio horiek honakoei buruzkoak ziren nagusiki: kobrantzen eta </w:t>
      </w:r>
      <w:proofErr w:type="spellStart"/>
      <w:r>
        <w:t>ordaindugabeen</w:t>
      </w:r>
      <w:proofErr w:type="spellEnd"/>
      <w:r>
        <w:t xml:space="preserve"> kudeaketarako prozedura hobetzea; </w:t>
      </w:r>
      <w:proofErr w:type="spellStart"/>
      <w:r>
        <w:t>PZSSIn</w:t>
      </w:r>
      <w:proofErr w:type="spellEnd"/>
      <w:r>
        <w:t xml:space="preserve"> jasotako inform</w:t>
      </w:r>
      <w:r>
        <w:t>a</w:t>
      </w:r>
      <w:r>
        <w:t>zioaren etengabeko eguneraketa nabarmenki hobetzea, zendutako pertsonen gaineko kontrola barne; mendekotasunaren balioespena ebazteaz araudiak ez</w:t>
      </w:r>
      <w:r>
        <w:t>a</w:t>
      </w:r>
      <w:r>
        <w:t xml:space="preserve">rritako epea betetzea eta prestazioaren berehalako aitorpen gauzatua; eta </w:t>
      </w:r>
      <w:proofErr w:type="spellStart"/>
      <w:r>
        <w:t>Elk</w:t>
      </w:r>
      <w:r>
        <w:t>a</w:t>
      </w:r>
      <w:r>
        <w:t>rreragingarritasun</w:t>
      </w:r>
      <w:proofErr w:type="spellEnd"/>
      <w:r>
        <w:t xml:space="preserve"> Eskema Nazionala ezartzea, </w:t>
      </w:r>
      <w:proofErr w:type="spellStart"/>
      <w:r>
        <w:t>IMSERSOk</w:t>
      </w:r>
      <w:proofErr w:type="spellEnd"/>
      <w:r>
        <w:t xml:space="preserve"> </w:t>
      </w:r>
      <w:proofErr w:type="spellStart"/>
      <w:r>
        <w:t>PAGNAren</w:t>
      </w:r>
      <w:proofErr w:type="spellEnd"/>
      <w:r>
        <w:t xml:space="preserve"> eta E</w:t>
      </w:r>
      <w:r>
        <w:t>s</w:t>
      </w:r>
      <w:r>
        <w:t xml:space="preserve">tatuaren arteko komunikaziorako ipinitako </w:t>
      </w:r>
      <w:proofErr w:type="spellStart"/>
      <w:r>
        <w:t>elkarreragingarritasun-puntuaren</w:t>
      </w:r>
      <w:proofErr w:type="spellEnd"/>
      <w:r>
        <w:t xml:space="preserve"> erabilerari dagokionez.</w:t>
      </w:r>
      <w:r>
        <w:rPr>
          <w:rFonts w:ascii="CIDFont+F1" w:hAnsi="CIDFont+F1"/>
          <w:szCs w:val="26"/>
        </w:rPr>
        <w:t xml:space="preserve"> Hobekuntza horiek guztiak posible izan dira, hein b</w:t>
      </w:r>
      <w:r>
        <w:rPr>
          <w:rFonts w:ascii="CIDFont+F1" w:hAnsi="CIDFont+F1"/>
          <w:szCs w:val="26"/>
        </w:rPr>
        <w:t>a</w:t>
      </w:r>
      <w:r>
        <w:rPr>
          <w:rFonts w:ascii="CIDFont+F1" w:hAnsi="CIDFont+F1"/>
          <w:szCs w:val="26"/>
        </w:rPr>
        <w:t>tean, Eskubide Sozialetako Departamentuari informatika-alorreko langileak atxikitzeagatik.</w:t>
      </w:r>
    </w:p>
    <w:p w:rsidR="0084609D" w:rsidRPr="008D7FB8" w:rsidRDefault="0084609D" w:rsidP="0084609D">
      <w:pPr>
        <w:pStyle w:val="texto"/>
        <w:tabs>
          <w:tab w:val="left" w:pos="284"/>
        </w:tabs>
        <w:spacing w:after="240"/>
        <w:rPr>
          <w:color w:val="FF0000"/>
        </w:rPr>
      </w:pPr>
      <w:r>
        <w:t>Nolanahi ere, beste gomendio batzuek betekizun diraute; horietatik, lehent</w:t>
      </w:r>
      <w:r>
        <w:t>a</w:t>
      </w:r>
      <w:r>
        <w:t>sunezkotzat honako hauei deritzegu: kontabilitate analitikoko sistema bat eza</w:t>
      </w:r>
      <w:r>
        <w:t>r</w:t>
      </w:r>
      <w:r>
        <w:t xml:space="preserve">tzea, zeinak modua emanen baitu zehazteko zenbatekoa den mendekotasun-gastua, eta prezio publikoen ezartzea hobetzeko; berariazko aurrekontu-partidak sortzea Mendekotasun Legearen aplikazioarekin zerikusia duten gastu eta diru-sarreretarako; zenduei buruz </w:t>
      </w:r>
      <w:proofErr w:type="spellStart"/>
      <w:r>
        <w:t>PZSSItik</w:t>
      </w:r>
      <w:proofErr w:type="spellEnd"/>
      <w:r>
        <w:t xml:space="preserve"> </w:t>
      </w:r>
      <w:proofErr w:type="spellStart"/>
      <w:r>
        <w:t>AMASISi</w:t>
      </w:r>
      <w:proofErr w:type="spellEnd"/>
      <w:r>
        <w:t xml:space="preserve"> egiten zaion komun</w:t>
      </w:r>
      <w:r>
        <w:t>i</w:t>
      </w:r>
      <w:r>
        <w:t>kazioa hobetzea.</w:t>
      </w:r>
    </w:p>
    <w:p w:rsidR="001B1473" w:rsidRPr="00C27760" w:rsidRDefault="001B1473" w:rsidP="001B1473">
      <w:pPr>
        <w:pStyle w:val="texto"/>
        <w:spacing w:before="360"/>
      </w:pPr>
      <w:r>
        <w:t>Auditore Karen Moreno Orduña andrea izan da txosten hau egitearen ardur</w:t>
      </w:r>
      <w:r>
        <w:t>a</w:t>
      </w:r>
      <w:r>
        <w:t>dun, eta berak proposatuta jaulki da, araudi indardunak ezarritako izapideak bete ondoren.</w:t>
      </w:r>
    </w:p>
    <w:p w:rsidR="001B1473" w:rsidRDefault="001B1473" w:rsidP="001B1473">
      <w:pPr>
        <w:pStyle w:val="texto"/>
        <w:spacing w:before="240" w:after="0"/>
        <w:ind w:firstLine="0"/>
        <w:jc w:val="center"/>
      </w:pPr>
      <w:r>
        <w:t>Iruñean, 2021eko martxoaren 18an</w:t>
      </w:r>
    </w:p>
    <w:p w:rsidR="001B1473" w:rsidRPr="00385010" w:rsidRDefault="001B1473" w:rsidP="001B1473">
      <w:pPr>
        <w:pStyle w:val="texto"/>
        <w:spacing w:before="240" w:after="0"/>
        <w:ind w:firstLine="0"/>
        <w:jc w:val="center"/>
        <w:rPr>
          <w:i/>
          <w:iCs/>
        </w:rP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84609D" w:rsidRDefault="0084609D" w:rsidP="0084609D">
      <w:pPr>
        <w:pStyle w:val="texto"/>
        <w:jc w:val="center"/>
        <w:sectPr w:rsidR="0084609D" w:rsidSect="00710CCC">
          <w:headerReference w:type="even" r:id="rId22"/>
          <w:footerReference w:type="default" r:id="rId23"/>
          <w:type w:val="oddPage"/>
          <w:pgSz w:w="11907" w:h="16840" w:code="9"/>
          <w:pgMar w:top="2109" w:right="1559" w:bottom="1644" w:left="1559" w:header="369" w:footer="136" w:gutter="0"/>
          <w:pgNumType w:start="3"/>
          <w:cols w:space="720"/>
          <w:docGrid w:linePitch="360"/>
        </w:sectPr>
      </w:pPr>
    </w:p>
    <w:p w:rsidR="0084609D" w:rsidRDefault="0084609D" w:rsidP="0084609D">
      <w:pPr>
        <w:pStyle w:val="texto"/>
        <w:jc w:val="center"/>
      </w:pPr>
    </w:p>
    <w:p w:rsidR="0084609D" w:rsidRDefault="0084609D" w:rsidP="0084609D">
      <w:pPr>
        <w:pStyle w:val="atitulo1"/>
        <w:jc w:val="right"/>
        <w:rPr>
          <w:rFonts w:eastAsiaTheme="minorHAnsi"/>
          <w:sz w:val="36"/>
          <w:szCs w:val="36"/>
        </w:rPr>
      </w:pPr>
    </w:p>
    <w:p w:rsidR="00212580" w:rsidRDefault="00212580" w:rsidP="0084609D">
      <w:pPr>
        <w:pStyle w:val="atitulo1"/>
        <w:jc w:val="right"/>
        <w:rPr>
          <w:rFonts w:eastAsiaTheme="minorHAnsi"/>
          <w:sz w:val="36"/>
          <w:szCs w:val="36"/>
        </w:rPr>
      </w:pPr>
    </w:p>
    <w:p w:rsidR="0084609D" w:rsidRDefault="0084609D" w:rsidP="0084609D">
      <w:pPr>
        <w:pStyle w:val="atitulo1"/>
        <w:jc w:val="right"/>
        <w:rPr>
          <w:rFonts w:eastAsiaTheme="minorHAnsi"/>
          <w:sz w:val="36"/>
          <w:szCs w:val="36"/>
        </w:rPr>
      </w:pPr>
      <w:bookmarkStart w:id="21" w:name="_Toc70403861"/>
      <w:r>
        <w:rPr>
          <w:sz w:val="36"/>
          <w:szCs w:val="36"/>
        </w:rPr>
        <w:t>Eranskinak</w:t>
      </w:r>
      <w:bookmarkEnd w:id="21"/>
    </w:p>
    <w:p w:rsidR="0084609D" w:rsidRDefault="0084609D" w:rsidP="0084609D">
      <w:pPr>
        <w:pStyle w:val="atitulo1"/>
        <w:jc w:val="right"/>
        <w:rPr>
          <w:rFonts w:eastAsiaTheme="minorHAnsi"/>
          <w:sz w:val="36"/>
          <w:szCs w:val="36"/>
        </w:rPr>
        <w:sectPr w:rsidR="0084609D" w:rsidSect="00710CCC">
          <w:footerReference w:type="default" r:id="rId24"/>
          <w:pgSz w:w="11907" w:h="16840" w:code="9"/>
          <w:pgMar w:top="2109" w:right="1559" w:bottom="1644" w:left="1559" w:header="369" w:footer="136" w:gutter="0"/>
          <w:cols w:space="720"/>
          <w:docGrid w:linePitch="360"/>
        </w:sectPr>
      </w:pPr>
    </w:p>
    <w:p w:rsidR="0084609D" w:rsidRDefault="0084609D" w:rsidP="0084609D">
      <w:pPr>
        <w:pStyle w:val="atitulo2"/>
      </w:pPr>
      <w:bookmarkStart w:id="22" w:name="_Toc41485566"/>
      <w:bookmarkStart w:id="23" w:name="_Toc70403862"/>
      <w:r>
        <w:t xml:space="preserve">1. eranskina </w:t>
      </w:r>
      <w:bookmarkEnd w:id="22"/>
      <w:r>
        <w:t>Konklusioak, Mendekotasun Legeko ordainketen kude</w:t>
      </w:r>
      <w:r>
        <w:t>a</w:t>
      </w:r>
      <w:r>
        <w:t>keta eta kontrolari buruz Kontuen Ganberak eginiko txostenekoak (2014ko martxoa)</w:t>
      </w:r>
      <w:bookmarkEnd w:id="23"/>
    </w:p>
    <w:p w:rsidR="0084609D" w:rsidRPr="00C20FBF" w:rsidRDefault="0084609D" w:rsidP="0084609D">
      <w:pPr>
        <w:pStyle w:val="atitulo3"/>
        <w:spacing w:after="120"/>
        <w:rPr>
          <w:sz w:val="24"/>
          <w:szCs w:val="24"/>
        </w:rPr>
      </w:pPr>
      <w:r>
        <w:rPr>
          <w:sz w:val="24"/>
          <w:szCs w:val="24"/>
        </w:rPr>
        <w:t>1. Mendekotasunari buruzko Legeko onuradunei egindako ordainketak k</w:t>
      </w:r>
      <w:r>
        <w:rPr>
          <w:sz w:val="24"/>
          <w:szCs w:val="24"/>
        </w:rPr>
        <w:t>u</w:t>
      </w:r>
      <w:r>
        <w:rPr>
          <w:sz w:val="24"/>
          <w:szCs w:val="24"/>
        </w:rPr>
        <w:t>deatu eta kontrolatzeko prozedura</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proofErr w:type="spellStart"/>
      <w:r>
        <w:rPr>
          <w:i/>
          <w:szCs w:val="26"/>
        </w:rPr>
        <w:t>PANA-Pertsonen</w:t>
      </w:r>
      <w:proofErr w:type="spellEnd"/>
      <w:r>
        <w:rPr>
          <w:i/>
          <w:szCs w:val="26"/>
        </w:rPr>
        <w:t xml:space="preserve"> Autonomiarako Nafarroako Agentziak badauzka hiru atal, ardura dutenak Mendekotasunari buruzko Legearekin zerikusia duten lagu</w:t>
      </w:r>
      <w:r>
        <w:rPr>
          <w:i/>
          <w:szCs w:val="26"/>
        </w:rPr>
        <w:t>n</w:t>
      </w:r>
      <w:r>
        <w:rPr>
          <w:i/>
          <w:szCs w:val="26"/>
        </w:rPr>
        <w:t>tzak kudeatzeko. Zenbait egoera gerta daitezke, onuradunek oker kobratzea eragin dezaketenak, hala nola heriotza, prestazio-aldaketa, mendekotasun-gradu edo -mailaren aldaketa, borondatezko baja eta abar.</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 xml:space="preserve">Onuradunei egindako okerreko ordainketa horiek kontrolatzeko prozedurak akastunak izan ziren, </w:t>
      </w:r>
      <w:proofErr w:type="spellStart"/>
      <w:r>
        <w:rPr>
          <w:i/>
          <w:szCs w:val="26"/>
        </w:rPr>
        <w:t>PANAren</w:t>
      </w:r>
      <w:proofErr w:type="spellEnd"/>
      <w:r>
        <w:rPr>
          <w:i/>
          <w:szCs w:val="26"/>
        </w:rPr>
        <w:t xml:space="preserve"> atal batean, 2011ko urrira arte; eta beste bi</w:t>
      </w:r>
      <w:r>
        <w:rPr>
          <w:i/>
          <w:szCs w:val="26"/>
        </w:rPr>
        <w:t>e</w:t>
      </w:r>
      <w:r>
        <w:rPr>
          <w:i/>
          <w:szCs w:val="26"/>
        </w:rPr>
        <w:t>tan, 2013ko urtarrilera arte. Data horietatik aurrera, ordea, prozedurak n</w:t>
      </w:r>
      <w:r>
        <w:rPr>
          <w:i/>
          <w:szCs w:val="26"/>
        </w:rPr>
        <w:t>a</w:t>
      </w:r>
      <w:r>
        <w:rPr>
          <w:i/>
          <w:szCs w:val="26"/>
        </w:rPr>
        <w:t>hiko egokiak izan dira.</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 xml:space="preserve">2007tik 2013ko apirilaren 30era doan aldian, okerreko kobrantzak direla-eta </w:t>
      </w:r>
      <w:proofErr w:type="spellStart"/>
      <w:r>
        <w:rPr>
          <w:i/>
          <w:szCs w:val="26"/>
        </w:rPr>
        <w:t>PZSSI-Prestazio</w:t>
      </w:r>
      <w:proofErr w:type="spellEnd"/>
      <w:r>
        <w:rPr>
          <w:i/>
          <w:szCs w:val="26"/>
        </w:rPr>
        <w:t xml:space="preserve"> eta Zerbitzu Sozialen Sistema Integratuak guztira 1.155 ordainketa-gutun egin zituen, eta 995.416 euroko zenbatekoa egin zuten (prestazio aktiboen ehuneko 1,33); horietatik ehuneko 44, onuraduna egoitza bateko egoiliar bihurtzeagatiko prestazio-aldaketa bati zegozkion, eta eh</w:t>
      </w:r>
      <w:r>
        <w:rPr>
          <w:i/>
          <w:szCs w:val="26"/>
        </w:rPr>
        <w:t>u</w:t>
      </w:r>
      <w:r>
        <w:rPr>
          <w:i/>
          <w:szCs w:val="26"/>
        </w:rPr>
        <w:t>neko 38, onuradunaren heriotzari.</w:t>
      </w:r>
    </w:p>
    <w:p w:rsidR="007D481B" w:rsidRPr="007D481B" w:rsidRDefault="0084609D" w:rsidP="005A531D">
      <w:pPr>
        <w:pStyle w:val="texto"/>
        <w:tabs>
          <w:tab w:val="clear" w:pos="2835"/>
          <w:tab w:val="clear" w:pos="3969"/>
          <w:tab w:val="clear" w:pos="5103"/>
          <w:tab w:val="clear" w:pos="6237"/>
          <w:tab w:val="clear" w:pos="7371"/>
        </w:tabs>
        <w:spacing w:before="240" w:after="240"/>
        <w:rPr>
          <w:i/>
          <w:szCs w:val="26"/>
        </w:rPr>
      </w:pPr>
      <w:r>
        <w:rPr>
          <w:i/>
          <w:szCs w:val="26"/>
        </w:rPr>
        <w:t>2014ko urtarrilaren 31n, honakoa zen ordainketa-gutun horien egoera:</w:t>
      </w:r>
    </w:p>
    <w:tbl>
      <w:tblPr>
        <w:tblpPr w:leftFromText="141" w:rightFromText="141" w:vertAnchor="text" w:tblpXSpec="center" w:tblpY="1"/>
        <w:tblOverlap w:val="never"/>
        <w:tblW w:w="8789"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34"/>
        <w:gridCol w:w="725"/>
        <w:gridCol w:w="725"/>
        <w:gridCol w:w="815"/>
        <w:gridCol w:w="638"/>
        <w:gridCol w:w="784"/>
        <w:gridCol w:w="120"/>
        <w:gridCol w:w="543"/>
        <w:gridCol w:w="802"/>
        <w:gridCol w:w="119"/>
        <w:gridCol w:w="543"/>
        <w:gridCol w:w="676"/>
        <w:gridCol w:w="131"/>
        <w:gridCol w:w="536"/>
        <w:gridCol w:w="798"/>
      </w:tblGrid>
      <w:tr w:rsidR="0084609D" w:rsidRPr="00AD4D76" w:rsidTr="00E70F0E">
        <w:trPr>
          <w:trHeight w:val="170"/>
        </w:trPr>
        <w:tc>
          <w:tcPr>
            <w:tcW w:w="889" w:type="dxa"/>
            <w:tcBorders>
              <w:bottom w:val="nil"/>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val="restart"/>
            <w:shd w:val="clear" w:color="auto" w:fill="99CCFF"/>
            <w:vAlign w:val="center"/>
          </w:tcPr>
          <w:p w:rsidR="0084609D" w:rsidRPr="00E70F0E" w:rsidRDefault="0084609D" w:rsidP="00AD4D76">
            <w:pPr>
              <w:pStyle w:val="cuadroCabe"/>
              <w:jc w:val="center"/>
              <w:rPr>
                <w:i/>
                <w:sz w:val="14"/>
                <w:szCs w:val="14"/>
              </w:rPr>
            </w:pPr>
            <w:r>
              <w:rPr>
                <w:i/>
                <w:sz w:val="14"/>
                <w:szCs w:val="14"/>
              </w:rPr>
              <w:t>Guztira</w:t>
            </w:r>
          </w:p>
        </w:tc>
        <w:tc>
          <w:tcPr>
            <w:tcW w:w="1641" w:type="dxa"/>
            <w:gridSpan w:val="2"/>
            <w:vMerge w:val="restart"/>
            <w:shd w:val="clear" w:color="auto" w:fill="99CCFF"/>
            <w:vAlign w:val="center"/>
          </w:tcPr>
          <w:p w:rsidR="0084609D" w:rsidRPr="00E70F0E" w:rsidRDefault="0084609D" w:rsidP="00AD4D76">
            <w:pPr>
              <w:pStyle w:val="cuadroCabe"/>
              <w:jc w:val="center"/>
              <w:rPr>
                <w:i/>
                <w:sz w:val="14"/>
                <w:szCs w:val="14"/>
              </w:rPr>
            </w:pPr>
            <w:r>
              <w:rPr>
                <w:i/>
                <w:sz w:val="14"/>
                <w:szCs w:val="14"/>
              </w:rPr>
              <w:t>Kobratuak</w:t>
            </w:r>
          </w:p>
        </w:tc>
        <w:tc>
          <w:tcPr>
            <w:tcW w:w="1640" w:type="dxa"/>
            <w:gridSpan w:val="3"/>
            <w:vMerge w:val="restart"/>
            <w:shd w:val="clear" w:color="auto" w:fill="99CCFF"/>
            <w:vAlign w:val="center"/>
          </w:tcPr>
          <w:p w:rsidR="0084609D" w:rsidRPr="00E70F0E" w:rsidRDefault="0084609D" w:rsidP="00AD4D76">
            <w:pPr>
              <w:pStyle w:val="cuadroCabe"/>
              <w:jc w:val="center"/>
              <w:rPr>
                <w:i/>
                <w:sz w:val="14"/>
                <w:szCs w:val="14"/>
              </w:rPr>
            </w:pPr>
            <w:r>
              <w:rPr>
                <w:i/>
                <w:sz w:val="14"/>
                <w:szCs w:val="14"/>
              </w:rPr>
              <w:t>Izapidetzen</w:t>
            </w:r>
          </w:p>
        </w:tc>
        <w:tc>
          <w:tcPr>
            <w:tcW w:w="1558" w:type="dxa"/>
            <w:gridSpan w:val="3"/>
            <w:vMerge w:val="restart"/>
            <w:shd w:val="clear" w:color="auto" w:fill="99CCFF"/>
            <w:vAlign w:val="center"/>
          </w:tcPr>
          <w:p w:rsidR="0084609D" w:rsidRPr="00E70F0E" w:rsidRDefault="0084609D" w:rsidP="00AD4D76">
            <w:pPr>
              <w:pStyle w:val="cuadroCabe"/>
              <w:jc w:val="center"/>
              <w:rPr>
                <w:i/>
                <w:sz w:val="14"/>
                <w:szCs w:val="14"/>
              </w:rPr>
            </w:pPr>
            <w:r>
              <w:rPr>
                <w:i/>
                <w:sz w:val="14"/>
                <w:szCs w:val="14"/>
              </w:rPr>
              <w:t>Betearazte-bidean</w:t>
            </w:r>
          </w:p>
        </w:tc>
        <w:tc>
          <w:tcPr>
            <w:tcW w:w="2856" w:type="dxa"/>
            <w:gridSpan w:val="5"/>
            <w:tcBorders>
              <w:bottom w:val="single" w:sz="2"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Jarraipena egiteko daudenak</w:t>
            </w:r>
          </w:p>
        </w:tc>
      </w:tr>
      <w:tr w:rsidR="0084609D" w:rsidRPr="00AD4D76" w:rsidTr="00E70F0E">
        <w:trPr>
          <w:trHeight w:val="170"/>
        </w:trPr>
        <w:tc>
          <w:tcPr>
            <w:tcW w:w="889" w:type="dxa"/>
            <w:vMerge w:val="restart"/>
            <w:tcBorders>
              <w:top w:val="nil"/>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shd w:val="clear" w:color="auto" w:fill="99CCFF"/>
            <w:vAlign w:val="center"/>
          </w:tcPr>
          <w:p w:rsidR="0084609D" w:rsidRPr="00E70F0E" w:rsidRDefault="0084609D" w:rsidP="00AD4D76">
            <w:pPr>
              <w:pStyle w:val="cuadroCabe"/>
              <w:jc w:val="center"/>
              <w:rPr>
                <w:i/>
                <w:sz w:val="14"/>
                <w:szCs w:val="14"/>
                <w:lang w:val="es-ES" w:eastAsia="es-ES"/>
              </w:rPr>
            </w:pPr>
          </w:p>
        </w:tc>
        <w:tc>
          <w:tcPr>
            <w:tcW w:w="1641" w:type="dxa"/>
            <w:gridSpan w:val="2"/>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640" w:type="dxa"/>
            <w:gridSpan w:val="3"/>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558" w:type="dxa"/>
            <w:gridSpan w:val="3"/>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438" w:type="dxa"/>
            <w:gridSpan w:val="3"/>
            <w:tcBorders>
              <w:top w:val="single" w:sz="2" w:space="0" w:color="auto"/>
              <w:bottom w:val="single" w:sz="2"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Preskribatuak*</w:t>
            </w:r>
          </w:p>
        </w:tc>
        <w:tc>
          <w:tcPr>
            <w:tcW w:w="1418" w:type="dxa"/>
            <w:gridSpan w:val="2"/>
            <w:tcBorders>
              <w:top w:val="single" w:sz="2" w:space="0" w:color="auto"/>
              <w:bottom w:val="single" w:sz="2"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Preskribatu g</w:t>
            </w:r>
            <w:r>
              <w:rPr>
                <w:i/>
                <w:sz w:val="14"/>
                <w:szCs w:val="14"/>
              </w:rPr>
              <w:t>a</w:t>
            </w:r>
            <w:r>
              <w:rPr>
                <w:i/>
                <w:sz w:val="14"/>
                <w:szCs w:val="14"/>
              </w:rPr>
              <w:t>beak</w:t>
            </w:r>
          </w:p>
        </w:tc>
      </w:tr>
      <w:tr w:rsidR="005A531D" w:rsidRPr="00AD4D76" w:rsidTr="00E70F0E">
        <w:trPr>
          <w:trHeight w:val="170"/>
        </w:trPr>
        <w:tc>
          <w:tcPr>
            <w:tcW w:w="889" w:type="dxa"/>
            <w:vMerge/>
            <w:tcBorders>
              <w:bottom w:val="single" w:sz="4" w:space="0" w:color="auto"/>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tcBorders>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772"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Datuak</w:t>
            </w:r>
          </w:p>
        </w:tc>
        <w:tc>
          <w:tcPr>
            <w:tcW w:w="869"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Guzti</w:t>
            </w:r>
            <w:r>
              <w:rPr>
                <w:i/>
                <w:sz w:val="14"/>
                <w:szCs w:val="14"/>
              </w:rPr>
              <w:t>z</w:t>
            </w:r>
            <w:r>
              <w:rPr>
                <w:i/>
                <w:sz w:val="14"/>
                <w:szCs w:val="14"/>
              </w:rPr>
              <w:t>koaren gaineko portze</w:t>
            </w:r>
            <w:r>
              <w:rPr>
                <w:i/>
                <w:sz w:val="14"/>
                <w:szCs w:val="14"/>
              </w:rPr>
              <w:t>n</w:t>
            </w:r>
            <w:r>
              <w:rPr>
                <w:i/>
                <w:sz w:val="14"/>
                <w:szCs w:val="14"/>
              </w:rPr>
              <w:t>tajea</w:t>
            </w:r>
          </w:p>
        </w:tc>
        <w:tc>
          <w:tcPr>
            <w:tcW w:w="678"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Datuak</w:t>
            </w:r>
          </w:p>
        </w:tc>
        <w:tc>
          <w:tcPr>
            <w:tcW w:w="836"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Guzti</w:t>
            </w:r>
            <w:r>
              <w:rPr>
                <w:i/>
                <w:sz w:val="14"/>
                <w:szCs w:val="14"/>
              </w:rPr>
              <w:t>z</w:t>
            </w:r>
            <w:r>
              <w:rPr>
                <w:i/>
                <w:sz w:val="14"/>
                <w:szCs w:val="14"/>
              </w:rPr>
              <w:t>koaren gaineko portze</w:t>
            </w:r>
            <w:r>
              <w:rPr>
                <w:i/>
                <w:sz w:val="14"/>
                <w:szCs w:val="14"/>
              </w:rPr>
              <w:t>n</w:t>
            </w:r>
            <w:r>
              <w:rPr>
                <w:i/>
                <w:sz w:val="14"/>
                <w:szCs w:val="14"/>
              </w:rPr>
              <w:t>tajea</w:t>
            </w:r>
          </w:p>
        </w:tc>
        <w:tc>
          <w:tcPr>
            <w:tcW w:w="704"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Datuak</w:t>
            </w:r>
          </w:p>
        </w:tc>
        <w:tc>
          <w:tcPr>
            <w:tcW w:w="855"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Guzti</w:t>
            </w:r>
            <w:r>
              <w:rPr>
                <w:i/>
                <w:sz w:val="14"/>
                <w:szCs w:val="14"/>
              </w:rPr>
              <w:t>z</w:t>
            </w:r>
            <w:r>
              <w:rPr>
                <w:i/>
                <w:sz w:val="14"/>
                <w:szCs w:val="14"/>
              </w:rPr>
              <w:t>koaren gaineko portze</w:t>
            </w:r>
            <w:r>
              <w:rPr>
                <w:i/>
                <w:sz w:val="14"/>
                <w:szCs w:val="14"/>
              </w:rPr>
              <w:t>n</w:t>
            </w:r>
            <w:r>
              <w:rPr>
                <w:i/>
                <w:sz w:val="14"/>
                <w:szCs w:val="14"/>
              </w:rPr>
              <w:t>tajea</w:t>
            </w:r>
          </w:p>
        </w:tc>
        <w:tc>
          <w:tcPr>
            <w:tcW w:w="703"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Datuak</w:t>
            </w:r>
          </w:p>
        </w:tc>
        <w:tc>
          <w:tcPr>
            <w:tcW w:w="860"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Guzti</w:t>
            </w:r>
            <w:r>
              <w:rPr>
                <w:i/>
                <w:sz w:val="14"/>
                <w:szCs w:val="14"/>
              </w:rPr>
              <w:t>z</w:t>
            </w:r>
            <w:r>
              <w:rPr>
                <w:i/>
                <w:sz w:val="14"/>
                <w:szCs w:val="14"/>
              </w:rPr>
              <w:t>koaren gaineko portze</w:t>
            </w:r>
            <w:r>
              <w:rPr>
                <w:i/>
                <w:sz w:val="14"/>
                <w:szCs w:val="14"/>
              </w:rPr>
              <w:t>n</w:t>
            </w:r>
            <w:r>
              <w:rPr>
                <w:i/>
                <w:sz w:val="14"/>
                <w:szCs w:val="14"/>
              </w:rPr>
              <w:t>tajea</w:t>
            </w:r>
          </w:p>
        </w:tc>
        <w:tc>
          <w:tcPr>
            <w:tcW w:w="567"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D</w:t>
            </w:r>
            <w:r>
              <w:rPr>
                <w:i/>
                <w:sz w:val="14"/>
                <w:szCs w:val="14"/>
              </w:rPr>
              <w:t>a</w:t>
            </w:r>
            <w:r>
              <w:rPr>
                <w:i/>
                <w:sz w:val="14"/>
                <w:szCs w:val="14"/>
              </w:rPr>
              <w:t>tuak</w:t>
            </w:r>
          </w:p>
        </w:tc>
        <w:tc>
          <w:tcPr>
            <w:tcW w:w="851"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rPr>
            </w:pPr>
            <w:r>
              <w:rPr>
                <w:i/>
                <w:sz w:val="14"/>
                <w:szCs w:val="14"/>
              </w:rPr>
              <w:t>Guzti</w:t>
            </w:r>
            <w:r>
              <w:rPr>
                <w:i/>
                <w:sz w:val="14"/>
                <w:szCs w:val="14"/>
              </w:rPr>
              <w:t>z</w:t>
            </w:r>
            <w:r>
              <w:rPr>
                <w:i/>
                <w:sz w:val="14"/>
                <w:szCs w:val="14"/>
              </w:rPr>
              <w:t>koaren gaineko portze</w:t>
            </w:r>
            <w:r>
              <w:rPr>
                <w:i/>
                <w:sz w:val="14"/>
                <w:szCs w:val="14"/>
              </w:rPr>
              <w:t>n</w:t>
            </w:r>
            <w:r>
              <w:rPr>
                <w:i/>
                <w:sz w:val="14"/>
                <w:szCs w:val="14"/>
              </w:rPr>
              <w:t>tajea</w:t>
            </w:r>
          </w:p>
        </w:tc>
      </w:tr>
      <w:tr w:rsidR="005A531D" w:rsidRPr="007D481B" w:rsidTr="00E70F0E">
        <w:trPr>
          <w:trHeight w:val="255"/>
        </w:trPr>
        <w:tc>
          <w:tcPr>
            <w:tcW w:w="889" w:type="dxa"/>
            <w:tcBorders>
              <w:bottom w:val="single" w:sz="2" w:space="0" w:color="auto"/>
            </w:tcBorders>
            <w:shd w:val="clear" w:color="auto" w:fill="auto"/>
            <w:noWrap/>
            <w:vAlign w:val="center"/>
          </w:tcPr>
          <w:p w:rsidR="0084609D" w:rsidRPr="00E70F0E" w:rsidRDefault="0084609D" w:rsidP="00D406AD">
            <w:pPr>
              <w:pStyle w:val="cuatexto"/>
              <w:rPr>
                <w:i/>
                <w:sz w:val="16"/>
                <w:szCs w:val="16"/>
              </w:rPr>
            </w:pPr>
            <w:r>
              <w:rPr>
                <w:i/>
                <w:sz w:val="16"/>
                <w:szCs w:val="16"/>
              </w:rPr>
              <w:t>Ordai</w:t>
            </w:r>
            <w:r>
              <w:rPr>
                <w:i/>
                <w:sz w:val="16"/>
                <w:szCs w:val="16"/>
              </w:rPr>
              <w:t>n</w:t>
            </w:r>
            <w:r>
              <w:rPr>
                <w:i/>
                <w:sz w:val="16"/>
                <w:szCs w:val="16"/>
              </w:rPr>
              <w:t>keta-gutunen kopurua</w:t>
            </w:r>
          </w:p>
        </w:tc>
        <w:tc>
          <w:tcPr>
            <w:tcW w:w="772"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1.155</w:t>
            </w:r>
          </w:p>
        </w:tc>
        <w:tc>
          <w:tcPr>
            <w:tcW w:w="772"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759</w:t>
            </w:r>
          </w:p>
        </w:tc>
        <w:tc>
          <w:tcPr>
            <w:tcW w:w="869"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66</w:t>
            </w:r>
          </w:p>
        </w:tc>
        <w:tc>
          <w:tcPr>
            <w:tcW w:w="678"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21</w:t>
            </w:r>
          </w:p>
        </w:tc>
        <w:tc>
          <w:tcPr>
            <w:tcW w:w="836"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w:t>
            </w:r>
          </w:p>
        </w:tc>
        <w:tc>
          <w:tcPr>
            <w:tcW w:w="704"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45</w:t>
            </w:r>
          </w:p>
        </w:tc>
        <w:tc>
          <w:tcPr>
            <w:tcW w:w="855"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4</w:t>
            </w:r>
          </w:p>
        </w:tc>
        <w:tc>
          <w:tcPr>
            <w:tcW w:w="703"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26</w:t>
            </w:r>
          </w:p>
        </w:tc>
        <w:tc>
          <w:tcPr>
            <w:tcW w:w="719"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w:t>
            </w:r>
          </w:p>
        </w:tc>
        <w:tc>
          <w:tcPr>
            <w:tcW w:w="708"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304</w:t>
            </w:r>
          </w:p>
        </w:tc>
        <w:tc>
          <w:tcPr>
            <w:tcW w:w="851"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26</w:t>
            </w:r>
          </w:p>
        </w:tc>
      </w:tr>
      <w:tr w:rsidR="005A531D" w:rsidRPr="007D481B" w:rsidTr="00E70F0E">
        <w:trPr>
          <w:trHeight w:val="255"/>
        </w:trPr>
        <w:tc>
          <w:tcPr>
            <w:tcW w:w="889" w:type="dxa"/>
            <w:tcBorders>
              <w:top w:val="single" w:sz="2" w:space="0" w:color="auto"/>
              <w:bottom w:val="single" w:sz="4" w:space="0" w:color="auto"/>
            </w:tcBorders>
            <w:shd w:val="clear" w:color="auto" w:fill="auto"/>
            <w:noWrap/>
            <w:vAlign w:val="center"/>
          </w:tcPr>
          <w:p w:rsidR="0084609D" w:rsidRPr="00E70F0E" w:rsidRDefault="0084609D" w:rsidP="00D406AD">
            <w:pPr>
              <w:pStyle w:val="cuatexto"/>
              <w:rPr>
                <w:i/>
                <w:sz w:val="16"/>
                <w:szCs w:val="16"/>
              </w:rPr>
            </w:pPr>
            <w:r>
              <w:rPr>
                <w:i/>
                <w:sz w:val="16"/>
                <w:szCs w:val="16"/>
              </w:rPr>
              <w:t>Ordai</w:t>
            </w:r>
            <w:r>
              <w:rPr>
                <w:i/>
                <w:sz w:val="16"/>
                <w:szCs w:val="16"/>
              </w:rPr>
              <w:t>n</w:t>
            </w:r>
            <w:r>
              <w:rPr>
                <w:i/>
                <w:sz w:val="16"/>
                <w:szCs w:val="16"/>
              </w:rPr>
              <w:t>keta-gutunen zenbat</w:t>
            </w:r>
            <w:r>
              <w:rPr>
                <w:i/>
                <w:sz w:val="16"/>
                <w:szCs w:val="16"/>
              </w:rPr>
              <w:t>e</w:t>
            </w:r>
            <w:r>
              <w:rPr>
                <w:i/>
                <w:sz w:val="16"/>
                <w:szCs w:val="16"/>
              </w:rPr>
              <w:t>koa</w:t>
            </w:r>
          </w:p>
        </w:tc>
        <w:tc>
          <w:tcPr>
            <w:tcW w:w="772"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995.416</w:t>
            </w:r>
          </w:p>
        </w:tc>
        <w:tc>
          <w:tcPr>
            <w:tcW w:w="772"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541.161</w:t>
            </w:r>
          </w:p>
        </w:tc>
        <w:tc>
          <w:tcPr>
            <w:tcW w:w="869"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54</w:t>
            </w:r>
          </w:p>
        </w:tc>
        <w:tc>
          <w:tcPr>
            <w:tcW w:w="678"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13.681</w:t>
            </w:r>
          </w:p>
        </w:tc>
        <w:tc>
          <w:tcPr>
            <w:tcW w:w="836"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1</w:t>
            </w:r>
          </w:p>
        </w:tc>
        <w:tc>
          <w:tcPr>
            <w:tcW w:w="704"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98.211</w:t>
            </w:r>
          </w:p>
        </w:tc>
        <w:tc>
          <w:tcPr>
            <w:tcW w:w="855"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10</w:t>
            </w:r>
          </w:p>
        </w:tc>
        <w:tc>
          <w:tcPr>
            <w:tcW w:w="703"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25.691</w:t>
            </w:r>
          </w:p>
        </w:tc>
        <w:tc>
          <w:tcPr>
            <w:tcW w:w="719"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3</w:t>
            </w:r>
          </w:p>
        </w:tc>
        <w:tc>
          <w:tcPr>
            <w:tcW w:w="708"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316.672</w:t>
            </w:r>
          </w:p>
        </w:tc>
        <w:tc>
          <w:tcPr>
            <w:tcW w:w="851"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rPr>
            </w:pPr>
            <w:r>
              <w:rPr>
                <w:i/>
                <w:sz w:val="16"/>
                <w:szCs w:val="16"/>
              </w:rPr>
              <w:t>32</w:t>
            </w:r>
          </w:p>
        </w:tc>
      </w:tr>
    </w:tbl>
    <w:p w:rsidR="0084609D" w:rsidRPr="009B02FF" w:rsidRDefault="0084609D" w:rsidP="00676E8F">
      <w:pPr>
        <w:framePr w:hSpace="141" w:wrap="around" w:vAnchor="text" w:hAnchor="page" w:x="1600" w:y="1732"/>
        <w:tabs>
          <w:tab w:val="left" w:pos="1316"/>
          <w:tab w:val="left" w:pos="2044"/>
          <w:tab w:val="left" w:pos="2800"/>
          <w:tab w:val="left" w:pos="3689"/>
          <w:tab w:val="left" w:pos="4368"/>
          <w:tab w:val="left" w:pos="5232"/>
          <w:tab w:val="left" w:pos="5921"/>
          <w:tab w:val="left" w:pos="6775"/>
          <w:tab w:val="left" w:pos="7475"/>
          <w:tab w:val="left" w:pos="8318"/>
          <w:tab w:val="left" w:pos="9090"/>
        </w:tabs>
        <w:spacing w:before="60" w:after="0"/>
        <w:ind w:firstLine="0"/>
        <w:suppressOverlap/>
        <w:jc w:val="left"/>
        <w:rPr>
          <w:rFonts w:ascii="Arial Narrow" w:hAnsi="Arial Narrow" w:cs="Arial"/>
          <w:bCs/>
          <w:sz w:val="14"/>
          <w:szCs w:val="14"/>
        </w:rPr>
      </w:pPr>
      <w:r>
        <w:rPr>
          <w:rFonts w:ascii="Arial Narrow" w:hAnsi="Arial Narrow"/>
          <w:bCs/>
          <w:sz w:val="14"/>
          <w:szCs w:val="14"/>
        </w:rPr>
        <w:t>* Diru-laguntzen ordainketaren preskripzio-epea lau urtekoa da, eta kontabilitate-erantzukizunarena, bost urtekoa.</w:t>
      </w:r>
    </w:p>
    <w:p w:rsidR="0084609D" w:rsidRDefault="0084609D" w:rsidP="0084609D">
      <w:pPr>
        <w:pStyle w:val="texto"/>
        <w:tabs>
          <w:tab w:val="clear" w:pos="2835"/>
          <w:tab w:val="clear" w:pos="3969"/>
          <w:tab w:val="clear" w:pos="5103"/>
          <w:tab w:val="clear" w:pos="6237"/>
          <w:tab w:val="clear" w:pos="7371"/>
        </w:tabs>
        <w:spacing w:before="120" w:after="120"/>
        <w:rPr>
          <w:i/>
          <w:szCs w:val="26"/>
        </w:rPr>
      </w:pP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Ikusten den bezala, okerreko kobrantzetatik sortutako zenbatekoaren eh</w:t>
      </w:r>
      <w:r>
        <w:rPr>
          <w:i/>
          <w:szCs w:val="26"/>
        </w:rPr>
        <w:t>u</w:t>
      </w:r>
      <w:r>
        <w:rPr>
          <w:i/>
          <w:szCs w:val="26"/>
        </w:rPr>
        <w:t>neko 54 kobratu da; ehuneko 35 jarraipena egiteko dago; ehuneko 10 bete</w:t>
      </w:r>
      <w:r>
        <w:rPr>
          <w:i/>
          <w:szCs w:val="26"/>
        </w:rPr>
        <w:t>a</w:t>
      </w:r>
      <w:r>
        <w:rPr>
          <w:i/>
          <w:szCs w:val="26"/>
        </w:rPr>
        <w:t xml:space="preserve">razte-bidean dago, eta gainerako ehuneko bata, izapidetua izaten. Jarraipena egiteko daukaten gutunen zenbatekotik, ehuneko zortzi preskribatuta dago, eta gainerakori dagokionez, </w:t>
      </w:r>
      <w:proofErr w:type="spellStart"/>
      <w:r>
        <w:rPr>
          <w:i/>
          <w:szCs w:val="26"/>
        </w:rPr>
        <w:t>PANAk</w:t>
      </w:r>
      <w:proofErr w:type="spellEnd"/>
      <w:r>
        <w:rPr>
          <w:i/>
          <w:szCs w:val="26"/>
        </w:rPr>
        <w:t xml:space="preserve"> jada hasita dauzka haiek kobratzeko beh</w:t>
      </w:r>
      <w:r>
        <w:rPr>
          <w:i/>
          <w:szCs w:val="26"/>
        </w:rPr>
        <w:t>a</w:t>
      </w:r>
      <w:r>
        <w:rPr>
          <w:i/>
          <w:szCs w:val="26"/>
        </w:rPr>
        <w:t>rrezkoak diren lanak.</w:t>
      </w:r>
    </w:p>
    <w:p w:rsidR="0084609D" w:rsidRPr="00C20FBF" w:rsidRDefault="0084609D" w:rsidP="0084609D">
      <w:pPr>
        <w:pStyle w:val="atitulo3"/>
        <w:spacing w:before="360" w:after="120"/>
        <w:rPr>
          <w:sz w:val="24"/>
          <w:szCs w:val="24"/>
        </w:rPr>
      </w:pPr>
      <w:r>
        <w:rPr>
          <w:sz w:val="24"/>
          <w:szCs w:val="24"/>
        </w:rPr>
        <w:t xml:space="preserve">2. Mendekotasunagatiko prestazioa </w:t>
      </w:r>
      <w:proofErr w:type="spellStart"/>
      <w:r>
        <w:rPr>
          <w:sz w:val="24"/>
          <w:szCs w:val="24"/>
        </w:rPr>
        <w:t>eta/edo</w:t>
      </w:r>
      <w:proofErr w:type="spellEnd"/>
      <w:r>
        <w:rPr>
          <w:sz w:val="24"/>
          <w:szCs w:val="24"/>
        </w:rPr>
        <w:t xml:space="preserve"> zerbitzua ebazteko epeak</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2013an hobekuntzaren bat izan ondoren aurreko urteen aldean, mendet</w:t>
      </w:r>
      <w:r>
        <w:rPr>
          <w:i/>
          <w:szCs w:val="26"/>
        </w:rPr>
        <w:t>a</w:t>
      </w:r>
      <w:r>
        <w:rPr>
          <w:i/>
          <w:szCs w:val="26"/>
        </w:rPr>
        <w:t xml:space="preserve">sunaren prestazioa </w:t>
      </w:r>
      <w:proofErr w:type="spellStart"/>
      <w:r>
        <w:rPr>
          <w:i/>
          <w:szCs w:val="26"/>
        </w:rPr>
        <w:t>eta/edo</w:t>
      </w:r>
      <w:proofErr w:type="spellEnd"/>
      <w:r>
        <w:rPr>
          <w:i/>
          <w:szCs w:val="26"/>
        </w:rPr>
        <w:t xml:space="preserve"> zerbitzua ebazteko batez besteko epea 9,15 hilekoa izan zen.</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Balizko onuradunak dokumentazio-akatsak zuzentzen eman dezakeen de</w:t>
      </w:r>
      <w:r>
        <w:rPr>
          <w:i/>
          <w:szCs w:val="26"/>
        </w:rPr>
        <w:t>n</w:t>
      </w:r>
      <w:r>
        <w:rPr>
          <w:i/>
          <w:szCs w:val="26"/>
        </w:rPr>
        <w:t xml:space="preserve">bora kenduta, hori ez bailitzateke izanen </w:t>
      </w:r>
      <w:proofErr w:type="spellStart"/>
      <w:r>
        <w:rPr>
          <w:i/>
          <w:szCs w:val="26"/>
        </w:rPr>
        <w:t>PANAren</w:t>
      </w:r>
      <w:proofErr w:type="spellEnd"/>
      <w:r>
        <w:rPr>
          <w:i/>
          <w:szCs w:val="26"/>
        </w:rPr>
        <w:t xml:space="preserve"> ardurapekoa, 2013ko otsailean eta martxoan batez besteko epea 6,71 hilabetekoa zen. Adierazle hori nahiko hurbil dago araudian ezarritako sei hilabeteko epetik.</w:t>
      </w:r>
    </w:p>
    <w:p w:rsidR="0084609D" w:rsidRPr="00C20FBF" w:rsidRDefault="0084609D" w:rsidP="0084609D">
      <w:pPr>
        <w:pStyle w:val="atitulo3"/>
        <w:spacing w:before="240" w:after="120"/>
        <w:rPr>
          <w:sz w:val="24"/>
          <w:szCs w:val="24"/>
        </w:rPr>
      </w:pPr>
      <w:r>
        <w:rPr>
          <w:sz w:val="24"/>
          <w:szCs w:val="24"/>
        </w:rPr>
        <w:t>3. Berdintasunaren printzipioa betetzea onuradunen ahalmen ekonomikoa eta mendekotasunaren kosturako egiten duten ekarpena finkatzean</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Gaur egungo foru araudiak, onuradunen ahalmen ekonomikoa eta horiek mendetasunaren kosturako eginiko ekarpena zehazteko, parametro bezala erabiltzen ditu errenta, ondarea (</w:t>
      </w:r>
      <w:proofErr w:type="spellStart"/>
      <w:r>
        <w:rPr>
          <w:i/>
          <w:szCs w:val="26"/>
        </w:rPr>
        <w:t>desgaitasuna</w:t>
      </w:r>
      <w:proofErr w:type="spellEnd"/>
      <w:r>
        <w:rPr>
          <w:i/>
          <w:szCs w:val="26"/>
        </w:rPr>
        <w:t xml:space="preserve"> duten pertsonen kasu batzu</w:t>
      </w:r>
      <w:r>
        <w:rPr>
          <w:i/>
          <w:szCs w:val="26"/>
        </w:rPr>
        <w:t>e</w:t>
      </w:r>
      <w:r>
        <w:rPr>
          <w:i/>
          <w:szCs w:val="26"/>
        </w:rPr>
        <w:t xml:space="preserve">tan izan ezik) eta familia unitatea. </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Gainera, garrantzia duten beste alderdi batzuk hartuko lirateke kontuan; esate baterako, berme erreal edo pertsonalak jartzea zorraren sorrerari aurre egiteko, baldin eta onuradunak prestazioaren zenbatekoa guztiz ordaintzen ez badu; prestazio bakoitzerako ordaindu beharreko gutxieneko eta gehieneko kostu batzuk; mendekotasunaren kostuaren finantzaketan ekarpenetik salbu</w:t>
      </w:r>
      <w:r>
        <w:rPr>
          <w:i/>
          <w:szCs w:val="26"/>
        </w:rPr>
        <w:t>e</w:t>
      </w:r>
      <w:r>
        <w:rPr>
          <w:i/>
          <w:szCs w:val="26"/>
        </w:rPr>
        <w:t xml:space="preserve">tsita dauden </w:t>
      </w:r>
      <w:proofErr w:type="spellStart"/>
      <w:r>
        <w:rPr>
          <w:i/>
          <w:szCs w:val="26"/>
        </w:rPr>
        <w:t>errenta-gutxieneko</w:t>
      </w:r>
      <w:proofErr w:type="spellEnd"/>
      <w:r>
        <w:rPr>
          <w:i/>
          <w:szCs w:val="26"/>
        </w:rPr>
        <w:t xml:space="preserve"> batzuk, eta mendekotasuna duen pertsonak gutxieneko errenta-eskuragarritasun bat izatea bermatzeko araubidea.</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Pr>
          <w:i/>
          <w:szCs w:val="26"/>
        </w:rPr>
        <w:t xml:space="preserve">Egindako azterketatik ondoriozta daiteke araudiaren irizpideek bermatzen dutela herritarren arteko berdintasun-printzipioa  eta haien ekarpen-ahalmenarena. </w:t>
      </w:r>
    </w:p>
    <w:p w:rsidR="0084609D" w:rsidRPr="00C20FBF" w:rsidRDefault="0084609D" w:rsidP="0084609D">
      <w:pPr>
        <w:pStyle w:val="atitulo3"/>
        <w:spacing w:before="240" w:after="120"/>
        <w:rPr>
          <w:sz w:val="24"/>
          <w:szCs w:val="24"/>
        </w:rPr>
      </w:pPr>
      <w:r>
        <w:rPr>
          <w:sz w:val="24"/>
          <w:szCs w:val="24"/>
        </w:rPr>
        <w:t>4. Nafarroak Estatuarengandik jasotako finantzaketa Mendekotasunari b</w:t>
      </w:r>
      <w:r>
        <w:rPr>
          <w:sz w:val="24"/>
          <w:szCs w:val="24"/>
        </w:rPr>
        <w:t>u</w:t>
      </w:r>
      <w:r>
        <w:rPr>
          <w:sz w:val="24"/>
          <w:szCs w:val="24"/>
        </w:rPr>
        <w:t>ruzko Legea aplikatzeagatik (2009-2013)</w:t>
      </w:r>
    </w:p>
    <w:p w:rsidR="0084609D" w:rsidRPr="00065106" w:rsidRDefault="0084609D" w:rsidP="0084609D">
      <w:pPr>
        <w:pStyle w:val="texto"/>
        <w:spacing w:after="240"/>
        <w:rPr>
          <w:i/>
          <w:szCs w:val="26"/>
        </w:rPr>
      </w:pPr>
      <w:r>
        <w:rPr>
          <w:i/>
          <w:szCs w:val="26"/>
        </w:rPr>
        <w:t>Mendekotasunari buruzko Legea Nafarroan aplikatzeko finantzaketaren egitura, 2011ko eta 2012ko ekitaldietakoa, honako eskemaren araberakoa da, Ganbera honek lehenago eginiko txostenetan aztertu zen bezala:</w:t>
      </w:r>
    </w:p>
    <w:tbl>
      <w:tblPr>
        <w:tblW w:w="8929"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527"/>
        <w:gridCol w:w="300"/>
        <w:gridCol w:w="1455"/>
        <w:gridCol w:w="1454"/>
        <w:gridCol w:w="336"/>
        <w:gridCol w:w="1428"/>
        <w:gridCol w:w="1429"/>
      </w:tblGrid>
      <w:tr w:rsidR="0084609D" w:rsidRPr="00E70F0E" w:rsidTr="00710CCC">
        <w:trPr>
          <w:trHeight w:val="198"/>
          <w:jc w:val="center"/>
        </w:trPr>
        <w:tc>
          <w:tcPr>
            <w:tcW w:w="2527" w:type="dxa"/>
            <w:vMerge w:val="restart"/>
            <w:shd w:val="clear" w:color="auto" w:fill="99CCFF"/>
            <w:vAlign w:val="center"/>
          </w:tcPr>
          <w:p w:rsidR="0084609D" w:rsidRPr="00240759" w:rsidRDefault="0084609D" w:rsidP="00E70F0E">
            <w:pPr>
              <w:pStyle w:val="cuadroCabe"/>
              <w:rPr>
                <w:i/>
              </w:rPr>
            </w:pPr>
          </w:p>
          <w:p w:rsidR="0084609D" w:rsidRPr="00240759" w:rsidRDefault="0084609D" w:rsidP="00E70F0E">
            <w:pPr>
              <w:pStyle w:val="cuadroCabe"/>
              <w:rPr>
                <w:i/>
              </w:rPr>
            </w:pPr>
          </w:p>
        </w:tc>
        <w:tc>
          <w:tcPr>
            <w:tcW w:w="300" w:type="dxa"/>
            <w:tcBorders>
              <w:bottom w:val="nil"/>
            </w:tcBorders>
            <w:shd w:val="clear" w:color="auto" w:fill="99CCFF"/>
          </w:tcPr>
          <w:p w:rsidR="0084609D" w:rsidRPr="00E70F0E" w:rsidRDefault="0084609D" w:rsidP="00E70F0E">
            <w:pPr>
              <w:pStyle w:val="cuadroCabe"/>
              <w:rPr>
                <w:i/>
              </w:rPr>
            </w:pPr>
          </w:p>
        </w:tc>
        <w:tc>
          <w:tcPr>
            <w:tcW w:w="2909" w:type="dxa"/>
            <w:gridSpan w:val="2"/>
            <w:shd w:val="clear" w:color="auto" w:fill="99CCFF"/>
          </w:tcPr>
          <w:p w:rsidR="0084609D" w:rsidRPr="00E70F0E" w:rsidRDefault="0084609D" w:rsidP="00E70F0E">
            <w:pPr>
              <w:pStyle w:val="cuadroCabe"/>
              <w:jc w:val="center"/>
              <w:rPr>
                <w:i/>
              </w:rPr>
            </w:pPr>
            <w:r>
              <w:rPr>
                <w:i/>
              </w:rPr>
              <w:t>2011</w:t>
            </w:r>
          </w:p>
        </w:tc>
        <w:tc>
          <w:tcPr>
            <w:tcW w:w="336" w:type="dxa"/>
            <w:tcBorders>
              <w:bottom w:val="nil"/>
            </w:tcBorders>
            <w:shd w:val="clear" w:color="auto" w:fill="99CCFF"/>
            <w:vAlign w:val="center"/>
          </w:tcPr>
          <w:p w:rsidR="0084609D" w:rsidRPr="00E70F0E" w:rsidRDefault="0084609D" w:rsidP="00E70F0E">
            <w:pPr>
              <w:pStyle w:val="cuadroCabe"/>
              <w:jc w:val="center"/>
              <w:rPr>
                <w:i/>
                <w:lang w:val="es-ES"/>
              </w:rPr>
            </w:pPr>
          </w:p>
        </w:tc>
        <w:tc>
          <w:tcPr>
            <w:tcW w:w="2857" w:type="dxa"/>
            <w:gridSpan w:val="2"/>
            <w:tcBorders>
              <w:bottom w:val="single" w:sz="2" w:space="0" w:color="auto"/>
            </w:tcBorders>
            <w:shd w:val="clear" w:color="auto" w:fill="99CCFF"/>
            <w:vAlign w:val="center"/>
          </w:tcPr>
          <w:p w:rsidR="0084609D" w:rsidRPr="00E70F0E" w:rsidRDefault="0084609D" w:rsidP="00E70F0E">
            <w:pPr>
              <w:pStyle w:val="cuadroCabe"/>
              <w:jc w:val="center"/>
              <w:rPr>
                <w:i/>
              </w:rPr>
            </w:pPr>
            <w:r>
              <w:rPr>
                <w:i/>
              </w:rPr>
              <w:t>2012</w:t>
            </w:r>
          </w:p>
        </w:tc>
      </w:tr>
      <w:tr w:rsidR="0084609D" w:rsidRPr="00E70F0E" w:rsidTr="00710CCC">
        <w:trPr>
          <w:trHeight w:val="198"/>
          <w:jc w:val="center"/>
        </w:trPr>
        <w:tc>
          <w:tcPr>
            <w:tcW w:w="2527" w:type="dxa"/>
            <w:vMerge/>
            <w:tcBorders>
              <w:bottom w:val="single" w:sz="4" w:space="0" w:color="auto"/>
            </w:tcBorders>
            <w:shd w:val="clear" w:color="auto" w:fill="99CCFF"/>
            <w:vAlign w:val="center"/>
          </w:tcPr>
          <w:p w:rsidR="0084609D" w:rsidRPr="00E70F0E" w:rsidRDefault="0084609D" w:rsidP="00E70F0E">
            <w:pPr>
              <w:pStyle w:val="cuadroCabe"/>
              <w:rPr>
                <w:i/>
                <w:lang w:val="es-ES"/>
              </w:rPr>
            </w:pPr>
          </w:p>
        </w:tc>
        <w:tc>
          <w:tcPr>
            <w:tcW w:w="300" w:type="dxa"/>
            <w:tcBorders>
              <w:top w:val="nil"/>
              <w:bottom w:val="single" w:sz="4" w:space="0" w:color="auto"/>
            </w:tcBorders>
            <w:shd w:val="clear" w:color="auto" w:fill="99CCFF"/>
          </w:tcPr>
          <w:p w:rsidR="0084609D" w:rsidRPr="00E70F0E" w:rsidRDefault="0084609D" w:rsidP="00E70F0E">
            <w:pPr>
              <w:pStyle w:val="cuadroCabe"/>
              <w:rPr>
                <w:i/>
              </w:rPr>
            </w:pPr>
          </w:p>
        </w:tc>
        <w:tc>
          <w:tcPr>
            <w:tcW w:w="1455"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Pr>
                <w:i/>
              </w:rPr>
              <w:t>Zenbatekoa</w:t>
            </w:r>
          </w:p>
          <w:p w:rsidR="0084609D" w:rsidRPr="00E70F0E" w:rsidRDefault="0084609D" w:rsidP="00AB75F8">
            <w:pPr>
              <w:pStyle w:val="cuadroCabe"/>
              <w:jc w:val="right"/>
              <w:rPr>
                <w:i/>
              </w:rPr>
            </w:pPr>
            <w:r>
              <w:rPr>
                <w:i/>
              </w:rPr>
              <w:t>(eurotan)</w:t>
            </w:r>
          </w:p>
        </w:tc>
        <w:tc>
          <w:tcPr>
            <w:tcW w:w="1454"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Pr>
                <w:i/>
              </w:rPr>
              <w:t>Finantzaket</w:t>
            </w:r>
            <w:r>
              <w:rPr>
                <w:i/>
              </w:rPr>
              <w:t>a</w:t>
            </w:r>
            <w:r>
              <w:rPr>
                <w:i/>
              </w:rPr>
              <w:t>ren ehunekoa</w:t>
            </w:r>
          </w:p>
          <w:p w:rsidR="0084609D" w:rsidRPr="00E70F0E" w:rsidRDefault="0084609D" w:rsidP="00AB75F8">
            <w:pPr>
              <w:pStyle w:val="cuadroCabe"/>
              <w:jc w:val="right"/>
              <w:rPr>
                <w:i/>
              </w:rPr>
            </w:pPr>
            <w:r>
              <w:rPr>
                <w:i/>
              </w:rPr>
              <w:t>eragilearen arabera</w:t>
            </w:r>
          </w:p>
        </w:tc>
        <w:tc>
          <w:tcPr>
            <w:tcW w:w="336" w:type="dxa"/>
            <w:tcBorders>
              <w:top w:val="nil"/>
              <w:bottom w:val="single" w:sz="4" w:space="0" w:color="auto"/>
            </w:tcBorders>
            <w:shd w:val="clear" w:color="auto" w:fill="99CCFF"/>
            <w:vAlign w:val="center"/>
          </w:tcPr>
          <w:p w:rsidR="0084609D" w:rsidRPr="00E70F0E" w:rsidRDefault="0084609D" w:rsidP="00E70F0E">
            <w:pPr>
              <w:pStyle w:val="cuadroCabe"/>
              <w:jc w:val="center"/>
              <w:rPr>
                <w:rFonts w:ascii="Arial Narrow" w:hAnsi="Arial Narrow"/>
                <w:i/>
                <w:lang w:val="es-ES"/>
              </w:rPr>
            </w:pPr>
          </w:p>
        </w:tc>
        <w:tc>
          <w:tcPr>
            <w:tcW w:w="1428"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Pr>
                <w:i/>
              </w:rPr>
              <w:t>Zenbatekoa</w:t>
            </w:r>
          </w:p>
          <w:p w:rsidR="0084609D" w:rsidRPr="00E70F0E" w:rsidRDefault="0084609D" w:rsidP="00AB75F8">
            <w:pPr>
              <w:pStyle w:val="cuadroCabe"/>
              <w:jc w:val="right"/>
              <w:rPr>
                <w:i/>
              </w:rPr>
            </w:pPr>
            <w:r>
              <w:rPr>
                <w:i/>
              </w:rPr>
              <w:t>(eurotan)</w:t>
            </w:r>
          </w:p>
        </w:tc>
        <w:tc>
          <w:tcPr>
            <w:tcW w:w="1429"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Pr>
                <w:i/>
              </w:rPr>
              <w:t>Eragile bako</w:t>
            </w:r>
            <w:r>
              <w:rPr>
                <w:i/>
              </w:rPr>
              <w:t>i</w:t>
            </w:r>
            <w:r>
              <w:rPr>
                <w:i/>
              </w:rPr>
              <w:t>tzaren fina</w:t>
            </w:r>
            <w:r>
              <w:rPr>
                <w:i/>
              </w:rPr>
              <w:t>n</w:t>
            </w:r>
            <w:r>
              <w:rPr>
                <w:i/>
              </w:rPr>
              <w:t>tzaketa (%)</w:t>
            </w:r>
          </w:p>
        </w:tc>
      </w:tr>
      <w:tr w:rsidR="0084609D" w:rsidRPr="00E70F0E" w:rsidTr="00E70F0E">
        <w:trPr>
          <w:trHeight w:val="198"/>
          <w:jc w:val="center"/>
        </w:trPr>
        <w:tc>
          <w:tcPr>
            <w:tcW w:w="2527" w:type="dxa"/>
            <w:tcBorders>
              <w:bottom w:val="single" w:sz="2" w:space="0" w:color="auto"/>
            </w:tcBorders>
            <w:shd w:val="clear" w:color="auto" w:fill="auto"/>
            <w:vAlign w:val="center"/>
          </w:tcPr>
          <w:p w:rsidR="0084609D" w:rsidRPr="00E70F0E" w:rsidRDefault="0084609D" w:rsidP="00E70F0E">
            <w:pPr>
              <w:pStyle w:val="cuatexto"/>
              <w:rPr>
                <w:i/>
              </w:rPr>
            </w:pPr>
            <w:r>
              <w:rPr>
                <w:i/>
              </w:rPr>
              <w:t>Nafarroako Gobernuaren ga</w:t>
            </w:r>
            <w:r>
              <w:rPr>
                <w:i/>
              </w:rPr>
              <w:t>s</w:t>
            </w:r>
            <w:r>
              <w:rPr>
                <w:i/>
              </w:rPr>
              <w:t>tua</w:t>
            </w:r>
          </w:p>
        </w:tc>
        <w:tc>
          <w:tcPr>
            <w:tcW w:w="300" w:type="dxa"/>
            <w:tcBorders>
              <w:bottom w:val="single" w:sz="2" w:space="0" w:color="auto"/>
            </w:tcBorders>
            <w:shd w:val="clear" w:color="auto" w:fill="auto"/>
            <w:vAlign w:val="center"/>
          </w:tcPr>
          <w:p w:rsidR="0084609D" w:rsidRPr="00E70F0E" w:rsidRDefault="0084609D" w:rsidP="00E70F0E">
            <w:pPr>
              <w:pStyle w:val="cuatexto"/>
              <w:rPr>
                <w:i/>
              </w:rPr>
            </w:pPr>
          </w:p>
        </w:tc>
        <w:tc>
          <w:tcPr>
            <w:tcW w:w="1455" w:type="dxa"/>
            <w:tcBorders>
              <w:bottom w:val="single" w:sz="2" w:space="0" w:color="auto"/>
            </w:tcBorders>
            <w:shd w:val="clear" w:color="auto" w:fill="auto"/>
            <w:vAlign w:val="center"/>
          </w:tcPr>
          <w:p w:rsidR="0084609D" w:rsidRPr="00E70F0E" w:rsidRDefault="0084609D" w:rsidP="00E70F0E">
            <w:pPr>
              <w:pStyle w:val="cuatexto"/>
              <w:jc w:val="right"/>
              <w:rPr>
                <w:i/>
              </w:rPr>
            </w:pPr>
            <w:r>
              <w:rPr>
                <w:i/>
              </w:rPr>
              <w:t>107.699.700</w:t>
            </w:r>
          </w:p>
        </w:tc>
        <w:tc>
          <w:tcPr>
            <w:tcW w:w="1454" w:type="dxa"/>
            <w:tcBorders>
              <w:bottom w:val="single" w:sz="2" w:space="0" w:color="auto"/>
            </w:tcBorders>
            <w:shd w:val="clear" w:color="auto" w:fill="auto"/>
            <w:vAlign w:val="center"/>
          </w:tcPr>
          <w:p w:rsidR="0084609D" w:rsidRPr="00E70F0E" w:rsidRDefault="0084609D" w:rsidP="00E70F0E">
            <w:pPr>
              <w:pStyle w:val="cuatexto"/>
              <w:jc w:val="right"/>
              <w:rPr>
                <w:i/>
              </w:rPr>
            </w:pPr>
            <w:r>
              <w:rPr>
                <w:i/>
              </w:rPr>
              <w:t>70</w:t>
            </w:r>
          </w:p>
        </w:tc>
        <w:tc>
          <w:tcPr>
            <w:tcW w:w="336"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bottom w:val="single" w:sz="2" w:space="0" w:color="auto"/>
            </w:tcBorders>
            <w:shd w:val="clear" w:color="auto" w:fill="auto"/>
            <w:vAlign w:val="center"/>
          </w:tcPr>
          <w:p w:rsidR="0084609D" w:rsidRPr="00E70F0E" w:rsidRDefault="0084609D" w:rsidP="00E70F0E">
            <w:pPr>
              <w:pStyle w:val="cuatexto"/>
              <w:jc w:val="right"/>
              <w:rPr>
                <w:i/>
              </w:rPr>
            </w:pPr>
            <w:r>
              <w:rPr>
                <w:i/>
              </w:rPr>
              <w:t>95.669.268</w:t>
            </w:r>
          </w:p>
        </w:tc>
        <w:tc>
          <w:tcPr>
            <w:tcW w:w="1429" w:type="dxa"/>
            <w:tcBorders>
              <w:bottom w:val="single" w:sz="2" w:space="0" w:color="auto"/>
            </w:tcBorders>
            <w:shd w:val="clear" w:color="auto" w:fill="auto"/>
            <w:vAlign w:val="center"/>
          </w:tcPr>
          <w:p w:rsidR="0084609D" w:rsidRPr="00E70F0E" w:rsidRDefault="0084609D" w:rsidP="00E70F0E">
            <w:pPr>
              <w:pStyle w:val="cuatexto"/>
              <w:jc w:val="right"/>
              <w:rPr>
                <w:i/>
              </w:rPr>
            </w:pPr>
            <w:r>
              <w:rPr>
                <w:i/>
              </w:rPr>
              <w:t>69</w:t>
            </w:r>
          </w:p>
        </w:tc>
      </w:tr>
      <w:tr w:rsidR="0084609D" w:rsidRPr="00E70F0E" w:rsidTr="00710CCC">
        <w:trPr>
          <w:trHeight w:val="198"/>
          <w:jc w:val="center"/>
        </w:trPr>
        <w:tc>
          <w:tcPr>
            <w:tcW w:w="2527" w:type="dxa"/>
            <w:tcBorders>
              <w:top w:val="single" w:sz="2" w:space="0" w:color="auto"/>
              <w:bottom w:val="single" w:sz="2" w:space="0" w:color="auto"/>
            </w:tcBorders>
            <w:shd w:val="clear" w:color="auto" w:fill="auto"/>
            <w:vAlign w:val="center"/>
          </w:tcPr>
          <w:p w:rsidR="0084609D" w:rsidRPr="00E70F0E" w:rsidRDefault="0084609D" w:rsidP="00E70F0E">
            <w:pPr>
              <w:pStyle w:val="cuatexto"/>
              <w:rPr>
                <w:i/>
              </w:rPr>
            </w:pPr>
            <w:r>
              <w:rPr>
                <w:i/>
              </w:rPr>
              <w:t>Prestazioen erabiltzaileen kuotak</w:t>
            </w:r>
          </w:p>
        </w:tc>
        <w:tc>
          <w:tcPr>
            <w:tcW w:w="300" w:type="dxa"/>
            <w:tcBorders>
              <w:top w:val="single" w:sz="2" w:space="0" w:color="auto"/>
              <w:bottom w:val="single" w:sz="2" w:space="0" w:color="auto"/>
            </w:tcBorders>
            <w:shd w:val="clear" w:color="auto" w:fill="auto"/>
            <w:vAlign w:val="center"/>
          </w:tcPr>
          <w:p w:rsidR="0084609D" w:rsidRPr="00E70F0E" w:rsidRDefault="0084609D" w:rsidP="00E70F0E">
            <w:pPr>
              <w:pStyle w:val="cuatexto"/>
              <w:rPr>
                <w:i/>
              </w:rPr>
            </w:pPr>
          </w:p>
        </w:tc>
        <w:tc>
          <w:tcPr>
            <w:tcW w:w="1455"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Pr>
                <w:i/>
              </w:rPr>
              <w:t>32.226.048</w:t>
            </w:r>
          </w:p>
        </w:tc>
        <w:tc>
          <w:tcPr>
            <w:tcW w:w="1454"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Pr>
                <w:i/>
              </w:rPr>
              <w:t>21</w:t>
            </w:r>
          </w:p>
        </w:tc>
        <w:tc>
          <w:tcPr>
            <w:tcW w:w="336"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Pr>
                <w:i/>
              </w:rPr>
              <w:t>30.503.209</w:t>
            </w:r>
          </w:p>
        </w:tc>
        <w:tc>
          <w:tcPr>
            <w:tcW w:w="1429"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Pr>
                <w:i/>
              </w:rPr>
              <w:t>22</w:t>
            </w:r>
          </w:p>
        </w:tc>
      </w:tr>
      <w:tr w:rsidR="0084609D" w:rsidRPr="00E70F0E" w:rsidTr="00710CCC">
        <w:trPr>
          <w:trHeight w:val="198"/>
          <w:jc w:val="center"/>
        </w:trPr>
        <w:tc>
          <w:tcPr>
            <w:tcW w:w="2527" w:type="dxa"/>
            <w:tcBorders>
              <w:top w:val="single" w:sz="2" w:space="0" w:color="auto"/>
              <w:bottom w:val="single" w:sz="4" w:space="0" w:color="auto"/>
            </w:tcBorders>
            <w:shd w:val="clear" w:color="auto" w:fill="auto"/>
            <w:vAlign w:val="center"/>
          </w:tcPr>
          <w:p w:rsidR="0084609D" w:rsidRPr="00E70F0E" w:rsidRDefault="0084609D" w:rsidP="00E70F0E">
            <w:pPr>
              <w:pStyle w:val="cuatexto"/>
              <w:rPr>
                <w:i/>
              </w:rPr>
            </w:pPr>
            <w:r>
              <w:rPr>
                <w:i/>
              </w:rPr>
              <w:t>Estatuaren ekarpena</w:t>
            </w:r>
          </w:p>
        </w:tc>
        <w:tc>
          <w:tcPr>
            <w:tcW w:w="300" w:type="dxa"/>
            <w:tcBorders>
              <w:top w:val="single" w:sz="2" w:space="0" w:color="auto"/>
              <w:bottom w:val="single" w:sz="4" w:space="0" w:color="auto"/>
            </w:tcBorders>
            <w:shd w:val="clear" w:color="auto" w:fill="auto"/>
            <w:vAlign w:val="center"/>
          </w:tcPr>
          <w:p w:rsidR="0084609D" w:rsidRPr="00E70F0E" w:rsidRDefault="0084609D" w:rsidP="00E70F0E">
            <w:pPr>
              <w:pStyle w:val="cuatexto"/>
              <w:rPr>
                <w:i/>
              </w:rPr>
            </w:pPr>
          </w:p>
        </w:tc>
        <w:tc>
          <w:tcPr>
            <w:tcW w:w="1455"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Pr>
                <w:i/>
              </w:rPr>
              <w:t>13.081.123</w:t>
            </w:r>
          </w:p>
        </w:tc>
        <w:tc>
          <w:tcPr>
            <w:tcW w:w="1454"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Pr>
                <w:i/>
              </w:rPr>
              <w:t>9</w:t>
            </w:r>
          </w:p>
        </w:tc>
        <w:tc>
          <w:tcPr>
            <w:tcW w:w="336"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Pr>
                <w:i/>
              </w:rPr>
              <w:t>12.569.028</w:t>
            </w:r>
          </w:p>
        </w:tc>
        <w:tc>
          <w:tcPr>
            <w:tcW w:w="1429"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Pr>
                <w:i/>
              </w:rPr>
              <w:t>9</w:t>
            </w:r>
          </w:p>
        </w:tc>
      </w:tr>
      <w:tr w:rsidR="0084609D" w:rsidRPr="00E70F0E" w:rsidTr="00AB75F8">
        <w:trPr>
          <w:trHeight w:hRule="exact" w:val="255"/>
          <w:jc w:val="center"/>
        </w:trPr>
        <w:tc>
          <w:tcPr>
            <w:tcW w:w="2527" w:type="dxa"/>
            <w:tcBorders>
              <w:bottom w:val="single" w:sz="4" w:space="0" w:color="auto"/>
            </w:tcBorders>
            <w:shd w:val="clear" w:color="auto" w:fill="99CCFF"/>
            <w:vAlign w:val="center"/>
          </w:tcPr>
          <w:p w:rsidR="0084609D" w:rsidRPr="00E70F0E" w:rsidRDefault="0084609D" w:rsidP="00E70F0E">
            <w:pPr>
              <w:pStyle w:val="cuadroCabe"/>
              <w:rPr>
                <w:i/>
              </w:rPr>
            </w:pPr>
            <w:r>
              <w:rPr>
                <w:i/>
              </w:rPr>
              <w:t>Guztira</w:t>
            </w:r>
          </w:p>
        </w:tc>
        <w:tc>
          <w:tcPr>
            <w:tcW w:w="300" w:type="dxa"/>
            <w:tcBorders>
              <w:bottom w:val="single" w:sz="4" w:space="0" w:color="auto"/>
            </w:tcBorders>
            <w:shd w:val="clear" w:color="auto" w:fill="99CCFF"/>
          </w:tcPr>
          <w:p w:rsidR="0084609D" w:rsidRPr="00E70F0E" w:rsidRDefault="0084609D" w:rsidP="00E70F0E">
            <w:pPr>
              <w:pStyle w:val="cuadroCabe"/>
              <w:rPr>
                <w:i/>
              </w:rPr>
            </w:pPr>
          </w:p>
        </w:tc>
        <w:tc>
          <w:tcPr>
            <w:tcW w:w="1455" w:type="dxa"/>
            <w:tcBorders>
              <w:bottom w:val="single" w:sz="4" w:space="0" w:color="auto"/>
            </w:tcBorders>
            <w:shd w:val="clear" w:color="auto" w:fill="99CCFF"/>
            <w:vAlign w:val="center"/>
          </w:tcPr>
          <w:p w:rsidR="0084609D" w:rsidRPr="00E70F0E" w:rsidRDefault="0084609D" w:rsidP="00E70F0E">
            <w:pPr>
              <w:pStyle w:val="cuadroCabe"/>
              <w:jc w:val="right"/>
              <w:rPr>
                <w:i/>
              </w:rPr>
            </w:pPr>
            <w:r>
              <w:rPr>
                <w:i/>
              </w:rPr>
              <w:t>153.006.871</w:t>
            </w:r>
          </w:p>
        </w:tc>
        <w:tc>
          <w:tcPr>
            <w:tcW w:w="1454" w:type="dxa"/>
            <w:tcBorders>
              <w:bottom w:val="single" w:sz="4" w:space="0" w:color="auto"/>
            </w:tcBorders>
            <w:shd w:val="clear" w:color="auto" w:fill="99CCFF"/>
            <w:vAlign w:val="center"/>
          </w:tcPr>
          <w:p w:rsidR="0084609D" w:rsidRPr="00E70F0E" w:rsidRDefault="0084609D" w:rsidP="00E70F0E">
            <w:pPr>
              <w:pStyle w:val="cuadroCabe"/>
              <w:jc w:val="right"/>
              <w:rPr>
                <w:i/>
              </w:rPr>
            </w:pPr>
            <w:r>
              <w:rPr>
                <w:i/>
              </w:rPr>
              <w:t>100</w:t>
            </w:r>
          </w:p>
        </w:tc>
        <w:tc>
          <w:tcPr>
            <w:tcW w:w="336" w:type="dxa"/>
            <w:tcBorders>
              <w:bottom w:val="single" w:sz="4" w:space="0" w:color="auto"/>
            </w:tcBorders>
            <w:shd w:val="clear" w:color="auto" w:fill="99CCFF"/>
            <w:vAlign w:val="center"/>
          </w:tcPr>
          <w:p w:rsidR="0084609D" w:rsidRPr="00E70F0E" w:rsidRDefault="0084609D" w:rsidP="00E70F0E">
            <w:pPr>
              <w:pStyle w:val="cuadroCabe"/>
              <w:rPr>
                <w:i/>
              </w:rPr>
            </w:pPr>
          </w:p>
        </w:tc>
        <w:tc>
          <w:tcPr>
            <w:tcW w:w="1428" w:type="dxa"/>
            <w:tcBorders>
              <w:bottom w:val="single" w:sz="4" w:space="0" w:color="auto"/>
            </w:tcBorders>
            <w:shd w:val="clear" w:color="auto" w:fill="99CCFF"/>
            <w:vAlign w:val="center"/>
          </w:tcPr>
          <w:p w:rsidR="0084609D" w:rsidRPr="00E70F0E" w:rsidRDefault="0084609D" w:rsidP="00E70F0E">
            <w:pPr>
              <w:pStyle w:val="cuadroCabe"/>
              <w:jc w:val="right"/>
              <w:rPr>
                <w:i/>
              </w:rPr>
            </w:pPr>
            <w:r>
              <w:rPr>
                <w:i/>
              </w:rPr>
              <w:t>138.501.706</w:t>
            </w:r>
          </w:p>
        </w:tc>
        <w:tc>
          <w:tcPr>
            <w:tcW w:w="1429" w:type="dxa"/>
            <w:tcBorders>
              <w:bottom w:val="single" w:sz="4" w:space="0" w:color="auto"/>
            </w:tcBorders>
            <w:shd w:val="clear" w:color="auto" w:fill="99CCFF"/>
            <w:vAlign w:val="center"/>
          </w:tcPr>
          <w:p w:rsidR="0084609D" w:rsidRPr="00E70F0E" w:rsidRDefault="0084609D" w:rsidP="00E70F0E">
            <w:pPr>
              <w:pStyle w:val="cuadroCabe"/>
              <w:jc w:val="right"/>
              <w:rPr>
                <w:i/>
              </w:rPr>
            </w:pPr>
            <w:r>
              <w:rPr>
                <w:i/>
              </w:rPr>
              <w:t>100</w:t>
            </w:r>
          </w:p>
        </w:tc>
      </w:tr>
    </w:tbl>
    <w:p w:rsidR="0084609D" w:rsidRPr="00065106" w:rsidRDefault="0084609D" w:rsidP="0084609D">
      <w:pPr>
        <w:pStyle w:val="texto"/>
        <w:spacing w:before="240" w:after="120"/>
        <w:rPr>
          <w:i/>
          <w:szCs w:val="26"/>
        </w:rPr>
      </w:pPr>
      <w:r>
        <w:rPr>
          <w:i/>
          <w:szCs w:val="26"/>
        </w:rPr>
        <w:t>Ikusten den bezala, Mendekotasunari buruzko Legea Nafarroan aplikatzeak dakarren gastuaren finantzaketaren ehuneko 9 eta 10 bitarte Estatuak jartzen du. Finantzaketa hori kalkulatzen da urtero onuradun bakoitzarentzat haren mendetasun-graduaren eta -mailaren arabera arauturiko gutxieneko mailar</w:t>
      </w:r>
      <w:r>
        <w:rPr>
          <w:i/>
          <w:szCs w:val="26"/>
        </w:rPr>
        <w:t>e</w:t>
      </w:r>
      <w:r>
        <w:rPr>
          <w:i/>
          <w:szCs w:val="26"/>
        </w:rPr>
        <w:t xml:space="preserve">kin, kontuan harturik </w:t>
      </w:r>
      <w:proofErr w:type="spellStart"/>
      <w:r>
        <w:rPr>
          <w:i/>
          <w:szCs w:val="26"/>
        </w:rPr>
        <w:t>AMASIS-Autonomiarako</w:t>
      </w:r>
      <w:proofErr w:type="spellEnd"/>
      <w:r>
        <w:rPr>
          <w:i/>
          <w:szCs w:val="26"/>
        </w:rPr>
        <w:t xml:space="preserve"> eta Mendekotasunaren Arret</w:t>
      </w:r>
      <w:r>
        <w:rPr>
          <w:i/>
          <w:szCs w:val="26"/>
        </w:rPr>
        <w:t>a</w:t>
      </w:r>
      <w:r>
        <w:rPr>
          <w:i/>
          <w:szCs w:val="26"/>
        </w:rPr>
        <w:t>rako Sistemako Informazio Sistemari autonomia-erkidego bakoitzak helaraz</w:t>
      </w:r>
      <w:r>
        <w:rPr>
          <w:i/>
          <w:szCs w:val="26"/>
        </w:rPr>
        <w:t>i</w:t>
      </w:r>
      <w:r>
        <w:rPr>
          <w:i/>
          <w:szCs w:val="26"/>
        </w:rPr>
        <w:t xml:space="preserve">tako informazioa. </w:t>
      </w:r>
    </w:p>
    <w:p w:rsidR="0084609D" w:rsidRPr="00644B67" w:rsidRDefault="0084609D" w:rsidP="0084609D">
      <w:pPr>
        <w:pStyle w:val="texto"/>
        <w:spacing w:after="120"/>
        <w:rPr>
          <w:i/>
          <w:sz w:val="25"/>
          <w:szCs w:val="25"/>
        </w:rPr>
      </w:pPr>
      <w:r>
        <w:rPr>
          <w:i/>
          <w:sz w:val="25"/>
          <w:szCs w:val="25"/>
        </w:rPr>
        <w:t>2009-2013 aldian, Nafarroak 75,88 milioi euro jaso zituen Estatuarengandik. 2013ko finantzaketa 11,59 milioi eurokoa izatera iritsi zen, 2009ko urtearekin alderatuta ehuneko 46ko jaitsiera izan ondoren, gutxieneko maila jaistearen o</w:t>
      </w:r>
      <w:r>
        <w:rPr>
          <w:i/>
          <w:sz w:val="25"/>
          <w:szCs w:val="25"/>
        </w:rPr>
        <w:t>n</w:t>
      </w:r>
      <w:r>
        <w:rPr>
          <w:i/>
          <w:sz w:val="25"/>
          <w:szCs w:val="25"/>
        </w:rPr>
        <w:t xml:space="preserve">dorioz, nagusiki. </w:t>
      </w:r>
    </w:p>
    <w:p w:rsidR="0084609D" w:rsidRPr="00644B67" w:rsidRDefault="0084609D" w:rsidP="0084609D">
      <w:pPr>
        <w:pStyle w:val="texto"/>
        <w:spacing w:after="120"/>
        <w:rPr>
          <w:i/>
          <w:sz w:val="25"/>
          <w:szCs w:val="25"/>
        </w:rPr>
      </w:pPr>
      <w:r>
        <w:rPr>
          <w:i/>
          <w:sz w:val="25"/>
          <w:szCs w:val="25"/>
        </w:rPr>
        <w:t xml:space="preserve">2013ra arte, Estatuaren likidazioei buruz </w:t>
      </w:r>
      <w:proofErr w:type="spellStart"/>
      <w:r>
        <w:rPr>
          <w:i/>
          <w:sz w:val="25"/>
          <w:szCs w:val="25"/>
        </w:rPr>
        <w:t>PANAk</w:t>
      </w:r>
      <w:proofErr w:type="spellEnd"/>
      <w:r>
        <w:rPr>
          <w:i/>
          <w:sz w:val="25"/>
          <w:szCs w:val="25"/>
        </w:rPr>
        <w:t xml:space="preserve"> jasotzen zuen informazioak ez zion modurik ematen jasotako kopurua behar bezalakoa zen ala ez egiazt</w:t>
      </w:r>
      <w:r>
        <w:rPr>
          <w:i/>
          <w:sz w:val="25"/>
          <w:szCs w:val="25"/>
        </w:rPr>
        <w:t>a</w:t>
      </w:r>
      <w:r>
        <w:rPr>
          <w:i/>
          <w:sz w:val="25"/>
          <w:szCs w:val="25"/>
        </w:rPr>
        <w:t>tzeko. 2013ko otsailetik aurrera, hilero fitxategi bat igortzen da, informazio g</w:t>
      </w:r>
      <w:r>
        <w:rPr>
          <w:i/>
          <w:sz w:val="25"/>
          <w:szCs w:val="25"/>
        </w:rPr>
        <w:t>e</w:t>
      </w:r>
      <w:r>
        <w:rPr>
          <w:i/>
          <w:sz w:val="25"/>
          <w:szCs w:val="25"/>
        </w:rPr>
        <w:t xml:space="preserve">hiagorekin. Informazio horrek, behin kasuko prozedura ezarri ondoren, aukera emanen du egiaztatzeko ea likidazioa egokia den. </w:t>
      </w:r>
    </w:p>
    <w:p w:rsidR="0084609D" w:rsidRPr="00644B67" w:rsidRDefault="0084609D" w:rsidP="0084609D">
      <w:pPr>
        <w:pStyle w:val="texto"/>
        <w:spacing w:after="120"/>
        <w:rPr>
          <w:i/>
          <w:sz w:val="25"/>
          <w:szCs w:val="25"/>
        </w:rPr>
      </w:pPr>
      <w:r>
        <w:rPr>
          <w:i/>
          <w:sz w:val="25"/>
          <w:szCs w:val="25"/>
        </w:rPr>
        <w:t xml:space="preserve">Gizarte Politiketako Departamentuak informazio historikoa eskatu zion </w:t>
      </w:r>
      <w:proofErr w:type="spellStart"/>
      <w:r>
        <w:rPr>
          <w:i/>
          <w:sz w:val="25"/>
          <w:szCs w:val="25"/>
        </w:rPr>
        <w:t>I</w:t>
      </w:r>
      <w:r>
        <w:rPr>
          <w:i/>
          <w:sz w:val="25"/>
          <w:szCs w:val="25"/>
        </w:rPr>
        <w:t>M</w:t>
      </w:r>
      <w:r>
        <w:rPr>
          <w:i/>
          <w:sz w:val="25"/>
          <w:szCs w:val="25"/>
        </w:rPr>
        <w:t>SERSOri</w:t>
      </w:r>
      <w:proofErr w:type="spellEnd"/>
      <w:r>
        <w:rPr>
          <w:i/>
          <w:sz w:val="25"/>
          <w:szCs w:val="25"/>
        </w:rPr>
        <w:t xml:space="preserve">, 2007ko apiriletik gaur arte onuradun bakoitzeko egindako likidazioak egiaztatze aldera. Txosten hau egin den garaian, eskaini zaien informazioa 2013ko azarora bitartekoa da. Egiaztatu da desberdintasun ugari daudela </w:t>
      </w:r>
      <w:proofErr w:type="spellStart"/>
      <w:r>
        <w:rPr>
          <w:i/>
          <w:sz w:val="25"/>
          <w:szCs w:val="25"/>
        </w:rPr>
        <w:t>P</w:t>
      </w:r>
      <w:r>
        <w:rPr>
          <w:i/>
          <w:sz w:val="25"/>
          <w:szCs w:val="25"/>
        </w:rPr>
        <w:t>A</w:t>
      </w:r>
      <w:r>
        <w:rPr>
          <w:i/>
          <w:sz w:val="25"/>
          <w:szCs w:val="25"/>
        </w:rPr>
        <w:t>NAren</w:t>
      </w:r>
      <w:proofErr w:type="spellEnd"/>
      <w:r>
        <w:rPr>
          <w:i/>
          <w:sz w:val="25"/>
          <w:szCs w:val="25"/>
        </w:rPr>
        <w:t xml:space="preserve"> eta </w:t>
      </w:r>
      <w:proofErr w:type="spellStart"/>
      <w:r>
        <w:rPr>
          <w:i/>
          <w:sz w:val="25"/>
          <w:szCs w:val="25"/>
        </w:rPr>
        <w:t>IMSERSOren</w:t>
      </w:r>
      <w:proofErr w:type="spellEnd"/>
      <w:r>
        <w:rPr>
          <w:i/>
          <w:sz w:val="25"/>
          <w:szCs w:val="25"/>
        </w:rPr>
        <w:t xml:space="preserve"> oinarrien artean, eta horiek aztertu eta erregularizatu egin beharko dira.</w:t>
      </w:r>
    </w:p>
    <w:p w:rsidR="0084609D" w:rsidRPr="00644B67" w:rsidRDefault="0084609D" w:rsidP="0084609D">
      <w:pPr>
        <w:pStyle w:val="texto"/>
        <w:spacing w:after="120"/>
        <w:rPr>
          <w:i/>
          <w:sz w:val="25"/>
          <w:szCs w:val="25"/>
        </w:rPr>
      </w:pPr>
      <w:r>
        <w:rPr>
          <w:i/>
          <w:sz w:val="25"/>
          <w:szCs w:val="25"/>
        </w:rPr>
        <w:t>Azken batez, onuradunei buruzko banakako informazio egokirik ez dagoenez, ezin izan da egiaztatu ea 2009-2013 epean Nafarroak Estatuarengandik jasotako finantzaketa behar bezalakoa izan den, araudian ezarritako irizpideei errepar</w:t>
      </w:r>
      <w:r>
        <w:rPr>
          <w:i/>
          <w:sz w:val="25"/>
          <w:szCs w:val="25"/>
        </w:rPr>
        <w:t>a</w:t>
      </w:r>
      <w:r>
        <w:rPr>
          <w:i/>
          <w:sz w:val="25"/>
          <w:szCs w:val="25"/>
        </w:rPr>
        <w:t xml:space="preserve">tuta. </w:t>
      </w:r>
    </w:p>
    <w:p w:rsidR="0084609D" w:rsidRPr="00644B67" w:rsidRDefault="0084609D" w:rsidP="0084609D">
      <w:pPr>
        <w:pStyle w:val="texto"/>
        <w:spacing w:after="120"/>
        <w:rPr>
          <w:i/>
          <w:sz w:val="25"/>
          <w:szCs w:val="25"/>
        </w:rPr>
      </w:pPr>
      <w:r>
        <w:rPr>
          <w:i/>
          <w:sz w:val="25"/>
          <w:szCs w:val="25"/>
        </w:rPr>
        <w:t>Gutxieneko maila arautzen duen 1050/2013 Errege Dekretuak indarra ha</w:t>
      </w:r>
      <w:r>
        <w:rPr>
          <w:i/>
          <w:sz w:val="25"/>
          <w:szCs w:val="25"/>
        </w:rPr>
        <w:t>r</w:t>
      </w:r>
      <w:r>
        <w:rPr>
          <w:i/>
          <w:sz w:val="25"/>
          <w:szCs w:val="25"/>
        </w:rPr>
        <w:t>tzearekin, dauden onuradunak autonomia erkidegoek justifikatzeko sistema bat ezarri zen, zeinak berarekin baitakar ezin izanen dela alderik egon datu baseen artean, eta, halakorik egonez gero, autonomia erkidegoak ez duela Estatuaren finantzaketarik jasoko harik eta haiek ebatzi arte.</w:t>
      </w:r>
    </w:p>
    <w:p w:rsidR="0084609D" w:rsidRPr="00644B67" w:rsidRDefault="0084609D" w:rsidP="0084609D">
      <w:pPr>
        <w:pStyle w:val="texto"/>
        <w:spacing w:after="120"/>
        <w:rPr>
          <w:i/>
          <w:sz w:val="25"/>
          <w:szCs w:val="25"/>
        </w:rPr>
      </w:pPr>
      <w:r>
        <w:rPr>
          <w:i/>
          <w:sz w:val="25"/>
          <w:szCs w:val="25"/>
        </w:rPr>
        <w:t xml:space="preserve">Aurrekoari gehitu behar zaio Nafarroak Estatuarengandik 5,8 milioi euro jaso zituela Estatuak ekonomia eta enplegua dinamizatzeko funts berezitik, zeina 9/2008 Errege Lege-dekretuan araututa baitago. Kopuru hori mendekotasunari arreta ematearekin lotutako jarduketetarako bideratu da, eta hortik, azkenean, 5,7 milioi gastatu ziren. </w:t>
      </w:r>
    </w:p>
    <w:p w:rsidR="0084609D" w:rsidRPr="00C20FBF" w:rsidRDefault="0084609D" w:rsidP="0084609D">
      <w:pPr>
        <w:pStyle w:val="atitulo3"/>
        <w:spacing w:before="360"/>
        <w:rPr>
          <w:sz w:val="24"/>
          <w:szCs w:val="24"/>
        </w:rPr>
      </w:pPr>
      <w:r>
        <w:rPr>
          <w:sz w:val="24"/>
          <w:szCs w:val="24"/>
        </w:rPr>
        <w:t xml:space="preserve">5. Nafarroaren eta </w:t>
      </w:r>
      <w:proofErr w:type="spellStart"/>
      <w:r>
        <w:rPr>
          <w:sz w:val="24"/>
          <w:szCs w:val="24"/>
        </w:rPr>
        <w:t>IMSERSOren</w:t>
      </w:r>
      <w:proofErr w:type="spellEnd"/>
      <w:r>
        <w:rPr>
          <w:sz w:val="24"/>
          <w:szCs w:val="24"/>
        </w:rPr>
        <w:t xml:space="preserve"> arteko lankidetzaren printzipioaren bet</w:t>
      </w:r>
      <w:r>
        <w:rPr>
          <w:sz w:val="24"/>
          <w:szCs w:val="24"/>
        </w:rPr>
        <w:t>e</w:t>
      </w:r>
      <w:r>
        <w:rPr>
          <w:sz w:val="24"/>
          <w:szCs w:val="24"/>
        </w:rPr>
        <w:t xml:space="preserve">tzea, </w:t>
      </w:r>
      <w:proofErr w:type="spellStart"/>
      <w:r>
        <w:rPr>
          <w:sz w:val="24"/>
          <w:szCs w:val="24"/>
        </w:rPr>
        <w:t>AMASISi</w:t>
      </w:r>
      <w:proofErr w:type="spellEnd"/>
      <w:r>
        <w:rPr>
          <w:sz w:val="24"/>
          <w:szCs w:val="24"/>
        </w:rPr>
        <w:t xml:space="preserve"> igorritako informazioaren kontrolean eta etengabeko gau</w:t>
      </w:r>
      <w:r>
        <w:rPr>
          <w:sz w:val="24"/>
          <w:szCs w:val="24"/>
        </w:rPr>
        <w:t>r</w:t>
      </w:r>
      <w:r>
        <w:rPr>
          <w:sz w:val="24"/>
          <w:szCs w:val="24"/>
        </w:rPr>
        <w:t>kotzean</w:t>
      </w:r>
    </w:p>
    <w:p w:rsidR="0084609D" w:rsidRPr="00644B67" w:rsidRDefault="0084609D" w:rsidP="0084609D">
      <w:pPr>
        <w:pStyle w:val="texto"/>
        <w:spacing w:after="120"/>
        <w:rPr>
          <w:i/>
          <w:sz w:val="25"/>
          <w:szCs w:val="25"/>
        </w:rPr>
      </w:pPr>
      <w:r>
        <w:rPr>
          <w:i/>
          <w:sz w:val="25"/>
          <w:szCs w:val="25"/>
        </w:rPr>
        <w:t>Kontuen Epaitegiak 2013ko martxoko txostenean zehaztu bezala, Mendekot</w:t>
      </w:r>
      <w:r>
        <w:rPr>
          <w:i/>
          <w:sz w:val="25"/>
          <w:szCs w:val="25"/>
        </w:rPr>
        <w:t>a</w:t>
      </w:r>
      <w:r>
        <w:rPr>
          <w:i/>
          <w:sz w:val="25"/>
          <w:szCs w:val="25"/>
        </w:rPr>
        <w:t xml:space="preserve">sunari buruzko Legearen aplikazioaren hasieran Nafarroak </w:t>
      </w:r>
      <w:proofErr w:type="spellStart"/>
      <w:r>
        <w:rPr>
          <w:i/>
          <w:sz w:val="25"/>
          <w:szCs w:val="25"/>
        </w:rPr>
        <w:t>IMSERSOri</w:t>
      </w:r>
      <w:proofErr w:type="spellEnd"/>
      <w:r>
        <w:rPr>
          <w:i/>
          <w:sz w:val="25"/>
          <w:szCs w:val="25"/>
        </w:rPr>
        <w:t xml:space="preserve"> </w:t>
      </w:r>
      <w:proofErr w:type="spellStart"/>
      <w:r>
        <w:rPr>
          <w:i/>
          <w:sz w:val="25"/>
          <w:szCs w:val="25"/>
        </w:rPr>
        <w:t>AMAS</w:t>
      </w:r>
      <w:r>
        <w:rPr>
          <w:i/>
          <w:sz w:val="25"/>
          <w:szCs w:val="25"/>
        </w:rPr>
        <w:t>I</w:t>
      </w:r>
      <w:r>
        <w:rPr>
          <w:i/>
          <w:sz w:val="25"/>
          <w:szCs w:val="25"/>
        </w:rPr>
        <w:t>Serako</w:t>
      </w:r>
      <w:proofErr w:type="spellEnd"/>
      <w:r>
        <w:rPr>
          <w:i/>
          <w:sz w:val="25"/>
          <w:szCs w:val="25"/>
        </w:rPr>
        <w:t xml:space="preserve"> informazioa igortzeak zenbait gorabehera eragin zituen datuetan, eta h</w:t>
      </w:r>
      <w:r>
        <w:rPr>
          <w:i/>
          <w:sz w:val="25"/>
          <w:szCs w:val="25"/>
        </w:rPr>
        <w:t>o</w:t>
      </w:r>
      <w:r>
        <w:rPr>
          <w:i/>
          <w:sz w:val="25"/>
          <w:szCs w:val="25"/>
        </w:rPr>
        <w:t xml:space="preserve">rrek bere eragina izan zuen finantzaketan. </w:t>
      </w:r>
    </w:p>
    <w:p w:rsidR="0084609D" w:rsidRPr="00644B67" w:rsidRDefault="0084609D" w:rsidP="0084609D">
      <w:pPr>
        <w:pStyle w:val="texto"/>
        <w:spacing w:after="120"/>
        <w:rPr>
          <w:i/>
          <w:sz w:val="25"/>
          <w:szCs w:val="25"/>
        </w:rPr>
      </w:pPr>
      <w:r>
        <w:rPr>
          <w:i/>
          <w:sz w:val="25"/>
          <w:szCs w:val="25"/>
        </w:rPr>
        <w:t>Hartara, 75,88 milioi euroko guztizko kopuru batetik Nafarroak okerreko 8,06 milioi euro inguru jaso zituen Estatuarengandik. Kopuru hori jadanik erregul</w:t>
      </w:r>
      <w:r>
        <w:rPr>
          <w:i/>
          <w:sz w:val="25"/>
          <w:szCs w:val="25"/>
        </w:rPr>
        <w:t>a</w:t>
      </w:r>
      <w:r>
        <w:rPr>
          <w:i/>
          <w:sz w:val="25"/>
          <w:szCs w:val="25"/>
        </w:rPr>
        <w:t xml:space="preserve">rizatzen joan da. </w:t>
      </w:r>
    </w:p>
    <w:p w:rsidR="00575F41" w:rsidRDefault="0084609D" w:rsidP="00575F41">
      <w:pPr>
        <w:pStyle w:val="texto"/>
        <w:spacing w:after="240"/>
        <w:rPr>
          <w:i/>
          <w:sz w:val="25"/>
          <w:szCs w:val="25"/>
        </w:rPr>
      </w:pPr>
      <w:r>
        <w:rPr>
          <w:i/>
          <w:sz w:val="25"/>
          <w:szCs w:val="25"/>
        </w:rPr>
        <w:t xml:space="preserve">Aurrekoa gorabehera, denbora igaro ahala, nabarmen hobetu dira aplikazio informatikoak eta prozedurak. Gaur egun, esan daiteke Nafarroak nahiko ongi betetzen duela </w:t>
      </w:r>
      <w:proofErr w:type="spellStart"/>
      <w:r>
        <w:rPr>
          <w:i/>
          <w:sz w:val="25"/>
          <w:szCs w:val="25"/>
        </w:rPr>
        <w:t>AMASISekiko</w:t>
      </w:r>
      <w:proofErr w:type="spellEnd"/>
      <w:r>
        <w:rPr>
          <w:i/>
          <w:sz w:val="25"/>
          <w:szCs w:val="25"/>
        </w:rPr>
        <w:t xml:space="preserve"> kontrol-lankidetzaren printzipioa eta hari inform</w:t>
      </w:r>
      <w:r>
        <w:rPr>
          <w:i/>
          <w:sz w:val="25"/>
          <w:szCs w:val="25"/>
        </w:rPr>
        <w:t>a</w:t>
      </w:r>
      <w:r>
        <w:rPr>
          <w:i/>
          <w:sz w:val="25"/>
          <w:szCs w:val="25"/>
        </w:rPr>
        <w:t>zio gaurkotua bidaltzearena.</w:t>
      </w:r>
      <w:bookmarkEnd w:id="4"/>
      <w:bookmarkEnd w:id="5"/>
      <w:bookmarkEnd w:id="6"/>
      <w:bookmarkEnd w:id="7"/>
      <w:bookmarkEnd w:id="8"/>
      <w:bookmarkEnd w:id="9"/>
      <w:r>
        <w:br w:type="page"/>
      </w:r>
    </w:p>
    <w:p w:rsidR="00575F41" w:rsidRDefault="00575F41" w:rsidP="008A41C2">
      <w:pPr>
        <w:pStyle w:val="atitulo1"/>
        <w:ind w:left="142"/>
        <w:rPr>
          <w:sz w:val="28"/>
        </w:rPr>
      </w:pPr>
      <w:bookmarkStart w:id="24" w:name="_Toc70403863"/>
      <w:r>
        <w:rPr>
          <w:sz w:val="28"/>
        </w:rPr>
        <w:t>Behin-behineko txostenari aurkeztutako alegazioak</w:t>
      </w:r>
      <w:bookmarkEnd w:id="24"/>
    </w:p>
    <w:p w:rsidR="00D63041" w:rsidRPr="008A41C2" w:rsidRDefault="00D63041" w:rsidP="00D63041">
      <w:pPr>
        <w:pStyle w:val="Textoindependiente"/>
        <w:spacing w:before="153"/>
        <w:ind w:left="821" w:right="116"/>
        <w:rPr>
          <w:rFonts w:cs="Arial"/>
          <w:sz w:val="19"/>
          <w:szCs w:val="19"/>
        </w:rPr>
      </w:pPr>
      <w:r>
        <w:rPr>
          <w:sz w:val="19"/>
          <w:szCs w:val="19"/>
        </w:rPr>
        <w:t>Pertsonen Autonomiarako eta Garapenerako Nafarroako Agentziatik honako alegazio hauek egin nahi dizkiogu Mendekotasun Legeko ordainketak Nafarroan kudeatu eta kontr</w:t>
      </w:r>
      <w:r>
        <w:rPr>
          <w:sz w:val="19"/>
          <w:szCs w:val="19"/>
        </w:rPr>
        <w:t>o</w:t>
      </w:r>
      <w:r>
        <w:rPr>
          <w:sz w:val="19"/>
          <w:szCs w:val="19"/>
        </w:rPr>
        <w:t>latzeari buruz Kontuen Ganberak eginiko behin-behineko txostenari:</w:t>
      </w:r>
    </w:p>
    <w:p w:rsidR="00D63041" w:rsidRPr="008A41C2" w:rsidRDefault="00D63041" w:rsidP="00D63041">
      <w:pPr>
        <w:pStyle w:val="Ttulo1"/>
        <w:rPr>
          <w:b w:val="0"/>
          <w:bCs w:val="0"/>
          <w:sz w:val="19"/>
          <w:szCs w:val="19"/>
        </w:rPr>
      </w:pPr>
      <w:bookmarkStart w:id="25" w:name="_Toc70403864"/>
      <w:r>
        <w:rPr>
          <w:sz w:val="19"/>
          <w:szCs w:val="19"/>
        </w:rPr>
        <w:t>Txostenean jasotako informazioari buruz:</w:t>
      </w:r>
      <w:bookmarkEnd w:id="25"/>
    </w:p>
    <w:p w:rsidR="00D63041" w:rsidRPr="008A41C2" w:rsidRDefault="00D63041" w:rsidP="00D63041">
      <w:pPr>
        <w:pStyle w:val="Textoindependiente"/>
        <w:widowControl w:val="0"/>
        <w:numPr>
          <w:ilvl w:val="0"/>
          <w:numId w:val="17"/>
        </w:numPr>
        <w:tabs>
          <w:tab w:val="left" w:pos="1182"/>
        </w:tabs>
        <w:spacing w:before="178" w:line="276" w:lineRule="auto"/>
        <w:ind w:right="117"/>
        <w:jc w:val="both"/>
        <w:rPr>
          <w:rFonts w:cs="Arial"/>
          <w:sz w:val="19"/>
          <w:szCs w:val="19"/>
        </w:rPr>
      </w:pPr>
      <w:r>
        <w:rPr>
          <w:sz w:val="19"/>
          <w:szCs w:val="19"/>
        </w:rPr>
        <w:t xml:space="preserve">Mendekotasun Legearekin zerikusia duten gastu eta diru-sarreren taulan eskainitako datuei dagokienez, bertan jasotzen dira </w:t>
      </w:r>
      <w:proofErr w:type="spellStart"/>
      <w:r>
        <w:rPr>
          <w:sz w:val="19"/>
          <w:szCs w:val="19"/>
        </w:rPr>
        <w:t>PAGNAren</w:t>
      </w:r>
      <w:proofErr w:type="spellEnd"/>
      <w:r>
        <w:rPr>
          <w:sz w:val="19"/>
          <w:szCs w:val="19"/>
        </w:rPr>
        <w:t xml:space="preserve"> 2013tik aurrerako gastu orokorrak, eta horietan gehikuntza oso nabarmena ikus daiteke 2016ko ekitaldian, 2015ekoarekin alderatuta. Gehikuntza hori ez da proportzionala mendekotasun-alorreko gasturako partidetan. Horren arrazoia da 2015aren amaiera aldera Familiaren eta Adingabeen Zuzendariordetza atxiki zitzaiola </w:t>
      </w:r>
      <w:proofErr w:type="spellStart"/>
      <w:r>
        <w:rPr>
          <w:sz w:val="19"/>
          <w:szCs w:val="19"/>
        </w:rPr>
        <w:t>PAGNAri</w:t>
      </w:r>
      <w:proofErr w:type="spellEnd"/>
      <w:r>
        <w:rPr>
          <w:sz w:val="19"/>
          <w:szCs w:val="19"/>
        </w:rPr>
        <w:t>, horrekin baterako aurrekontu-gehikuntzarekin. Konparaketa egiteak zifrak desitxura ditzake, garai horretan mendek</w:t>
      </w:r>
      <w:r>
        <w:rPr>
          <w:sz w:val="19"/>
          <w:szCs w:val="19"/>
        </w:rPr>
        <w:t>o</w:t>
      </w:r>
      <w:r>
        <w:rPr>
          <w:sz w:val="19"/>
          <w:szCs w:val="19"/>
        </w:rPr>
        <w:t>tasun-gastuak beherakada izan zuela ondorioztatzeagatik. Proposatzen dugu azalpen-ohar bat eranstea taulari, horren ulermena erraztuko duena.</w:t>
      </w:r>
    </w:p>
    <w:p w:rsidR="00D63041" w:rsidRPr="008A41C2" w:rsidRDefault="00D63041" w:rsidP="00D63041">
      <w:pPr>
        <w:pStyle w:val="Textoindependiente"/>
        <w:spacing w:line="276" w:lineRule="auto"/>
        <w:ind w:left="1181" w:right="115"/>
        <w:rPr>
          <w:rFonts w:cs="Arial"/>
          <w:sz w:val="19"/>
          <w:szCs w:val="19"/>
        </w:rPr>
      </w:pPr>
      <w:proofErr w:type="spellStart"/>
      <w:r>
        <w:rPr>
          <w:sz w:val="19"/>
          <w:szCs w:val="19"/>
        </w:rPr>
        <w:t>PAGNAren</w:t>
      </w:r>
      <w:proofErr w:type="spellEnd"/>
      <w:r>
        <w:rPr>
          <w:sz w:val="19"/>
          <w:szCs w:val="19"/>
        </w:rPr>
        <w:t xml:space="preserve"> gastuari kendu egiten badiogu Familiaren eta Adingabeen Zuzendaritzara bideratutakoa, mendekotasunari 2019an eskainitako portzentajeak guztizkoaren % 75,8 egiten du. Proposatzen dugu 8. orrialdeko bigarren puntua honela aldatzea: Me</w:t>
      </w:r>
      <w:r>
        <w:rPr>
          <w:sz w:val="19"/>
          <w:szCs w:val="19"/>
        </w:rPr>
        <w:t>n</w:t>
      </w:r>
      <w:r>
        <w:rPr>
          <w:sz w:val="19"/>
          <w:szCs w:val="19"/>
        </w:rPr>
        <w:t xml:space="preserve">dekotasunerako gastuek </w:t>
      </w:r>
      <w:proofErr w:type="spellStart"/>
      <w:r>
        <w:rPr>
          <w:sz w:val="19"/>
          <w:szCs w:val="19"/>
        </w:rPr>
        <w:t>PAGNAren</w:t>
      </w:r>
      <w:proofErr w:type="spellEnd"/>
      <w:r>
        <w:rPr>
          <w:sz w:val="19"/>
          <w:szCs w:val="19"/>
        </w:rPr>
        <w:t xml:space="preserve"> 2019ko guztizkoaren % 75,8 egiten dute, baldin eta konparazioa erakunde horrek 2015ean zeukan egitura berarekin egiten badugu".</w:t>
      </w:r>
    </w:p>
    <w:p w:rsidR="00D63041" w:rsidRPr="008A41C2" w:rsidRDefault="00D63041" w:rsidP="00D63041">
      <w:pPr>
        <w:pStyle w:val="Textoindependiente"/>
        <w:widowControl w:val="0"/>
        <w:numPr>
          <w:ilvl w:val="0"/>
          <w:numId w:val="17"/>
        </w:numPr>
        <w:tabs>
          <w:tab w:val="left" w:pos="1182"/>
        </w:tabs>
        <w:spacing w:before="202" w:line="276" w:lineRule="auto"/>
        <w:ind w:right="116"/>
        <w:jc w:val="both"/>
        <w:rPr>
          <w:rFonts w:cs="Arial"/>
          <w:sz w:val="19"/>
          <w:szCs w:val="19"/>
        </w:rPr>
      </w:pPr>
      <w:r>
        <w:rPr>
          <w:sz w:val="19"/>
          <w:szCs w:val="19"/>
        </w:rPr>
        <w:t>Bederatzigarren orrialdeko 4. paragrafoan kontrajarri egien zaio estatu-irizpidea, aut</w:t>
      </w:r>
      <w:r>
        <w:rPr>
          <w:sz w:val="19"/>
          <w:szCs w:val="19"/>
        </w:rPr>
        <w:t>o</w:t>
      </w:r>
      <w:r>
        <w:rPr>
          <w:sz w:val="19"/>
          <w:szCs w:val="19"/>
        </w:rPr>
        <w:t xml:space="preserve">nomia-erkidegoen mendekotasun-gastuaren parte bat finantzatzearena, </w:t>
      </w:r>
      <w:proofErr w:type="spellStart"/>
      <w:r>
        <w:rPr>
          <w:sz w:val="19"/>
          <w:szCs w:val="19"/>
        </w:rPr>
        <w:t>PAGNAk</w:t>
      </w:r>
      <w:proofErr w:type="spellEnd"/>
      <w:r>
        <w:rPr>
          <w:sz w:val="19"/>
          <w:szCs w:val="19"/>
        </w:rPr>
        <w:t xml:space="preserve"> ha</w:t>
      </w:r>
      <w:r>
        <w:rPr>
          <w:sz w:val="19"/>
          <w:szCs w:val="19"/>
        </w:rPr>
        <w:t>u</w:t>
      </w:r>
      <w:r>
        <w:rPr>
          <w:sz w:val="19"/>
          <w:szCs w:val="19"/>
        </w:rPr>
        <w:t>tatu duen ereduari, zeinak aldezten baitu dena delako pertsona ahalik eta denbora l</w:t>
      </w:r>
      <w:r>
        <w:rPr>
          <w:sz w:val="19"/>
          <w:szCs w:val="19"/>
        </w:rPr>
        <w:t>u</w:t>
      </w:r>
      <w:r>
        <w:rPr>
          <w:sz w:val="19"/>
          <w:szCs w:val="19"/>
        </w:rPr>
        <w:t>zeenez egon dadila familiarekin. Nabarmendu nahi genuke eredu hori bat datorrela Mendekotasun Legean bertan 3. i artikuluan jasotzen diren printzipioekin. "Mendekot</w:t>
      </w:r>
      <w:r>
        <w:rPr>
          <w:sz w:val="19"/>
          <w:szCs w:val="19"/>
        </w:rPr>
        <w:t>a</w:t>
      </w:r>
      <w:r>
        <w:rPr>
          <w:sz w:val="19"/>
          <w:szCs w:val="19"/>
        </w:rPr>
        <w:t>sun-egoeran dauden pertsonak ahal den guztietan egon daitezen beren bizitza egiten duten ingurunean." Ildo horretan, gure sistema Mendekotasun Legearen espiritutik a</w:t>
      </w:r>
      <w:r>
        <w:rPr>
          <w:sz w:val="19"/>
          <w:szCs w:val="19"/>
        </w:rPr>
        <w:t>l</w:t>
      </w:r>
      <w:r>
        <w:rPr>
          <w:sz w:val="19"/>
          <w:szCs w:val="19"/>
        </w:rPr>
        <w:t>dentzen duena da diru-prestazioen kopuru handia, pertsonak beren ingurunean ma</w:t>
      </w:r>
      <w:r>
        <w:rPr>
          <w:sz w:val="19"/>
          <w:szCs w:val="19"/>
        </w:rPr>
        <w:t>n</w:t>
      </w:r>
      <w:r>
        <w:rPr>
          <w:sz w:val="19"/>
          <w:szCs w:val="19"/>
        </w:rPr>
        <w:t>tentzeko beharrezkoak diren zerbitzuen aldean. Zaintzaile profesionalak kontratatzeko diru-prestazioa, 2018an berreskuratua, bideratuta doa egoera hori konpontzera, eta prestazio hori zerbitzu baten kontratazioari lotutakotzat jotzen da.</w:t>
      </w:r>
    </w:p>
    <w:p w:rsidR="00D63041" w:rsidRPr="008A41C2" w:rsidRDefault="00D63041" w:rsidP="00D63041">
      <w:pPr>
        <w:pStyle w:val="Textoindependiente"/>
        <w:widowControl w:val="0"/>
        <w:numPr>
          <w:ilvl w:val="0"/>
          <w:numId w:val="17"/>
        </w:numPr>
        <w:tabs>
          <w:tab w:val="left" w:pos="1102"/>
        </w:tabs>
        <w:spacing w:before="52" w:line="276" w:lineRule="auto"/>
        <w:ind w:left="1102" w:right="115"/>
        <w:jc w:val="both"/>
        <w:rPr>
          <w:rFonts w:cs="Arial"/>
          <w:sz w:val="19"/>
          <w:szCs w:val="19"/>
        </w:rPr>
      </w:pPr>
      <w:r>
        <w:rPr>
          <w:sz w:val="19"/>
          <w:szCs w:val="19"/>
        </w:rPr>
        <w:t>11. orrialdeko bigarren puntuari buruz, argitu behar da ezen, nahiz eta araudiak sei hil</w:t>
      </w:r>
      <w:r>
        <w:rPr>
          <w:sz w:val="19"/>
          <w:szCs w:val="19"/>
        </w:rPr>
        <w:t>a</w:t>
      </w:r>
      <w:r>
        <w:rPr>
          <w:sz w:val="19"/>
          <w:szCs w:val="19"/>
        </w:rPr>
        <w:t>beteko gehieneko epea ezarri eskabidearen sarrera-egunaren eta, kasua bada, mend</w:t>
      </w:r>
      <w:r>
        <w:rPr>
          <w:sz w:val="19"/>
          <w:szCs w:val="19"/>
        </w:rPr>
        <w:t>e</w:t>
      </w:r>
      <w:r>
        <w:rPr>
          <w:sz w:val="19"/>
          <w:szCs w:val="19"/>
        </w:rPr>
        <w:t>kotasun-prestazioa aitortzeko ebazpenaren artean, hurrengo taulak epe horien bilaka</w:t>
      </w:r>
      <w:r>
        <w:rPr>
          <w:sz w:val="19"/>
          <w:szCs w:val="19"/>
        </w:rPr>
        <w:t>e</w:t>
      </w:r>
      <w:r>
        <w:rPr>
          <w:sz w:val="19"/>
          <w:szCs w:val="19"/>
        </w:rPr>
        <w:t>rari buruz ematen dituen datuak ez direla zehatz-mehatz kontzeptu horri buruzkoak. Datu horiek batu egin dute eskabidetik mendekotasun-egoeraren baloraziora arte doan epea eta prestazioaren batez besteko aitorpen-denbora. Denbora hori da mendekot</w:t>
      </w:r>
      <w:r>
        <w:rPr>
          <w:sz w:val="19"/>
          <w:szCs w:val="19"/>
        </w:rPr>
        <w:t>a</w:t>
      </w:r>
      <w:r>
        <w:rPr>
          <w:sz w:val="19"/>
          <w:szCs w:val="19"/>
        </w:rPr>
        <w:t xml:space="preserve">sunaren baloraziotik </w:t>
      </w:r>
      <w:proofErr w:type="spellStart"/>
      <w:r>
        <w:rPr>
          <w:sz w:val="19"/>
          <w:szCs w:val="19"/>
        </w:rPr>
        <w:t>BAPa</w:t>
      </w:r>
      <w:proofErr w:type="spellEnd"/>
      <w:r>
        <w:rPr>
          <w:sz w:val="19"/>
          <w:szCs w:val="19"/>
        </w:rPr>
        <w:t xml:space="preserve"> onartzen den arte, eta oraindik ere eginkizun gelditzen da prestazio-ematearen gauzatzea (une horretan jaulkitzen da prestazio-aitorpeneko eba</w:t>
      </w:r>
      <w:r>
        <w:rPr>
          <w:sz w:val="19"/>
          <w:szCs w:val="19"/>
        </w:rPr>
        <w:t>z</w:t>
      </w:r>
      <w:r>
        <w:rPr>
          <w:sz w:val="19"/>
          <w:szCs w:val="19"/>
        </w:rPr>
        <w:t>pena).</w:t>
      </w:r>
    </w:p>
    <w:p w:rsidR="00D63041" w:rsidRPr="008A41C2" w:rsidRDefault="00D63041" w:rsidP="00D63041">
      <w:pPr>
        <w:pStyle w:val="Ttulo1"/>
        <w:ind w:left="163"/>
        <w:rPr>
          <w:b w:val="0"/>
          <w:bCs w:val="0"/>
          <w:sz w:val="19"/>
          <w:szCs w:val="19"/>
        </w:rPr>
      </w:pPr>
      <w:bookmarkStart w:id="26" w:name="_Toc70403865"/>
      <w:r>
        <w:rPr>
          <w:sz w:val="19"/>
          <w:szCs w:val="19"/>
        </w:rPr>
        <w:t>Kontuen Auzitegiak 2014ko maiatzeko bere txostenean eman zituen gomendioei dag</w:t>
      </w:r>
      <w:r>
        <w:rPr>
          <w:sz w:val="19"/>
          <w:szCs w:val="19"/>
        </w:rPr>
        <w:t>o</w:t>
      </w:r>
      <w:r>
        <w:rPr>
          <w:sz w:val="19"/>
          <w:szCs w:val="19"/>
        </w:rPr>
        <w:t>kienez:</w:t>
      </w:r>
      <w:bookmarkEnd w:id="26"/>
    </w:p>
    <w:p w:rsidR="00D63041" w:rsidRPr="008A41C2" w:rsidRDefault="00D63041" w:rsidP="00D63041">
      <w:pPr>
        <w:pStyle w:val="Textoindependiente"/>
        <w:widowControl w:val="0"/>
        <w:numPr>
          <w:ilvl w:val="0"/>
          <w:numId w:val="17"/>
        </w:numPr>
        <w:tabs>
          <w:tab w:val="left" w:pos="1102"/>
        </w:tabs>
        <w:spacing w:line="276" w:lineRule="auto"/>
        <w:ind w:left="1102" w:right="118"/>
        <w:jc w:val="both"/>
        <w:rPr>
          <w:rFonts w:cs="Arial"/>
          <w:sz w:val="19"/>
          <w:szCs w:val="19"/>
        </w:rPr>
      </w:pPr>
      <w:r>
        <w:rPr>
          <w:sz w:val="19"/>
          <w:szCs w:val="19"/>
        </w:rPr>
        <w:t>16. orrialdean aipatzen da partzialki aplikatu diren gomendioetako bat; izan ere, onur</w:t>
      </w:r>
      <w:r>
        <w:rPr>
          <w:sz w:val="19"/>
          <w:szCs w:val="19"/>
        </w:rPr>
        <w:t>a</w:t>
      </w:r>
      <w:r>
        <w:rPr>
          <w:sz w:val="19"/>
          <w:szCs w:val="19"/>
        </w:rPr>
        <w:t>dunen ahalmen ekonomikoari buruzko araudi-aldaketak jakinarazi beharrekoak ziren, eta ez da halakorik egin. Departamentuan gomendio hori aintzat hartzen dugu, etork</w:t>
      </w:r>
      <w:r>
        <w:rPr>
          <w:sz w:val="19"/>
          <w:szCs w:val="19"/>
        </w:rPr>
        <w:t>i</w:t>
      </w:r>
      <w:r>
        <w:rPr>
          <w:sz w:val="19"/>
          <w:szCs w:val="19"/>
        </w:rPr>
        <w:t>zuneko araugintza-zereginetarako.</w:t>
      </w:r>
    </w:p>
    <w:p w:rsidR="00D63041" w:rsidRPr="008A41C2" w:rsidRDefault="00D63041" w:rsidP="00D63041">
      <w:pPr>
        <w:pStyle w:val="Textoindependiente"/>
        <w:widowControl w:val="0"/>
        <w:numPr>
          <w:ilvl w:val="0"/>
          <w:numId w:val="17"/>
        </w:numPr>
        <w:tabs>
          <w:tab w:val="left" w:pos="1102"/>
        </w:tabs>
        <w:spacing w:line="276" w:lineRule="auto"/>
        <w:ind w:left="1102" w:right="114"/>
        <w:jc w:val="both"/>
        <w:rPr>
          <w:rFonts w:cs="Arial"/>
          <w:sz w:val="19"/>
          <w:szCs w:val="19"/>
        </w:rPr>
      </w:pPr>
      <w:r>
        <w:rPr>
          <w:sz w:val="19"/>
          <w:szCs w:val="19"/>
        </w:rPr>
        <w:t>17. orrialdean eta konklusioetan adierazten da beharrezkoa dela kontabilitate analit</w:t>
      </w:r>
      <w:r>
        <w:rPr>
          <w:sz w:val="19"/>
          <w:szCs w:val="19"/>
        </w:rPr>
        <w:t>i</w:t>
      </w:r>
      <w:r>
        <w:rPr>
          <w:sz w:val="19"/>
          <w:szCs w:val="19"/>
        </w:rPr>
        <w:t>koko sistema bat ezartzea, modua emanen duena mendekotasunaren alorreko gastua zehazteko eta prezio publiko batzuen finkapena hobetzeko. Sustapen eta Eraldaketa Digitalaren Zerbitzuarekin eta Ekonomia eta Aurrekontuak Kudeatzeko Atalarekin azte</w:t>
      </w:r>
      <w:r>
        <w:rPr>
          <w:sz w:val="19"/>
          <w:szCs w:val="19"/>
        </w:rPr>
        <w:t>r</w:t>
      </w:r>
      <w:r>
        <w:rPr>
          <w:sz w:val="19"/>
          <w:szCs w:val="19"/>
        </w:rPr>
        <w:t>tuko da nola ekin behar zaion gomendio horri.</w:t>
      </w:r>
    </w:p>
    <w:p w:rsidR="00D63041" w:rsidRPr="008A41C2" w:rsidRDefault="00D63041" w:rsidP="00D63041">
      <w:pPr>
        <w:widowControl w:val="0"/>
        <w:numPr>
          <w:ilvl w:val="0"/>
          <w:numId w:val="17"/>
        </w:numPr>
        <w:tabs>
          <w:tab w:val="left" w:pos="730"/>
        </w:tabs>
        <w:spacing w:after="0" w:line="276" w:lineRule="auto"/>
        <w:ind w:left="730" w:right="116"/>
        <w:jc w:val="both"/>
        <w:rPr>
          <w:rFonts w:ascii="Arial" w:hAnsi="Arial" w:cs="Arial"/>
          <w:sz w:val="19"/>
          <w:szCs w:val="19"/>
        </w:rPr>
      </w:pPr>
      <w:r>
        <w:rPr>
          <w:rFonts w:ascii="Arial" w:hAnsi="Arial"/>
          <w:sz w:val="19"/>
          <w:szCs w:val="19"/>
        </w:rPr>
        <w:t>17. orrialdean, gomendio honi buruz: "Gizarte Zerbitzuen eta Autonomiarako eta Mendek</w:t>
      </w:r>
      <w:r>
        <w:rPr>
          <w:rFonts w:ascii="Arial" w:hAnsi="Arial"/>
          <w:sz w:val="19"/>
          <w:szCs w:val="19"/>
        </w:rPr>
        <w:t>o</w:t>
      </w:r>
      <w:r>
        <w:rPr>
          <w:rFonts w:ascii="Arial" w:hAnsi="Arial"/>
          <w:sz w:val="19"/>
          <w:szCs w:val="19"/>
        </w:rPr>
        <w:t>tasun-arretarako Sistemaren Lurralde Kontseiluak eta autonomia erkidegoek indartu egin beharko lituzkete Mendekotasun Legearen 18.4 eta 36. artikuluetan aurreikusitako prest</w:t>
      </w:r>
      <w:r>
        <w:rPr>
          <w:rFonts w:ascii="Arial" w:hAnsi="Arial"/>
          <w:sz w:val="19"/>
          <w:szCs w:val="19"/>
        </w:rPr>
        <w:t>a</w:t>
      </w:r>
      <w:r>
        <w:rPr>
          <w:rFonts w:ascii="Arial" w:hAnsi="Arial"/>
          <w:sz w:val="19"/>
          <w:szCs w:val="19"/>
        </w:rPr>
        <w:t>kuntza-jarduerak eta -programak, zaintzaile ez-profesionalei zuzenduak, eraginkorki lagu</w:t>
      </w:r>
      <w:r>
        <w:rPr>
          <w:rFonts w:ascii="Arial" w:hAnsi="Arial"/>
          <w:sz w:val="19"/>
          <w:szCs w:val="19"/>
        </w:rPr>
        <w:t>n</w:t>
      </w:r>
      <w:r>
        <w:rPr>
          <w:rFonts w:ascii="Arial" w:hAnsi="Arial"/>
          <w:sz w:val="19"/>
          <w:szCs w:val="19"/>
        </w:rPr>
        <w:t>garriak badira, haiei trebakuntza profesional egokia emanez, mendekotasunaren arretarako zerbitzuetan enplegua sustatzeko."</w:t>
      </w:r>
      <w:r>
        <w:rPr>
          <w:rFonts w:ascii="Arial" w:hAnsi="Arial"/>
          <w:i/>
          <w:sz w:val="19"/>
          <w:szCs w:val="19"/>
        </w:rPr>
        <w:t xml:space="preserve"> </w:t>
      </w:r>
      <w:r>
        <w:rPr>
          <w:rFonts w:ascii="Arial" w:hAnsi="Arial"/>
          <w:sz w:val="19"/>
          <w:szCs w:val="19"/>
        </w:rPr>
        <w:t>Jakinarazten da gomendio hori ez dela aplikatu, ez ba</w:t>
      </w:r>
      <w:r>
        <w:rPr>
          <w:rFonts w:ascii="Arial" w:hAnsi="Arial"/>
          <w:sz w:val="19"/>
          <w:szCs w:val="19"/>
        </w:rPr>
        <w:t>i</w:t>
      </w:r>
      <w:r>
        <w:rPr>
          <w:rFonts w:ascii="Arial" w:hAnsi="Arial"/>
          <w:sz w:val="19"/>
          <w:szCs w:val="19"/>
        </w:rPr>
        <w:t>tira indartu mendekotasunaren arretarako zerbitzuetan zaintzaile ez-profesionalei zuzend</w:t>
      </w:r>
      <w:r>
        <w:rPr>
          <w:rFonts w:ascii="Arial" w:hAnsi="Arial"/>
          <w:sz w:val="19"/>
          <w:szCs w:val="19"/>
        </w:rPr>
        <w:t>u</w:t>
      </w:r>
      <w:r>
        <w:rPr>
          <w:rFonts w:ascii="Arial" w:hAnsi="Arial"/>
          <w:sz w:val="19"/>
          <w:szCs w:val="19"/>
        </w:rPr>
        <w:t>tako prestakuntza-jarduerak eta -programak.</w:t>
      </w:r>
    </w:p>
    <w:p w:rsidR="00D63041" w:rsidRPr="008A41C2" w:rsidRDefault="00D63041" w:rsidP="00D63041">
      <w:pPr>
        <w:pStyle w:val="Textoindependiente"/>
        <w:spacing w:line="275" w:lineRule="auto"/>
        <w:ind w:left="730" w:right="118" w:firstLine="708"/>
        <w:rPr>
          <w:rFonts w:cs="Arial"/>
          <w:sz w:val="19"/>
          <w:szCs w:val="19"/>
        </w:rPr>
      </w:pPr>
      <w:r>
        <w:rPr>
          <w:sz w:val="19"/>
          <w:szCs w:val="19"/>
        </w:rPr>
        <w:t>Familia-arloko zaintzaile ez-profesionalen prestakuntzari dagokionez, Departame</w:t>
      </w:r>
      <w:r>
        <w:rPr>
          <w:sz w:val="19"/>
          <w:szCs w:val="19"/>
        </w:rPr>
        <w:t>n</w:t>
      </w:r>
      <w:r>
        <w:rPr>
          <w:sz w:val="19"/>
          <w:szCs w:val="19"/>
        </w:rPr>
        <w:t xml:space="preserve">tutik ez da inolako jarduketa berezirik egin, eta datozen urteei begira aurreikusten da familia-arloko zaintzaileen aldezpena eta prestakuntza </w:t>
      </w:r>
      <w:proofErr w:type="spellStart"/>
      <w:r>
        <w:rPr>
          <w:sz w:val="19"/>
          <w:szCs w:val="19"/>
        </w:rPr>
        <w:t>transbertsalki</w:t>
      </w:r>
      <w:proofErr w:type="spellEnd"/>
      <w:r>
        <w:rPr>
          <w:sz w:val="19"/>
          <w:szCs w:val="19"/>
        </w:rPr>
        <w:t xml:space="preserve"> lantzea beste jarduketa batz</w:t>
      </w:r>
      <w:r>
        <w:rPr>
          <w:sz w:val="19"/>
          <w:szCs w:val="19"/>
        </w:rPr>
        <w:t>u</w:t>
      </w:r>
      <w:r>
        <w:rPr>
          <w:sz w:val="19"/>
          <w:szCs w:val="19"/>
        </w:rPr>
        <w:t>ekiko.</w:t>
      </w:r>
    </w:p>
    <w:p w:rsidR="00D63041" w:rsidRPr="008A41C2" w:rsidRDefault="00D63041" w:rsidP="00D63041">
      <w:pPr>
        <w:spacing w:line="275" w:lineRule="auto"/>
        <w:rPr>
          <w:rFonts w:ascii="Arial" w:hAnsi="Arial" w:cs="Arial"/>
          <w:sz w:val="19"/>
          <w:szCs w:val="19"/>
        </w:rPr>
        <w:sectPr w:rsidR="00D63041" w:rsidRPr="008A41C2">
          <w:pgSz w:w="11910" w:h="16840"/>
          <w:pgMar w:top="1340" w:right="1580" w:bottom="280" w:left="1680" w:header="720" w:footer="720" w:gutter="0"/>
          <w:cols w:space="720"/>
        </w:sectPr>
      </w:pPr>
    </w:p>
    <w:p w:rsidR="00D63041" w:rsidRPr="008A41C2" w:rsidRDefault="00D63041" w:rsidP="00D63041">
      <w:pPr>
        <w:pStyle w:val="Textoindependiente"/>
        <w:spacing w:before="52" w:line="276" w:lineRule="auto"/>
        <w:ind w:left="730" w:right="118" w:firstLine="708"/>
        <w:rPr>
          <w:rFonts w:cs="Arial"/>
          <w:sz w:val="19"/>
          <w:szCs w:val="19"/>
        </w:rPr>
      </w:pPr>
      <w:r>
        <w:rPr>
          <w:sz w:val="19"/>
          <w:szCs w:val="19"/>
        </w:rPr>
        <w:t>2020an zehar, Nafarroako Enplegu Zerbitzuarekin lankidetzan, prestakuntza-ekintza bat egin da Foru Komunitatearen lurralde osoan zehar, mendeko pertsonen oinarrizko zai</w:t>
      </w:r>
      <w:r>
        <w:rPr>
          <w:sz w:val="19"/>
          <w:szCs w:val="19"/>
        </w:rPr>
        <w:t>n</w:t>
      </w:r>
      <w:r>
        <w:rPr>
          <w:sz w:val="19"/>
          <w:szCs w:val="19"/>
        </w:rPr>
        <w:t>ketako 30 ordukoa, eta horretan 305 pertsonak lortu dute prestakuntza. Bost autoikasku</w:t>
      </w:r>
      <w:r>
        <w:rPr>
          <w:sz w:val="19"/>
          <w:szCs w:val="19"/>
        </w:rPr>
        <w:t>n</w:t>
      </w:r>
      <w:r>
        <w:rPr>
          <w:sz w:val="19"/>
          <w:szCs w:val="19"/>
        </w:rPr>
        <w:t xml:space="preserve">tza-bideo ere argitaratu dira, ikastaroaren edukia biltzen dutenak, eta Nafarroako Enplegu Zerbitzuaren </w:t>
      </w:r>
      <w:proofErr w:type="spellStart"/>
      <w:r>
        <w:rPr>
          <w:sz w:val="19"/>
          <w:szCs w:val="19"/>
        </w:rPr>
        <w:t>Youtubeko</w:t>
      </w:r>
      <w:proofErr w:type="spellEnd"/>
      <w:r>
        <w:rPr>
          <w:sz w:val="19"/>
          <w:szCs w:val="19"/>
        </w:rPr>
        <w:t xml:space="preserve"> kanalean daudenak. Halaber, Hezkuntza Departamentuarekiko lana abiatua da, behin-behinekoz gaituta dauden pertsonei behar bezalako prestakuntza emate aldera, Autonomiarako eta Mendekotasun-arretarako Sistemaren Lurralde Kontseiluaren 2017ko urriaren 19ko erabakiari jarraikiz. Prestakuntza hori haiek bizileku duten herriaren eta lanaldiaren arabera dituzten aukerei egokitua da.</w:t>
      </w:r>
    </w:p>
    <w:p w:rsidR="00D63041" w:rsidRPr="008A41C2" w:rsidRDefault="00D63041" w:rsidP="008A41C2">
      <w:pPr>
        <w:pStyle w:val="Textoindependiente"/>
        <w:spacing w:line="590" w:lineRule="atLeast"/>
        <w:ind w:left="142" w:right="117"/>
        <w:jc w:val="left"/>
        <w:rPr>
          <w:rFonts w:cs="Arial"/>
          <w:sz w:val="19"/>
          <w:szCs w:val="19"/>
        </w:rPr>
      </w:pPr>
      <w:r>
        <w:rPr>
          <w:sz w:val="19"/>
          <w:szCs w:val="19"/>
        </w:rPr>
        <w:t>Iruñean, 2021eko martxoaren 17an Pertsonen Autonomiarako eta Garapenerako Nafarroako Age</w:t>
      </w:r>
      <w:r>
        <w:rPr>
          <w:sz w:val="19"/>
          <w:szCs w:val="19"/>
        </w:rPr>
        <w:t>n</w:t>
      </w:r>
      <w:r>
        <w:rPr>
          <w:sz w:val="19"/>
          <w:szCs w:val="19"/>
        </w:rPr>
        <w:t xml:space="preserve">tziako zuzendari kudeatzailea: </w:t>
      </w:r>
      <w:proofErr w:type="spellStart"/>
      <w:r>
        <w:rPr>
          <w:sz w:val="19"/>
          <w:szCs w:val="19"/>
        </w:rPr>
        <w:t>Inés</w:t>
      </w:r>
      <w:proofErr w:type="spellEnd"/>
      <w:r>
        <w:rPr>
          <w:sz w:val="19"/>
          <w:szCs w:val="19"/>
        </w:rPr>
        <w:t xml:space="preserve"> </w:t>
      </w:r>
      <w:proofErr w:type="spellStart"/>
      <w:r>
        <w:rPr>
          <w:sz w:val="19"/>
          <w:szCs w:val="19"/>
        </w:rPr>
        <w:t>Francés</w:t>
      </w:r>
      <w:proofErr w:type="spellEnd"/>
      <w:r>
        <w:rPr>
          <w:sz w:val="19"/>
          <w:szCs w:val="19"/>
        </w:rPr>
        <w:t xml:space="preserve"> </w:t>
      </w:r>
      <w:proofErr w:type="spellStart"/>
      <w:r>
        <w:rPr>
          <w:sz w:val="19"/>
          <w:szCs w:val="19"/>
        </w:rPr>
        <w:t>Román</w:t>
      </w:r>
      <w:proofErr w:type="spellEnd"/>
    </w:p>
    <w:p w:rsidR="00D63041" w:rsidRPr="008A41C2" w:rsidRDefault="00D63041" w:rsidP="008A41C2">
      <w:pPr>
        <w:pStyle w:val="Textoindependiente"/>
        <w:spacing w:line="274" w:lineRule="exact"/>
        <w:ind w:left="142"/>
        <w:jc w:val="left"/>
        <w:rPr>
          <w:rFonts w:eastAsia="Times New Roman" w:cs="Arial"/>
          <w:sz w:val="19"/>
          <w:szCs w:val="19"/>
        </w:rPr>
        <w:sectPr w:rsidR="00D63041" w:rsidRPr="008A41C2">
          <w:pgSz w:w="11910" w:h="16840"/>
          <w:pgMar w:top="1340" w:right="1580" w:bottom="280" w:left="1680" w:header="720" w:footer="720" w:gutter="0"/>
          <w:cols w:space="720"/>
        </w:sectPr>
      </w:pPr>
    </w:p>
    <w:p w:rsidR="00644B67" w:rsidRDefault="00575F41" w:rsidP="00133AD7">
      <w:pPr>
        <w:pStyle w:val="atitulo1"/>
      </w:pPr>
      <w:bookmarkStart w:id="27" w:name="_Toc70403866"/>
      <w:r>
        <w:t>Behin-behineko txostenari aurkeztutako alegazioei Kontuen Ganberak emandako erantzuna</w:t>
      </w:r>
      <w:bookmarkEnd w:id="27"/>
    </w:p>
    <w:p w:rsidR="00575F41" w:rsidRPr="00240759" w:rsidRDefault="00575F41" w:rsidP="00575F41">
      <w:pPr>
        <w:autoSpaceDE w:val="0"/>
        <w:autoSpaceDN w:val="0"/>
        <w:adjustRightInd w:val="0"/>
        <w:spacing w:after="0"/>
        <w:ind w:firstLine="0"/>
        <w:jc w:val="left"/>
        <w:rPr>
          <w:rFonts w:ascii="Arial-BoldMT" w:hAnsi="Arial-BoldMT" w:cs="Arial-BoldMT"/>
          <w:b/>
          <w:bCs/>
          <w:sz w:val="25"/>
          <w:szCs w:val="25"/>
          <w:lang w:eastAsia="es-ES"/>
        </w:rPr>
      </w:pPr>
    </w:p>
    <w:p w:rsidR="00575F41" w:rsidRDefault="00575F41" w:rsidP="000C37FE">
      <w:pPr>
        <w:autoSpaceDE w:val="0"/>
        <w:autoSpaceDN w:val="0"/>
        <w:adjustRightInd w:val="0"/>
        <w:spacing w:after="0"/>
        <w:ind w:firstLine="284"/>
        <w:rPr>
          <w:rFonts w:ascii="ArialMT" w:hAnsi="ArialMT" w:cs="ArialMT"/>
          <w:sz w:val="24"/>
          <w:szCs w:val="24"/>
        </w:rPr>
      </w:pPr>
      <w:r>
        <w:rPr>
          <w:rFonts w:ascii="ArialMT" w:hAnsi="ArialMT"/>
          <w:sz w:val="24"/>
          <w:szCs w:val="24"/>
        </w:rPr>
        <w:t>Eskerrak ematen dizkiogu Pertsonen Autonomiarako eta Garapenerako Naf</w:t>
      </w:r>
      <w:r>
        <w:rPr>
          <w:rFonts w:ascii="ArialMT" w:hAnsi="ArialMT"/>
          <w:sz w:val="24"/>
          <w:szCs w:val="24"/>
        </w:rPr>
        <w:t>a</w:t>
      </w:r>
      <w:r>
        <w:rPr>
          <w:rFonts w:ascii="ArialMT" w:hAnsi="ArialMT"/>
          <w:sz w:val="24"/>
          <w:szCs w:val="24"/>
        </w:rPr>
        <w:t>rroako Agentziako zuzendari kudeatzaileari aurkeztu dizkigun alegazioengatik. Alegazio horiek behin-behineko txostenari eransten zaizkio eta hori behin betik</w:t>
      </w:r>
      <w:r>
        <w:rPr>
          <w:rFonts w:ascii="ArialMT" w:hAnsi="ArialMT"/>
          <w:sz w:val="24"/>
          <w:szCs w:val="24"/>
        </w:rPr>
        <w:t>o</w:t>
      </w:r>
      <w:r>
        <w:rPr>
          <w:rFonts w:ascii="ArialMT" w:hAnsi="ArialMT"/>
          <w:sz w:val="24"/>
          <w:szCs w:val="24"/>
        </w:rPr>
        <w:t>tzat ezartzen da, jotzen baita egindako fiskalizazioaren azalpen bat direla alegazio horiek, eta ez dutela haren edukia aldatzen.</w:t>
      </w:r>
    </w:p>
    <w:p w:rsidR="000C37FE" w:rsidRPr="00240759" w:rsidRDefault="000C37FE" w:rsidP="00575F41">
      <w:pPr>
        <w:autoSpaceDE w:val="0"/>
        <w:autoSpaceDN w:val="0"/>
        <w:adjustRightInd w:val="0"/>
        <w:spacing w:after="0"/>
        <w:ind w:firstLine="720"/>
        <w:rPr>
          <w:rFonts w:ascii="ArialMT" w:hAnsi="ArialMT" w:cs="ArialMT"/>
          <w:sz w:val="24"/>
          <w:szCs w:val="24"/>
          <w:lang w:eastAsia="es-ES"/>
        </w:rPr>
      </w:pPr>
    </w:p>
    <w:p w:rsidR="000C37FE" w:rsidRDefault="000C37FE" w:rsidP="000C37FE">
      <w:pPr>
        <w:pStyle w:val="texto"/>
        <w:spacing w:before="240" w:after="0"/>
        <w:ind w:firstLine="0"/>
        <w:jc w:val="center"/>
      </w:pPr>
      <w:r>
        <w:t>Iruñean, 2021eko martxoaren 18an</w:t>
      </w:r>
    </w:p>
    <w:p w:rsidR="000C37FE" w:rsidRPr="00385010" w:rsidRDefault="000C37FE" w:rsidP="000C37FE">
      <w:pPr>
        <w:pStyle w:val="texto"/>
        <w:spacing w:before="240" w:after="0"/>
        <w:ind w:firstLine="0"/>
        <w:jc w:val="center"/>
        <w:rPr>
          <w:i/>
          <w:iCs/>
        </w:rP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0C37FE" w:rsidRPr="00644B67" w:rsidRDefault="000C37FE" w:rsidP="00575F41">
      <w:pPr>
        <w:autoSpaceDE w:val="0"/>
        <w:autoSpaceDN w:val="0"/>
        <w:adjustRightInd w:val="0"/>
        <w:spacing w:after="0"/>
        <w:ind w:firstLine="720"/>
        <w:rPr>
          <w:i/>
          <w:sz w:val="25"/>
          <w:szCs w:val="25"/>
        </w:rPr>
      </w:pPr>
    </w:p>
    <w:sectPr w:rsidR="000C37FE" w:rsidRPr="00644B67" w:rsidSect="00126E6A">
      <w:headerReference w:type="even" r:id="rId25"/>
      <w:footerReference w:type="default" r:id="rId26"/>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FE" w:rsidRDefault="000C37FE">
      <w:r>
        <w:separator/>
      </w:r>
    </w:p>
    <w:p w:rsidR="000C37FE" w:rsidRDefault="000C37FE"/>
    <w:p w:rsidR="000C37FE" w:rsidRDefault="000C37FE"/>
    <w:p w:rsidR="000C37FE" w:rsidRDefault="000C37FE"/>
  </w:endnote>
  <w:endnote w:type="continuationSeparator" w:id="0">
    <w:p w:rsidR="000C37FE" w:rsidRDefault="000C37FE">
      <w:r>
        <w:continuationSeparator/>
      </w:r>
    </w:p>
    <w:p w:rsidR="000C37FE" w:rsidRDefault="000C37FE"/>
    <w:p w:rsidR="000C37FE" w:rsidRDefault="000C37FE"/>
    <w:p w:rsidR="000C37FE" w:rsidRDefault="000C3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Trajan">
    <w:panose1 w:val="00000000000000000000"/>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0759">
      <w:rPr>
        <w:rStyle w:val="Nmerodepgina"/>
        <w:noProof/>
      </w:rPr>
      <w:t>31</w:t>
    </w:r>
    <w:r>
      <w:rPr>
        <w:rStyle w:val="Nmerodepgina"/>
      </w:rPr>
      <w:fldChar w:fldCharType="end"/>
    </w:r>
  </w:p>
  <w:p w:rsidR="000C37FE" w:rsidRDefault="000C37FE" w:rsidP="0059650E">
    <w:pPr>
      <w:pStyle w:val="Piedepgina"/>
      <w:ind w:right="360"/>
    </w:pPr>
  </w:p>
  <w:p w:rsidR="000C37FE" w:rsidRDefault="000C37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C37FE" w:rsidRPr="00F74E38" w:rsidRDefault="000C37FE" w:rsidP="00F03814">
    <w:pPr>
      <w:pStyle w:val="Piedepgina"/>
      <w:tabs>
        <w:tab w:val="clear" w:pos="4252"/>
        <w:tab w:val="clear" w:pos="8504"/>
        <w:tab w:val="center" w:pos="4560"/>
      </w:tabs>
      <w:ind w:right="360"/>
      <w:jc w:val="left"/>
      <w:rPr>
        <w:rStyle w:val="Nmerodepgina"/>
      </w:rPr>
    </w:pPr>
  </w:p>
  <w:p w:rsidR="000C37FE" w:rsidRPr="00C13453" w:rsidRDefault="000C37FE" w:rsidP="00D2472C">
    <w:pPr>
      <w:pStyle w:val="BorradorProvisional"/>
      <w:ind w:left="0"/>
      <w:jc w:val="center"/>
    </w:pPr>
    <w:r>
      <w:t>Amai-zirriborroa</w:t>
    </w:r>
  </w:p>
  <w:p w:rsidR="000C37FE" w:rsidRDefault="000C37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59650E">
    <w:pPr>
      <w:pStyle w:val="Piedepgina"/>
      <w:ind w:right="360"/>
    </w:pPr>
  </w:p>
  <w:p w:rsidR="000C37FE" w:rsidRDefault="000C37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0759">
      <w:rPr>
        <w:rStyle w:val="Nmerodepgina"/>
        <w:noProof/>
      </w:rPr>
      <w:t>31</w:t>
    </w:r>
    <w:r>
      <w:rPr>
        <w:rStyle w:val="Nmerodepgina"/>
      </w:rPr>
      <w:fldChar w:fldCharType="end"/>
    </w:r>
  </w:p>
  <w:p w:rsidR="000C37FE" w:rsidRDefault="000C37FE"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E8E1AFB" wp14:editId="3CADE700">
          <wp:extent cx="219075" cy="371475"/>
          <wp:effectExtent l="0" t="0" r="9525" b="9525"/>
          <wp:docPr id="37" name="Imagen 3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C37FE" w:rsidRPr="00F74E38" w:rsidRDefault="000C37FE"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76F8D83" wp14:editId="6D94C416">
          <wp:extent cx="219075" cy="371475"/>
          <wp:effectExtent l="0" t="0" r="9525" b="9525"/>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3398C">
      <w:rPr>
        <w:rStyle w:val="Nmerodepgina"/>
        <w:noProof/>
        <w:szCs w:val="24"/>
      </w:rPr>
      <w:t>14</w:t>
    </w:r>
    <w:r w:rsidRPr="001D4F09">
      <w:rPr>
        <w:rStyle w:val="Nmerodepgina"/>
        <w:szCs w:val="24"/>
      </w:rPr>
      <w:fldChar w:fldCharType="end"/>
    </w:r>
    <w:r>
      <w:rPr>
        <w:rStyle w:val="Nmerodepgina"/>
        <w:szCs w:val="24"/>
      </w:rPr>
      <w:t xml:space="preserve"> -</w:t>
    </w:r>
  </w:p>
  <w:p w:rsidR="000C37FE" w:rsidRDefault="000C37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F33769A" wp14:editId="7459E076">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3398C">
      <w:rPr>
        <w:rStyle w:val="Nmerodepgina"/>
        <w:noProof/>
        <w:szCs w:val="24"/>
      </w:rPr>
      <w:t>29</w:t>
    </w:r>
    <w:r w:rsidRPr="001D4F09">
      <w:rPr>
        <w:rStyle w:val="Nmerodepgina"/>
        <w:szCs w:val="24"/>
      </w:rPr>
      <w:fldChar w:fldCharType="end"/>
    </w:r>
    <w:r>
      <w:rPr>
        <w:rStyle w:val="Nmerodepgina"/>
        <w:szCs w:val="24"/>
      </w:rPr>
      <w:t xml:space="preserve"> -</w:t>
    </w:r>
  </w:p>
  <w:p w:rsidR="000C37FE" w:rsidRDefault="000C37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A56AE40" wp14:editId="1A67B747">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3398C">
      <w:rPr>
        <w:rStyle w:val="Nmerodepgina"/>
        <w:noProof/>
        <w:szCs w:val="24"/>
      </w:rPr>
      <w:t>31</w:t>
    </w:r>
    <w:r w:rsidRPr="001D4F09">
      <w:rPr>
        <w:rStyle w:val="Nmerodepgina"/>
        <w:szCs w:val="24"/>
      </w:rPr>
      <w:fldChar w:fldCharType="end"/>
    </w:r>
    <w:r>
      <w:rPr>
        <w:rStyle w:val="Nmerodepgina"/>
        <w:szCs w:val="24"/>
      </w:rPr>
      <w:t xml:space="preserve"> -</w:t>
    </w:r>
  </w:p>
  <w:p w:rsidR="000C37FE" w:rsidRDefault="000C37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FE" w:rsidRDefault="000C37FE" w:rsidP="007E3F95">
      <w:pPr>
        <w:ind w:firstLine="0"/>
      </w:pPr>
      <w:r>
        <w:separator/>
      </w:r>
    </w:p>
  </w:footnote>
  <w:footnote w:type="continuationSeparator" w:id="0">
    <w:p w:rsidR="000C37FE" w:rsidRDefault="000C37FE">
      <w:r>
        <w:continuationSeparator/>
      </w:r>
    </w:p>
    <w:p w:rsidR="000C37FE" w:rsidRDefault="000C37FE"/>
    <w:p w:rsidR="000C37FE" w:rsidRDefault="000C37FE"/>
    <w:p w:rsidR="000C37FE" w:rsidRDefault="000C37FE"/>
  </w:footnote>
  <w:footnote w:id="1">
    <w:p w:rsidR="000C37FE" w:rsidRPr="007D073B" w:rsidRDefault="000C37FE" w:rsidP="007D073B">
      <w:pPr>
        <w:pStyle w:val="Textonotapie"/>
        <w:ind w:firstLine="0"/>
      </w:pPr>
      <w:r>
        <w:rPr>
          <w:rStyle w:val="Refdenotaalpie"/>
        </w:rPr>
        <w:footnoteRef/>
      </w:r>
      <w:r>
        <w:t>Estatuaren finantzaketa kalkulatzen da urtero onuradun bakoitzarentzat haren mendetasun-graduaren eta -mailaren arabera arauturiko gutxieneko mailarekin, kontuan harturik Autonomiarako eta Mendekotasunaren Arretarako Sistemako Informazio Sistemari autonomia-erkidego bakoitzak helarazitako informazioa.</w:t>
      </w:r>
    </w:p>
  </w:footnote>
  <w:footnote w:id="2">
    <w:p w:rsidR="000C37FE" w:rsidRDefault="000C37FE" w:rsidP="000860E1">
      <w:pPr>
        <w:pStyle w:val="Piedepgina"/>
      </w:pPr>
      <w:r>
        <w:rPr>
          <w:rStyle w:val="Refdenotaalpie"/>
        </w:rPr>
        <w:footnoteRef/>
      </w:r>
      <w:r>
        <w:t xml:space="preserve">Hemen kontsultatu daiteke: </w:t>
      </w:r>
      <w:hyperlink r:id="rId1" w:history="1">
        <w:r>
          <w:rPr>
            <w:rStyle w:val="Hipervnculo"/>
            <w:sz w:val="18"/>
            <w:szCs w:val="18"/>
          </w:rPr>
          <w:t>https://www.TCuu.es/repositorio/ec5afa2e-d9e6-411c-8251-175636a40726/I1035.pdf</w:t>
        </w:r>
      </w:hyperlink>
    </w:p>
    <w:p w:rsidR="000C37FE" w:rsidRDefault="000C37FE" w:rsidP="0084609D">
      <w:pPr>
        <w:pStyle w:val="Textonotapie"/>
      </w:pPr>
    </w:p>
  </w:footnote>
  <w:footnote w:id="3">
    <w:p w:rsidR="000C37FE" w:rsidRDefault="000C37FE" w:rsidP="000860E1">
      <w:pPr>
        <w:pStyle w:val="Piedepgina"/>
      </w:pPr>
      <w:r>
        <w:rPr>
          <w:rStyle w:val="Refdenotaalpie"/>
        </w:rPr>
        <w:footnoteRef/>
      </w:r>
      <w:r>
        <w:t xml:space="preserve"> </w:t>
      </w:r>
      <w:r>
        <w:t xml:space="preserve">2019. urteari buruzko txostena honako esteka honetan kontsultatu daiteke: </w:t>
      </w:r>
      <w:hyperlink r:id="rId2" w:history="1">
        <w:r>
          <w:rPr>
            <w:rStyle w:val="Hipervnculo"/>
          </w:rPr>
          <w:t>https://www.observatoriorealidadsocial.es/eu/ikerketak/iii-informe-sobre-la-dependencia-en-navarra-2019/es-555570/</w:t>
        </w:r>
      </w:hyperlink>
      <w:r>
        <w:t>. 2020. urteari buruzkoa ez dago eskuragarri txosten honen idazte-unean.</w:t>
      </w:r>
    </w:p>
    <w:p w:rsidR="000C37FE" w:rsidRDefault="000C37FE" w:rsidP="0084609D">
      <w:pPr>
        <w:pStyle w:val="Textonotapi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Pr>
      <w:pStyle w:val="Encabezado"/>
    </w:pPr>
  </w:p>
  <w:p w:rsidR="000C37FE" w:rsidRDefault="000C37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Pr="0059650E" w:rsidRDefault="000C37FE" w:rsidP="00891D73">
    <w:pPr>
      <w:pStyle w:val="Encabezado"/>
      <w:pBdr>
        <w:bottom w:val="single" w:sz="4" w:space="1" w:color="auto"/>
      </w:pBdr>
      <w:ind w:firstLine="0"/>
    </w:pPr>
    <w:r>
      <w:t>Mendekotasun-ordainketen kudeaketari eta kontrolari buruzko gomendioen jarraipenaren fiskalizaziorako txostenari buruzko fiskalizazio-txostenaren amai-zirriborroa</w:t>
    </w:r>
  </w:p>
  <w:p w:rsidR="000C37FE" w:rsidRDefault="000C37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Default="000C37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7C36BE">
    <w:pPr>
      <w:pStyle w:val="Encabezado"/>
      <w:pBdr>
        <w:bottom w:val="single" w:sz="4" w:space="1" w:color="auto"/>
      </w:pBdr>
      <w:spacing w:after="40"/>
      <w:ind w:firstLine="0"/>
      <w:jc w:val="left"/>
    </w:pPr>
    <w:r>
      <w:rPr>
        <w:b/>
        <w:noProof/>
        <w:lang w:val="es-ES" w:eastAsia="es-ES"/>
      </w:rPr>
      <w:drawing>
        <wp:inline distT="0" distB="0" distL="0" distR="0" wp14:anchorId="3C39C9E1" wp14:editId="10029801">
          <wp:extent cx="771525" cy="762000"/>
          <wp:effectExtent l="0" t="0" r="9525" b="0"/>
          <wp:docPr id="36" name="Imagen 3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Pr="002E25ED" w:rsidRDefault="000C37FE" w:rsidP="002E25ED">
    <w:pPr>
      <w:pStyle w:val="Encabezado"/>
      <w:pBdr>
        <w:bottom w:val="single" w:sz="4" w:space="1" w:color="auto"/>
      </w:pBdr>
      <w:tabs>
        <w:tab w:val="clear" w:pos="4252"/>
        <w:tab w:val="clear" w:pos="8504"/>
      </w:tabs>
      <w:ind w:firstLine="0"/>
      <w:rPr>
        <w:sz w:val="13"/>
        <w:szCs w:val="13"/>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6A2D41">
    <w:pPr>
      <w:pStyle w:val="Encabezado"/>
      <w:ind w:firstLine="0"/>
      <w:jc w:val="left"/>
    </w:pPr>
    <w:r>
      <w:rPr>
        <w:noProof/>
        <w:lang w:val="es-ES" w:eastAsia="es-ES"/>
      </w:rPr>
      <w:drawing>
        <wp:inline distT="0" distB="0" distL="0" distR="0" wp14:anchorId="7683C057" wp14:editId="3776C58A">
          <wp:extent cx="771525" cy="762000"/>
          <wp:effectExtent l="0" t="0" r="9525" b="0"/>
          <wp:docPr id="38" name="Imagen 3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 w:rsidR="000C37FE" w:rsidRDefault="000C37FE"/>
  <w:p w:rsidR="000C37FE" w:rsidRDefault="000C37F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 w:rsidR="000C37FE" w:rsidRDefault="000C37FE"/>
  <w:p w:rsidR="000C37FE" w:rsidRDefault="000C37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20AB67C7"/>
    <w:multiLevelType w:val="hybridMultilevel"/>
    <w:tmpl w:val="C6A0871C"/>
    <w:lvl w:ilvl="0" w:tplc="DA2AFB2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E50B60"/>
    <w:multiLevelType w:val="hybridMultilevel"/>
    <w:tmpl w:val="F1C6EF2C"/>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374063EF"/>
    <w:multiLevelType w:val="hybridMultilevel"/>
    <w:tmpl w:val="05B07C72"/>
    <w:lvl w:ilvl="0" w:tplc="84703F84">
      <w:start w:val="1"/>
      <w:numFmt w:val="decimal"/>
      <w:lvlText w:val="%1)"/>
      <w:lvlJc w:val="left"/>
      <w:pPr>
        <w:ind w:left="1182" w:hanging="360"/>
        <w:jc w:val="right"/>
      </w:pPr>
      <w:rPr>
        <w:rFonts w:ascii="Times New Roman" w:eastAsia="Times New Roman" w:hAnsi="Times New Roman" w:hint="default"/>
        <w:sz w:val="24"/>
        <w:szCs w:val="24"/>
      </w:rPr>
    </w:lvl>
    <w:lvl w:ilvl="1" w:tplc="F482AF7A">
      <w:start w:val="1"/>
      <w:numFmt w:val="bullet"/>
      <w:lvlText w:val="•"/>
      <w:lvlJc w:val="left"/>
      <w:pPr>
        <w:ind w:left="1936" w:hanging="360"/>
      </w:pPr>
      <w:rPr>
        <w:rFonts w:hint="default"/>
      </w:rPr>
    </w:lvl>
    <w:lvl w:ilvl="2" w:tplc="8314F648">
      <w:start w:val="1"/>
      <w:numFmt w:val="bullet"/>
      <w:lvlText w:val="•"/>
      <w:lvlJc w:val="left"/>
      <w:pPr>
        <w:ind w:left="2690" w:hanging="360"/>
      </w:pPr>
      <w:rPr>
        <w:rFonts w:hint="default"/>
      </w:rPr>
    </w:lvl>
    <w:lvl w:ilvl="3" w:tplc="B5B6B48E">
      <w:start w:val="1"/>
      <w:numFmt w:val="bullet"/>
      <w:lvlText w:val="•"/>
      <w:lvlJc w:val="left"/>
      <w:pPr>
        <w:ind w:left="3445" w:hanging="360"/>
      </w:pPr>
      <w:rPr>
        <w:rFonts w:hint="default"/>
      </w:rPr>
    </w:lvl>
    <w:lvl w:ilvl="4" w:tplc="38EACB00">
      <w:start w:val="1"/>
      <w:numFmt w:val="bullet"/>
      <w:lvlText w:val="•"/>
      <w:lvlJc w:val="left"/>
      <w:pPr>
        <w:ind w:left="4199" w:hanging="360"/>
      </w:pPr>
      <w:rPr>
        <w:rFonts w:hint="default"/>
      </w:rPr>
    </w:lvl>
    <w:lvl w:ilvl="5" w:tplc="42CCE684">
      <w:start w:val="1"/>
      <w:numFmt w:val="bullet"/>
      <w:lvlText w:val="•"/>
      <w:lvlJc w:val="left"/>
      <w:pPr>
        <w:ind w:left="4954" w:hanging="360"/>
      </w:pPr>
      <w:rPr>
        <w:rFonts w:hint="default"/>
      </w:rPr>
    </w:lvl>
    <w:lvl w:ilvl="6" w:tplc="0A768C42">
      <w:start w:val="1"/>
      <w:numFmt w:val="bullet"/>
      <w:lvlText w:val="•"/>
      <w:lvlJc w:val="left"/>
      <w:pPr>
        <w:ind w:left="5708" w:hanging="360"/>
      </w:pPr>
      <w:rPr>
        <w:rFonts w:hint="default"/>
      </w:rPr>
    </w:lvl>
    <w:lvl w:ilvl="7" w:tplc="6A4448B8">
      <w:start w:val="1"/>
      <w:numFmt w:val="bullet"/>
      <w:lvlText w:val="•"/>
      <w:lvlJc w:val="left"/>
      <w:pPr>
        <w:ind w:left="6463" w:hanging="360"/>
      </w:pPr>
      <w:rPr>
        <w:rFonts w:hint="default"/>
      </w:rPr>
    </w:lvl>
    <w:lvl w:ilvl="8" w:tplc="30743950">
      <w:start w:val="1"/>
      <w:numFmt w:val="bullet"/>
      <w:lvlText w:val="•"/>
      <w:lvlJc w:val="left"/>
      <w:pPr>
        <w:ind w:left="7217" w:hanging="360"/>
      </w:pPr>
      <w:rPr>
        <w:rFonts w:hint="default"/>
      </w:rPr>
    </w:lvl>
  </w:abstractNum>
  <w:abstractNum w:abstractNumId="5">
    <w:nsid w:val="3ECB370B"/>
    <w:multiLevelType w:val="hybridMultilevel"/>
    <w:tmpl w:val="E6A04D7C"/>
    <w:lvl w:ilvl="0" w:tplc="0C0A0001">
      <w:start w:val="1"/>
      <w:numFmt w:val="bullet"/>
      <w:lvlText w:val=""/>
      <w:lvlJc w:val="left"/>
      <w:pPr>
        <w:ind w:left="1145" w:hanging="360"/>
      </w:pPr>
      <w:rPr>
        <w:rFonts w:ascii="Symbol" w:hAnsi="Symbol" w:hint="default"/>
      </w:rPr>
    </w:lvl>
    <w:lvl w:ilvl="1" w:tplc="0C0A0017">
      <w:start w:val="1"/>
      <w:numFmt w:val="lowerLetter"/>
      <w:lvlText w:val="%2)"/>
      <w:lvlJc w:val="left"/>
      <w:pPr>
        <w:ind w:left="1865" w:hanging="360"/>
      </w:pPr>
      <w:rPr>
        <w:rFonts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4A5D049F"/>
    <w:multiLevelType w:val="hybridMultilevel"/>
    <w:tmpl w:val="4464472C"/>
    <w:lvl w:ilvl="0" w:tplc="B4DC08B6">
      <w:start w:val="1"/>
      <w:numFmt w:val="lowerLetter"/>
      <w:lvlText w:val="%1)"/>
      <w:lvlJc w:val="left"/>
      <w:pPr>
        <w:ind w:left="1353" w:hanging="360"/>
      </w:pPr>
      <w:rPr>
        <w:rFont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58E8769A"/>
    <w:multiLevelType w:val="hybridMultilevel"/>
    <w:tmpl w:val="1D861E8C"/>
    <w:lvl w:ilvl="0" w:tplc="565693B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12">
    <w:nsid w:val="7C4E1559"/>
    <w:multiLevelType w:val="hybridMultilevel"/>
    <w:tmpl w:val="5E5C6EBE"/>
    <w:lvl w:ilvl="0" w:tplc="0C0A0019">
      <w:start w:val="1"/>
      <w:numFmt w:val="lowerLetter"/>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3">
    <w:nsid w:val="7E9A1F52"/>
    <w:multiLevelType w:val="hybridMultilevel"/>
    <w:tmpl w:val="65A85420"/>
    <w:lvl w:ilvl="0" w:tplc="0C0A0001">
      <w:start w:val="1"/>
      <w:numFmt w:val="bullet"/>
      <w:lvlText w:val=""/>
      <w:lvlJc w:val="left"/>
      <w:pPr>
        <w:ind w:left="600" w:hanging="360"/>
      </w:pPr>
      <w:rPr>
        <w:rFonts w:ascii="Symbol" w:hAnsi="Symbol"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num w:numId="1">
    <w:abstractNumId w:val="11"/>
  </w:num>
  <w:num w:numId="2">
    <w:abstractNumId w:val="9"/>
  </w:num>
  <w:num w:numId="3">
    <w:abstractNumId w:val="0"/>
  </w:num>
  <w:num w:numId="4">
    <w:abstractNumId w:val="6"/>
  </w:num>
  <w:num w:numId="5">
    <w:abstractNumId w:val="10"/>
  </w:num>
  <w:num w:numId="6">
    <w:abstractNumId w:val="0"/>
  </w:num>
  <w:num w:numId="7">
    <w:abstractNumId w:val="0"/>
  </w:num>
  <w:num w:numId="8">
    <w:abstractNumId w:val="0"/>
  </w:num>
  <w:num w:numId="9">
    <w:abstractNumId w:val="2"/>
  </w:num>
  <w:num w:numId="10">
    <w:abstractNumId w:val="1"/>
  </w:num>
  <w:num w:numId="11">
    <w:abstractNumId w:val="3"/>
  </w:num>
  <w:num w:numId="12">
    <w:abstractNumId w:val="7"/>
  </w:num>
  <w:num w:numId="13">
    <w:abstractNumId w:val="8"/>
  </w:num>
  <w:num w:numId="14">
    <w:abstractNumId w:val="5"/>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9D"/>
    <w:rsid w:val="000019D8"/>
    <w:rsid w:val="00003600"/>
    <w:rsid w:val="00006736"/>
    <w:rsid w:val="00006A97"/>
    <w:rsid w:val="0001123B"/>
    <w:rsid w:val="00012A7F"/>
    <w:rsid w:val="00017A3A"/>
    <w:rsid w:val="00033F3A"/>
    <w:rsid w:val="00036E42"/>
    <w:rsid w:val="0004373B"/>
    <w:rsid w:val="000448FA"/>
    <w:rsid w:val="00053A42"/>
    <w:rsid w:val="0005517D"/>
    <w:rsid w:val="00056510"/>
    <w:rsid w:val="00056912"/>
    <w:rsid w:val="00056C7E"/>
    <w:rsid w:val="0006133D"/>
    <w:rsid w:val="00063585"/>
    <w:rsid w:val="00067380"/>
    <w:rsid w:val="00071CD0"/>
    <w:rsid w:val="00075692"/>
    <w:rsid w:val="000860E1"/>
    <w:rsid w:val="00087B8D"/>
    <w:rsid w:val="00093D67"/>
    <w:rsid w:val="00093E60"/>
    <w:rsid w:val="000A18B7"/>
    <w:rsid w:val="000A2C1E"/>
    <w:rsid w:val="000A4697"/>
    <w:rsid w:val="000B2728"/>
    <w:rsid w:val="000B3943"/>
    <w:rsid w:val="000B4477"/>
    <w:rsid w:val="000C0704"/>
    <w:rsid w:val="000C2B07"/>
    <w:rsid w:val="000C37FE"/>
    <w:rsid w:val="000C39CC"/>
    <w:rsid w:val="000C7566"/>
    <w:rsid w:val="000D188E"/>
    <w:rsid w:val="000D5335"/>
    <w:rsid w:val="000E00B8"/>
    <w:rsid w:val="000E7B86"/>
    <w:rsid w:val="000F2B66"/>
    <w:rsid w:val="000F3D83"/>
    <w:rsid w:val="00100F12"/>
    <w:rsid w:val="00103589"/>
    <w:rsid w:val="001045C9"/>
    <w:rsid w:val="00107CC1"/>
    <w:rsid w:val="001118A2"/>
    <w:rsid w:val="00111A92"/>
    <w:rsid w:val="001145C3"/>
    <w:rsid w:val="001161D2"/>
    <w:rsid w:val="0011674A"/>
    <w:rsid w:val="00126E6A"/>
    <w:rsid w:val="00131DF1"/>
    <w:rsid w:val="00132C38"/>
    <w:rsid w:val="00133984"/>
    <w:rsid w:val="00133AD7"/>
    <w:rsid w:val="00133BFA"/>
    <w:rsid w:val="00135481"/>
    <w:rsid w:val="001365C4"/>
    <w:rsid w:val="0014147D"/>
    <w:rsid w:val="00141D29"/>
    <w:rsid w:val="0014506A"/>
    <w:rsid w:val="0014728F"/>
    <w:rsid w:val="001521A2"/>
    <w:rsid w:val="00152358"/>
    <w:rsid w:val="00155BFF"/>
    <w:rsid w:val="00160F66"/>
    <w:rsid w:val="001633AF"/>
    <w:rsid w:val="00166A6C"/>
    <w:rsid w:val="001728D0"/>
    <w:rsid w:val="00173EDD"/>
    <w:rsid w:val="0017402B"/>
    <w:rsid w:val="00181D37"/>
    <w:rsid w:val="001835B7"/>
    <w:rsid w:val="0018426B"/>
    <w:rsid w:val="00185A37"/>
    <w:rsid w:val="00194309"/>
    <w:rsid w:val="0019660E"/>
    <w:rsid w:val="001A5441"/>
    <w:rsid w:val="001B1473"/>
    <w:rsid w:val="001B39E2"/>
    <w:rsid w:val="001B7C79"/>
    <w:rsid w:val="001C2B26"/>
    <w:rsid w:val="001C3A32"/>
    <w:rsid w:val="001D4F09"/>
    <w:rsid w:val="001F1482"/>
    <w:rsid w:val="001F20D7"/>
    <w:rsid w:val="001F38BA"/>
    <w:rsid w:val="001F7744"/>
    <w:rsid w:val="002014EB"/>
    <w:rsid w:val="00202B1A"/>
    <w:rsid w:val="00204979"/>
    <w:rsid w:val="00211D69"/>
    <w:rsid w:val="00212580"/>
    <w:rsid w:val="002179DB"/>
    <w:rsid w:val="00227E48"/>
    <w:rsid w:val="00230577"/>
    <w:rsid w:val="0023159D"/>
    <w:rsid w:val="0023209D"/>
    <w:rsid w:val="002333F8"/>
    <w:rsid w:val="00233D79"/>
    <w:rsid w:val="00237657"/>
    <w:rsid w:val="00240759"/>
    <w:rsid w:val="00242BA7"/>
    <w:rsid w:val="002437B5"/>
    <w:rsid w:val="00244EF1"/>
    <w:rsid w:val="00246F21"/>
    <w:rsid w:val="00253E78"/>
    <w:rsid w:val="002570F2"/>
    <w:rsid w:val="00262C3C"/>
    <w:rsid w:val="00264C88"/>
    <w:rsid w:val="0026532C"/>
    <w:rsid w:val="0026575D"/>
    <w:rsid w:val="002705B0"/>
    <w:rsid w:val="002712CD"/>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A2"/>
    <w:rsid w:val="002D089F"/>
    <w:rsid w:val="002D5635"/>
    <w:rsid w:val="002D65E8"/>
    <w:rsid w:val="002D7D32"/>
    <w:rsid w:val="002E02E5"/>
    <w:rsid w:val="002E0478"/>
    <w:rsid w:val="002E0791"/>
    <w:rsid w:val="002E1B92"/>
    <w:rsid w:val="002E25ED"/>
    <w:rsid w:val="002E7B81"/>
    <w:rsid w:val="002F09FB"/>
    <w:rsid w:val="002F0FE3"/>
    <w:rsid w:val="002F1AF0"/>
    <w:rsid w:val="002F2530"/>
    <w:rsid w:val="002F272A"/>
    <w:rsid w:val="002F3225"/>
    <w:rsid w:val="002F53B4"/>
    <w:rsid w:val="002F76D6"/>
    <w:rsid w:val="00303506"/>
    <w:rsid w:val="00307057"/>
    <w:rsid w:val="00312819"/>
    <w:rsid w:val="00312E9C"/>
    <w:rsid w:val="0031346C"/>
    <w:rsid w:val="00313875"/>
    <w:rsid w:val="00313B4A"/>
    <w:rsid w:val="003203BF"/>
    <w:rsid w:val="00321369"/>
    <w:rsid w:val="00330787"/>
    <w:rsid w:val="003354CE"/>
    <w:rsid w:val="00337493"/>
    <w:rsid w:val="0034285F"/>
    <w:rsid w:val="003464A4"/>
    <w:rsid w:val="00351684"/>
    <w:rsid w:val="00354458"/>
    <w:rsid w:val="00361EC0"/>
    <w:rsid w:val="00363653"/>
    <w:rsid w:val="0036509D"/>
    <w:rsid w:val="0037228C"/>
    <w:rsid w:val="003737A1"/>
    <w:rsid w:val="003738FD"/>
    <w:rsid w:val="0037443D"/>
    <w:rsid w:val="003810BE"/>
    <w:rsid w:val="00381B6A"/>
    <w:rsid w:val="00386F6C"/>
    <w:rsid w:val="00387709"/>
    <w:rsid w:val="00387794"/>
    <w:rsid w:val="0039269E"/>
    <w:rsid w:val="00393D2A"/>
    <w:rsid w:val="00397162"/>
    <w:rsid w:val="003A335E"/>
    <w:rsid w:val="003A3DD2"/>
    <w:rsid w:val="003B3573"/>
    <w:rsid w:val="003B5813"/>
    <w:rsid w:val="003C03EA"/>
    <w:rsid w:val="003C0B44"/>
    <w:rsid w:val="003C196B"/>
    <w:rsid w:val="003C2214"/>
    <w:rsid w:val="003C6E1D"/>
    <w:rsid w:val="003D058C"/>
    <w:rsid w:val="003D76B1"/>
    <w:rsid w:val="003E05AE"/>
    <w:rsid w:val="003E17A6"/>
    <w:rsid w:val="003E4AA5"/>
    <w:rsid w:val="003F1CEC"/>
    <w:rsid w:val="003F43BF"/>
    <w:rsid w:val="003F6BE4"/>
    <w:rsid w:val="00403CF8"/>
    <w:rsid w:val="00407459"/>
    <w:rsid w:val="00414D01"/>
    <w:rsid w:val="004170FE"/>
    <w:rsid w:val="004209E6"/>
    <w:rsid w:val="0042324B"/>
    <w:rsid w:val="004234E8"/>
    <w:rsid w:val="00426805"/>
    <w:rsid w:val="004275AC"/>
    <w:rsid w:val="00430150"/>
    <w:rsid w:val="004302F9"/>
    <w:rsid w:val="0043229B"/>
    <w:rsid w:val="00435287"/>
    <w:rsid w:val="00440A22"/>
    <w:rsid w:val="0044357C"/>
    <w:rsid w:val="0045550E"/>
    <w:rsid w:val="00456456"/>
    <w:rsid w:val="00462367"/>
    <w:rsid w:val="0046490C"/>
    <w:rsid w:val="00470287"/>
    <w:rsid w:val="00470733"/>
    <w:rsid w:val="00477C53"/>
    <w:rsid w:val="00485380"/>
    <w:rsid w:val="00485ABD"/>
    <w:rsid w:val="00493D87"/>
    <w:rsid w:val="004950D4"/>
    <w:rsid w:val="004A0506"/>
    <w:rsid w:val="004A2342"/>
    <w:rsid w:val="004A2F62"/>
    <w:rsid w:val="004B1DB8"/>
    <w:rsid w:val="004B2F01"/>
    <w:rsid w:val="004B4182"/>
    <w:rsid w:val="004B4538"/>
    <w:rsid w:val="004B6FB6"/>
    <w:rsid w:val="004C1938"/>
    <w:rsid w:val="004C3423"/>
    <w:rsid w:val="004C571D"/>
    <w:rsid w:val="004D35A2"/>
    <w:rsid w:val="004D5FD1"/>
    <w:rsid w:val="004F7C93"/>
    <w:rsid w:val="00506105"/>
    <w:rsid w:val="00513162"/>
    <w:rsid w:val="00525809"/>
    <w:rsid w:val="00535130"/>
    <w:rsid w:val="00537302"/>
    <w:rsid w:val="00543CBD"/>
    <w:rsid w:val="00555509"/>
    <w:rsid w:val="00561C5B"/>
    <w:rsid w:val="00564F2D"/>
    <w:rsid w:val="00566CDA"/>
    <w:rsid w:val="0056727E"/>
    <w:rsid w:val="00567BA6"/>
    <w:rsid w:val="00570033"/>
    <w:rsid w:val="00570147"/>
    <w:rsid w:val="0057307E"/>
    <w:rsid w:val="00573A4C"/>
    <w:rsid w:val="00574B79"/>
    <w:rsid w:val="00574D12"/>
    <w:rsid w:val="00575F41"/>
    <w:rsid w:val="0057645B"/>
    <w:rsid w:val="005775F1"/>
    <w:rsid w:val="005800B4"/>
    <w:rsid w:val="0058070B"/>
    <w:rsid w:val="0058296F"/>
    <w:rsid w:val="00583740"/>
    <w:rsid w:val="00595E80"/>
    <w:rsid w:val="0059650E"/>
    <w:rsid w:val="00596953"/>
    <w:rsid w:val="005A531D"/>
    <w:rsid w:val="005A6030"/>
    <w:rsid w:val="005B57AD"/>
    <w:rsid w:val="005B5E2E"/>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1003"/>
    <w:rsid w:val="00644B67"/>
    <w:rsid w:val="0064700E"/>
    <w:rsid w:val="00650183"/>
    <w:rsid w:val="00650677"/>
    <w:rsid w:val="00652978"/>
    <w:rsid w:val="006736A9"/>
    <w:rsid w:val="00673BC7"/>
    <w:rsid w:val="00674975"/>
    <w:rsid w:val="00675801"/>
    <w:rsid w:val="00675D39"/>
    <w:rsid w:val="00676E8F"/>
    <w:rsid w:val="0068560B"/>
    <w:rsid w:val="006A1277"/>
    <w:rsid w:val="006A2602"/>
    <w:rsid w:val="006A2D41"/>
    <w:rsid w:val="006A67E1"/>
    <w:rsid w:val="006B3E3E"/>
    <w:rsid w:val="006B646D"/>
    <w:rsid w:val="006C36FB"/>
    <w:rsid w:val="006C7D62"/>
    <w:rsid w:val="006D0B23"/>
    <w:rsid w:val="006D2ED6"/>
    <w:rsid w:val="006D468B"/>
    <w:rsid w:val="006D5685"/>
    <w:rsid w:val="006D77B6"/>
    <w:rsid w:val="006E1987"/>
    <w:rsid w:val="006E23B2"/>
    <w:rsid w:val="006E5207"/>
    <w:rsid w:val="006F5C70"/>
    <w:rsid w:val="006F6A20"/>
    <w:rsid w:val="007047B2"/>
    <w:rsid w:val="00704DE7"/>
    <w:rsid w:val="00706868"/>
    <w:rsid w:val="007078B8"/>
    <w:rsid w:val="00710CCC"/>
    <w:rsid w:val="007119AA"/>
    <w:rsid w:val="00715E32"/>
    <w:rsid w:val="007162D1"/>
    <w:rsid w:val="00716463"/>
    <w:rsid w:val="0071706E"/>
    <w:rsid w:val="00727292"/>
    <w:rsid w:val="00733636"/>
    <w:rsid w:val="00742F6A"/>
    <w:rsid w:val="007446E8"/>
    <w:rsid w:val="00751553"/>
    <w:rsid w:val="0075165E"/>
    <w:rsid w:val="00754E10"/>
    <w:rsid w:val="00762A29"/>
    <w:rsid w:val="0076327D"/>
    <w:rsid w:val="00767745"/>
    <w:rsid w:val="007707FC"/>
    <w:rsid w:val="00770BE3"/>
    <w:rsid w:val="0077177A"/>
    <w:rsid w:val="007728A8"/>
    <w:rsid w:val="0077483F"/>
    <w:rsid w:val="00785A76"/>
    <w:rsid w:val="00787852"/>
    <w:rsid w:val="007915BC"/>
    <w:rsid w:val="00794C0F"/>
    <w:rsid w:val="007967FA"/>
    <w:rsid w:val="00797E7A"/>
    <w:rsid w:val="007A0EA6"/>
    <w:rsid w:val="007A2D9E"/>
    <w:rsid w:val="007B0381"/>
    <w:rsid w:val="007B0F3D"/>
    <w:rsid w:val="007B148D"/>
    <w:rsid w:val="007B18C8"/>
    <w:rsid w:val="007B28DE"/>
    <w:rsid w:val="007B7A5F"/>
    <w:rsid w:val="007C36BE"/>
    <w:rsid w:val="007D073B"/>
    <w:rsid w:val="007D481B"/>
    <w:rsid w:val="007D53ED"/>
    <w:rsid w:val="007D6001"/>
    <w:rsid w:val="007D7F94"/>
    <w:rsid w:val="007E1B76"/>
    <w:rsid w:val="007E219A"/>
    <w:rsid w:val="007E369D"/>
    <w:rsid w:val="007E37BF"/>
    <w:rsid w:val="007E3F95"/>
    <w:rsid w:val="007E6593"/>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09D"/>
    <w:rsid w:val="00846382"/>
    <w:rsid w:val="00850F57"/>
    <w:rsid w:val="008536C2"/>
    <w:rsid w:val="008573B0"/>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1606"/>
    <w:rsid w:val="008A2DE8"/>
    <w:rsid w:val="008A312D"/>
    <w:rsid w:val="008A3E09"/>
    <w:rsid w:val="008A3E57"/>
    <w:rsid w:val="008A41C2"/>
    <w:rsid w:val="008A77A7"/>
    <w:rsid w:val="008B3F34"/>
    <w:rsid w:val="008C56B9"/>
    <w:rsid w:val="008D05E0"/>
    <w:rsid w:val="008D2600"/>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5E71"/>
    <w:rsid w:val="0093329F"/>
    <w:rsid w:val="00937043"/>
    <w:rsid w:val="0094009E"/>
    <w:rsid w:val="009445D3"/>
    <w:rsid w:val="00946FBE"/>
    <w:rsid w:val="00955A8A"/>
    <w:rsid w:val="0096400D"/>
    <w:rsid w:val="00966600"/>
    <w:rsid w:val="009671D9"/>
    <w:rsid w:val="00971352"/>
    <w:rsid w:val="00975E5B"/>
    <w:rsid w:val="00977C8F"/>
    <w:rsid w:val="00977F94"/>
    <w:rsid w:val="009863E9"/>
    <w:rsid w:val="00992E20"/>
    <w:rsid w:val="009936FC"/>
    <w:rsid w:val="00993925"/>
    <w:rsid w:val="00993977"/>
    <w:rsid w:val="00996927"/>
    <w:rsid w:val="009A05D1"/>
    <w:rsid w:val="009A28AC"/>
    <w:rsid w:val="009A3A5B"/>
    <w:rsid w:val="009A3F2A"/>
    <w:rsid w:val="009B1FD7"/>
    <w:rsid w:val="009B2AAC"/>
    <w:rsid w:val="009B3521"/>
    <w:rsid w:val="009B541C"/>
    <w:rsid w:val="009C4460"/>
    <w:rsid w:val="009C6CDF"/>
    <w:rsid w:val="009D7192"/>
    <w:rsid w:val="009E0AF4"/>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3357D"/>
    <w:rsid w:val="00A4191C"/>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5504"/>
    <w:rsid w:val="00AA6BA8"/>
    <w:rsid w:val="00AA7F5A"/>
    <w:rsid w:val="00AB2340"/>
    <w:rsid w:val="00AB5FE4"/>
    <w:rsid w:val="00AB659D"/>
    <w:rsid w:val="00AB75F8"/>
    <w:rsid w:val="00AC229F"/>
    <w:rsid w:val="00AD4D76"/>
    <w:rsid w:val="00AD59A1"/>
    <w:rsid w:val="00AD7671"/>
    <w:rsid w:val="00AE53E8"/>
    <w:rsid w:val="00AE6FE4"/>
    <w:rsid w:val="00AF2059"/>
    <w:rsid w:val="00AF3D84"/>
    <w:rsid w:val="00AF4161"/>
    <w:rsid w:val="00AF5201"/>
    <w:rsid w:val="00AF580B"/>
    <w:rsid w:val="00AF70D4"/>
    <w:rsid w:val="00B007C8"/>
    <w:rsid w:val="00B14410"/>
    <w:rsid w:val="00B15E61"/>
    <w:rsid w:val="00B21703"/>
    <w:rsid w:val="00B24F35"/>
    <w:rsid w:val="00B26836"/>
    <w:rsid w:val="00B32C88"/>
    <w:rsid w:val="00B34747"/>
    <w:rsid w:val="00B42E49"/>
    <w:rsid w:val="00B50903"/>
    <w:rsid w:val="00B62A64"/>
    <w:rsid w:val="00B62FFE"/>
    <w:rsid w:val="00B65013"/>
    <w:rsid w:val="00B7123A"/>
    <w:rsid w:val="00B7435C"/>
    <w:rsid w:val="00B76F38"/>
    <w:rsid w:val="00B8085D"/>
    <w:rsid w:val="00B81EFF"/>
    <w:rsid w:val="00B836BB"/>
    <w:rsid w:val="00B84122"/>
    <w:rsid w:val="00B862B0"/>
    <w:rsid w:val="00BA2B7C"/>
    <w:rsid w:val="00BB142A"/>
    <w:rsid w:val="00BB34B9"/>
    <w:rsid w:val="00BB35C2"/>
    <w:rsid w:val="00BB553B"/>
    <w:rsid w:val="00BC28D7"/>
    <w:rsid w:val="00BC376C"/>
    <w:rsid w:val="00BC6321"/>
    <w:rsid w:val="00BC7817"/>
    <w:rsid w:val="00BD3819"/>
    <w:rsid w:val="00BD642D"/>
    <w:rsid w:val="00BD6988"/>
    <w:rsid w:val="00BE1A77"/>
    <w:rsid w:val="00BE1C4A"/>
    <w:rsid w:val="00BE4742"/>
    <w:rsid w:val="00BE7383"/>
    <w:rsid w:val="00BE754D"/>
    <w:rsid w:val="00BF1DB9"/>
    <w:rsid w:val="00BF6D10"/>
    <w:rsid w:val="00BF6E79"/>
    <w:rsid w:val="00C03F6C"/>
    <w:rsid w:val="00C1191A"/>
    <w:rsid w:val="00C12108"/>
    <w:rsid w:val="00C121D9"/>
    <w:rsid w:val="00C13453"/>
    <w:rsid w:val="00C15AE1"/>
    <w:rsid w:val="00C220F9"/>
    <w:rsid w:val="00C2541C"/>
    <w:rsid w:val="00C26862"/>
    <w:rsid w:val="00C30458"/>
    <w:rsid w:val="00C31DA6"/>
    <w:rsid w:val="00C33260"/>
    <w:rsid w:val="00C3398C"/>
    <w:rsid w:val="00C4598F"/>
    <w:rsid w:val="00C50360"/>
    <w:rsid w:val="00C54E12"/>
    <w:rsid w:val="00C55468"/>
    <w:rsid w:val="00C61DAE"/>
    <w:rsid w:val="00C622C3"/>
    <w:rsid w:val="00C63BD5"/>
    <w:rsid w:val="00C74906"/>
    <w:rsid w:val="00C81B40"/>
    <w:rsid w:val="00C81FEA"/>
    <w:rsid w:val="00C83969"/>
    <w:rsid w:val="00C86C95"/>
    <w:rsid w:val="00CA05EB"/>
    <w:rsid w:val="00CA1C1E"/>
    <w:rsid w:val="00CA3515"/>
    <w:rsid w:val="00CA3A05"/>
    <w:rsid w:val="00CB14E9"/>
    <w:rsid w:val="00CB6D90"/>
    <w:rsid w:val="00CB72C3"/>
    <w:rsid w:val="00CC2DA2"/>
    <w:rsid w:val="00CC45E4"/>
    <w:rsid w:val="00CD019F"/>
    <w:rsid w:val="00CD08AB"/>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06AD"/>
    <w:rsid w:val="00D447CB"/>
    <w:rsid w:val="00D47D16"/>
    <w:rsid w:val="00D505F4"/>
    <w:rsid w:val="00D51CE1"/>
    <w:rsid w:val="00D562F2"/>
    <w:rsid w:val="00D61B93"/>
    <w:rsid w:val="00D63041"/>
    <w:rsid w:val="00D660F3"/>
    <w:rsid w:val="00D66DAC"/>
    <w:rsid w:val="00D67E4A"/>
    <w:rsid w:val="00D763FD"/>
    <w:rsid w:val="00D90AD1"/>
    <w:rsid w:val="00D941F7"/>
    <w:rsid w:val="00DA4DDF"/>
    <w:rsid w:val="00DB0804"/>
    <w:rsid w:val="00DB2FC4"/>
    <w:rsid w:val="00DB6ED8"/>
    <w:rsid w:val="00DC0BF5"/>
    <w:rsid w:val="00DC382A"/>
    <w:rsid w:val="00DE1923"/>
    <w:rsid w:val="00DE2B33"/>
    <w:rsid w:val="00DE638B"/>
    <w:rsid w:val="00DE72EE"/>
    <w:rsid w:val="00DF37E5"/>
    <w:rsid w:val="00E034FE"/>
    <w:rsid w:val="00E041E5"/>
    <w:rsid w:val="00E04888"/>
    <w:rsid w:val="00E04F3C"/>
    <w:rsid w:val="00E0763B"/>
    <w:rsid w:val="00E10302"/>
    <w:rsid w:val="00E17EC5"/>
    <w:rsid w:val="00E26BFD"/>
    <w:rsid w:val="00E27E90"/>
    <w:rsid w:val="00E33D02"/>
    <w:rsid w:val="00E34F2C"/>
    <w:rsid w:val="00E35D79"/>
    <w:rsid w:val="00E36872"/>
    <w:rsid w:val="00E37647"/>
    <w:rsid w:val="00E4641E"/>
    <w:rsid w:val="00E519AE"/>
    <w:rsid w:val="00E57AF7"/>
    <w:rsid w:val="00E6241B"/>
    <w:rsid w:val="00E64FCC"/>
    <w:rsid w:val="00E703B6"/>
    <w:rsid w:val="00E70F0E"/>
    <w:rsid w:val="00E72200"/>
    <w:rsid w:val="00E72B1B"/>
    <w:rsid w:val="00E75D47"/>
    <w:rsid w:val="00E766F5"/>
    <w:rsid w:val="00E82948"/>
    <w:rsid w:val="00E8666B"/>
    <w:rsid w:val="00E86CE7"/>
    <w:rsid w:val="00E90218"/>
    <w:rsid w:val="00E913BB"/>
    <w:rsid w:val="00E95D54"/>
    <w:rsid w:val="00E95F2E"/>
    <w:rsid w:val="00EA1508"/>
    <w:rsid w:val="00EA1541"/>
    <w:rsid w:val="00EA32E4"/>
    <w:rsid w:val="00EA7E36"/>
    <w:rsid w:val="00EB0898"/>
    <w:rsid w:val="00EB1004"/>
    <w:rsid w:val="00EB627B"/>
    <w:rsid w:val="00EB6D94"/>
    <w:rsid w:val="00EC05CE"/>
    <w:rsid w:val="00EC37C6"/>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630C"/>
    <w:rsid w:val="00F36A1D"/>
    <w:rsid w:val="00F44278"/>
    <w:rsid w:val="00F51B65"/>
    <w:rsid w:val="00F52AAB"/>
    <w:rsid w:val="00F52EB6"/>
    <w:rsid w:val="00F55260"/>
    <w:rsid w:val="00F6316B"/>
    <w:rsid w:val="00F65AE0"/>
    <w:rsid w:val="00F67C69"/>
    <w:rsid w:val="00F71937"/>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D3273"/>
    <w:rsid w:val="00FE452E"/>
    <w:rsid w:val="00FE5B13"/>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84609D"/>
    <w:pPr>
      <w:keepNext/>
      <w:spacing w:after="0"/>
      <w:ind w:firstLine="0"/>
      <w:jc w:val="center"/>
      <w:outlineLvl w:val="6"/>
    </w:pPr>
    <w:rPr>
      <w:sz w:val="52"/>
      <w:lang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u-ES"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u-ES"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u-ES" w:eastAsia="en-US"/>
    </w:rPr>
  </w:style>
  <w:style w:type="paragraph" w:styleId="Prrafodelista">
    <w:name w:val="List Paragraph"/>
    <w:basedOn w:val="Normal"/>
    <w:uiPriority w:val="1"/>
    <w:qFormat/>
    <w:rsid w:val="0084609D"/>
    <w:pPr>
      <w:ind w:left="720"/>
      <w:contextualSpacing/>
    </w:pPr>
  </w:style>
  <w:style w:type="character" w:customStyle="1" w:styleId="Ttulo1Car">
    <w:name w:val="Título 1 Car"/>
    <w:link w:val="Ttulo1"/>
    <w:uiPriority w:val="1"/>
    <w:locked/>
    <w:rsid w:val="0084609D"/>
    <w:rPr>
      <w:rFonts w:ascii="Arial" w:hAnsi="Arial" w:cs="Arial"/>
      <w:b/>
      <w:bCs/>
      <w:kern w:val="32"/>
      <w:sz w:val="32"/>
      <w:szCs w:val="32"/>
      <w:lang w:val="eu-ES" w:eastAsia="en-US"/>
    </w:rPr>
  </w:style>
  <w:style w:type="character" w:customStyle="1" w:styleId="Ttulo2Car">
    <w:name w:val="Título 2 Car"/>
    <w:link w:val="Ttulo2"/>
    <w:locked/>
    <w:rsid w:val="0084609D"/>
    <w:rPr>
      <w:rFonts w:ascii="Arial" w:hAnsi="Arial" w:cs="Arial"/>
      <w:b/>
      <w:bCs/>
      <w:i/>
      <w:iCs/>
      <w:sz w:val="28"/>
      <w:szCs w:val="28"/>
      <w:lang w:val="eu-ES" w:eastAsia="en-US"/>
    </w:rPr>
  </w:style>
  <w:style w:type="character" w:customStyle="1" w:styleId="Ttulo3Car">
    <w:name w:val="Título 3 Car"/>
    <w:link w:val="Ttulo3"/>
    <w:locked/>
    <w:rsid w:val="0084609D"/>
    <w:rPr>
      <w:rFonts w:ascii="Arial" w:hAnsi="Arial" w:cs="Arial"/>
      <w:b/>
      <w:bCs/>
      <w:szCs w:val="26"/>
      <w:lang w:val="eu-ES"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u-ES" w:eastAsia="en-US"/>
    </w:rPr>
  </w:style>
  <w:style w:type="character" w:customStyle="1" w:styleId="EncabezadoCar">
    <w:name w:val="Encabezado Car"/>
    <w:link w:val="Encabezado"/>
    <w:locked/>
    <w:rsid w:val="0084609D"/>
    <w:rPr>
      <w:bCs/>
      <w:caps/>
      <w:sz w:val="14"/>
      <w:szCs w:val="12"/>
      <w:lang w:val="eu-ES" w:eastAsia="en-US"/>
    </w:rPr>
  </w:style>
  <w:style w:type="character" w:customStyle="1" w:styleId="PiedepginaCar">
    <w:name w:val="Pie de página Car"/>
    <w:link w:val="Piedepgina"/>
    <w:locked/>
    <w:rsid w:val="0084609D"/>
    <w:rPr>
      <w:spacing w:val="6"/>
      <w:lang w:val="eu-ES"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uiPriority w:val="1"/>
    <w:qFormat/>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uiPriority w:val="1"/>
    <w:rsid w:val="0084609D"/>
    <w:rPr>
      <w:rFonts w:ascii="Arial" w:eastAsia="Calibri" w:hAnsi="Arial"/>
      <w:sz w:val="24"/>
      <w:lang w:val="eu-ES"/>
    </w:rPr>
  </w:style>
  <w:style w:type="character" w:customStyle="1" w:styleId="AyuntamientoCar">
    <w:name w:val="Ayuntamiento Car"/>
    <w:link w:val="Ayuntamiento"/>
    <w:locked/>
    <w:rsid w:val="0084609D"/>
    <w:rPr>
      <w:rFonts w:ascii="Arial" w:hAnsi="Arial"/>
      <w:sz w:val="24"/>
      <w:lang w:val="eu-ES"/>
    </w:rPr>
  </w:style>
  <w:style w:type="paragraph" w:customStyle="1" w:styleId="Ayuntamiento">
    <w:name w:val="Ayuntamiento"/>
    <w:basedOn w:val="Normal"/>
    <w:link w:val="AyuntamientoCar"/>
    <w:rsid w:val="0084609D"/>
    <w:pPr>
      <w:spacing w:after="0"/>
      <w:ind w:firstLine="0"/>
    </w:pPr>
    <w:rPr>
      <w:rFonts w:ascii="Arial" w:hAnsi="Arial"/>
      <w:sz w:val="24"/>
      <w:lang w:eastAsia="es-ES"/>
    </w:rPr>
  </w:style>
  <w:style w:type="character" w:customStyle="1" w:styleId="JavierCar">
    <w:name w:val="Javier Car"/>
    <w:link w:val="Javier"/>
    <w:locked/>
    <w:rsid w:val="0084609D"/>
    <w:rPr>
      <w:rFonts w:ascii="Arial" w:hAnsi="Arial"/>
      <w:sz w:val="24"/>
      <w:lang w:val="eu-ES"/>
    </w:rPr>
  </w:style>
  <w:style w:type="paragraph" w:customStyle="1" w:styleId="Javier">
    <w:name w:val="Javier"/>
    <w:basedOn w:val="Normal"/>
    <w:link w:val="JavierCar"/>
    <w:rsid w:val="0084609D"/>
    <w:pPr>
      <w:spacing w:after="0"/>
      <w:ind w:firstLine="0"/>
    </w:pPr>
    <w:rPr>
      <w:rFonts w:ascii="Arial" w:hAnsi="Arial"/>
      <w:sz w:val="24"/>
      <w:lang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u-ES"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eastAsia="es-ES"/>
    </w:rPr>
  </w:style>
  <w:style w:type="paragraph" w:customStyle="1" w:styleId="np">
    <w:name w:val="np"/>
    <w:basedOn w:val="Normal"/>
    <w:rsid w:val="0084609D"/>
    <w:pPr>
      <w:spacing w:before="100" w:beforeAutospacing="1" w:after="100" w:afterAutospacing="1"/>
      <w:ind w:firstLine="0"/>
      <w:jc w:val="left"/>
    </w:pPr>
    <w:rPr>
      <w:sz w:val="24"/>
      <w:szCs w:val="24"/>
      <w:lang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uiPriority w:val="99"/>
    <w:rsid w:val="0084609D"/>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84609D"/>
    <w:pPr>
      <w:spacing w:before="100" w:beforeAutospacing="1" w:after="100" w:afterAutospacing="1"/>
      <w:ind w:firstLine="0"/>
      <w:jc w:val="left"/>
    </w:pPr>
    <w:rPr>
      <w:sz w:val="24"/>
      <w:szCs w:val="24"/>
      <w:lang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u-ES"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84609D"/>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u-E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u-ES"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u-ES" w:eastAsia="en-US"/>
    </w:rPr>
  </w:style>
  <w:style w:type="paragraph" w:styleId="Revisin">
    <w:name w:val="Revision"/>
    <w:hidden/>
    <w:uiPriority w:val="99"/>
    <w:semiHidden/>
    <w:rsid w:val="0084609D"/>
    <w:rPr>
      <w:lang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u-ES" w:eastAsia="en-US"/>
    </w:rPr>
  </w:style>
  <w:style w:type="table" w:customStyle="1" w:styleId="TableNormal">
    <w:name w:val="Table Normal"/>
    <w:uiPriority w:val="2"/>
    <w:semiHidden/>
    <w:unhideWhenUsed/>
    <w:qFormat/>
    <w:rsid w:val="00D63041"/>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041"/>
    <w:pPr>
      <w:widowControl w:val="0"/>
      <w:spacing w:after="0"/>
      <w:ind w:firstLine="0"/>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84609D"/>
    <w:pPr>
      <w:keepNext/>
      <w:spacing w:after="0"/>
      <w:ind w:firstLine="0"/>
      <w:jc w:val="center"/>
      <w:outlineLvl w:val="6"/>
    </w:pPr>
    <w:rPr>
      <w:sz w:val="52"/>
      <w:lang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u-ES"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u-ES"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u-ES" w:eastAsia="en-US"/>
    </w:rPr>
  </w:style>
  <w:style w:type="paragraph" w:styleId="Prrafodelista">
    <w:name w:val="List Paragraph"/>
    <w:basedOn w:val="Normal"/>
    <w:uiPriority w:val="1"/>
    <w:qFormat/>
    <w:rsid w:val="0084609D"/>
    <w:pPr>
      <w:ind w:left="720"/>
      <w:contextualSpacing/>
    </w:pPr>
  </w:style>
  <w:style w:type="character" w:customStyle="1" w:styleId="Ttulo1Car">
    <w:name w:val="Título 1 Car"/>
    <w:link w:val="Ttulo1"/>
    <w:uiPriority w:val="1"/>
    <w:locked/>
    <w:rsid w:val="0084609D"/>
    <w:rPr>
      <w:rFonts w:ascii="Arial" w:hAnsi="Arial" w:cs="Arial"/>
      <w:b/>
      <w:bCs/>
      <w:kern w:val="32"/>
      <w:sz w:val="32"/>
      <w:szCs w:val="32"/>
      <w:lang w:val="eu-ES" w:eastAsia="en-US"/>
    </w:rPr>
  </w:style>
  <w:style w:type="character" w:customStyle="1" w:styleId="Ttulo2Car">
    <w:name w:val="Título 2 Car"/>
    <w:link w:val="Ttulo2"/>
    <w:locked/>
    <w:rsid w:val="0084609D"/>
    <w:rPr>
      <w:rFonts w:ascii="Arial" w:hAnsi="Arial" w:cs="Arial"/>
      <w:b/>
      <w:bCs/>
      <w:i/>
      <w:iCs/>
      <w:sz w:val="28"/>
      <w:szCs w:val="28"/>
      <w:lang w:val="eu-ES" w:eastAsia="en-US"/>
    </w:rPr>
  </w:style>
  <w:style w:type="character" w:customStyle="1" w:styleId="Ttulo3Car">
    <w:name w:val="Título 3 Car"/>
    <w:link w:val="Ttulo3"/>
    <w:locked/>
    <w:rsid w:val="0084609D"/>
    <w:rPr>
      <w:rFonts w:ascii="Arial" w:hAnsi="Arial" w:cs="Arial"/>
      <w:b/>
      <w:bCs/>
      <w:szCs w:val="26"/>
      <w:lang w:val="eu-ES"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u-ES" w:eastAsia="en-US"/>
    </w:rPr>
  </w:style>
  <w:style w:type="character" w:customStyle="1" w:styleId="EncabezadoCar">
    <w:name w:val="Encabezado Car"/>
    <w:link w:val="Encabezado"/>
    <w:locked/>
    <w:rsid w:val="0084609D"/>
    <w:rPr>
      <w:bCs/>
      <w:caps/>
      <w:sz w:val="14"/>
      <w:szCs w:val="12"/>
      <w:lang w:val="eu-ES" w:eastAsia="en-US"/>
    </w:rPr>
  </w:style>
  <w:style w:type="character" w:customStyle="1" w:styleId="PiedepginaCar">
    <w:name w:val="Pie de página Car"/>
    <w:link w:val="Piedepgina"/>
    <w:locked/>
    <w:rsid w:val="0084609D"/>
    <w:rPr>
      <w:spacing w:val="6"/>
      <w:lang w:val="eu-ES"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uiPriority w:val="1"/>
    <w:qFormat/>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uiPriority w:val="1"/>
    <w:rsid w:val="0084609D"/>
    <w:rPr>
      <w:rFonts w:ascii="Arial" w:eastAsia="Calibri" w:hAnsi="Arial"/>
      <w:sz w:val="24"/>
      <w:lang w:val="eu-ES"/>
    </w:rPr>
  </w:style>
  <w:style w:type="character" w:customStyle="1" w:styleId="AyuntamientoCar">
    <w:name w:val="Ayuntamiento Car"/>
    <w:link w:val="Ayuntamiento"/>
    <w:locked/>
    <w:rsid w:val="0084609D"/>
    <w:rPr>
      <w:rFonts w:ascii="Arial" w:hAnsi="Arial"/>
      <w:sz w:val="24"/>
      <w:lang w:val="eu-ES"/>
    </w:rPr>
  </w:style>
  <w:style w:type="paragraph" w:customStyle="1" w:styleId="Ayuntamiento">
    <w:name w:val="Ayuntamiento"/>
    <w:basedOn w:val="Normal"/>
    <w:link w:val="AyuntamientoCar"/>
    <w:rsid w:val="0084609D"/>
    <w:pPr>
      <w:spacing w:after="0"/>
      <w:ind w:firstLine="0"/>
    </w:pPr>
    <w:rPr>
      <w:rFonts w:ascii="Arial" w:hAnsi="Arial"/>
      <w:sz w:val="24"/>
      <w:lang w:eastAsia="es-ES"/>
    </w:rPr>
  </w:style>
  <w:style w:type="character" w:customStyle="1" w:styleId="JavierCar">
    <w:name w:val="Javier Car"/>
    <w:link w:val="Javier"/>
    <w:locked/>
    <w:rsid w:val="0084609D"/>
    <w:rPr>
      <w:rFonts w:ascii="Arial" w:hAnsi="Arial"/>
      <w:sz w:val="24"/>
      <w:lang w:val="eu-ES"/>
    </w:rPr>
  </w:style>
  <w:style w:type="paragraph" w:customStyle="1" w:styleId="Javier">
    <w:name w:val="Javier"/>
    <w:basedOn w:val="Normal"/>
    <w:link w:val="JavierCar"/>
    <w:rsid w:val="0084609D"/>
    <w:pPr>
      <w:spacing w:after="0"/>
      <w:ind w:firstLine="0"/>
    </w:pPr>
    <w:rPr>
      <w:rFonts w:ascii="Arial" w:hAnsi="Arial"/>
      <w:sz w:val="24"/>
      <w:lang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u-ES"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eastAsia="es-ES"/>
    </w:rPr>
  </w:style>
  <w:style w:type="paragraph" w:customStyle="1" w:styleId="np">
    <w:name w:val="np"/>
    <w:basedOn w:val="Normal"/>
    <w:rsid w:val="0084609D"/>
    <w:pPr>
      <w:spacing w:before="100" w:beforeAutospacing="1" w:after="100" w:afterAutospacing="1"/>
      <w:ind w:firstLine="0"/>
      <w:jc w:val="left"/>
    </w:pPr>
    <w:rPr>
      <w:sz w:val="24"/>
      <w:szCs w:val="24"/>
      <w:lang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uiPriority w:val="99"/>
    <w:rsid w:val="0084609D"/>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84609D"/>
    <w:pPr>
      <w:spacing w:before="100" w:beforeAutospacing="1" w:after="100" w:afterAutospacing="1"/>
      <w:ind w:firstLine="0"/>
      <w:jc w:val="left"/>
    </w:pPr>
    <w:rPr>
      <w:sz w:val="24"/>
      <w:szCs w:val="24"/>
      <w:lang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u-ES"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84609D"/>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u-E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u-ES"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u-ES" w:eastAsia="en-US"/>
    </w:rPr>
  </w:style>
  <w:style w:type="paragraph" w:styleId="Revisin">
    <w:name w:val="Revision"/>
    <w:hidden/>
    <w:uiPriority w:val="99"/>
    <w:semiHidden/>
    <w:rsid w:val="0084609D"/>
    <w:rPr>
      <w:lang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u-ES" w:eastAsia="en-US"/>
    </w:rPr>
  </w:style>
  <w:style w:type="table" w:customStyle="1" w:styleId="TableNormal">
    <w:name w:val="Table Normal"/>
    <w:uiPriority w:val="2"/>
    <w:semiHidden/>
    <w:unhideWhenUsed/>
    <w:qFormat/>
    <w:rsid w:val="00D63041"/>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041"/>
    <w:pPr>
      <w:widowControl w:val="0"/>
      <w:spacing w:after="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observatoriorealidadsocial.es/eu/ikerketak/iii-informe-sobre-la-dependencia-en-navarra-2019/es-555570/" TargetMode="External"/><Relationship Id="rId1" Type="http://schemas.openxmlformats.org/officeDocument/2006/relationships/hyperlink" Target="https://www.tcu.es/repositorio/ec5afa2e-d9e6-411c-8251-175636a40726/I103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 financiación Estado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Hoja1!$B$1:$H$1</c:f>
              <c:numCache>
                <c:formatCode>General</c:formatCode>
                <c:ptCount val="7"/>
                <c:pt idx="0">
                  <c:v>2013</c:v>
                </c:pt>
                <c:pt idx="1">
                  <c:v>2014</c:v>
                </c:pt>
                <c:pt idx="2">
                  <c:v>2015</c:v>
                </c:pt>
                <c:pt idx="3">
                  <c:v>2016</c:v>
                </c:pt>
                <c:pt idx="4">
                  <c:v>2017</c:v>
                </c:pt>
                <c:pt idx="5">
                  <c:v>2018</c:v>
                </c:pt>
                <c:pt idx="6">
                  <c:v>2019</c:v>
                </c:pt>
              </c:numCache>
            </c:numRef>
          </c:cat>
          <c:val>
            <c:numRef>
              <c:f>Hoja1!$B$2:$H$2</c:f>
              <c:numCache>
                <c:formatCode>0%</c:formatCode>
                <c:ptCount val="7"/>
                <c:pt idx="0">
                  <c:v>0.25330680728540239</c:v>
                </c:pt>
                <c:pt idx="1">
                  <c:v>0.26858601846748831</c:v>
                </c:pt>
                <c:pt idx="2">
                  <c:v>0.2305009950205105</c:v>
                </c:pt>
                <c:pt idx="3">
                  <c:v>0.23525738050209641</c:v>
                </c:pt>
                <c:pt idx="4">
                  <c:v>0.26256531524419169</c:v>
                </c:pt>
                <c:pt idx="5">
                  <c:v>0.26822628062833437</c:v>
                </c:pt>
                <c:pt idx="6">
                  <c:v>0.25634154523326375</c:v>
                </c:pt>
              </c:numCache>
            </c:numRef>
          </c:val>
          <c:extLst xmlns:c16r2="http://schemas.microsoft.com/office/drawing/2015/06/chart">
            <c:ext xmlns:c16="http://schemas.microsoft.com/office/drawing/2014/chart" uri="{C3380CC4-5D6E-409C-BE32-E72D297353CC}">
              <c16:uniqueId val="{00000000-6803-4BA3-8DE0-AC66A3AEF282}"/>
            </c:ext>
          </c:extLst>
        </c:ser>
        <c:ser>
          <c:idx val="1"/>
          <c:order val="1"/>
          <c:tx>
            <c:strRef>
              <c:f>Hoja1!$A$3</c:f>
              <c:strCache>
                <c:ptCount val="1"/>
                <c:pt idx="0">
                  <c:v>% participación financiación beneficiarios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Hoja1!$B$1:$H$1</c:f>
              <c:numCache>
                <c:formatCode>General</c:formatCode>
                <c:ptCount val="7"/>
                <c:pt idx="0">
                  <c:v>2013</c:v>
                </c:pt>
                <c:pt idx="1">
                  <c:v>2014</c:v>
                </c:pt>
                <c:pt idx="2">
                  <c:v>2015</c:v>
                </c:pt>
                <c:pt idx="3">
                  <c:v>2016</c:v>
                </c:pt>
                <c:pt idx="4">
                  <c:v>2017</c:v>
                </c:pt>
                <c:pt idx="5">
                  <c:v>2018</c:v>
                </c:pt>
                <c:pt idx="6">
                  <c:v>2019</c:v>
                </c:pt>
              </c:numCache>
            </c:numRef>
          </c:cat>
          <c:val>
            <c:numRef>
              <c:f>Hoja1!$B$3:$H$3</c:f>
              <c:numCache>
                <c:formatCode>0%</c:formatCode>
                <c:ptCount val="7"/>
                <c:pt idx="0">
                  <c:v>0.74669319271459755</c:v>
                </c:pt>
                <c:pt idx="1">
                  <c:v>0.73141398153251169</c:v>
                </c:pt>
                <c:pt idx="2">
                  <c:v>0.76949900497948953</c:v>
                </c:pt>
                <c:pt idx="3">
                  <c:v>0.76474261949790356</c:v>
                </c:pt>
                <c:pt idx="4">
                  <c:v>0.73743468475580831</c:v>
                </c:pt>
                <c:pt idx="5">
                  <c:v>0.73177371937166558</c:v>
                </c:pt>
                <c:pt idx="6">
                  <c:v>0.73942235326474426</c:v>
                </c:pt>
              </c:numCache>
            </c:numRef>
          </c:val>
          <c:extLst xmlns:c16r2="http://schemas.microsoft.com/office/drawing/2015/06/chart">
            <c:ext xmlns:c16="http://schemas.microsoft.com/office/drawing/2014/chart" uri="{C3380CC4-5D6E-409C-BE32-E72D297353CC}">
              <c16:uniqueId val="{00000001-6803-4BA3-8DE0-AC66A3AEF282}"/>
            </c:ext>
          </c:extLst>
        </c:ser>
        <c:dLbls>
          <c:showLegendKey val="0"/>
          <c:showVal val="0"/>
          <c:showCatName val="0"/>
          <c:showSerName val="0"/>
          <c:showPercent val="0"/>
          <c:showBubbleSize val="0"/>
        </c:dLbls>
        <c:gapWidth val="219"/>
        <c:overlap val="-27"/>
        <c:axId val="200315648"/>
        <c:axId val="170365312"/>
      </c:barChart>
      <c:catAx>
        <c:axId val="20031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0365312"/>
        <c:crosses val="autoZero"/>
        <c:auto val="1"/>
        <c:lblAlgn val="ctr"/>
        <c:lblOffset val="100"/>
        <c:noMultiLvlLbl val="0"/>
      </c:catAx>
      <c:valAx>
        <c:axId val="170365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0315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1EF4-29DB-4B0B-BE11-025A6C2F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5980</Words>
  <Characters>45950</Characters>
  <Application>Microsoft Office Word</Application>
  <DocSecurity>0</DocSecurity>
  <Lines>382</Lines>
  <Paragraphs>103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Iñaki De Santiago</cp:lastModifiedBy>
  <cp:revision>3</cp:revision>
  <cp:lastPrinted>2021-03-03T09:43:00Z</cp:lastPrinted>
  <dcterms:created xsi:type="dcterms:W3CDTF">2021-04-27T06:19:00Z</dcterms:created>
  <dcterms:modified xsi:type="dcterms:W3CDTF">2021-04-27T07:22:00Z</dcterms:modified>
</cp:coreProperties>
</file>