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26an egindako bilkuran, Eledunen Batzarrari entzun ondoren, hurrengo erabakia hartu zuen, besteak beste:</w:t>
      </w:r>
    </w:p>
    <w:p>
      <w:pPr>
        <w:pStyle w:val="0"/>
        <w:suppressAutoHyphens w:val="false"/>
        <w:rPr>
          <w:rStyle w:val="1"/>
          <w:spacing w:val="0.961"/>
        </w:rPr>
      </w:pPr>
      <w:r>
        <w:rPr>
          <w:rStyle w:val="1"/>
          <w:b w:val="true"/>
          <w:spacing w:val="0.961"/>
        </w:rPr>
        <w:t xml:space="preserve">1.</w:t>
      </w:r>
      <w:r>
        <w:rPr>
          <w:rStyle w:val="1"/>
          <w:spacing w:val="0.961"/>
        </w:rPr>
        <w:t xml:space="preserve"> Xedatzea Hezkuntza Batzordean izapidetu dadin Jorge Aguirre Oviedo jaunak aurkezturiko galdera, hezkuntza eleanitza indartze eta hobetze aldera Nafarroako Gobernuak hartu nahi dituen neurriei buruzkoa. Galdera 2021eko apirilaren 20ko 47. Nafarroako Parlamentuko Aldizkari Ofizialean argitaratu zen (10-21/POR-00182).</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