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AC" w:rsidRPr="006C4DAC" w:rsidRDefault="00FA495F" w:rsidP="000170C1">
      <w:pPr>
        <w:pStyle w:val="EstiloPortada"/>
        <w:ind w:right="-58"/>
        <w:jc w:val="right"/>
        <w:rPr>
          <w:sz w:val="40"/>
          <w:szCs w:val="40"/>
        </w:rPr>
      </w:pPr>
      <w:bookmarkStart w:id="0" w:name="_GoBack"/>
      <w:bookmarkEnd w:id="0"/>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392C6B" w:rsidRPr="003A7956" w:rsidRDefault="00392C6B" w:rsidP="004C3423">
                            <w:pPr>
                              <w:spacing w:after="0"/>
                              <w:ind w:firstLine="0"/>
                              <w:jc w:val="center"/>
                              <w:rPr>
                                <w:sz w:val="18"/>
                                <w:szCs w:val="18"/>
                              </w:rPr>
                            </w:pPr>
                            <w:r>
                              <w:rPr>
                                <w:sz w:val="18"/>
                                <w:szCs w:val="18"/>
                              </w:rPr>
                              <w:t>CAMARA DE</w:t>
                            </w:r>
                          </w:p>
                          <w:p w:rsidR="00392C6B" w:rsidRPr="003A7956" w:rsidRDefault="00392C6B" w:rsidP="004C3423">
                            <w:pPr>
                              <w:spacing w:after="0"/>
                              <w:ind w:firstLine="0"/>
                              <w:jc w:val="center"/>
                              <w:rPr>
                                <w:sz w:val="18"/>
                                <w:szCs w:val="18"/>
                              </w:rPr>
                            </w:pPr>
                            <w:r>
                              <w:rPr>
                                <w:sz w:val="18"/>
                                <w:szCs w:val="18"/>
                              </w:rPr>
                              <w:t>COMPTOS</w:t>
                            </w:r>
                          </w:p>
                          <w:p w:rsidR="00392C6B" w:rsidRPr="003A7956" w:rsidRDefault="00392C6B" w:rsidP="004C3423">
                            <w:pPr>
                              <w:spacing w:after="0"/>
                              <w:ind w:firstLine="0"/>
                              <w:jc w:val="center"/>
                              <w:rPr>
                                <w:sz w:val="18"/>
                                <w:szCs w:val="18"/>
                              </w:rPr>
                            </w:pPr>
                            <w:r>
                              <w:rPr>
                                <w:sz w:val="18"/>
                                <w:szCs w:val="18"/>
                              </w:rPr>
                              <w:t>DE NAVARRA</w:t>
                            </w:r>
                          </w:p>
                          <w:p w:rsidR="00392C6B" w:rsidRPr="003A7956" w:rsidRDefault="00392C6B" w:rsidP="004C3423">
                            <w:pPr>
                              <w:spacing w:after="0"/>
                              <w:ind w:firstLine="0"/>
                              <w:jc w:val="center"/>
                              <w:rPr>
                                <w:color w:val="808080"/>
                                <w:sz w:val="18"/>
                                <w:szCs w:val="18"/>
                              </w:rPr>
                            </w:pPr>
                            <w:r>
                              <w:rPr>
                                <w:color w:val="808080"/>
                                <w:sz w:val="18"/>
                                <w:szCs w:val="18"/>
                              </w:rPr>
                              <w:t>NAFARROAKO</w:t>
                            </w:r>
                          </w:p>
                          <w:p w:rsidR="00392C6B" w:rsidRPr="003A7956" w:rsidRDefault="00392C6B" w:rsidP="004C3423">
                            <w:pPr>
                              <w:spacing w:after="0"/>
                              <w:ind w:firstLine="0"/>
                              <w:jc w:val="center"/>
                              <w:rPr>
                                <w:color w:val="808080"/>
                                <w:sz w:val="18"/>
                                <w:szCs w:val="18"/>
                              </w:rPr>
                            </w:pPr>
                            <w:r>
                              <w:rPr>
                                <w:color w:val="808080"/>
                                <w:sz w:val="18"/>
                                <w:szCs w:val="18"/>
                              </w:rPr>
                              <w:t>KONTUEN</w:t>
                            </w:r>
                          </w:p>
                          <w:p w:rsidR="00392C6B" w:rsidRPr="003A7956" w:rsidRDefault="00392C6B" w:rsidP="004C3423">
                            <w:pPr>
                              <w:spacing w:after="0"/>
                              <w:ind w:firstLine="0"/>
                              <w:jc w:val="center"/>
                              <w:rPr>
                                <w:color w:val="808080"/>
                                <w:sz w:val="18"/>
                                <w:szCs w:val="18"/>
                              </w:rPr>
                            </w:pPr>
                            <w:r>
                              <w:rPr>
                                <w:color w:val="808080"/>
                                <w:sz w:val="18"/>
                                <w:szCs w:val="18"/>
                              </w:rPr>
                              <w:t>GANBERA</w:t>
                            </w:r>
                          </w:p>
                          <w:p w:rsidR="00392C6B" w:rsidRPr="002C7026" w:rsidRDefault="00392C6B"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392C6B" w:rsidRPr="003A7956" w:rsidRDefault="00392C6B" w:rsidP="004C3423">
                      <w:pPr>
                        <w:spacing w:after="0"/>
                        <w:ind w:firstLine="0"/>
                        <w:jc w:val="center"/>
                        <w:rPr>
                          <w:sz w:val="18"/>
                          <w:szCs w:val="18"/>
                        </w:rPr>
                      </w:pPr>
                      <w:r>
                        <w:rPr>
                          <w:sz w:val="18"/>
                          <w:szCs w:val="18"/>
                        </w:rPr>
                        <w:t>CAMARA DE</w:t>
                      </w:r>
                    </w:p>
                    <w:p w:rsidR="00392C6B" w:rsidRPr="003A7956" w:rsidRDefault="00392C6B" w:rsidP="004C3423">
                      <w:pPr>
                        <w:spacing w:after="0"/>
                        <w:ind w:firstLine="0"/>
                        <w:jc w:val="center"/>
                        <w:rPr>
                          <w:sz w:val="18"/>
                          <w:szCs w:val="18"/>
                        </w:rPr>
                      </w:pPr>
                      <w:r>
                        <w:rPr>
                          <w:sz w:val="18"/>
                          <w:szCs w:val="18"/>
                        </w:rPr>
                        <w:t>COMPTOS</w:t>
                      </w:r>
                    </w:p>
                    <w:p w:rsidR="00392C6B" w:rsidRPr="003A7956" w:rsidRDefault="00392C6B" w:rsidP="004C3423">
                      <w:pPr>
                        <w:spacing w:after="0"/>
                        <w:ind w:firstLine="0"/>
                        <w:jc w:val="center"/>
                        <w:rPr>
                          <w:sz w:val="18"/>
                          <w:szCs w:val="18"/>
                        </w:rPr>
                      </w:pPr>
                      <w:r>
                        <w:rPr>
                          <w:sz w:val="18"/>
                          <w:szCs w:val="18"/>
                        </w:rPr>
                        <w:t>DE NAVARRA</w:t>
                      </w:r>
                    </w:p>
                    <w:p w:rsidR="00392C6B" w:rsidRPr="003A7956" w:rsidRDefault="00392C6B" w:rsidP="004C3423">
                      <w:pPr>
                        <w:spacing w:after="0"/>
                        <w:ind w:firstLine="0"/>
                        <w:jc w:val="center"/>
                        <w:rPr>
                          <w:color w:val="808080"/>
                          <w:sz w:val="18"/>
                          <w:szCs w:val="18"/>
                        </w:rPr>
                      </w:pPr>
                      <w:r>
                        <w:rPr>
                          <w:color w:val="808080"/>
                          <w:sz w:val="18"/>
                          <w:szCs w:val="18"/>
                        </w:rPr>
                        <w:t>NAFARROAKO</w:t>
                      </w:r>
                    </w:p>
                    <w:p w:rsidR="00392C6B" w:rsidRPr="003A7956" w:rsidRDefault="00392C6B" w:rsidP="004C3423">
                      <w:pPr>
                        <w:spacing w:after="0"/>
                        <w:ind w:firstLine="0"/>
                        <w:jc w:val="center"/>
                        <w:rPr>
                          <w:color w:val="808080"/>
                          <w:sz w:val="18"/>
                          <w:szCs w:val="18"/>
                        </w:rPr>
                      </w:pPr>
                      <w:r>
                        <w:rPr>
                          <w:color w:val="808080"/>
                          <w:sz w:val="18"/>
                          <w:szCs w:val="18"/>
                        </w:rPr>
                        <w:t>KONTUEN</w:t>
                      </w:r>
                    </w:p>
                    <w:p w:rsidR="00392C6B" w:rsidRPr="003A7956" w:rsidRDefault="00392C6B" w:rsidP="004C3423">
                      <w:pPr>
                        <w:spacing w:after="0"/>
                        <w:ind w:firstLine="0"/>
                        <w:jc w:val="center"/>
                        <w:rPr>
                          <w:color w:val="808080"/>
                          <w:sz w:val="18"/>
                          <w:szCs w:val="18"/>
                        </w:rPr>
                      </w:pPr>
                      <w:r>
                        <w:rPr>
                          <w:color w:val="808080"/>
                          <w:sz w:val="18"/>
                          <w:szCs w:val="18"/>
                        </w:rPr>
                        <w:t>GANBERA</w:t>
                      </w:r>
                    </w:p>
                    <w:p w:rsidR="00392C6B" w:rsidRPr="002C7026" w:rsidRDefault="00392C6B" w:rsidP="002C7026">
                      <w:pPr>
                        <w:spacing w:after="0"/>
                        <w:ind w:firstLine="0"/>
                        <w:jc w:val="center"/>
                        <w:rPr>
                          <w:rFonts w:ascii="Trajan" w:hAnsi="Trajan"/>
                          <w:color w:val="808080"/>
                          <w:sz w:val="18"/>
                          <w:szCs w:val="18"/>
                          <w:lang w:val="es-ES"/>
                        </w:rPr>
                      </w:pPr>
                    </w:p>
                  </w:txbxContent>
                </v:textbox>
              </v:shape>
            </w:pict>
          </mc:Fallback>
        </mc:AlternateContent>
      </w:r>
      <w:r>
        <w:rPr>
          <w:sz w:val="40"/>
          <w:szCs w:val="40"/>
        </w:rPr>
        <w:t>Nola kudeatu duen C</w:t>
      </w:r>
      <w:r>
        <w:rPr>
          <w:sz w:val="40"/>
          <w:szCs w:val="40"/>
        </w:rPr>
        <w:t>O</w:t>
      </w:r>
      <w:r>
        <w:rPr>
          <w:sz w:val="40"/>
          <w:szCs w:val="40"/>
        </w:rPr>
        <w:t>VID-19a</w:t>
      </w:r>
    </w:p>
    <w:p w:rsidR="006C4DAC" w:rsidRDefault="006C4DAC" w:rsidP="006C4DAC">
      <w:pPr>
        <w:pStyle w:val="EstiloPortada"/>
        <w:ind w:left="1560" w:right="0"/>
        <w:jc w:val="right"/>
        <w:rPr>
          <w:sz w:val="40"/>
          <w:szCs w:val="40"/>
        </w:rPr>
      </w:pPr>
      <w:r>
        <w:rPr>
          <w:sz w:val="40"/>
          <w:szCs w:val="40"/>
        </w:rPr>
        <w:t>Nafarroako Foru Komunitateko</w:t>
      </w:r>
    </w:p>
    <w:p w:rsidR="006C4DAC" w:rsidRDefault="006C4DAC" w:rsidP="006C4DAC">
      <w:pPr>
        <w:pStyle w:val="EstiloPortada"/>
        <w:ind w:left="1560" w:right="0"/>
        <w:jc w:val="right"/>
        <w:rPr>
          <w:sz w:val="40"/>
          <w:szCs w:val="40"/>
        </w:rPr>
      </w:pPr>
      <w:r>
        <w:rPr>
          <w:sz w:val="40"/>
          <w:szCs w:val="40"/>
        </w:rPr>
        <w:t>Administrazioak</w:t>
      </w:r>
    </w:p>
    <w:p w:rsidR="006C4DAC" w:rsidRPr="006C4DAC" w:rsidRDefault="006C4DAC" w:rsidP="006C4DAC">
      <w:pPr>
        <w:pStyle w:val="EstiloPortada"/>
        <w:ind w:left="1560" w:right="0"/>
        <w:jc w:val="right"/>
        <w:rPr>
          <w:sz w:val="40"/>
          <w:szCs w:val="40"/>
        </w:rPr>
      </w:pPr>
      <w:r>
        <w:rPr>
          <w:sz w:val="40"/>
          <w:szCs w:val="40"/>
        </w:rPr>
        <w:t>(2020ko martxoa-abendua)</w:t>
      </w:r>
    </w:p>
    <w:p w:rsidR="001C3A32" w:rsidRPr="006C4DAC" w:rsidRDefault="001C3A32" w:rsidP="00891D73">
      <w:pPr>
        <w:pStyle w:val="texto"/>
        <w:rPr>
          <w:sz w:val="44"/>
          <w:szCs w:val="44"/>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6C4DAC" w:rsidRPr="00204979" w:rsidRDefault="006C4DAC"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0170C1" w:rsidP="009936FC">
      <w:pPr>
        <w:pStyle w:val="Fechaportada"/>
      </w:pPr>
      <w:r>
        <w:t>2021eko apirila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CC15C0" w:rsidRPr="004740FB" w:rsidRDefault="00CC15C0" w:rsidP="00CC15C0">
      <w:pPr>
        <w:pStyle w:val="ndice"/>
        <w:jc w:val="right"/>
        <w:rPr>
          <w:b w:val="0"/>
          <w:i/>
          <w:sz w:val="16"/>
          <w:szCs w:val="16"/>
        </w:rPr>
      </w:pPr>
      <w:r>
        <w:rPr>
          <w:b w:val="0"/>
          <w:i/>
          <w:sz w:val="16"/>
          <w:szCs w:val="16"/>
        </w:rPr>
        <w:t>Orrialdea</w:t>
      </w:r>
    </w:p>
    <w:p w:rsidR="00463F3E"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70588997" w:history="1">
        <w:r w:rsidR="00463F3E" w:rsidRPr="003F5AE6">
          <w:rPr>
            <w:rStyle w:val="Hipervnculo"/>
            <w:noProof/>
          </w:rPr>
          <w:t>I. Sarrera</w:t>
        </w:r>
        <w:r w:rsidR="00463F3E">
          <w:rPr>
            <w:noProof/>
            <w:webHidden/>
          </w:rPr>
          <w:tab/>
        </w:r>
        <w:r w:rsidR="00463F3E">
          <w:rPr>
            <w:noProof/>
            <w:webHidden/>
          </w:rPr>
          <w:fldChar w:fldCharType="begin"/>
        </w:r>
        <w:r w:rsidR="00463F3E">
          <w:rPr>
            <w:noProof/>
            <w:webHidden/>
          </w:rPr>
          <w:instrText xml:space="preserve"> PAGEREF _Toc70588997 \h </w:instrText>
        </w:r>
        <w:r w:rsidR="00463F3E">
          <w:rPr>
            <w:noProof/>
            <w:webHidden/>
          </w:rPr>
        </w:r>
        <w:r w:rsidR="00463F3E">
          <w:rPr>
            <w:noProof/>
            <w:webHidden/>
          </w:rPr>
          <w:fldChar w:fldCharType="separate"/>
        </w:r>
        <w:r w:rsidR="00463F3E">
          <w:rPr>
            <w:noProof/>
            <w:webHidden/>
          </w:rPr>
          <w:t>3</w:t>
        </w:r>
        <w:r w:rsidR="00463F3E">
          <w:rPr>
            <w:noProof/>
            <w:webHidden/>
          </w:rPr>
          <w:fldChar w:fldCharType="end"/>
        </w:r>
      </w:hyperlink>
    </w:p>
    <w:p w:rsidR="00463F3E" w:rsidRDefault="00463F3E">
      <w:pPr>
        <w:pStyle w:val="TDC1"/>
        <w:rPr>
          <w:rFonts w:asciiTheme="minorHAnsi" w:eastAsiaTheme="minorEastAsia" w:hAnsiTheme="minorHAnsi" w:cstheme="minorBidi"/>
          <w:smallCaps w:val="0"/>
          <w:noProof/>
          <w:szCs w:val="22"/>
          <w:lang w:val="es-ES" w:eastAsia="es-ES"/>
        </w:rPr>
      </w:pPr>
      <w:hyperlink w:anchor="_Toc70588998" w:history="1">
        <w:r w:rsidRPr="003F5AE6">
          <w:rPr>
            <w:rStyle w:val="Hipervnculo"/>
            <w:noProof/>
          </w:rPr>
          <w:t>II. Nola kudeatu duen COVID-19a Nafarroako Foru Komunitateak</w:t>
        </w:r>
        <w:r>
          <w:rPr>
            <w:noProof/>
            <w:webHidden/>
          </w:rPr>
          <w:tab/>
        </w:r>
        <w:r>
          <w:rPr>
            <w:noProof/>
            <w:webHidden/>
          </w:rPr>
          <w:fldChar w:fldCharType="begin"/>
        </w:r>
        <w:r>
          <w:rPr>
            <w:noProof/>
            <w:webHidden/>
          </w:rPr>
          <w:instrText xml:space="preserve"> PAGEREF _Toc70588998 \h </w:instrText>
        </w:r>
        <w:r>
          <w:rPr>
            <w:noProof/>
            <w:webHidden/>
          </w:rPr>
        </w:r>
        <w:r>
          <w:rPr>
            <w:noProof/>
            <w:webHidden/>
          </w:rPr>
          <w:fldChar w:fldCharType="separate"/>
        </w:r>
        <w:r>
          <w:rPr>
            <w:noProof/>
            <w:webHidden/>
          </w:rPr>
          <w:t>5</w:t>
        </w:r>
        <w:r>
          <w:rPr>
            <w:noProof/>
            <w:webHidden/>
          </w:rPr>
          <w:fldChar w:fldCharType="end"/>
        </w:r>
      </w:hyperlink>
    </w:p>
    <w:p w:rsidR="00463F3E" w:rsidRDefault="00463F3E">
      <w:pPr>
        <w:pStyle w:val="TDC2"/>
        <w:rPr>
          <w:rFonts w:asciiTheme="minorHAnsi" w:eastAsiaTheme="minorEastAsia" w:hAnsiTheme="minorHAnsi" w:cstheme="minorBidi"/>
          <w:noProof/>
          <w:szCs w:val="22"/>
          <w:lang w:val="es-ES" w:eastAsia="es-ES"/>
        </w:rPr>
      </w:pPr>
      <w:hyperlink w:anchor="_Toc70588999" w:history="1">
        <w:r w:rsidRPr="003F5AE6">
          <w:rPr>
            <w:rStyle w:val="Hipervnculo"/>
            <w:noProof/>
          </w:rPr>
          <w:t>II.1. COVID-19aren kudeaketari aplikatu beharreko arau-esparrua</w:t>
        </w:r>
        <w:r>
          <w:rPr>
            <w:noProof/>
            <w:webHidden/>
          </w:rPr>
          <w:tab/>
        </w:r>
        <w:r>
          <w:rPr>
            <w:noProof/>
            <w:webHidden/>
          </w:rPr>
          <w:fldChar w:fldCharType="begin"/>
        </w:r>
        <w:r>
          <w:rPr>
            <w:noProof/>
            <w:webHidden/>
          </w:rPr>
          <w:instrText xml:space="preserve"> PAGEREF _Toc70588999 \h </w:instrText>
        </w:r>
        <w:r>
          <w:rPr>
            <w:noProof/>
            <w:webHidden/>
          </w:rPr>
        </w:r>
        <w:r>
          <w:rPr>
            <w:noProof/>
            <w:webHidden/>
          </w:rPr>
          <w:fldChar w:fldCharType="separate"/>
        </w:r>
        <w:r>
          <w:rPr>
            <w:noProof/>
            <w:webHidden/>
          </w:rPr>
          <w:t>5</w:t>
        </w:r>
        <w:r>
          <w:rPr>
            <w:noProof/>
            <w:webHidden/>
          </w:rPr>
          <w:fldChar w:fldCharType="end"/>
        </w:r>
      </w:hyperlink>
    </w:p>
    <w:p w:rsidR="00463F3E" w:rsidRDefault="00463F3E">
      <w:pPr>
        <w:pStyle w:val="TDC2"/>
        <w:rPr>
          <w:rFonts w:asciiTheme="minorHAnsi" w:eastAsiaTheme="minorEastAsia" w:hAnsiTheme="minorHAnsi" w:cstheme="minorBidi"/>
          <w:noProof/>
          <w:szCs w:val="22"/>
          <w:lang w:val="es-ES" w:eastAsia="es-ES"/>
        </w:rPr>
      </w:pPr>
      <w:hyperlink w:anchor="_Toc70589000" w:history="1">
        <w:r w:rsidRPr="003F5AE6">
          <w:rPr>
            <w:rStyle w:val="Hipervnculo"/>
            <w:noProof/>
          </w:rPr>
          <w:t>II.2. COVID-19ari aplikatutako kudeaketa-prozedurak</w:t>
        </w:r>
        <w:r>
          <w:rPr>
            <w:noProof/>
            <w:webHidden/>
          </w:rPr>
          <w:tab/>
        </w:r>
        <w:r>
          <w:rPr>
            <w:noProof/>
            <w:webHidden/>
          </w:rPr>
          <w:fldChar w:fldCharType="begin"/>
        </w:r>
        <w:r>
          <w:rPr>
            <w:noProof/>
            <w:webHidden/>
          </w:rPr>
          <w:instrText xml:space="preserve"> PAGEREF _Toc70589000 \h </w:instrText>
        </w:r>
        <w:r>
          <w:rPr>
            <w:noProof/>
            <w:webHidden/>
          </w:rPr>
        </w:r>
        <w:r>
          <w:rPr>
            <w:noProof/>
            <w:webHidden/>
          </w:rPr>
          <w:fldChar w:fldCharType="separate"/>
        </w:r>
        <w:r>
          <w:rPr>
            <w:noProof/>
            <w:webHidden/>
          </w:rPr>
          <w:t>6</w:t>
        </w:r>
        <w:r>
          <w:rPr>
            <w:noProof/>
            <w:webHidden/>
          </w:rPr>
          <w:fldChar w:fldCharType="end"/>
        </w:r>
      </w:hyperlink>
    </w:p>
    <w:p w:rsidR="00463F3E" w:rsidRDefault="00463F3E">
      <w:pPr>
        <w:pStyle w:val="TDC1"/>
        <w:rPr>
          <w:rFonts w:asciiTheme="minorHAnsi" w:eastAsiaTheme="minorEastAsia" w:hAnsiTheme="minorHAnsi" w:cstheme="minorBidi"/>
          <w:smallCaps w:val="0"/>
          <w:noProof/>
          <w:szCs w:val="22"/>
          <w:lang w:val="es-ES" w:eastAsia="es-ES"/>
        </w:rPr>
      </w:pPr>
      <w:hyperlink w:anchor="_Toc70589001" w:history="1">
        <w:r w:rsidRPr="003F5AE6">
          <w:rPr>
            <w:rStyle w:val="Hipervnculo"/>
            <w:noProof/>
          </w:rPr>
          <w:t>III. Helburuak, norainokoa eta mugak</w:t>
        </w:r>
        <w:r>
          <w:rPr>
            <w:noProof/>
            <w:webHidden/>
          </w:rPr>
          <w:tab/>
        </w:r>
        <w:r>
          <w:rPr>
            <w:noProof/>
            <w:webHidden/>
          </w:rPr>
          <w:fldChar w:fldCharType="begin"/>
        </w:r>
        <w:r>
          <w:rPr>
            <w:noProof/>
            <w:webHidden/>
          </w:rPr>
          <w:instrText xml:space="preserve"> PAGEREF _Toc70589001 \h </w:instrText>
        </w:r>
        <w:r>
          <w:rPr>
            <w:noProof/>
            <w:webHidden/>
          </w:rPr>
        </w:r>
        <w:r>
          <w:rPr>
            <w:noProof/>
            <w:webHidden/>
          </w:rPr>
          <w:fldChar w:fldCharType="separate"/>
        </w:r>
        <w:r>
          <w:rPr>
            <w:noProof/>
            <w:webHidden/>
          </w:rPr>
          <w:t>10</w:t>
        </w:r>
        <w:r>
          <w:rPr>
            <w:noProof/>
            <w:webHidden/>
          </w:rPr>
          <w:fldChar w:fldCharType="end"/>
        </w:r>
      </w:hyperlink>
    </w:p>
    <w:p w:rsidR="00463F3E" w:rsidRDefault="00463F3E">
      <w:pPr>
        <w:pStyle w:val="TDC1"/>
        <w:rPr>
          <w:rFonts w:asciiTheme="minorHAnsi" w:eastAsiaTheme="minorEastAsia" w:hAnsiTheme="minorHAnsi" w:cstheme="minorBidi"/>
          <w:smallCaps w:val="0"/>
          <w:noProof/>
          <w:szCs w:val="22"/>
          <w:lang w:val="es-ES" w:eastAsia="es-ES"/>
        </w:rPr>
      </w:pPr>
      <w:hyperlink w:anchor="_Toc70589002" w:history="1">
        <w:r w:rsidRPr="003F5AE6">
          <w:rPr>
            <w:rStyle w:val="Hipervnculo"/>
            <w:noProof/>
          </w:rPr>
          <w:t>IV. Konklusioak eta gomendioak</w:t>
        </w:r>
        <w:r>
          <w:rPr>
            <w:noProof/>
            <w:webHidden/>
          </w:rPr>
          <w:tab/>
        </w:r>
        <w:r>
          <w:rPr>
            <w:noProof/>
            <w:webHidden/>
          </w:rPr>
          <w:fldChar w:fldCharType="begin"/>
        </w:r>
        <w:r>
          <w:rPr>
            <w:noProof/>
            <w:webHidden/>
          </w:rPr>
          <w:instrText xml:space="preserve"> PAGEREF _Toc70589002 \h </w:instrText>
        </w:r>
        <w:r>
          <w:rPr>
            <w:noProof/>
            <w:webHidden/>
          </w:rPr>
        </w:r>
        <w:r>
          <w:rPr>
            <w:noProof/>
            <w:webHidden/>
          </w:rPr>
          <w:fldChar w:fldCharType="separate"/>
        </w:r>
        <w:r>
          <w:rPr>
            <w:noProof/>
            <w:webHidden/>
          </w:rPr>
          <w:t>13</w:t>
        </w:r>
        <w:r>
          <w:rPr>
            <w:noProof/>
            <w:webHidden/>
          </w:rPr>
          <w:fldChar w:fldCharType="end"/>
        </w:r>
      </w:hyperlink>
    </w:p>
    <w:p w:rsidR="00463F3E" w:rsidRDefault="00463F3E">
      <w:pPr>
        <w:pStyle w:val="TDC2"/>
        <w:rPr>
          <w:rFonts w:asciiTheme="minorHAnsi" w:eastAsiaTheme="minorEastAsia" w:hAnsiTheme="minorHAnsi" w:cstheme="minorBidi"/>
          <w:noProof/>
          <w:szCs w:val="22"/>
          <w:lang w:val="es-ES" w:eastAsia="es-ES"/>
        </w:rPr>
      </w:pPr>
      <w:hyperlink w:anchor="_Toc70589003" w:history="1">
        <w:r w:rsidRPr="003F5AE6">
          <w:rPr>
            <w:rStyle w:val="Hipervnculo"/>
            <w:noProof/>
          </w:rPr>
          <w:t>IV.1. COVID-19aren kudeaketari dagozkion gastuen eta diru-sarreren kuantifikazioa</w:t>
        </w:r>
        <w:r>
          <w:rPr>
            <w:noProof/>
            <w:webHidden/>
          </w:rPr>
          <w:tab/>
        </w:r>
        <w:r>
          <w:rPr>
            <w:noProof/>
            <w:webHidden/>
          </w:rPr>
          <w:fldChar w:fldCharType="begin"/>
        </w:r>
        <w:r>
          <w:rPr>
            <w:noProof/>
            <w:webHidden/>
          </w:rPr>
          <w:instrText xml:space="preserve"> PAGEREF _Toc70589003 \h </w:instrText>
        </w:r>
        <w:r>
          <w:rPr>
            <w:noProof/>
            <w:webHidden/>
          </w:rPr>
        </w:r>
        <w:r>
          <w:rPr>
            <w:noProof/>
            <w:webHidden/>
          </w:rPr>
          <w:fldChar w:fldCharType="separate"/>
        </w:r>
        <w:r>
          <w:rPr>
            <w:noProof/>
            <w:webHidden/>
          </w:rPr>
          <w:t>14</w:t>
        </w:r>
        <w:r>
          <w:rPr>
            <w:noProof/>
            <w:webHidden/>
          </w:rPr>
          <w:fldChar w:fldCharType="end"/>
        </w:r>
      </w:hyperlink>
    </w:p>
    <w:p w:rsidR="00463F3E" w:rsidRDefault="00463F3E">
      <w:pPr>
        <w:pStyle w:val="TDC2"/>
        <w:rPr>
          <w:rFonts w:asciiTheme="minorHAnsi" w:eastAsiaTheme="minorEastAsia" w:hAnsiTheme="minorHAnsi" w:cstheme="minorBidi"/>
          <w:noProof/>
          <w:szCs w:val="22"/>
          <w:lang w:val="es-ES" w:eastAsia="es-ES"/>
        </w:rPr>
      </w:pPr>
      <w:hyperlink w:anchor="_Toc70589004" w:history="1">
        <w:r w:rsidRPr="003F5AE6">
          <w:rPr>
            <w:rStyle w:val="Hipervnculo"/>
            <w:noProof/>
          </w:rPr>
          <w:t>IV.2. Legezkotasunari buruzko auditoria</w:t>
        </w:r>
        <w:r>
          <w:rPr>
            <w:noProof/>
            <w:webHidden/>
          </w:rPr>
          <w:tab/>
        </w:r>
        <w:r>
          <w:rPr>
            <w:noProof/>
            <w:webHidden/>
          </w:rPr>
          <w:fldChar w:fldCharType="begin"/>
        </w:r>
        <w:r>
          <w:rPr>
            <w:noProof/>
            <w:webHidden/>
          </w:rPr>
          <w:instrText xml:space="preserve"> PAGEREF _Toc70589004 \h </w:instrText>
        </w:r>
        <w:r>
          <w:rPr>
            <w:noProof/>
            <w:webHidden/>
          </w:rPr>
        </w:r>
        <w:r>
          <w:rPr>
            <w:noProof/>
            <w:webHidden/>
          </w:rPr>
          <w:fldChar w:fldCharType="separate"/>
        </w:r>
        <w:r>
          <w:rPr>
            <w:noProof/>
            <w:webHidden/>
          </w:rPr>
          <w:t>23</w:t>
        </w:r>
        <w:r>
          <w:rPr>
            <w:noProof/>
            <w:webHidden/>
          </w:rPr>
          <w:fldChar w:fldCharType="end"/>
        </w:r>
      </w:hyperlink>
    </w:p>
    <w:p w:rsidR="00463F3E" w:rsidRDefault="00463F3E">
      <w:pPr>
        <w:pStyle w:val="TDC2"/>
        <w:rPr>
          <w:rFonts w:asciiTheme="minorHAnsi" w:eastAsiaTheme="minorEastAsia" w:hAnsiTheme="minorHAnsi" w:cstheme="minorBidi"/>
          <w:noProof/>
          <w:szCs w:val="22"/>
          <w:lang w:val="es-ES" w:eastAsia="es-ES"/>
        </w:rPr>
      </w:pPr>
      <w:hyperlink w:anchor="_Toc70589005" w:history="1">
        <w:r w:rsidRPr="003F5AE6">
          <w:rPr>
            <w:rStyle w:val="Hipervnculo"/>
            <w:noProof/>
          </w:rPr>
          <w:t>IV.3. Eraginkortasunari eta efizientziari buruzko auditoria</w:t>
        </w:r>
        <w:r>
          <w:rPr>
            <w:noProof/>
            <w:webHidden/>
          </w:rPr>
          <w:tab/>
        </w:r>
        <w:r>
          <w:rPr>
            <w:noProof/>
            <w:webHidden/>
          </w:rPr>
          <w:fldChar w:fldCharType="begin"/>
        </w:r>
        <w:r>
          <w:rPr>
            <w:noProof/>
            <w:webHidden/>
          </w:rPr>
          <w:instrText xml:space="preserve"> PAGEREF _Toc70589005 \h </w:instrText>
        </w:r>
        <w:r>
          <w:rPr>
            <w:noProof/>
            <w:webHidden/>
          </w:rPr>
        </w:r>
        <w:r>
          <w:rPr>
            <w:noProof/>
            <w:webHidden/>
          </w:rPr>
          <w:fldChar w:fldCharType="separate"/>
        </w:r>
        <w:r>
          <w:rPr>
            <w:noProof/>
            <w:webHidden/>
          </w:rPr>
          <w:t>27</w:t>
        </w:r>
        <w:r>
          <w:rPr>
            <w:noProof/>
            <w:webHidden/>
          </w:rPr>
          <w:fldChar w:fldCharType="end"/>
        </w:r>
      </w:hyperlink>
    </w:p>
    <w:p w:rsidR="00463F3E" w:rsidRDefault="00463F3E">
      <w:pPr>
        <w:pStyle w:val="TDC2"/>
        <w:rPr>
          <w:rFonts w:asciiTheme="minorHAnsi" w:eastAsiaTheme="minorEastAsia" w:hAnsiTheme="minorHAnsi" w:cstheme="minorBidi"/>
          <w:noProof/>
          <w:szCs w:val="22"/>
          <w:lang w:val="es-ES" w:eastAsia="es-ES"/>
        </w:rPr>
      </w:pPr>
      <w:hyperlink w:anchor="_Toc70589006" w:history="1">
        <w:r w:rsidRPr="003F5AE6">
          <w:rPr>
            <w:rStyle w:val="Hipervnculo"/>
            <w:noProof/>
          </w:rPr>
          <w:t>IV.4. 2020ko abenduaren 31tik aurrerako gertaerak</w:t>
        </w:r>
        <w:r>
          <w:rPr>
            <w:noProof/>
            <w:webHidden/>
          </w:rPr>
          <w:tab/>
        </w:r>
        <w:r>
          <w:rPr>
            <w:noProof/>
            <w:webHidden/>
          </w:rPr>
          <w:fldChar w:fldCharType="begin"/>
        </w:r>
        <w:r>
          <w:rPr>
            <w:noProof/>
            <w:webHidden/>
          </w:rPr>
          <w:instrText xml:space="preserve"> PAGEREF _Toc70589006 \h </w:instrText>
        </w:r>
        <w:r>
          <w:rPr>
            <w:noProof/>
            <w:webHidden/>
          </w:rPr>
        </w:r>
        <w:r>
          <w:rPr>
            <w:noProof/>
            <w:webHidden/>
          </w:rPr>
          <w:fldChar w:fldCharType="separate"/>
        </w:r>
        <w:r>
          <w:rPr>
            <w:noProof/>
            <w:webHidden/>
          </w:rPr>
          <w:t>28</w:t>
        </w:r>
        <w:r>
          <w:rPr>
            <w:noProof/>
            <w:webHidden/>
          </w:rPr>
          <w:fldChar w:fldCharType="end"/>
        </w:r>
      </w:hyperlink>
    </w:p>
    <w:p w:rsidR="00463F3E" w:rsidRDefault="00463F3E">
      <w:pPr>
        <w:pStyle w:val="TDC2"/>
        <w:rPr>
          <w:rFonts w:asciiTheme="minorHAnsi" w:eastAsiaTheme="minorEastAsia" w:hAnsiTheme="minorHAnsi" w:cstheme="minorBidi"/>
          <w:noProof/>
          <w:szCs w:val="22"/>
          <w:lang w:val="es-ES" w:eastAsia="es-ES"/>
        </w:rPr>
      </w:pPr>
      <w:hyperlink w:anchor="_Toc70589007" w:history="1">
        <w:r w:rsidRPr="003F5AE6">
          <w:rPr>
            <w:rStyle w:val="Hipervnculo"/>
            <w:noProof/>
          </w:rPr>
          <w:t>IV.5. Amaierako konklusioa eta gomendioak</w:t>
        </w:r>
        <w:r>
          <w:rPr>
            <w:noProof/>
            <w:webHidden/>
          </w:rPr>
          <w:tab/>
        </w:r>
        <w:r>
          <w:rPr>
            <w:noProof/>
            <w:webHidden/>
          </w:rPr>
          <w:fldChar w:fldCharType="begin"/>
        </w:r>
        <w:r>
          <w:rPr>
            <w:noProof/>
            <w:webHidden/>
          </w:rPr>
          <w:instrText xml:space="preserve"> PAGEREF _Toc70589007 \h </w:instrText>
        </w:r>
        <w:r>
          <w:rPr>
            <w:noProof/>
            <w:webHidden/>
          </w:rPr>
        </w:r>
        <w:r>
          <w:rPr>
            <w:noProof/>
            <w:webHidden/>
          </w:rPr>
          <w:fldChar w:fldCharType="separate"/>
        </w:r>
        <w:r>
          <w:rPr>
            <w:noProof/>
            <w:webHidden/>
          </w:rPr>
          <w:t>28</w:t>
        </w:r>
        <w:r>
          <w:rPr>
            <w:noProof/>
            <w:webHidden/>
          </w:rPr>
          <w:fldChar w:fldCharType="end"/>
        </w:r>
      </w:hyperlink>
    </w:p>
    <w:p w:rsidR="00463F3E" w:rsidRDefault="00463F3E">
      <w:pPr>
        <w:pStyle w:val="TDC1"/>
        <w:rPr>
          <w:rFonts w:asciiTheme="minorHAnsi" w:eastAsiaTheme="minorEastAsia" w:hAnsiTheme="minorHAnsi" w:cstheme="minorBidi"/>
          <w:smallCaps w:val="0"/>
          <w:noProof/>
          <w:szCs w:val="22"/>
          <w:lang w:val="es-ES" w:eastAsia="es-ES"/>
        </w:rPr>
      </w:pPr>
      <w:hyperlink w:anchor="_Toc70589008" w:history="1">
        <w:r w:rsidRPr="003F5AE6">
          <w:rPr>
            <w:rStyle w:val="Hipervnculo"/>
            <w:noProof/>
          </w:rPr>
          <w:t>Eranskinak</w:t>
        </w:r>
        <w:r>
          <w:rPr>
            <w:noProof/>
            <w:webHidden/>
          </w:rPr>
          <w:tab/>
        </w:r>
        <w:r>
          <w:rPr>
            <w:noProof/>
            <w:webHidden/>
          </w:rPr>
          <w:fldChar w:fldCharType="begin"/>
        </w:r>
        <w:r>
          <w:rPr>
            <w:noProof/>
            <w:webHidden/>
          </w:rPr>
          <w:instrText xml:space="preserve"> PAGEREF _Toc70589008 \h </w:instrText>
        </w:r>
        <w:r>
          <w:rPr>
            <w:noProof/>
            <w:webHidden/>
          </w:rPr>
        </w:r>
        <w:r>
          <w:rPr>
            <w:noProof/>
            <w:webHidden/>
          </w:rPr>
          <w:fldChar w:fldCharType="separate"/>
        </w:r>
        <w:r>
          <w:rPr>
            <w:noProof/>
            <w:webHidden/>
          </w:rPr>
          <w:t>31</w:t>
        </w:r>
        <w:r>
          <w:rPr>
            <w:noProof/>
            <w:webHidden/>
          </w:rPr>
          <w:fldChar w:fldCharType="end"/>
        </w:r>
      </w:hyperlink>
    </w:p>
    <w:p w:rsidR="00463F3E" w:rsidRDefault="00463F3E">
      <w:pPr>
        <w:pStyle w:val="TDC1"/>
        <w:rPr>
          <w:rFonts w:asciiTheme="minorHAnsi" w:eastAsiaTheme="minorEastAsia" w:hAnsiTheme="minorHAnsi" w:cstheme="minorBidi"/>
          <w:smallCaps w:val="0"/>
          <w:noProof/>
          <w:szCs w:val="22"/>
          <w:lang w:val="es-ES" w:eastAsia="es-ES"/>
        </w:rPr>
      </w:pPr>
      <w:hyperlink w:anchor="_Toc70589009" w:history="1">
        <w:r w:rsidRPr="003F5AE6">
          <w:rPr>
            <w:rStyle w:val="Hipervnculo"/>
            <w:noProof/>
          </w:rPr>
          <w:t>1. eranskina. COVID-19aren kudeaketari Nafarroan aplikatu beharreko oinarrizko arau-esparrua</w:t>
        </w:r>
        <w:r>
          <w:rPr>
            <w:noProof/>
            <w:webHidden/>
          </w:rPr>
          <w:tab/>
        </w:r>
        <w:r>
          <w:rPr>
            <w:noProof/>
            <w:webHidden/>
          </w:rPr>
          <w:fldChar w:fldCharType="begin"/>
        </w:r>
        <w:r>
          <w:rPr>
            <w:noProof/>
            <w:webHidden/>
          </w:rPr>
          <w:instrText xml:space="preserve"> PAGEREF _Toc70589009 \h </w:instrText>
        </w:r>
        <w:r>
          <w:rPr>
            <w:noProof/>
            <w:webHidden/>
          </w:rPr>
        </w:r>
        <w:r>
          <w:rPr>
            <w:noProof/>
            <w:webHidden/>
          </w:rPr>
          <w:fldChar w:fldCharType="separate"/>
        </w:r>
        <w:r>
          <w:rPr>
            <w:noProof/>
            <w:webHidden/>
          </w:rPr>
          <w:t>32</w:t>
        </w:r>
        <w:r>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6C4DAC" w:rsidRPr="00AA7CB8" w:rsidRDefault="006C4DAC" w:rsidP="006C4DAC">
      <w:pPr>
        <w:pStyle w:val="atitulo1"/>
      </w:pPr>
      <w:bookmarkStart w:id="1" w:name="_Toc291067874"/>
      <w:bookmarkStart w:id="2" w:name="_Toc121293081"/>
      <w:bookmarkStart w:id="3" w:name="_Toc121292758"/>
      <w:bookmarkStart w:id="4" w:name="_Toc432757078"/>
      <w:bookmarkStart w:id="5" w:name="_Toc447195010"/>
      <w:bookmarkStart w:id="6" w:name="_Toc499802362"/>
      <w:bookmarkStart w:id="7" w:name="_Toc511907525"/>
      <w:bookmarkStart w:id="8" w:name="_Toc67394574"/>
      <w:bookmarkStart w:id="9" w:name="_Toc70588997"/>
      <w:r>
        <w:lastRenderedPageBreak/>
        <w:t>I. Sarrera</w:t>
      </w:r>
      <w:bookmarkEnd w:id="1"/>
      <w:bookmarkEnd w:id="2"/>
      <w:bookmarkEnd w:id="3"/>
      <w:bookmarkEnd w:id="4"/>
      <w:bookmarkEnd w:id="5"/>
      <w:bookmarkEnd w:id="6"/>
      <w:bookmarkEnd w:id="7"/>
      <w:bookmarkEnd w:id="8"/>
      <w:bookmarkEnd w:id="9"/>
    </w:p>
    <w:p w:rsidR="006C4DAC" w:rsidRDefault="006C4DAC" w:rsidP="006C4DAC">
      <w:pPr>
        <w:pStyle w:val="texto"/>
        <w:tabs>
          <w:tab w:val="clear" w:pos="2835"/>
          <w:tab w:val="clear" w:pos="3969"/>
          <w:tab w:val="clear" w:pos="5103"/>
          <w:tab w:val="clear" w:pos="6237"/>
          <w:tab w:val="clear" w:pos="7371"/>
        </w:tabs>
        <w:rPr>
          <w:szCs w:val="26"/>
        </w:rPr>
      </w:pPr>
      <w:r>
        <w:t>Osasunaren Mundu Erakundeak 2020ko martxoaren 11n nazioarteko pand</w:t>
      </w:r>
      <w:r>
        <w:t>e</w:t>
      </w:r>
      <w:r>
        <w:t>mia izendatu zuen 2020ko urtarrilaren 31n deklaratutako osasun publikoko l</w:t>
      </w:r>
      <w:r>
        <w:t>a</w:t>
      </w:r>
      <w:r>
        <w:t>rrialdia, COVID-19ak eragindakoa. Izan ere, gaitzaren hedapena herrialdeetako osasun publikoaren kontrako arriskua zen, eta nazioarteko erantzun koordinatua eskatzen zuen. Horiek horrela, martxoaren 14ko 463/2020 Errege Dekretuaren bidez alarma egoera deklaratu zen COVID-19ak sortutako osasun krisia kude</w:t>
      </w:r>
      <w:r>
        <w:t>a</w:t>
      </w:r>
      <w:r>
        <w:t xml:space="preserve">tzeko. </w:t>
      </w:r>
    </w:p>
    <w:p w:rsidR="006C4DAC" w:rsidRPr="003A6595" w:rsidRDefault="006C4DAC" w:rsidP="006C4DAC">
      <w:pPr>
        <w:pStyle w:val="texto"/>
        <w:tabs>
          <w:tab w:val="clear" w:pos="2835"/>
          <w:tab w:val="clear" w:pos="3969"/>
          <w:tab w:val="clear" w:pos="5103"/>
          <w:tab w:val="clear" w:pos="6237"/>
          <w:tab w:val="clear" w:pos="7371"/>
        </w:tabs>
        <w:rPr>
          <w:szCs w:val="26"/>
        </w:rPr>
      </w:pPr>
      <w:r>
        <w:t xml:space="preserve">Egoera berezi horren ondorioz ohiz kanpoko eta presako hainbat neurri hartu ziren osasun publikoko arrazoiengatik. Neurri horiek gastu esanguratsua eragin zieten administrazio publikoei, eta halaxe jarraitzen dute gaur egun ere.  </w:t>
      </w:r>
    </w:p>
    <w:p w:rsidR="006C4DAC" w:rsidRDefault="006C4DAC" w:rsidP="006C4DAC">
      <w:pPr>
        <w:pStyle w:val="texto"/>
        <w:tabs>
          <w:tab w:val="clear" w:pos="2835"/>
          <w:tab w:val="clear" w:pos="3969"/>
          <w:tab w:val="clear" w:pos="5103"/>
          <w:tab w:val="clear" w:pos="6237"/>
          <w:tab w:val="clear" w:pos="7371"/>
        </w:tabs>
        <w:rPr>
          <w:szCs w:val="26"/>
        </w:rPr>
      </w:pPr>
      <w:r>
        <w:t>Testuinguru horretan, Nafarroako Parlamentuko Eledunen Batzarrak, 2020ko ekainaren 8ko bilkuran, EH Bildu Nafarroa taldeak hala eskaturik, erabaki zuen fiskalizazio-txostena eskatzea legebiltzarrari, “</w:t>
      </w:r>
      <w:r>
        <w:rPr>
          <w:i/>
          <w:szCs w:val="26"/>
        </w:rPr>
        <w:t>Nafarroako Gobernuak 2020ko martxoaren 1etik ekainaren 30era bitartean Covid-19aren krisiari lotuta emandako dirulaguntzen eta obrak, hornidurak, zerbitzuak eta langileak ko</w:t>
      </w:r>
      <w:r>
        <w:rPr>
          <w:i/>
          <w:szCs w:val="26"/>
        </w:rPr>
        <w:t>n</w:t>
      </w:r>
      <w:r>
        <w:rPr>
          <w:i/>
          <w:szCs w:val="26"/>
        </w:rPr>
        <w:t>tratatzeko egindako prozedura publikoen eraginkortasunari, efizientziari eta legezkotasunari buruz</w:t>
      </w:r>
      <w:r>
        <w:t>”.</w:t>
      </w:r>
    </w:p>
    <w:p w:rsidR="006C4DAC" w:rsidRPr="00902A4B" w:rsidRDefault="006C4DAC" w:rsidP="006C4DAC">
      <w:pPr>
        <w:pStyle w:val="texto"/>
        <w:tabs>
          <w:tab w:val="clear" w:pos="2835"/>
          <w:tab w:val="clear" w:pos="3969"/>
          <w:tab w:val="clear" w:pos="5103"/>
          <w:tab w:val="clear" w:pos="6237"/>
          <w:tab w:val="clear" w:pos="7371"/>
        </w:tabs>
        <w:rPr>
          <w:szCs w:val="26"/>
        </w:rPr>
      </w:pPr>
      <w:r>
        <w:t>Azterlan hori Kontuen Ganberak 2020. urterako onartu zuen fiskalizazioko urteko programan sartu zen, eta auditoretzako hiru teknikarik eta auditore batek osatutako taldeak egin du, Kontuen Ganberako zerbitzu juridiko, informatiko eta administratiboen laguntzarekin, 2020ko azarotik 2021eko otsailera bita</w:t>
      </w:r>
      <w:r>
        <w:t>r</w:t>
      </w:r>
      <w:r>
        <w:t>tean.</w:t>
      </w:r>
    </w:p>
    <w:p w:rsidR="006C4DAC" w:rsidRPr="00902A4B" w:rsidRDefault="006C4DAC" w:rsidP="006C4DAC">
      <w:pPr>
        <w:pStyle w:val="texto"/>
        <w:tabs>
          <w:tab w:val="clear" w:pos="2835"/>
          <w:tab w:val="clear" w:pos="3969"/>
          <w:tab w:val="clear" w:pos="5103"/>
          <w:tab w:val="clear" w:pos="6237"/>
          <w:tab w:val="clear" w:pos="7371"/>
        </w:tabs>
        <w:rPr>
          <w:szCs w:val="26"/>
        </w:rPr>
      </w:pPr>
      <w:r>
        <w:t>Txostenak lau atal dauzka, sarrera hau barne: bigarrenean, Nafarroako Foru Komunitateko Administrazioak (hemendik aurrera, NFKA) COVID-19a kude</w:t>
      </w:r>
      <w:r>
        <w:t>a</w:t>
      </w:r>
      <w:r>
        <w:t>tzeko egindako lanaren alderdi orokorrak deskribatzen dira; hirugarrenak lan honen helburuak, norainokoa eta mugak biltzen ditu; eta laugarrenak erdiets</w:t>
      </w:r>
      <w:r>
        <w:t>i</w:t>
      </w:r>
      <w:r>
        <w:t>tako konklusio eta gomendioak azaltzen ditu. Txostenak, gainera, eranskin bat dauka, osasun krisi honen kudeaketari aurre egiteko onetsitako arau garrantz</w:t>
      </w:r>
      <w:r>
        <w:t>i</w:t>
      </w:r>
      <w:r>
        <w:t>tsuenak biltzen dituena.</w:t>
      </w:r>
    </w:p>
    <w:p w:rsidR="00B72BF4" w:rsidRDefault="00B72BF4" w:rsidP="00B72BF4">
      <w:pPr>
        <w:pStyle w:val="texto"/>
        <w:tabs>
          <w:tab w:val="clear" w:pos="2835"/>
          <w:tab w:val="clear" w:pos="3969"/>
          <w:tab w:val="clear" w:pos="5103"/>
          <w:tab w:val="clear" w:pos="6237"/>
          <w:tab w:val="clear" w:pos="7371"/>
        </w:tabs>
      </w:pPr>
      <w:r>
        <w:t>Nafarroako Comptos Ganbera arautzen duen 19/1984 Foru Legearen 11.2 a</w:t>
      </w:r>
      <w:r>
        <w:t>r</w:t>
      </w:r>
      <w:r>
        <w:t>tikuluan ezarritakoaren arabera, lan honen emaitzak honako kargu hauetan z</w:t>
      </w:r>
      <w:r>
        <w:t>i</w:t>
      </w:r>
      <w:r>
        <w:t>harduten pertsonei jakinarazi zitzaizkien, alegazioak aurkez zitzaten:</w:t>
      </w:r>
    </w:p>
    <w:p w:rsidR="00B72BF4"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rPr>
          <w:rFonts w:cs="Arial"/>
        </w:rPr>
      </w:pPr>
      <w:r>
        <w:t>Garapen Ekonomiko eta Enpresarialeko Departamentuko kontseilaria.</w:t>
      </w:r>
    </w:p>
    <w:p w:rsidR="00B72BF4" w:rsidRPr="004B6A83"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rPr>
          <w:rFonts w:cs="Arial"/>
        </w:rPr>
      </w:pPr>
      <w:r>
        <w:t>Hezkuntza Departamentuko kontseilaria.</w:t>
      </w:r>
    </w:p>
    <w:p w:rsidR="00B72BF4" w:rsidRPr="004B6A83"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t>Eskubide Sozialetako Departamentuko kontseilaria.</w:t>
      </w:r>
    </w:p>
    <w:p w:rsidR="00B72BF4"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t>Osasun Departamentuko kontseilaria.</w:t>
      </w:r>
    </w:p>
    <w:p w:rsidR="00B72BF4" w:rsidRPr="004B6A83"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t>Ekonomia eta Ogasun Departamentuko kontseilaria.</w:t>
      </w:r>
    </w:p>
    <w:p w:rsidR="00B72BF4"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lastRenderedPageBreak/>
        <w:t>PAGNAko kudeatzailea.</w:t>
      </w:r>
    </w:p>
    <w:p w:rsidR="00B72BF4" w:rsidRPr="004B6A83"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t>O-NOZeko kudeatzailea.</w:t>
      </w:r>
    </w:p>
    <w:p w:rsidR="00B72BF4" w:rsidRDefault="00B72BF4" w:rsidP="00B72BF4">
      <w:pPr>
        <w:pStyle w:val="texto"/>
        <w:tabs>
          <w:tab w:val="clear" w:pos="2835"/>
          <w:tab w:val="clear" w:pos="3969"/>
          <w:tab w:val="clear" w:pos="5103"/>
          <w:tab w:val="clear" w:pos="6237"/>
          <w:tab w:val="clear" w:pos="7371"/>
        </w:tabs>
      </w:pPr>
      <w:r>
        <w:t>Ezarritako epea iraganda, txostenari ez zaio alegaziorik aurkeztu.</w:t>
      </w:r>
      <w:bookmarkStart w:id="10" w:name="_Toc121292759"/>
      <w:bookmarkStart w:id="11" w:name="_Toc121293082"/>
      <w:bookmarkStart w:id="12" w:name="_Toc291067875"/>
      <w:bookmarkStart w:id="13" w:name="_Toc432757079"/>
      <w:bookmarkStart w:id="14" w:name="_Toc447195011"/>
      <w:bookmarkStart w:id="15" w:name="_Toc499802363"/>
      <w:bookmarkStart w:id="16" w:name="_Toc511907526"/>
    </w:p>
    <w:p w:rsidR="00B47D7C" w:rsidRDefault="00B47D7C" w:rsidP="00B47D7C">
      <w:pPr>
        <w:pStyle w:val="texto"/>
        <w:tabs>
          <w:tab w:val="clear" w:pos="2835"/>
          <w:tab w:val="clear" w:pos="3969"/>
          <w:tab w:val="clear" w:pos="5103"/>
          <w:tab w:val="clear" w:pos="6237"/>
          <w:tab w:val="clear" w:pos="7371"/>
        </w:tabs>
        <w:rPr>
          <w:szCs w:val="26"/>
        </w:rPr>
      </w:pPr>
      <w:r>
        <w:t>Eskerrak ematen dizkiegu NFKAko langileei, lan hau egitean emandako l</w:t>
      </w:r>
      <w:r>
        <w:t>a</w:t>
      </w:r>
      <w:r>
        <w:t>guntzarengatik.</w:t>
      </w:r>
    </w:p>
    <w:p w:rsidR="00B72BF4" w:rsidRDefault="00B72BF4">
      <w:pPr>
        <w:spacing w:after="0"/>
        <w:ind w:firstLine="0"/>
        <w:jc w:val="left"/>
        <w:rPr>
          <w:spacing w:val="6"/>
          <w:sz w:val="26"/>
          <w:szCs w:val="24"/>
        </w:rPr>
      </w:pPr>
      <w:r>
        <w:br w:type="page"/>
      </w:r>
    </w:p>
    <w:p w:rsidR="006C4DAC" w:rsidRDefault="006C4DAC" w:rsidP="006C4DAC">
      <w:pPr>
        <w:pStyle w:val="atitulo1"/>
      </w:pPr>
      <w:bookmarkStart w:id="17" w:name="_Toc67394575"/>
      <w:bookmarkStart w:id="18" w:name="_Toc70588998"/>
      <w:r>
        <w:lastRenderedPageBreak/>
        <w:t xml:space="preserve">II. </w:t>
      </w:r>
      <w:bookmarkEnd w:id="10"/>
      <w:bookmarkEnd w:id="11"/>
      <w:bookmarkEnd w:id="12"/>
      <w:bookmarkEnd w:id="13"/>
      <w:bookmarkEnd w:id="14"/>
      <w:bookmarkEnd w:id="15"/>
      <w:bookmarkEnd w:id="16"/>
      <w:r>
        <w:t>Nola kudeatu duen COVID-19a Nafarroako Foru Komunitateak</w:t>
      </w:r>
      <w:bookmarkEnd w:id="17"/>
      <w:bookmarkEnd w:id="18"/>
      <w:r>
        <w:t xml:space="preserve"> </w:t>
      </w:r>
    </w:p>
    <w:p w:rsidR="006C4DAC" w:rsidRPr="00C6043C" w:rsidRDefault="006C4DAC" w:rsidP="006C4DAC">
      <w:pPr>
        <w:pStyle w:val="atitulo2"/>
      </w:pPr>
      <w:bookmarkStart w:id="19" w:name="_Toc59453073"/>
      <w:bookmarkStart w:id="20" w:name="_Toc67394576"/>
      <w:bookmarkStart w:id="21" w:name="_Toc70588999"/>
      <w:r>
        <w:t>II.1. COVID-19aren kudeaketari aplikatu beharreko arau-esparrua</w:t>
      </w:r>
      <w:bookmarkEnd w:id="19"/>
      <w:bookmarkEnd w:id="20"/>
      <w:bookmarkEnd w:id="21"/>
    </w:p>
    <w:p w:rsidR="006C4DAC" w:rsidRPr="008C3B05" w:rsidRDefault="006C4DAC" w:rsidP="006C4DAC">
      <w:pPr>
        <w:pStyle w:val="texto"/>
        <w:rPr>
          <w:szCs w:val="26"/>
        </w:rPr>
      </w:pPr>
      <w:r>
        <w:t>Osasun publikoko larrialdiaren testuinguruan, martxoaren 14ko 463/2020 Errege Dekretuak alarma egoera deklaratu zuen COVID-19ak eragindako os</w:t>
      </w:r>
      <w:r>
        <w:t>a</w:t>
      </w:r>
      <w:r>
        <w:t xml:space="preserve">sun krisia kudeatzeko. </w:t>
      </w:r>
    </w:p>
    <w:p w:rsidR="006C4DAC" w:rsidRDefault="006C4DAC" w:rsidP="006C4DAC">
      <w:pPr>
        <w:pStyle w:val="texto"/>
        <w:rPr>
          <w:szCs w:val="26"/>
        </w:rPr>
      </w:pPr>
      <w:r>
        <w:t>Errege dekretu horrek ezarri zuen Estatua zela agintari eskuduna alarma eg</w:t>
      </w:r>
      <w:r>
        <w:t>o</w:t>
      </w:r>
      <w:r>
        <w:t>eraren ondorioetarako, baina administrazio bakoitzak beretzat gordeko zituela bere zerbitzuen ohiko kudeaketan legeria indardunak ematen dizkion eskum</w:t>
      </w:r>
      <w:r>
        <w:t>e</w:t>
      </w:r>
      <w:r>
        <w:t xml:space="preserve">nak, beharrezkotzat jotzen zituen neurriak ezartzeko.  </w:t>
      </w:r>
    </w:p>
    <w:p w:rsidR="006C4DAC" w:rsidRDefault="006C4DAC" w:rsidP="006C4DAC">
      <w:pPr>
        <w:pStyle w:val="texto"/>
        <w:rPr>
          <w:szCs w:val="26"/>
        </w:rPr>
      </w:pPr>
      <w:r>
        <w:t>Eskumen hori baliaturik, NFKAk hainbat arau onetsi ditu alarma egoera d</w:t>
      </w:r>
      <w:r>
        <w:t>e</w:t>
      </w:r>
      <w:r>
        <w:t>klaratu zenetik. Txosten honen 1. eranskinean arau horien zerrenda dago.</w:t>
      </w:r>
    </w:p>
    <w:p w:rsidR="006C4DAC" w:rsidRDefault="006C4DAC" w:rsidP="006C4DAC">
      <w:pPr>
        <w:pStyle w:val="texto"/>
        <w:spacing w:after="240"/>
        <w:rPr>
          <w:szCs w:val="26"/>
        </w:rPr>
      </w:pPr>
      <w:r>
        <w:t>Eranskinean ageri denez, presako neurriak hartuz joan ziren COVID-19aren osasun krisiak sortutako inpaktuari erantzuteko, arlo hauek ukitu zituztenak, besteak beste:</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3544"/>
        <w:gridCol w:w="5245"/>
      </w:tblGrid>
      <w:tr w:rsidR="006C4DAC" w:rsidRPr="0011162B" w:rsidTr="00E70168">
        <w:trPr>
          <w:trHeight w:val="255"/>
        </w:trPr>
        <w:tc>
          <w:tcPr>
            <w:tcW w:w="3544" w:type="dxa"/>
            <w:shd w:val="clear" w:color="auto" w:fill="8DB3E2" w:themeFill="text2" w:themeFillTint="66"/>
            <w:vAlign w:val="center"/>
          </w:tcPr>
          <w:p w:rsidR="006C4DAC" w:rsidRPr="0011162B" w:rsidRDefault="006C4DAC" w:rsidP="003A3C8E">
            <w:pPr>
              <w:pStyle w:val="cuadroCabe"/>
            </w:pPr>
            <w:r>
              <w:t>Antolaketa-unitatea</w:t>
            </w:r>
          </w:p>
        </w:tc>
        <w:tc>
          <w:tcPr>
            <w:tcW w:w="5245" w:type="dxa"/>
            <w:shd w:val="clear" w:color="auto" w:fill="8DB3E2" w:themeFill="text2" w:themeFillTint="66"/>
            <w:vAlign w:val="center"/>
          </w:tcPr>
          <w:p w:rsidR="006C4DAC" w:rsidRPr="0011162B" w:rsidRDefault="006C4DAC" w:rsidP="002D68BD">
            <w:pPr>
              <w:pStyle w:val="cuadroCabe"/>
              <w:jc w:val="right"/>
            </w:pPr>
            <w:r>
              <w:t>Arloak</w:t>
            </w:r>
          </w:p>
        </w:tc>
      </w:tr>
      <w:tr w:rsidR="006C4DAC" w:rsidTr="00E70168">
        <w:trPr>
          <w:trHeight w:val="1267"/>
        </w:trPr>
        <w:tc>
          <w:tcPr>
            <w:tcW w:w="3544" w:type="dxa"/>
            <w:tcBorders>
              <w:bottom w:val="single" w:sz="4" w:space="0" w:color="auto"/>
            </w:tcBorders>
            <w:vAlign w:val="center"/>
          </w:tcPr>
          <w:p w:rsidR="006C4DAC" w:rsidRPr="00650CE2" w:rsidRDefault="006C4DAC" w:rsidP="008217D1">
            <w:pPr>
              <w:pStyle w:val="texto"/>
              <w:spacing w:after="0"/>
              <w:ind w:firstLine="0"/>
              <w:jc w:val="left"/>
              <w:rPr>
                <w:rFonts w:ascii="Arial Narrow" w:hAnsi="Arial Narrow"/>
                <w:sz w:val="20"/>
              </w:rPr>
            </w:pPr>
            <w:r>
              <w:rPr>
                <w:rFonts w:ascii="Arial Narrow" w:hAnsi="Arial Narrow"/>
                <w:sz w:val="20"/>
              </w:rPr>
              <w:t>O-NOZ</w:t>
            </w:r>
          </w:p>
        </w:tc>
        <w:tc>
          <w:tcPr>
            <w:tcW w:w="5245" w:type="dxa"/>
            <w:tcBorders>
              <w:bottom w:val="single" w:sz="4"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Langileen kontratazioa</w:t>
            </w:r>
          </w:p>
          <w:p w:rsidR="006C4DAC" w:rsidRDefault="006C4DAC" w:rsidP="00255A30">
            <w:pPr>
              <w:pStyle w:val="texto"/>
              <w:spacing w:after="0"/>
              <w:ind w:firstLine="0"/>
              <w:jc w:val="right"/>
              <w:rPr>
                <w:rFonts w:ascii="Arial Narrow" w:hAnsi="Arial Narrow"/>
                <w:sz w:val="20"/>
              </w:rPr>
            </w:pPr>
            <w:r>
              <w:rPr>
                <w:rFonts w:ascii="Arial Narrow" w:hAnsi="Arial Narrow"/>
                <w:sz w:val="20"/>
              </w:rPr>
              <w:t>Zentro pribatuetako azpiegiturak eta langileak baliatzea</w:t>
            </w:r>
          </w:p>
          <w:p w:rsidR="006C4DAC" w:rsidRDefault="006C4DAC" w:rsidP="00255A30">
            <w:pPr>
              <w:pStyle w:val="texto"/>
              <w:spacing w:after="0"/>
              <w:ind w:firstLine="0"/>
              <w:jc w:val="right"/>
              <w:rPr>
                <w:rFonts w:ascii="Arial Narrow" w:hAnsi="Arial Narrow"/>
                <w:sz w:val="20"/>
              </w:rPr>
            </w:pPr>
            <w:r>
              <w:rPr>
                <w:rFonts w:ascii="Arial Narrow" w:hAnsi="Arial Narrow"/>
                <w:sz w:val="20"/>
              </w:rPr>
              <w:t>Langileak lanera itzultzea (sindikalak eta erretiratuak)</w:t>
            </w:r>
          </w:p>
          <w:p w:rsidR="006C4DAC" w:rsidRPr="00650CE2" w:rsidRDefault="006C4DAC" w:rsidP="00255A30">
            <w:pPr>
              <w:pStyle w:val="texto"/>
              <w:spacing w:after="0"/>
              <w:ind w:firstLine="0"/>
              <w:jc w:val="right"/>
              <w:rPr>
                <w:rFonts w:ascii="Arial Narrow" w:hAnsi="Arial Narrow"/>
                <w:sz w:val="20"/>
              </w:rPr>
            </w:pPr>
            <w:r>
              <w:rPr>
                <w:rFonts w:ascii="Arial Narrow" w:hAnsi="Arial Narrow"/>
                <w:sz w:val="20"/>
              </w:rPr>
              <w:t>Langileen ordainsariak (COVID produktibitate-osagarria, apa</w:t>
            </w:r>
            <w:r>
              <w:rPr>
                <w:rFonts w:ascii="Arial Narrow" w:hAnsi="Arial Narrow"/>
                <w:sz w:val="20"/>
              </w:rPr>
              <w:t>r</w:t>
            </w:r>
            <w:r>
              <w:rPr>
                <w:rFonts w:ascii="Arial Narrow" w:hAnsi="Arial Narrow"/>
                <w:sz w:val="20"/>
              </w:rPr>
              <w:t>teko orduak)</w:t>
            </w:r>
          </w:p>
        </w:tc>
      </w:tr>
      <w:tr w:rsidR="006C4DAC" w:rsidTr="00E70168">
        <w:trPr>
          <w:trHeight w:val="1115"/>
        </w:trPr>
        <w:tc>
          <w:tcPr>
            <w:tcW w:w="3544" w:type="dxa"/>
            <w:tcBorders>
              <w:top w:val="single" w:sz="4" w:space="0" w:color="auto"/>
              <w:bottom w:val="single" w:sz="2" w:space="0" w:color="auto"/>
            </w:tcBorders>
            <w:vAlign w:val="center"/>
          </w:tcPr>
          <w:p w:rsidR="006C4DAC" w:rsidRPr="00650CE2" w:rsidRDefault="006C4DAC" w:rsidP="008217D1">
            <w:pPr>
              <w:pStyle w:val="texto"/>
              <w:spacing w:after="0"/>
              <w:ind w:firstLine="0"/>
              <w:jc w:val="left"/>
              <w:rPr>
                <w:rFonts w:ascii="Arial Narrow" w:hAnsi="Arial Narrow"/>
                <w:sz w:val="20"/>
              </w:rPr>
            </w:pPr>
            <w:r>
              <w:rPr>
                <w:rFonts w:ascii="Arial Narrow" w:hAnsi="Arial Narrow"/>
                <w:sz w:val="20"/>
              </w:rPr>
              <w:t>Eskubide Sozialetako Departamentua</w:t>
            </w:r>
          </w:p>
        </w:tc>
        <w:tc>
          <w:tcPr>
            <w:tcW w:w="5245" w:type="dxa"/>
            <w:tcBorders>
              <w:top w:val="single" w:sz="4" w:space="0" w:color="auto"/>
              <w:bottom w:val="single" w:sz="2"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Zentro eta zerbitzu soziosanitarioetako langileak</w:t>
            </w:r>
          </w:p>
          <w:p w:rsidR="006C4DAC" w:rsidRDefault="006C4DAC" w:rsidP="00255A30">
            <w:pPr>
              <w:pStyle w:val="texto"/>
              <w:spacing w:after="0"/>
              <w:ind w:firstLine="0"/>
              <w:jc w:val="right"/>
              <w:rPr>
                <w:rFonts w:ascii="Arial Narrow" w:hAnsi="Arial Narrow"/>
                <w:sz w:val="20"/>
              </w:rPr>
            </w:pPr>
            <w:r>
              <w:rPr>
                <w:rFonts w:ascii="Arial Narrow" w:hAnsi="Arial Narrow"/>
                <w:sz w:val="20"/>
              </w:rPr>
              <w:t>Langileen kontratazioa</w:t>
            </w:r>
          </w:p>
          <w:p w:rsidR="006C4DAC" w:rsidRDefault="006C4DAC" w:rsidP="00255A30">
            <w:pPr>
              <w:pStyle w:val="texto"/>
              <w:spacing w:after="0"/>
              <w:ind w:firstLine="0"/>
              <w:jc w:val="right"/>
              <w:rPr>
                <w:rFonts w:ascii="Arial Narrow" w:hAnsi="Arial Narrow"/>
                <w:sz w:val="20"/>
              </w:rPr>
            </w:pPr>
            <w:r>
              <w:rPr>
                <w:rFonts w:ascii="Arial Narrow" w:hAnsi="Arial Narrow"/>
                <w:sz w:val="20"/>
              </w:rPr>
              <w:t>Itun sozialak</w:t>
            </w:r>
          </w:p>
          <w:p w:rsidR="006C4DAC" w:rsidRPr="00650CE2" w:rsidRDefault="006C4DAC" w:rsidP="00255A30">
            <w:pPr>
              <w:pStyle w:val="texto"/>
              <w:spacing w:after="0"/>
              <w:ind w:firstLine="0"/>
              <w:jc w:val="right"/>
              <w:rPr>
                <w:rFonts w:ascii="Arial Narrow" w:hAnsi="Arial Narrow"/>
                <w:sz w:val="20"/>
              </w:rPr>
            </w:pPr>
            <w:r>
              <w:rPr>
                <w:rFonts w:ascii="Arial Narrow" w:hAnsi="Arial Narrow"/>
                <w:sz w:val="20"/>
              </w:rPr>
              <w:t>Errenta bermatua etetea zenbait kasutan</w:t>
            </w:r>
          </w:p>
        </w:tc>
      </w:tr>
      <w:tr w:rsidR="006C4DAC" w:rsidTr="00E70168">
        <w:trPr>
          <w:trHeight w:val="550"/>
        </w:trPr>
        <w:tc>
          <w:tcPr>
            <w:tcW w:w="3544" w:type="dxa"/>
            <w:tcBorders>
              <w:top w:val="single" w:sz="2" w:space="0" w:color="auto"/>
              <w:bottom w:val="single" w:sz="2" w:space="0" w:color="auto"/>
            </w:tcBorders>
            <w:vAlign w:val="center"/>
          </w:tcPr>
          <w:p w:rsidR="006C4DAC" w:rsidRPr="00650CE2" w:rsidRDefault="006C4DAC" w:rsidP="008217D1">
            <w:pPr>
              <w:pStyle w:val="texto"/>
              <w:spacing w:after="0"/>
              <w:ind w:firstLine="0"/>
              <w:jc w:val="left"/>
              <w:rPr>
                <w:rFonts w:ascii="Arial Narrow" w:hAnsi="Arial Narrow"/>
                <w:sz w:val="20"/>
              </w:rPr>
            </w:pPr>
            <w:r>
              <w:rPr>
                <w:rFonts w:ascii="Arial Narrow" w:hAnsi="Arial Narrow"/>
                <w:sz w:val="20"/>
              </w:rPr>
              <w:t>Nafarroako Zerga Ogasuna</w:t>
            </w:r>
          </w:p>
        </w:tc>
        <w:tc>
          <w:tcPr>
            <w:tcW w:w="5245" w:type="dxa"/>
            <w:tcBorders>
              <w:top w:val="single" w:sz="2" w:space="0" w:color="auto"/>
              <w:bottom w:val="single" w:sz="2"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Zergaldiko epeak etetea</w:t>
            </w:r>
          </w:p>
          <w:p w:rsidR="006C4DAC" w:rsidRPr="00650CE2" w:rsidRDefault="006C4DAC" w:rsidP="00255A30">
            <w:pPr>
              <w:pStyle w:val="texto"/>
              <w:spacing w:after="0"/>
              <w:ind w:firstLine="0"/>
              <w:jc w:val="right"/>
              <w:rPr>
                <w:rFonts w:ascii="Arial Narrow" w:hAnsi="Arial Narrow"/>
                <w:sz w:val="20"/>
              </w:rPr>
            </w:pPr>
            <w:r>
              <w:rPr>
                <w:rFonts w:ascii="Arial Narrow" w:hAnsi="Arial Narrow"/>
                <w:sz w:val="20"/>
              </w:rPr>
              <w:t>Zerga zorrak geroratzea salbuespenez</w:t>
            </w:r>
          </w:p>
        </w:tc>
      </w:tr>
      <w:tr w:rsidR="006C4DAC" w:rsidTr="00E70168">
        <w:trPr>
          <w:trHeight w:val="997"/>
        </w:trPr>
        <w:tc>
          <w:tcPr>
            <w:tcW w:w="3544" w:type="dxa"/>
            <w:tcBorders>
              <w:top w:val="single" w:sz="2" w:space="0" w:color="auto"/>
              <w:bottom w:val="single" w:sz="2" w:space="0" w:color="auto"/>
            </w:tcBorders>
            <w:vAlign w:val="center"/>
          </w:tcPr>
          <w:p w:rsidR="006C4DAC" w:rsidRPr="00650CE2" w:rsidRDefault="006C4DAC" w:rsidP="008217D1">
            <w:pPr>
              <w:pStyle w:val="texto"/>
              <w:spacing w:after="0"/>
              <w:ind w:firstLine="0"/>
              <w:jc w:val="left"/>
              <w:rPr>
                <w:rFonts w:ascii="Arial Narrow" w:hAnsi="Arial Narrow"/>
                <w:sz w:val="20"/>
              </w:rPr>
            </w:pPr>
            <w:r>
              <w:rPr>
                <w:rFonts w:ascii="Arial Narrow" w:hAnsi="Arial Narrow"/>
                <w:sz w:val="20"/>
              </w:rPr>
              <w:t>Departamentu guztiei aplikatzea</w:t>
            </w:r>
          </w:p>
        </w:tc>
        <w:tc>
          <w:tcPr>
            <w:tcW w:w="5245" w:type="dxa"/>
            <w:tcBorders>
              <w:top w:val="single" w:sz="2" w:space="0" w:color="auto"/>
              <w:bottom w:val="single" w:sz="2"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Kontratazio prozedurak eta mandatuak</w:t>
            </w:r>
          </w:p>
          <w:p w:rsidR="006C4DAC" w:rsidRDefault="006C4DAC" w:rsidP="00255A30">
            <w:pPr>
              <w:pStyle w:val="texto"/>
              <w:spacing w:after="0"/>
              <w:ind w:firstLine="0"/>
              <w:jc w:val="right"/>
              <w:rPr>
                <w:rFonts w:ascii="Arial Narrow" w:hAnsi="Arial Narrow"/>
                <w:sz w:val="20"/>
              </w:rPr>
            </w:pPr>
            <w:r>
              <w:rPr>
                <w:rFonts w:ascii="Arial Narrow" w:hAnsi="Arial Narrow"/>
                <w:sz w:val="20"/>
              </w:rPr>
              <w:t>Kontabilizazioa eta aurrekontu kudeaketa</w:t>
            </w:r>
          </w:p>
          <w:p w:rsidR="006C4DAC" w:rsidRDefault="006C4DAC" w:rsidP="00255A30">
            <w:pPr>
              <w:pStyle w:val="texto"/>
              <w:spacing w:after="0"/>
              <w:ind w:firstLine="0"/>
              <w:jc w:val="right"/>
              <w:rPr>
                <w:rFonts w:ascii="Arial Narrow" w:hAnsi="Arial Narrow"/>
                <w:sz w:val="20"/>
              </w:rPr>
            </w:pPr>
            <w:r>
              <w:rPr>
                <w:rFonts w:ascii="Arial Narrow" w:hAnsi="Arial Narrow"/>
                <w:sz w:val="20"/>
              </w:rPr>
              <w:t>Dirulaguntzak</w:t>
            </w:r>
          </w:p>
          <w:p w:rsidR="006C4DAC" w:rsidRPr="00650CE2" w:rsidRDefault="006C4DAC" w:rsidP="00255A30">
            <w:pPr>
              <w:pStyle w:val="texto"/>
              <w:spacing w:after="0"/>
              <w:ind w:firstLine="0"/>
              <w:jc w:val="right"/>
              <w:rPr>
                <w:rFonts w:ascii="Arial Narrow" w:hAnsi="Arial Narrow"/>
                <w:sz w:val="20"/>
              </w:rPr>
            </w:pPr>
            <w:r>
              <w:rPr>
                <w:rFonts w:ascii="Arial Narrow" w:hAnsi="Arial Narrow"/>
                <w:sz w:val="20"/>
              </w:rPr>
              <w:t>100 milioiko funtsa sortzea</w:t>
            </w:r>
          </w:p>
        </w:tc>
      </w:tr>
      <w:tr w:rsidR="006C4DAC" w:rsidTr="00E70168">
        <w:trPr>
          <w:trHeight w:val="416"/>
        </w:trPr>
        <w:tc>
          <w:tcPr>
            <w:tcW w:w="3544" w:type="dxa"/>
            <w:tcBorders>
              <w:top w:val="single" w:sz="2" w:space="0" w:color="auto"/>
              <w:bottom w:val="single" w:sz="2" w:space="0" w:color="auto"/>
            </w:tcBorders>
            <w:vAlign w:val="center"/>
          </w:tcPr>
          <w:p w:rsidR="006C4DAC" w:rsidRDefault="006C4DAC" w:rsidP="008217D1">
            <w:pPr>
              <w:pStyle w:val="texto"/>
              <w:spacing w:after="0"/>
              <w:ind w:firstLine="0"/>
              <w:jc w:val="left"/>
              <w:rPr>
                <w:rFonts w:ascii="Arial Narrow" w:hAnsi="Arial Narrow"/>
                <w:sz w:val="20"/>
              </w:rPr>
            </w:pPr>
            <w:r>
              <w:rPr>
                <w:rFonts w:ascii="Arial Narrow" w:hAnsi="Arial Narrow"/>
                <w:sz w:val="20"/>
              </w:rPr>
              <w:t>Lurralde Kohesiorako Departamentua</w:t>
            </w:r>
          </w:p>
        </w:tc>
        <w:tc>
          <w:tcPr>
            <w:tcW w:w="5245" w:type="dxa"/>
            <w:tcBorders>
              <w:top w:val="single" w:sz="2" w:space="0" w:color="auto"/>
              <w:bottom w:val="single" w:sz="2"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25 milioiko funts berezia</w:t>
            </w:r>
          </w:p>
        </w:tc>
      </w:tr>
      <w:tr w:rsidR="006C4DAC" w:rsidTr="00E70168">
        <w:trPr>
          <w:trHeight w:val="564"/>
        </w:trPr>
        <w:tc>
          <w:tcPr>
            <w:tcW w:w="3544" w:type="dxa"/>
            <w:tcBorders>
              <w:top w:val="single" w:sz="2" w:space="0" w:color="auto"/>
              <w:bottom w:val="single" w:sz="4" w:space="0" w:color="auto"/>
            </w:tcBorders>
            <w:vAlign w:val="center"/>
          </w:tcPr>
          <w:p w:rsidR="006C4DAC" w:rsidRDefault="006C4DAC" w:rsidP="008217D1">
            <w:pPr>
              <w:pStyle w:val="texto"/>
              <w:spacing w:after="0"/>
              <w:ind w:firstLine="0"/>
              <w:jc w:val="left"/>
              <w:rPr>
                <w:rFonts w:ascii="Arial Narrow" w:hAnsi="Arial Narrow"/>
                <w:sz w:val="20"/>
              </w:rPr>
            </w:pPr>
            <w:r>
              <w:rPr>
                <w:rFonts w:ascii="Arial Narrow" w:hAnsi="Arial Narrow"/>
                <w:sz w:val="20"/>
              </w:rPr>
              <w:t xml:space="preserve">Garapen Ekonomiko eta Enpresarialeko Departamentua </w:t>
            </w:r>
          </w:p>
          <w:p w:rsidR="006C4DAC" w:rsidRDefault="006C4DAC" w:rsidP="008217D1">
            <w:pPr>
              <w:pStyle w:val="texto"/>
              <w:spacing w:after="0"/>
              <w:ind w:firstLine="0"/>
              <w:jc w:val="left"/>
              <w:rPr>
                <w:rFonts w:ascii="Arial Narrow" w:hAnsi="Arial Narrow"/>
                <w:sz w:val="20"/>
              </w:rPr>
            </w:pPr>
          </w:p>
        </w:tc>
        <w:tc>
          <w:tcPr>
            <w:tcW w:w="5245" w:type="dxa"/>
            <w:tcBorders>
              <w:top w:val="single" w:sz="2" w:space="0" w:color="auto"/>
              <w:bottom w:val="single" w:sz="4"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Autonomoentzako laguntzak</w:t>
            </w:r>
          </w:p>
          <w:p w:rsidR="006C4DAC" w:rsidRDefault="006C4DAC" w:rsidP="00255A30">
            <w:pPr>
              <w:pStyle w:val="texto"/>
              <w:spacing w:after="0"/>
              <w:ind w:firstLine="0"/>
              <w:jc w:val="right"/>
              <w:rPr>
                <w:rFonts w:ascii="Arial Narrow" w:hAnsi="Arial Narrow"/>
                <w:sz w:val="20"/>
              </w:rPr>
            </w:pPr>
            <w:r>
              <w:rPr>
                <w:rFonts w:ascii="Arial Narrow" w:hAnsi="Arial Narrow"/>
                <w:sz w:val="20"/>
              </w:rPr>
              <w:t>Turismo eta ostalaritza sektoreentzako laguntzak</w:t>
            </w:r>
          </w:p>
        </w:tc>
      </w:tr>
    </w:tbl>
    <w:p w:rsidR="006C4DAC" w:rsidRDefault="006C4DAC" w:rsidP="006C4DAC">
      <w:pPr>
        <w:pStyle w:val="texto"/>
        <w:spacing w:before="240" w:after="240"/>
        <w:rPr>
          <w:rFonts w:ascii="Arial" w:hAnsi="Arial"/>
          <w:bCs/>
          <w:iCs/>
          <w:color w:val="000000"/>
          <w:spacing w:val="10"/>
          <w:kern w:val="28"/>
          <w:sz w:val="25"/>
          <w:szCs w:val="26"/>
        </w:rPr>
      </w:pPr>
      <w:r>
        <w:t>Aipatu arau-esparruak Nafarroari eragin dioten alderdi oinarrizkoenak bi</w:t>
      </w:r>
      <w:r>
        <w:t>l</w:t>
      </w:r>
      <w:r>
        <w:t>tzen ditu. Izan ere, kontuan izan behar da legegintzako lana trinkoa eta korap</w:t>
      </w:r>
      <w:r>
        <w:t>i</w:t>
      </w:r>
      <w:r>
        <w:t>latsua izan dela alarma egoera deklaratu zen unetik; onetsitako arauek eragin nabarmena izan dute jardueraren sektore askotan, baina gogoan izan behar da alarma egoera bukatu eta osasun krisiak sortzen ahal dituen ondorioak des</w:t>
      </w:r>
      <w:r>
        <w:t>a</w:t>
      </w:r>
      <w:r>
        <w:t>gertu arte iraunen dutela indarrean.</w:t>
      </w:r>
    </w:p>
    <w:p w:rsidR="006C4DAC" w:rsidRPr="00C6043C" w:rsidRDefault="006C4DAC" w:rsidP="006C4DAC">
      <w:pPr>
        <w:pStyle w:val="atitulo2"/>
      </w:pPr>
      <w:bookmarkStart w:id="22" w:name="_Toc67394577"/>
      <w:bookmarkStart w:id="23" w:name="_Toc70589000"/>
      <w:r>
        <w:lastRenderedPageBreak/>
        <w:t>II.2. COVID-19ari aplikatutako kudeaketa-prozedurak</w:t>
      </w:r>
      <w:bookmarkEnd w:id="22"/>
      <w:bookmarkEnd w:id="23"/>
    </w:p>
    <w:p w:rsidR="006C4DAC" w:rsidRPr="006538A3" w:rsidRDefault="006C4DAC" w:rsidP="006538A3">
      <w:pPr>
        <w:pStyle w:val="atitulo4"/>
      </w:pPr>
      <w:r>
        <w:t>Aurrekontu-egozpena</w:t>
      </w:r>
    </w:p>
    <w:p w:rsidR="006C4DAC" w:rsidRPr="007D0E99" w:rsidRDefault="006C4DAC" w:rsidP="006C4DAC">
      <w:pPr>
        <w:pStyle w:val="texto"/>
        <w:rPr>
          <w:szCs w:val="26"/>
        </w:rPr>
      </w:pPr>
      <w:r>
        <w:t>Martxoaren 4ko 5/2020 Foru Legeak, 2020rako Nafarroako Aurrekontu Or</w:t>
      </w:r>
      <w:r>
        <w:t>o</w:t>
      </w:r>
      <w:r>
        <w:t>korrei buruzkoak, 5. artikuluan ezartzen du koronabirusaren aurkako borrok</w:t>
      </w:r>
      <w:r>
        <w:t>a</w:t>
      </w:r>
      <w:r>
        <w:t>rako ohiz kanpoko neurriak berariaz sortutako partiden kargura finantzatuko direla, partida horiek zabalgarriak izanen direla eta "COVID-19" izena emanen zaiela.</w:t>
      </w:r>
    </w:p>
    <w:p w:rsidR="006C4DAC" w:rsidRDefault="006C4DAC" w:rsidP="006C4DAC">
      <w:pPr>
        <w:pStyle w:val="texto"/>
        <w:rPr>
          <w:szCs w:val="26"/>
        </w:rPr>
      </w:pPr>
      <w:r>
        <w:t>Jarduketa administratibo bakoitzaren hasieran, gastua aurrekontuko zein pa</w:t>
      </w:r>
      <w:r>
        <w:t>r</w:t>
      </w:r>
      <w:r>
        <w:t xml:space="preserve">tidari egotziko zaion erabakitzen da, eta horrek bide ematen dio, aurrekontu-betearazpenaren hurrenez hurreneko faseetan zehar, betebeharraren aitorpenari. </w:t>
      </w:r>
    </w:p>
    <w:p w:rsidR="006C4DAC" w:rsidRPr="007D0E99" w:rsidRDefault="006C4DAC" w:rsidP="006C4DAC">
      <w:pPr>
        <w:pStyle w:val="texto"/>
        <w:rPr>
          <w:szCs w:val="26"/>
        </w:rPr>
      </w:pPr>
      <w:r>
        <w:t>Hala ere, gerta liteke gastuaren izaera berezia ez izatea osasun krisiari ber</w:t>
      </w:r>
      <w:r>
        <w:t>a</w:t>
      </w:r>
      <w:r>
        <w:t>riaz erantzuteko abiarazitako jarduketa baten ondorioa, baizik eta lehendik b</w:t>
      </w:r>
      <w:r>
        <w:t>a</w:t>
      </w:r>
      <w:r>
        <w:t>den kudeaketa-tresna baten esparruan egitea gastu hori. Horrek ekarriko luke kontabilitateko zuzenketak egin behar izatea aurrekontu-betearazpenaren ze</w:t>
      </w:r>
      <w:r>
        <w:t>n</w:t>
      </w:r>
      <w:r>
        <w:t>batekoaren gainean; betiere, jasorik utzi behar da egiten den zuzenketak lotura duela bidegabeki egotzitako zenbatekoa sorrarazi zuen jarduketa administrat</w:t>
      </w:r>
      <w:r>
        <w:t>i</w:t>
      </w:r>
      <w:r>
        <w:t>boarekin, hartara egiaztatu ahal izan dadin COVID-19 partidetan bildutako ga</w:t>
      </w:r>
      <w:r>
        <w:t>s</w:t>
      </w:r>
      <w:r>
        <w:t>tuen egozpena zuzena dela.</w:t>
      </w:r>
    </w:p>
    <w:p w:rsidR="006C4DAC" w:rsidRDefault="006C4DAC" w:rsidP="006C4DAC">
      <w:pPr>
        <w:pStyle w:val="texto"/>
        <w:rPr>
          <w:szCs w:val="26"/>
        </w:rPr>
      </w:pPr>
      <w:r>
        <w:t>Egindako ohiz kanpoko gastuen izaera eta norainokoa zuzen agerrarazi behar izatea ez da soilik Aurrekontuei buruzko Foru Legearen agindua, aitzitik, Est</w:t>
      </w:r>
      <w:r>
        <w:t>a</w:t>
      </w:r>
      <w:r>
        <w:t>tuak aurrekontu-egonkortasunaren arloko araudian ezarritakoaren babesean egindako informazio-errekerimenduari ere erantzuten dio.</w:t>
      </w:r>
    </w:p>
    <w:p w:rsidR="006C4DAC" w:rsidRDefault="006C4DAC" w:rsidP="006C4DAC">
      <w:pPr>
        <w:pStyle w:val="texto"/>
        <w:rPr>
          <w:szCs w:val="26"/>
        </w:rPr>
      </w:pPr>
      <w:r>
        <w:t>Arrazoi horrengatik, COVID-19aren kudeaketarekin lotura duen eta gastua dakarren jarduketa oro erabat identifikaturik gelditu behar da.</w:t>
      </w:r>
    </w:p>
    <w:p w:rsidR="006C4DAC" w:rsidRDefault="006C4DAC" w:rsidP="006C4DAC">
      <w:pPr>
        <w:pStyle w:val="texto"/>
        <w:spacing w:after="240"/>
        <w:rPr>
          <w:szCs w:val="26"/>
        </w:rPr>
      </w:pPr>
      <w:r>
        <w:t xml:space="preserve">Diru-sarreren kasuan, aldiz, ez dago osasun krisiari aurre egiteko aitortutako eskubideak labur identifikatzeko legezko betebeharrik. </w:t>
      </w:r>
    </w:p>
    <w:p w:rsidR="006C4DAC" w:rsidRDefault="006C4DAC" w:rsidP="006538A3">
      <w:pPr>
        <w:pStyle w:val="atitulo4"/>
      </w:pPr>
      <w:r>
        <w:t>Onetsitako neurriak eta langileak kontratatzeko prozedura</w:t>
      </w:r>
    </w:p>
    <w:p w:rsidR="006C4DAC" w:rsidRDefault="006C4DAC" w:rsidP="006C4DAC">
      <w:pPr>
        <w:pStyle w:val="texto"/>
        <w:rPr>
          <w:szCs w:val="26"/>
        </w:rPr>
      </w:pPr>
      <w:r>
        <w:t>Hauek izan ziren Administrazio Publikoko langile guztientzat ezarritako neurri nagusiak, edozein izanik ere haien lanpostua eta araubide juridikoa: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Iraupen edo izaera bereziko zerbitzuak egiteko agindu ahal izatea.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Lanpostuari dagozkion eginkizunez bestelako zereginak esleitzea.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Mugigarritasun geografikoko neurriak (joan-etorrien gastuak ordainduta, bost kilometrotik gorakoak izanez gero).</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Langilea atxikita dagoen unitatea ixten bada, langileari beste unitate org</w:t>
      </w:r>
      <w:r>
        <w:t>a</w:t>
      </w:r>
      <w:r>
        <w:t>niko batean errefortzu zerbitzuak emateko deitu ahalko zaio.</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lastRenderedPageBreak/>
        <w:t>Lanaldiaren eta atsedenaldien inguruko neurriak hartu ahalko dira, eta j</w:t>
      </w:r>
      <w:r>
        <w:t>a</w:t>
      </w:r>
      <w:r>
        <w:t>danik emandako baimen, lizentzia eta abarrekoak bertan behera utzi, baita guardia-txandetatik salbuesten dituztenak ere.</w:t>
      </w:r>
    </w:p>
    <w:p w:rsidR="006C4DAC" w:rsidRPr="00C708A2"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Bermatu beharko da aste oso bateko atsedenaldien batura ez izatea 70 ordu baino gutxiagokoa. Lanaldien arteko gutxieneko atsedenaldia hamar ord</w:t>
      </w:r>
      <w:r>
        <w:t>u</w:t>
      </w:r>
      <w:r>
        <w:t>koa izanen da, eta salbuespen gisa txanda-aldaketan zazpi ordukoa izan ahalko da, betiere aste osoan eguneko batez besteko atsedenaldia hamar ordukoa bada.</w:t>
      </w:r>
    </w:p>
    <w:p w:rsidR="006C4DAC" w:rsidRDefault="006C4DAC" w:rsidP="006C4DAC">
      <w:pPr>
        <w:pStyle w:val="texto"/>
        <w:tabs>
          <w:tab w:val="clear" w:pos="2835"/>
          <w:tab w:val="clear" w:pos="3969"/>
          <w:tab w:val="clear" w:pos="5103"/>
          <w:tab w:val="clear" w:pos="6237"/>
          <w:tab w:val="clear" w:pos="7371"/>
        </w:tabs>
        <w:rPr>
          <w:szCs w:val="26"/>
        </w:rPr>
      </w:pPr>
      <w:r>
        <w:t>Bestalde, hauek izan ziren kontratazio prozedurekin lotutako neurri nag</w:t>
      </w:r>
      <w:r>
        <w:t>u</w:t>
      </w:r>
      <w:r>
        <w:t>siak:</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Aldi baterako kontrataziorako zerrendetan daudenei deitu ahalko zaie a</w:t>
      </w:r>
      <w:r>
        <w:t>d</w:t>
      </w:r>
      <w:r>
        <w:t>ministrazio araubidean kontratatzeko Administrazioaren edozein arlotan. Ahal dela, kontratazio zerrenda indardunetako lehentasun ordena errespetatuko da. Salbuespenez, organo eskudunek pertsona egokienei eskaini ahalko diete adm</w:t>
      </w:r>
      <w:r>
        <w:t>i</w:t>
      </w:r>
      <w:r>
        <w:t>nistrazio araubideko kontratazioa.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Sindikatuetako liberatuek borondatez eskatu ahalko dute zerbitzura itzu</w:t>
      </w:r>
      <w:r>
        <w:t>l</w:t>
      </w:r>
      <w:r>
        <w:t>tzea, baina horrek ez du ekarriko haien ordezkoek, halakorik bada, lana uztea.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Zerbitzu aktiboko jarduna luzatzeko aukeraren etendura kentzea. Horre</w:t>
      </w:r>
      <w:r>
        <w:t>n</w:t>
      </w:r>
      <w:r>
        <w:t>bestez, lanean jarraitu ahalko da 65 urte bete ondotik.</w:t>
      </w:r>
    </w:p>
    <w:p w:rsidR="006C4DAC" w:rsidRPr="00C708A2"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Osasunbidea-Nafarroako Osasun Zerbitzuko langileentzat:</w:t>
      </w:r>
    </w:p>
    <w:p w:rsidR="006C4DAC" w:rsidRDefault="006C4DAC" w:rsidP="00E70168">
      <w:pPr>
        <w:pStyle w:val="texto"/>
        <w:numPr>
          <w:ilvl w:val="1"/>
          <w:numId w:val="12"/>
        </w:numPr>
        <w:tabs>
          <w:tab w:val="clear" w:pos="2835"/>
          <w:tab w:val="clear" w:pos="3969"/>
          <w:tab w:val="clear" w:pos="5103"/>
          <w:tab w:val="clear" w:pos="6237"/>
          <w:tab w:val="clear" w:pos="7371"/>
          <w:tab w:val="left" w:pos="1276"/>
        </w:tabs>
        <w:ind w:left="851" w:hanging="283"/>
        <w:rPr>
          <w:szCs w:val="26"/>
        </w:rPr>
      </w:pPr>
      <w:r>
        <w:t>Erretiroa hartu duten osasun arloko profesionalak, 70 urte bete ez bad</w:t>
      </w:r>
      <w:r>
        <w:t>i</w:t>
      </w:r>
      <w:r>
        <w:t>tuzte, zerbitzu aktibora itzuli ahalko dira.</w:t>
      </w:r>
    </w:p>
    <w:p w:rsidR="006C4DAC" w:rsidRDefault="006C4DAC" w:rsidP="00E70168">
      <w:pPr>
        <w:pStyle w:val="texto"/>
        <w:numPr>
          <w:ilvl w:val="1"/>
          <w:numId w:val="12"/>
        </w:numPr>
        <w:tabs>
          <w:tab w:val="clear" w:pos="2835"/>
          <w:tab w:val="clear" w:pos="3969"/>
          <w:tab w:val="clear" w:pos="5103"/>
          <w:tab w:val="clear" w:pos="6237"/>
          <w:tab w:val="clear" w:pos="7371"/>
        </w:tabs>
        <w:ind w:left="851" w:hanging="283"/>
        <w:rPr>
          <w:szCs w:val="26"/>
        </w:rPr>
      </w:pPr>
      <w:r>
        <w:t>Gripeagatiko errefortzu kontratuak eta osasun kontingentziarako plan</w:t>
      </w:r>
      <w:r>
        <w:t>e</w:t>
      </w:r>
      <w:r>
        <w:t xml:space="preserve">koak abuztuaren 30era arte luzatu ziren; gero epe hori abenduaren 31ra arte luzatu zen. </w:t>
      </w:r>
    </w:p>
    <w:p w:rsidR="002F1F60" w:rsidRDefault="002F1F60" w:rsidP="00E70168">
      <w:pPr>
        <w:pStyle w:val="texto"/>
        <w:numPr>
          <w:ilvl w:val="1"/>
          <w:numId w:val="12"/>
        </w:numPr>
        <w:tabs>
          <w:tab w:val="clear" w:pos="2835"/>
          <w:tab w:val="clear" w:pos="3969"/>
          <w:tab w:val="clear" w:pos="5103"/>
          <w:tab w:val="clear" w:pos="6237"/>
          <w:tab w:val="clear" w:pos="7371"/>
        </w:tabs>
        <w:ind w:left="851" w:hanging="283"/>
        <w:rPr>
          <w:szCs w:val="26"/>
        </w:rPr>
      </w:pPr>
      <w:r>
        <w:t>Dei guztiak presako prozeduraren bidez eginen dira, eta ondorioz ez da erantzuteko eperik emanen.</w:t>
      </w:r>
    </w:p>
    <w:p w:rsidR="006C4DAC" w:rsidRDefault="006C4DAC" w:rsidP="00E70168">
      <w:pPr>
        <w:pStyle w:val="texto"/>
        <w:numPr>
          <w:ilvl w:val="1"/>
          <w:numId w:val="12"/>
        </w:numPr>
        <w:tabs>
          <w:tab w:val="clear" w:pos="2835"/>
          <w:tab w:val="clear" w:pos="3969"/>
          <w:tab w:val="clear" w:pos="5103"/>
          <w:tab w:val="clear" w:pos="6237"/>
          <w:tab w:val="clear" w:pos="7371"/>
        </w:tabs>
        <w:ind w:left="851" w:hanging="284"/>
        <w:rPr>
          <w:szCs w:val="26"/>
        </w:rPr>
      </w:pPr>
      <w:r>
        <w:t>Lanpostuak betetzeko beharrizan guztiak egiturazko kontratazioen b</w:t>
      </w:r>
      <w:r>
        <w:t>i</w:t>
      </w:r>
      <w:r>
        <w:t>dez aseko dira, eta eten eginen dira iraupen luzeko kontratuetarako deiak (lanpostu hutsak, erretiroak…).</w:t>
      </w:r>
    </w:p>
    <w:p w:rsidR="006C4DAC" w:rsidRDefault="006C4DAC" w:rsidP="00E70168">
      <w:pPr>
        <w:pStyle w:val="texto"/>
        <w:numPr>
          <w:ilvl w:val="1"/>
          <w:numId w:val="12"/>
        </w:numPr>
        <w:tabs>
          <w:tab w:val="clear" w:pos="2835"/>
          <w:tab w:val="clear" w:pos="3969"/>
          <w:tab w:val="clear" w:pos="5103"/>
          <w:tab w:val="clear" w:pos="6237"/>
          <w:tab w:val="clear" w:pos="7371"/>
        </w:tabs>
        <w:ind w:left="851" w:hanging="283"/>
        <w:rPr>
          <w:szCs w:val="26"/>
        </w:rPr>
      </w:pPr>
      <w:r>
        <w:t xml:space="preserve">Eten eginen dira oporrak eta baimenak, zerbitzuaren beharrengatik. </w:t>
      </w:r>
    </w:p>
    <w:p w:rsidR="006C4DAC" w:rsidRDefault="006C4DAC" w:rsidP="00E70168">
      <w:pPr>
        <w:pStyle w:val="texto"/>
        <w:numPr>
          <w:ilvl w:val="1"/>
          <w:numId w:val="12"/>
        </w:numPr>
        <w:tabs>
          <w:tab w:val="clear" w:pos="2835"/>
          <w:tab w:val="clear" w:pos="3969"/>
          <w:tab w:val="clear" w:pos="5103"/>
          <w:tab w:val="clear" w:pos="6237"/>
          <w:tab w:val="clear" w:pos="7371"/>
        </w:tabs>
        <w:ind w:left="851" w:hanging="283"/>
        <w:rPr>
          <w:szCs w:val="26"/>
        </w:rPr>
      </w:pPr>
      <w:r>
        <w:t>Salbuespenez eta aldi baterako, autonomia-erkidegoek kontratatu ahalko dituzte hautaprobak egin eta gainditu arren posturik lortu ez d</w:t>
      </w:r>
      <w:r>
        <w:t>u</w:t>
      </w:r>
      <w:r>
        <w:t>ten Osasun Zientzietako profesionalak, bai eta Europar Batasunetik kanpoko herrialde batean lortutako espezialista titulua duten osasun a</w:t>
      </w:r>
      <w:r>
        <w:t>r</w:t>
      </w:r>
      <w:r>
        <w:t>loko profesionalak ere.</w:t>
      </w:r>
    </w:p>
    <w:p w:rsidR="006C4DAC" w:rsidRPr="00EC3838" w:rsidRDefault="006C4DAC" w:rsidP="00E70168">
      <w:pPr>
        <w:pStyle w:val="texto"/>
        <w:numPr>
          <w:ilvl w:val="1"/>
          <w:numId w:val="12"/>
        </w:numPr>
        <w:tabs>
          <w:tab w:val="clear" w:pos="2835"/>
          <w:tab w:val="clear" w:pos="3969"/>
          <w:tab w:val="clear" w:pos="5103"/>
          <w:tab w:val="clear" w:pos="6237"/>
          <w:tab w:val="clear" w:pos="7371"/>
        </w:tabs>
        <w:ind w:left="851" w:hanging="283"/>
        <w:rPr>
          <w:szCs w:val="26"/>
        </w:rPr>
      </w:pPr>
      <w:r>
        <w:t>Autonomia-erkidegoek baimena dute mediku eta erizainen lekualdak</w:t>
      </w:r>
      <w:r>
        <w:t>e</w:t>
      </w:r>
      <w:r>
        <w:t xml:space="preserve">tak egiteko honako eremu hauen artean: ospitaleetatik oinarrizko osasun </w:t>
      </w:r>
      <w:r>
        <w:lastRenderedPageBreak/>
        <w:t xml:space="preserve">laguntzaren eremura; oinarrizko osasun laguntzatik erreferentziako edo kanpainako ospitaleetara; eta Osasun Sistema Nazionalak probintzian dituen laguntza-dispositiboen artean.  Atxikipen horiek mediku gabezia konpondu arte iraunen lukete, gehienez ere 12 hilabete, hasiera batean. Epe horrek hiru hilabeteko luzapenak izanen lituzke. </w:t>
      </w:r>
    </w:p>
    <w:p w:rsidR="006C4DAC" w:rsidRPr="00C030F0" w:rsidRDefault="006C4DAC" w:rsidP="00E77652">
      <w:pPr>
        <w:pStyle w:val="texto"/>
        <w:numPr>
          <w:ilvl w:val="0"/>
          <w:numId w:val="10"/>
        </w:numPr>
        <w:tabs>
          <w:tab w:val="clear" w:pos="2835"/>
          <w:tab w:val="clear" w:pos="3969"/>
          <w:tab w:val="clear" w:pos="5103"/>
          <w:tab w:val="clear" w:pos="6237"/>
          <w:tab w:val="clear" w:pos="7371"/>
          <w:tab w:val="left" w:pos="567"/>
        </w:tabs>
        <w:spacing w:after="240"/>
        <w:ind w:left="0" w:firstLine="284"/>
        <w:rPr>
          <w:szCs w:val="26"/>
        </w:rPr>
      </w:pPr>
      <w:r>
        <w:t>Etxeko zaintzaile profesionalen kontratazioa: ez dira bete beharko ahaid</w:t>
      </w:r>
      <w:r>
        <w:t>e</w:t>
      </w:r>
      <w:r>
        <w:t>tasunaren eta lanbide-kualifikazioaren inguruko baldintzak pertsona horiek kontratatu ahal izateko; 18 urte izatea eta afiliatuta egotea besterik ez da esk</w:t>
      </w:r>
      <w:r>
        <w:t>a</w:t>
      </w:r>
      <w:r>
        <w:t>tuko.</w:t>
      </w:r>
    </w:p>
    <w:p w:rsidR="006C4DAC" w:rsidRDefault="006C4DAC" w:rsidP="006538A3">
      <w:pPr>
        <w:pStyle w:val="atitulo4"/>
      </w:pPr>
      <w:r>
        <w:t>COVID-19aren kudeaketarekin lotutako ondasun arrunt eta zerbitzuen kontrataziorako prozedurak eta inbertsioak</w:t>
      </w:r>
    </w:p>
    <w:p w:rsidR="006C4DAC" w:rsidRDefault="006C4DAC" w:rsidP="006C4DAC">
      <w:pPr>
        <w:pStyle w:val="texto"/>
        <w:spacing w:before="120" w:after="120"/>
        <w:rPr>
          <w:szCs w:val="26"/>
        </w:rPr>
      </w:pPr>
      <w:r>
        <w:t>Osasun krisi honekin zerikusia duten kontratu publikoak errazago prestatu eta lizitatzeko, berariazko arauak eman ziren Estatuaren eta autonomia-erkidegoen eremuetan, larrialdiko espedienteetarako prozedurak antolatze a</w:t>
      </w:r>
      <w:r>
        <w:t>l</w:t>
      </w:r>
      <w:r>
        <w:t xml:space="preserve">dera. </w:t>
      </w:r>
    </w:p>
    <w:p w:rsidR="006C4DAC" w:rsidRDefault="006C4DAC" w:rsidP="006C4DAC">
      <w:pPr>
        <w:pStyle w:val="texto"/>
        <w:spacing w:before="120" w:after="120"/>
        <w:rPr>
          <w:szCs w:val="26"/>
        </w:rPr>
      </w:pPr>
      <w:r>
        <w:t>Nafarroan, Kontratu Publikoei buruzko 2/2018 Foru Legearen 140. artik</w:t>
      </w:r>
      <w:r>
        <w:t>u</w:t>
      </w:r>
      <w:r>
        <w:t>luak larrialdiko espedienteen izapidetzeari heltzen dio honako hau esanez:</w:t>
      </w:r>
    </w:p>
    <w:p w:rsidR="006C4DAC" w:rsidRPr="007516CA" w:rsidRDefault="006C4DAC" w:rsidP="006C4DAC">
      <w:pPr>
        <w:shd w:val="clear" w:color="auto" w:fill="FFFFFF"/>
        <w:spacing w:after="120"/>
        <w:ind w:left="301" w:right="74" w:hanging="227"/>
        <w:rPr>
          <w:i/>
          <w:color w:val="333333"/>
          <w:sz w:val="24"/>
          <w:szCs w:val="24"/>
        </w:rPr>
      </w:pPr>
      <w:r>
        <w:rPr>
          <w:i/>
          <w:color w:val="333333"/>
          <w:sz w:val="24"/>
          <w:szCs w:val="24"/>
        </w:rPr>
        <w:t>“…1. Hondamen egoerak, arrisku larriko egoerak edo segurtasun publikoa arriskuan jartzen duten beharrizanak direla-eta administrazioak berehala jardun behar duenean, kontratazio espedienteak honako izapidetze berezia izanen du:</w:t>
      </w:r>
    </w:p>
    <w:p w:rsidR="006C4DAC" w:rsidRPr="007516CA" w:rsidRDefault="006C4DAC" w:rsidP="006C4DAC">
      <w:pPr>
        <w:shd w:val="clear" w:color="auto" w:fill="FFFFFF"/>
        <w:spacing w:after="120"/>
        <w:ind w:left="528" w:right="74" w:hanging="227"/>
        <w:rPr>
          <w:i/>
          <w:color w:val="333333"/>
          <w:sz w:val="24"/>
          <w:szCs w:val="24"/>
        </w:rPr>
      </w:pPr>
      <w:r>
        <w:rPr>
          <w:i/>
          <w:color w:val="333333"/>
          <w:sz w:val="24"/>
          <w:szCs w:val="24"/>
        </w:rPr>
        <w:t>a) Eskumena duen kontratazio organoak, administrazio espedienterik izapidetu beh</w:t>
      </w:r>
      <w:r>
        <w:rPr>
          <w:i/>
          <w:color w:val="333333"/>
          <w:sz w:val="24"/>
          <w:szCs w:val="24"/>
        </w:rPr>
        <w:t>a</w:t>
      </w:r>
      <w:r>
        <w:rPr>
          <w:i/>
          <w:color w:val="333333"/>
          <w:sz w:val="24"/>
          <w:szCs w:val="24"/>
        </w:rPr>
        <w:t>rrik izan gabe, gertaturikoa konpontzeko edo sorturiko beharrari aurre egiteko b</w:t>
      </w:r>
      <w:r>
        <w:rPr>
          <w:i/>
          <w:color w:val="333333"/>
          <w:sz w:val="24"/>
          <w:szCs w:val="24"/>
        </w:rPr>
        <w:t>e</w:t>
      </w:r>
      <w:r>
        <w:rPr>
          <w:i/>
          <w:color w:val="333333"/>
          <w:sz w:val="24"/>
          <w:szCs w:val="24"/>
        </w:rPr>
        <w:t>harrezkoa dena egitea agin dezake eta libreki kontratatu ere, xede osoa edo zati bat, foru lege honetan ezarritako formazko betekizunak errespetatu behar izan gabe, are kreditu aski izateko eskakizuna bera ere.</w:t>
      </w:r>
    </w:p>
    <w:p w:rsidR="006C4DAC" w:rsidRPr="007516CA" w:rsidRDefault="006C4DAC" w:rsidP="006C4DAC">
      <w:pPr>
        <w:shd w:val="clear" w:color="auto" w:fill="FFFFFF"/>
        <w:spacing w:after="120"/>
        <w:ind w:left="528" w:right="74" w:hanging="227"/>
        <w:rPr>
          <w:i/>
          <w:color w:val="333333"/>
          <w:sz w:val="24"/>
          <w:szCs w:val="24"/>
        </w:rPr>
      </w:pPr>
      <w:r>
        <w:rPr>
          <w:i/>
          <w:color w:val="333333"/>
          <w:sz w:val="24"/>
          <w:szCs w:val="24"/>
        </w:rPr>
        <w:t>b) Salbuespeneko araubide honetako jarduketak egin ondoren, kontratazio organoak horiek eta horietarako gastua onetsiko ditu, horien larrialdiko izaera teknikoki eta juridikoki justifikatu eta Kontu-hartzailetzak fiskalizazioa egin ondoren. Larrialdiko espedientearen bitartez eginiko kontratuak Nafarroako Kontratazioaren Atarian a</w:t>
      </w:r>
      <w:r>
        <w:rPr>
          <w:i/>
          <w:color w:val="333333"/>
          <w:sz w:val="24"/>
          <w:szCs w:val="24"/>
        </w:rPr>
        <w:t>r</w:t>
      </w:r>
      <w:r>
        <w:rPr>
          <w:i/>
          <w:color w:val="333333"/>
          <w:sz w:val="24"/>
          <w:szCs w:val="24"/>
        </w:rPr>
        <w:t>gitaratuko dira beti.</w:t>
      </w:r>
    </w:p>
    <w:p w:rsidR="006C4DAC" w:rsidRPr="007516CA" w:rsidRDefault="006C4DAC" w:rsidP="00E70168">
      <w:pPr>
        <w:shd w:val="clear" w:color="auto" w:fill="FFFFFF"/>
        <w:spacing w:after="240"/>
        <w:ind w:left="528" w:right="75" w:hanging="225"/>
        <w:rPr>
          <w:i/>
          <w:color w:val="333333"/>
          <w:sz w:val="24"/>
          <w:szCs w:val="24"/>
        </w:rPr>
      </w:pPr>
      <w:r>
        <w:rPr>
          <w:i/>
          <w:color w:val="333333"/>
          <w:sz w:val="24"/>
          <w:szCs w:val="24"/>
        </w:rPr>
        <w:t>2. Administrazioak proposaturiko xedea betetzeko behar diren gainerako jardueren i</w:t>
      </w:r>
      <w:r>
        <w:rPr>
          <w:i/>
          <w:color w:val="333333"/>
          <w:sz w:val="24"/>
          <w:szCs w:val="24"/>
        </w:rPr>
        <w:t>n</w:t>
      </w:r>
      <w:r>
        <w:rPr>
          <w:i/>
          <w:color w:val="333333"/>
          <w:sz w:val="24"/>
          <w:szCs w:val="24"/>
        </w:rPr>
        <w:t>guruko prestazioak, larrialdikoak ez direnak, foru lege honetan ezarritakoari jarra</w:t>
      </w:r>
      <w:r>
        <w:rPr>
          <w:i/>
          <w:color w:val="333333"/>
          <w:sz w:val="24"/>
          <w:szCs w:val="24"/>
        </w:rPr>
        <w:t>i</w:t>
      </w:r>
      <w:r>
        <w:rPr>
          <w:i/>
          <w:color w:val="333333"/>
          <w:sz w:val="24"/>
          <w:szCs w:val="24"/>
        </w:rPr>
        <w:t>tuz kontratatuko dira…”.</w:t>
      </w:r>
    </w:p>
    <w:p w:rsidR="006C4DAC" w:rsidRDefault="006C4DAC" w:rsidP="007A72D9">
      <w:pPr>
        <w:pStyle w:val="texto"/>
        <w:rPr>
          <w:szCs w:val="26"/>
        </w:rPr>
      </w:pPr>
      <w:r>
        <w:t>Larrialdiko prozedura horixe erabili da Nafarroan, non apirilaren 6ko 6/2020 Foru Legeak, koronabirusaren (COVID-19a) osasun krisiak eragindako inpa</w:t>
      </w:r>
      <w:r>
        <w:t>k</w:t>
      </w:r>
      <w:r>
        <w:t xml:space="preserve">tuari aurre egiteko premiazko neurriak onesten dituenak, 15. artikuluan berariaz ezarri baitzituen honako neurri hauek, erabili beharreko prozedura argitzeko: </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 xml:space="preserve">COVID-19ak sortutako premiei erantzuteko egiten diren kontratu eta mandatu guztiei larrialdiko izapidetzea aplikatuko zaie, eta ez da aldez aurretik </w:t>
      </w:r>
      <w:r>
        <w:lastRenderedPageBreak/>
        <w:t>egin beharko larrialdiaren justifikazio tekniko edo juridikorako txostena. Gero bai, egin beharko da txosten hori.</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COVID-19aren gastuei aurre egiteko behar diren funtsen ordainketa-aginduak justifikatzeke eginen dira.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Gaikuntza ematen zaie kontratazio organoei eginak dituzten kontratuak aldatzeko, larrialdiko izapidetzea baliatuz, COVID-19a dela-eta premiak sortu ahala.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Larrialdiko prozeduraren bidez izapidetzen diren espedienteak salbuetsirik egonen dira aurretiazko kontu-hartzea egitetik fase guztietan —barne hartzen direla justifikatzeke ematen diren ordainketa-aginduak—, baina ez dira salbu</w:t>
      </w:r>
      <w:r>
        <w:t>e</w:t>
      </w:r>
      <w:r>
        <w:t>tsiko etengabeko kontrol finantzariotik.</w:t>
      </w:r>
      <w:r>
        <w:rPr>
          <w:color w:val="FF0000"/>
          <w:szCs w:val="26"/>
        </w:rPr>
        <w:t xml:space="preserve"> </w:t>
      </w:r>
    </w:p>
    <w:p w:rsidR="006C4DAC" w:rsidRDefault="006C4DAC" w:rsidP="006C4DAC">
      <w:pPr>
        <w:pStyle w:val="texto"/>
        <w:tabs>
          <w:tab w:val="clear" w:pos="2835"/>
          <w:tab w:val="clear" w:pos="3969"/>
          <w:tab w:val="clear" w:pos="5103"/>
          <w:tab w:val="clear" w:pos="6237"/>
          <w:tab w:val="clear" w:pos="7371"/>
        </w:tabs>
        <w:spacing w:after="240"/>
        <w:rPr>
          <w:szCs w:val="26"/>
        </w:rPr>
      </w:pPr>
      <w:r>
        <w:t>Neurri horiek kontuan izanda, NFKAk larrialdiko prozeduraren bidez izap</w:t>
      </w:r>
      <w:r>
        <w:t>i</w:t>
      </w:r>
      <w:r>
        <w:t>detu zituen COVID-19a zela-eta egindako kontratu gehienak, eta, beraz, ez z</w:t>
      </w:r>
      <w:r>
        <w:t>u</w:t>
      </w:r>
      <w:r>
        <w:t xml:space="preserve">ten aurretiazko fiskalizaziorik izan; orain espedienteak formalizatzen ari dira eta Kontu-hartze Zerbitzua haiek berrikusten ari da. </w:t>
      </w:r>
    </w:p>
    <w:p w:rsidR="006C4DAC" w:rsidRDefault="006C4DAC" w:rsidP="006538A3">
      <w:pPr>
        <w:pStyle w:val="atitulo4"/>
      </w:pPr>
      <w:r>
        <w:t xml:space="preserve">Kontratuak etetea </w:t>
      </w:r>
    </w:p>
    <w:p w:rsidR="006C4DAC" w:rsidRDefault="006C4DAC" w:rsidP="006C4DAC">
      <w:pPr>
        <w:pStyle w:val="texto"/>
        <w:tabs>
          <w:tab w:val="clear" w:pos="2835"/>
          <w:tab w:val="clear" w:pos="3969"/>
          <w:tab w:val="clear" w:pos="5103"/>
          <w:tab w:val="clear" w:pos="6237"/>
          <w:tab w:val="clear" w:pos="7371"/>
        </w:tabs>
        <w:spacing w:after="120"/>
        <w:rPr>
          <w:szCs w:val="26"/>
        </w:rPr>
      </w:pPr>
      <w:r>
        <w:t>Uztailaren 22ko 7/2020 Foru Lege-dekretuak, koronabirusaren (COVID-19a) osasun krisiari aurre egiteko ohiz kanpoko prebentzio neurri batzuk hartzen d</w:t>
      </w:r>
      <w:r>
        <w:t>i</w:t>
      </w:r>
      <w:r>
        <w:t>tuenak, 2. artikuluan, kontratuak eteteko aukera arautzen du:</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 xml:space="preserve">Ezartzen du eten eginen direla alarma egoera deklaratzeko unean indarra duten segidako zerbitzu eta hornidura kontratuak, osasun krisiaren ondoriozko egoeran haiek betetzea ezinezkoa bada. </w:t>
      </w:r>
    </w:p>
    <w:p w:rsidR="006C4DAC" w:rsidRDefault="006C4DAC" w:rsidP="007A72D9">
      <w:pPr>
        <w:pStyle w:val="texto"/>
        <w:tabs>
          <w:tab w:val="clear" w:pos="2835"/>
          <w:tab w:val="clear" w:pos="3969"/>
          <w:tab w:val="clear" w:pos="5103"/>
          <w:tab w:val="clear" w:pos="6237"/>
          <w:tab w:val="clear" w:pos="7371"/>
        </w:tabs>
        <w:spacing w:after="240"/>
        <w:rPr>
          <w:szCs w:val="26"/>
        </w:rPr>
      </w:pPr>
      <w:r>
        <w:t>Etendako kontratuen ardura duten kontratistek kalte-ordaina eskatu ahalko dute. Kontratazio organoak eskaera aztertuko du eta, bidezkoa bada, kalte-ordaina emanen die.</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Obra eta zerbitzuen emakidarako kontratuen kasuan, emakidadunak ko</w:t>
      </w:r>
      <w:r>
        <w:t>n</w:t>
      </w:r>
      <w:r>
        <w:t>tratuaren oreka ekonomikoa berrezartzeko eskubidea du. Aldez aurretik hala eskatu behar du eta inguruabarrak frogatu behar ditu.</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Obra kontratu publikoak, aurrera eraman ezin badira, eten ahalko dira h</w:t>
      </w:r>
      <w:r>
        <w:t>a</w:t>
      </w:r>
      <w:r>
        <w:t>rik eta exekuzioari berriz ekiteko modua izan arte, eta horrek ez du ez zigorrik ez kontratuaren suntsiarazpenik ekarriko.</w:t>
      </w:r>
    </w:p>
    <w:p w:rsidR="006C4DAC" w:rsidRDefault="006C4DAC" w:rsidP="006C4DAC">
      <w:pPr>
        <w:spacing w:after="0"/>
        <w:ind w:firstLine="0"/>
        <w:jc w:val="left"/>
      </w:pPr>
      <w:r>
        <w:br w:type="page"/>
      </w:r>
    </w:p>
    <w:p w:rsidR="0049412A" w:rsidRPr="00341874" w:rsidRDefault="0049412A" w:rsidP="0049412A">
      <w:pPr>
        <w:pStyle w:val="atitulo1"/>
      </w:pPr>
      <w:bookmarkStart w:id="24" w:name="_Toc499802367"/>
      <w:bookmarkStart w:id="25" w:name="_Toc511912025"/>
      <w:bookmarkStart w:id="26" w:name="_Toc67394578"/>
      <w:bookmarkStart w:id="27" w:name="_Toc70589001"/>
      <w:r>
        <w:lastRenderedPageBreak/>
        <w:t>III. Helburuak, norainokoa eta mugak</w:t>
      </w:r>
      <w:bookmarkEnd w:id="24"/>
      <w:bookmarkEnd w:id="25"/>
      <w:bookmarkEnd w:id="26"/>
      <w:bookmarkEnd w:id="27"/>
    </w:p>
    <w:p w:rsidR="0049412A" w:rsidRDefault="0049412A" w:rsidP="0049412A">
      <w:pPr>
        <w:pStyle w:val="texto"/>
        <w:tabs>
          <w:tab w:val="clear" w:pos="2835"/>
          <w:tab w:val="clear" w:pos="3969"/>
          <w:tab w:val="clear" w:pos="5103"/>
          <w:tab w:val="clear" w:pos="6237"/>
          <w:tab w:val="clear" w:pos="7371"/>
        </w:tabs>
        <w:spacing w:after="100"/>
        <w:rPr>
          <w:szCs w:val="26"/>
        </w:rPr>
      </w:pPr>
      <w:r>
        <w:t>Parlamentutik jasotako eskaera kontuan hartuta, honako hauek izan dira lan honen helburuak:</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COVID-19aren kudeaketaren inguruan 2020ko martxotik 2020ko abe</w:t>
      </w:r>
      <w:r>
        <w:t>n</w:t>
      </w:r>
      <w:r>
        <w:t xml:space="preserve">dura bitartean izandako gastuak eta diru-sarrerak kuantifikatu eta berrikustea. </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COVID-19aren kudeaketaren inguruan 2020ko martxotik abendura bita</w:t>
      </w:r>
      <w:r>
        <w:t>r</w:t>
      </w:r>
      <w:r>
        <w:t>tean izandako gastuen eta diru-sarreren legezkotasunaren fiskalizazioa egitea, honako honi buruzko iritzia eman ahal izateko: NFKAk eta bere erakunde a</w:t>
      </w:r>
      <w:r>
        <w:t>u</w:t>
      </w:r>
      <w:r>
        <w:t>tonomoek bitarte horretan egindako langile, ondasun arrunt eta zerbitzuen ko</w:t>
      </w:r>
      <w:r>
        <w:t>n</w:t>
      </w:r>
      <w:r>
        <w:t>tratazioak eta inbertsioak eta emandako dirulaguntzak bat ote datozen, alderdi esanguratsu guztietan, funts publikoen kudeaketari aplikatzekoak zaizkion arauekin.</w:t>
      </w:r>
    </w:p>
    <w:p w:rsidR="0049412A" w:rsidRPr="00396AB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Kontratazioaren eraginkortasuna eta efizientzia aztertzea, horrelako eb</w:t>
      </w:r>
      <w:r>
        <w:t>a</w:t>
      </w:r>
      <w:r>
        <w:t>luazioa egiteko informazioa eskuragarri dagoen kontratazioetan.</w:t>
      </w:r>
    </w:p>
    <w:p w:rsidR="0049412A" w:rsidRPr="005355B5"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 xml:space="preserve">Gure lanaren norainokoak 2020ko martxotik 2020ko abendura bitarteko aldia hartzen du, eta honako informazio hau aztertu dugu: </w:t>
      </w:r>
    </w:p>
    <w:p w:rsidR="0049412A" w:rsidRPr="00B94CC1"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Aipatu epealdian COVID-19a kudeatzearekin zerikusia duten aurreko</w:t>
      </w:r>
      <w:r>
        <w:t>n</w:t>
      </w:r>
      <w:r>
        <w:t xml:space="preserve">tuko partidak. </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 xml:space="preserve">COVID-19aren kudeaketari aplikatu beharreko araudia. </w:t>
      </w:r>
    </w:p>
    <w:p w:rsidR="0049412A" w:rsidRPr="00B94CC1"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COVID-19a kudeatzeko erabilitako ondasun eta zerbitzuak eta langileak kontratatzeko prozedurak.</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O-NOZek, Pertsonen Autonomiarako Nafarroako Agentziak (PAGNA) eta Hezkuntza Departamentuak COVID-19aren krisiari aurre egiteko langileak ha</w:t>
      </w:r>
      <w:r>
        <w:t>r</w:t>
      </w:r>
      <w:r>
        <w:t>tzeko egindako kontratuak.</w:t>
      </w:r>
    </w:p>
    <w:p w:rsidR="0049412A" w:rsidRDefault="0049412A" w:rsidP="006532FD">
      <w:pPr>
        <w:pStyle w:val="texto"/>
        <w:tabs>
          <w:tab w:val="clear" w:pos="2835"/>
          <w:tab w:val="clear" w:pos="3969"/>
          <w:tab w:val="clear" w:pos="5103"/>
          <w:tab w:val="clear" w:pos="6237"/>
          <w:tab w:val="clear" w:pos="7371"/>
        </w:tabs>
        <w:spacing w:after="240"/>
        <w:rPr>
          <w:szCs w:val="26"/>
        </w:rPr>
      </w:pPr>
      <w:r>
        <w:t>Kontratu horiek aztertzeaz gain, COVID produktibitateagatik 2.298 perts</w:t>
      </w:r>
      <w:r>
        <w:t>o</w:t>
      </w:r>
      <w:r>
        <w:t>nari ordaindutako zenbatekoa berrikusi dugu. Gastu hori 3,69 milioikoa da, a</w:t>
      </w:r>
      <w:r>
        <w:t>u</w:t>
      </w:r>
      <w:r>
        <w:t xml:space="preserve">rrekontuan aitortua 2020ko abenduaren 31n; hona hemen xehakatuta: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89"/>
        <w:gridCol w:w="4390"/>
      </w:tblGrid>
      <w:tr w:rsidR="0049412A" w:rsidTr="002A78B6">
        <w:trPr>
          <w:trHeight w:val="255"/>
        </w:trPr>
        <w:tc>
          <w:tcPr>
            <w:tcW w:w="4389" w:type="dxa"/>
            <w:shd w:val="clear" w:color="auto" w:fill="8DB3E2" w:themeFill="text2" w:themeFillTint="66"/>
            <w:vAlign w:val="center"/>
          </w:tcPr>
          <w:p w:rsidR="0049412A" w:rsidRPr="000436FD" w:rsidRDefault="0049412A" w:rsidP="007A72D9">
            <w:pPr>
              <w:pStyle w:val="cuadroCabe"/>
            </w:pPr>
            <w:r>
              <w:t>Jasotako zenbatekoa</w:t>
            </w:r>
          </w:p>
        </w:tc>
        <w:tc>
          <w:tcPr>
            <w:tcW w:w="4390" w:type="dxa"/>
            <w:shd w:val="clear" w:color="auto" w:fill="8DB3E2" w:themeFill="text2" w:themeFillTint="66"/>
            <w:vAlign w:val="center"/>
          </w:tcPr>
          <w:p w:rsidR="0049412A" w:rsidRPr="000436FD" w:rsidRDefault="0049412A" w:rsidP="007A72D9">
            <w:pPr>
              <w:pStyle w:val="cuadroCabe"/>
              <w:jc w:val="right"/>
            </w:pPr>
            <w:r>
              <w:t>Pertsona kop.</w:t>
            </w:r>
          </w:p>
        </w:tc>
      </w:tr>
      <w:tr w:rsidR="0049412A" w:rsidTr="002A78B6">
        <w:trPr>
          <w:trHeight w:val="198"/>
        </w:trPr>
        <w:tc>
          <w:tcPr>
            <w:tcW w:w="4389" w:type="dxa"/>
            <w:tcBorders>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&lt; 1.000</w:t>
            </w:r>
          </w:p>
        </w:tc>
        <w:tc>
          <w:tcPr>
            <w:tcW w:w="4390" w:type="dxa"/>
            <w:tcBorders>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1.385</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1.001, 5.000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739</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5.001, 10.000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137</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10.000, 15.000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22</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15.000, 20.000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9</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20.000, 30.000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5</w:t>
            </w:r>
          </w:p>
        </w:tc>
      </w:tr>
      <w:tr w:rsidR="0049412A" w:rsidTr="002A78B6">
        <w:trPr>
          <w:trHeight w:val="198"/>
        </w:trPr>
        <w:tc>
          <w:tcPr>
            <w:tcW w:w="4389" w:type="dxa"/>
            <w:tcBorders>
              <w:top w:val="single" w:sz="2" w:space="0" w:color="auto"/>
              <w:bottom w:val="single" w:sz="4"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&gt;30.000</w:t>
            </w:r>
          </w:p>
        </w:tc>
        <w:tc>
          <w:tcPr>
            <w:tcW w:w="4390" w:type="dxa"/>
            <w:tcBorders>
              <w:top w:val="single" w:sz="2" w:space="0" w:color="auto"/>
              <w:bottom w:val="single" w:sz="4"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w:t>
            </w:r>
          </w:p>
        </w:tc>
      </w:tr>
      <w:tr w:rsidR="0049412A" w:rsidTr="002A78B6">
        <w:trPr>
          <w:trHeight w:val="255"/>
        </w:trPr>
        <w:tc>
          <w:tcPr>
            <w:tcW w:w="4389" w:type="dxa"/>
            <w:shd w:val="clear" w:color="auto" w:fill="8DB3E2" w:themeFill="text2" w:themeFillTint="66"/>
            <w:vAlign w:val="center"/>
          </w:tcPr>
          <w:p w:rsidR="0049412A" w:rsidRPr="000436FD" w:rsidRDefault="0049412A" w:rsidP="007A72D9">
            <w:pPr>
              <w:pStyle w:val="cuadroCabe"/>
            </w:pPr>
            <w:r>
              <w:t>Pertsonak, guztira</w:t>
            </w:r>
          </w:p>
        </w:tc>
        <w:tc>
          <w:tcPr>
            <w:tcW w:w="4390" w:type="dxa"/>
            <w:shd w:val="clear" w:color="auto" w:fill="8DB3E2" w:themeFill="text2" w:themeFillTint="66"/>
            <w:vAlign w:val="center"/>
          </w:tcPr>
          <w:p w:rsidR="0049412A" w:rsidRDefault="0049412A" w:rsidP="007A72D9">
            <w:pPr>
              <w:pStyle w:val="cuadroCabe"/>
              <w:jc w:val="right"/>
              <w:rPr>
                <w:color w:val="000000"/>
              </w:rPr>
            </w:pPr>
            <w:r>
              <w:rPr>
                <w:color w:val="000000"/>
              </w:rPr>
              <w:t>2.298</w:t>
            </w:r>
          </w:p>
        </w:tc>
      </w:tr>
    </w:tbl>
    <w:p w:rsidR="0049412A" w:rsidRDefault="0049412A" w:rsidP="0049412A">
      <w:pPr>
        <w:spacing w:after="0"/>
        <w:ind w:firstLine="0"/>
        <w:jc w:val="left"/>
        <w:rPr>
          <w:spacing w:val="6"/>
          <w:sz w:val="26"/>
          <w:szCs w:val="26"/>
        </w:rPr>
      </w:pPr>
      <w:r>
        <w:br w:type="page"/>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lastRenderedPageBreak/>
        <w:t>COVID-19aren kudeaketarekin lotutako ondasun arrunt eta zerbitzuen kontratuak eta inbertsioak</w:t>
      </w:r>
    </w:p>
    <w:p w:rsidR="0049412A" w:rsidRDefault="0049412A" w:rsidP="0049412A">
      <w:pPr>
        <w:pStyle w:val="texto"/>
        <w:tabs>
          <w:tab w:val="clear" w:pos="2835"/>
          <w:tab w:val="clear" w:pos="3969"/>
          <w:tab w:val="clear" w:pos="5103"/>
          <w:tab w:val="clear" w:pos="6237"/>
          <w:tab w:val="clear" w:pos="7371"/>
        </w:tabs>
        <w:spacing w:after="240"/>
        <w:rPr>
          <w:szCs w:val="26"/>
        </w:rPr>
      </w:pPr>
      <w:r>
        <w:t>NFKAko departamentu guztiei informazioa eskatu genien, COVID-19arekin lotutako kontratu guztiak bidal zitzaten, eta horietan honako gastu hauek a</w:t>
      </w:r>
      <w:r>
        <w:t>z</w:t>
      </w:r>
      <w:r>
        <w:t xml:space="preserve">tertu ditugu: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3119"/>
        <w:gridCol w:w="2779"/>
        <w:gridCol w:w="2891"/>
      </w:tblGrid>
      <w:tr w:rsidR="0049412A" w:rsidRPr="00BE3C93" w:rsidTr="002A78B6">
        <w:trPr>
          <w:trHeight w:val="255"/>
        </w:trPr>
        <w:tc>
          <w:tcPr>
            <w:tcW w:w="3119" w:type="dxa"/>
            <w:tcBorders>
              <w:bottom w:val="single" w:sz="4" w:space="0" w:color="auto"/>
            </w:tcBorders>
            <w:shd w:val="clear" w:color="auto" w:fill="8DB3E2" w:themeFill="text2" w:themeFillTint="66"/>
          </w:tcPr>
          <w:p w:rsidR="0049412A" w:rsidRPr="00BE3C93" w:rsidRDefault="0049412A" w:rsidP="007A72D9">
            <w:pPr>
              <w:pStyle w:val="cuadroCabe"/>
              <w:jc w:val="right"/>
            </w:pPr>
          </w:p>
        </w:tc>
        <w:tc>
          <w:tcPr>
            <w:tcW w:w="2779" w:type="dxa"/>
            <w:shd w:val="clear" w:color="auto" w:fill="8DB3E2" w:themeFill="text2" w:themeFillTint="66"/>
            <w:vAlign w:val="center"/>
          </w:tcPr>
          <w:p w:rsidR="0049412A" w:rsidRPr="00BE3C93" w:rsidRDefault="0049412A" w:rsidP="005F0440">
            <w:pPr>
              <w:pStyle w:val="cuadroCabe"/>
              <w:jc w:val="left"/>
            </w:pPr>
            <w:r>
              <w:t>Kontzeptuak</w:t>
            </w:r>
          </w:p>
        </w:tc>
        <w:tc>
          <w:tcPr>
            <w:tcW w:w="2891" w:type="dxa"/>
            <w:shd w:val="clear" w:color="auto" w:fill="8DB3E2" w:themeFill="text2" w:themeFillTint="66"/>
            <w:vAlign w:val="center"/>
          </w:tcPr>
          <w:p w:rsidR="0049412A" w:rsidRPr="00BE3C93" w:rsidRDefault="0049412A" w:rsidP="007A72D9">
            <w:pPr>
              <w:pStyle w:val="cuadroCabe"/>
              <w:jc w:val="right"/>
            </w:pPr>
            <w:r>
              <w:t>Betearazitako zenbatekoa 2020-12-31n</w:t>
            </w:r>
          </w:p>
        </w:tc>
      </w:tr>
      <w:tr w:rsidR="0049412A" w:rsidTr="002A78B6">
        <w:tc>
          <w:tcPr>
            <w:tcW w:w="3119" w:type="dxa"/>
            <w:vMerge w:val="restart"/>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2. kap. Ondasun arruntak eta zerb</w:t>
            </w:r>
            <w:r>
              <w:rPr>
                <w:rFonts w:ascii="Arial Narrow" w:hAnsi="Arial Narrow"/>
                <w:sz w:val="20"/>
                <w:szCs w:val="20"/>
              </w:rPr>
              <w:t>i</w:t>
            </w:r>
            <w:r>
              <w:rPr>
                <w:rFonts w:ascii="Arial Narrow" w:hAnsi="Arial Narrow"/>
                <w:sz w:val="20"/>
                <w:szCs w:val="20"/>
              </w:rPr>
              <w:t>tzuak</w:t>
            </w:r>
          </w:p>
        </w:tc>
        <w:tc>
          <w:tcPr>
            <w:tcW w:w="2779" w:type="dxa"/>
            <w:tcBorders>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Maskara kirurgikoak</w:t>
            </w:r>
          </w:p>
        </w:tc>
        <w:tc>
          <w:tcPr>
            <w:tcW w:w="2891" w:type="dxa"/>
            <w:tcBorders>
              <w:bottom w:val="single" w:sz="2"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2.220.000</w:t>
            </w:r>
          </w:p>
        </w:tc>
      </w:tr>
      <w:tr w:rsidR="0049412A" w:rsidTr="002A78B6">
        <w:tc>
          <w:tcPr>
            <w:tcW w:w="3119"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2779" w:type="dxa"/>
            <w:tcBorders>
              <w:top w:val="single" w:sz="2" w:space="0" w:color="auto"/>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FPP2 maskarak</w:t>
            </w:r>
          </w:p>
        </w:tc>
        <w:tc>
          <w:tcPr>
            <w:tcW w:w="2891" w:type="dxa"/>
            <w:tcBorders>
              <w:top w:val="single" w:sz="2" w:space="0" w:color="auto"/>
              <w:bottom w:val="single" w:sz="2"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1.232.800</w:t>
            </w:r>
          </w:p>
        </w:tc>
      </w:tr>
      <w:tr w:rsidR="0049412A" w:rsidTr="002A78B6">
        <w:tc>
          <w:tcPr>
            <w:tcW w:w="3119"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2779" w:type="dxa"/>
            <w:tcBorders>
              <w:top w:val="single" w:sz="2" w:space="0" w:color="auto"/>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Osasun itunak</w:t>
            </w:r>
          </w:p>
        </w:tc>
        <w:tc>
          <w:tcPr>
            <w:tcW w:w="2891" w:type="dxa"/>
            <w:tcBorders>
              <w:top w:val="single" w:sz="2" w:space="0" w:color="auto"/>
              <w:bottom w:val="single" w:sz="2"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8.585.045</w:t>
            </w:r>
          </w:p>
        </w:tc>
      </w:tr>
      <w:tr w:rsidR="0049412A" w:rsidTr="002A78B6">
        <w:tc>
          <w:tcPr>
            <w:tcW w:w="3119" w:type="dxa"/>
            <w:vMerge/>
            <w:tcBorders>
              <w:bottom w:val="single" w:sz="4" w:space="0" w:color="auto"/>
            </w:tcBorders>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2779" w:type="dxa"/>
            <w:tcBorders>
              <w:top w:val="single" w:sz="2" w:space="0" w:color="auto"/>
              <w:bottom w:val="single" w:sz="4"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Zentro soziosanitarioen kude</w:t>
            </w:r>
            <w:r>
              <w:rPr>
                <w:rFonts w:ascii="Arial Narrow" w:hAnsi="Arial Narrow"/>
                <w:sz w:val="20"/>
                <w:szCs w:val="20"/>
              </w:rPr>
              <w:t>a</w:t>
            </w:r>
            <w:r>
              <w:rPr>
                <w:rFonts w:ascii="Arial Narrow" w:hAnsi="Arial Narrow"/>
                <w:sz w:val="20"/>
                <w:szCs w:val="20"/>
              </w:rPr>
              <w:t>keta</w:t>
            </w:r>
          </w:p>
        </w:tc>
        <w:tc>
          <w:tcPr>
            <w:tcW w:w="2891" w:type="dxa"/>
            <w:tcBorders>
              <w:top w:val="single" w:sz="2" w:space="0" w:color="auto"/>
              <w:bottom w:val="single" w:sz="4"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4.508.315</w:t>
            </w:r>
          </w:p>
        </w:tc>
      </w:tr>
      <w:tr w:rsidR="0049412A" w:rsidTr="002A78B6">
        <w:tc>
          <w:tcPr>
            <w:tcW w:w="3119" w:type="dxa"/>
            <w:tcBorders>
              <w:top w:val="single" w:sz="4" w:space="0" w:color="auto"/>
            </w:tcBorders>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r>
              <w:rPr>
                <w:rFonts w:ascii="Arial Narrow" w:hAnsi="Arial Narrow"/>
                <w:sz w:val="20"/>
                <w:szCs w:val="20"/>
              </w:rPr>
              <w:t>6. kap. Inbertsioak</w:t>
            </w:r>
          </w:p>
        </w:tc>
        <w:tc>
          <w:tcPr>
            <w:tcW w:w="2779" w:type="dxa"/>
            <w:tcBorders>
              <w:top w:val="single" w:sz="4"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Chromebook-ak erostea</w:t>
            </w:r>
          </w:p>
        </w:tc>
        <w:tc>
          <w:tcPr>
            <w:tcW w:w="2891" w:type="dxa"/>
            <w:tcBorders>
              <w:top w:val="single" w:sz="4"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5.039.827</w:t>
            </w:r>
          </w:p>
        </w:tc>
      </w:tr>
    </w:tbl>
    <w:p w:rsidR="0049412A" w:rsidRPr="00CD47D5" w:rsidRDefault="0049412A" w:rsidP="007B47F2">
      <w:pPr>
        <w:pStyle w:val="texto"/>
        <w:numPr>
          <w:ilvl w:val="0"/>
          <w:numId w:val="10"/>
        </w:numPr>
        <w:tabs>
          <w:tab w:val="clear" w:pos="2835"/>
          <w:tab w:val="clear" w:pos="3969"/>
          <w:tab w:val="clear" w:pos="5103"/>
          <w:tab w:val="clear" w:pos="6237"/>
          <w:tab w:val="clear" w:pos="7371"/>
          <w:tab w:val="left" w:pos="709"/>
        </w:tabs>
        <w:spacing w:before="240" w:after="240"/>
        <w:ind w:left="0" w:firstLine="284"/>
        <w:rPr>
          <w:szCs w:val="26"/>
        </w:rPr>
      </w:pPr>
      <w:r>
        <w:t>COVID-19aren kudeaketarekin lotutako transferentzia arrunt eta kapital-transferentzia guztiak onartzeko erabilitako prozedurak. Halaber, azterketa s</w:t>
      </w:r>
      <w:r>
        <w:t>a</w:t>
      </w:r>
      <w:r>
        <w:t>konagoa egin diegu honako transferentzia hauei:</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4819"/>
        <w:gridCol w:w="1985"/>
      </w:tblGrid>
      <w:tr w:rsidR="0049412A" w:rsidRPr="00BE3C93" w:rsidTr="005F0440">
        <w:trPr>
          <w:trHeight w:val="342"/>
        </w:trPr>
        <w:tc>
          <w:tcPr>
            <w:tcW w:w="1985" w:type="dxa"/>
            <w:shd w:val="clear" w:color="auto" w:fill="8DB3E2" w:themeFill="text2" w:themeFillTint="66"/>
          </w:tcPr>
          <w:p w:rsidR="0049412A" w:rsidRPr="00BE3C93" w:rsidRDefault="0049412A" w:rsidP="007A72D9">
            <w:pPr>
              <w:pStyle w:val="cuadroCabe"/>
              <w:jc w:val="right"/>
            </w:pPr>
          </w:p>
        </w:tc>
        <w:tc>
          <w:tcPr>
            <w:tcW w:w="4820" w:type="dxa"/>
            <w:shd w:val="clear" w:color="auto" w:fill="8DB3E2" w:themeFill="text2" w:themeFillTint="66"/>
            <w:vAlign w:val="center"/>
          </w:tcPr>
          <w:p w:rsidR="0049412A" w:rsidRPr="00BE3C93" w:rsidRDefault="0049412A" w:rsidP="005F0440">
            <w:pPr>
              <w:pStyle w:val="cuadroCabe"/>
              <w:ind w:left="36" w:hanging="36"/>
              <w:jc w:val="left"/>
            </w:pPr>
            <w:r>
              <w:t>Kontzeptuak</w:t>
            </w:r>
          </w:p>
        </w:tc>
        <w:tc>
          <w:tcPr>
            <w:tcW w:w="1985" w:type="dxa"/>
            <w:shd w:val="clear" w:color="auto" w:fill="8DB3E2" w:themeFill="text2" w:themeFillTint="66"/>
            <w:vAlign w:val="center"/>
          </w:tcPr>
          <w:p w:rsidR="0049412A" w:rsidRPr="00BE3C93" w:rsidRDefault="0049412A" w:rsidP="007A72D9">
            <w:pPr>
              <w:pStyle w:val="cuadroCabe"/>
              <w:jc w:val="right"/>
            </w:pPr>
            <w:r>
              <w:t>Betearazitako ze</w:t>
            </w:r>
            <w:r>
              <w:t>n</w:t>
            </w:r>
            <w:r>
              <w:t>batekoa 2020-12-31n</w:t>
            </w:r>
          </w:p>
        </w:tc>
      </w:tr>
      <w:tr w:rsidR="0049412A" w:rsidTr="005F0440">
        <w:tc>
          <w:tcPr>
            <w:tcW w:w="1985" w:type="dxa"/>
            <w:vMerge w:val="restart"/>
            <w:vAlign w:val="center"/>
          </w:tcPr>
          <w:p w:rsidR="0049412A" w:rsidRPr="00BE3C93" w:rsidRDefault="0049412A" w:rsidP="002A78B6">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4. kap. Transferentzia arruntak</w:t>
            </w:r>
          </w:p>
        </w:tc>
        <w:tc>
          <w:tcPr>
            <w:tcW w:w="4820" w:type="dxa"/>
            <w:tcBorders>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sz w:val="20"/>
                <w:szCs w:val="20"/>
              </w:rPr>
            </w:pPr>
            <w:r>
              <w:rPr>
                <w:rFonts w:ascii="Arial Narrow" w:hAnsi="Arial Narrow"/>
                <w:sz w:val="20"/>
                <w:szCs w:val="20"/>
              </w:rPr>
              <w:t>Autonomoentzako laguntzak</w:t>
            </w:r>
          </w:p>
        </w:tc>
        <w:tc>
          <w:tcPr>
            <w:tcW w:w="1985" w:type="dxa"/>
            <w:tcBorders>
              <w:bottom w:val="single" w:sz="2" w:space="0" w:color="auto"/>
            </w:tcBorders>
            <w:vAlign w:val="center"/>
          </w:tcPr>
          <w:p w:rsidR="0049412A" w:rsidRPr="0047491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24.029.700</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sz w:val="20"/>
                <w:szCs w:val="20"/>
              </w:rPr>
            </w:pPr>
            <w:r>
              <w:rPr>
                <w:rFonts w:ascii="Arial Narrow" w:hAnsi="Arial Narrow"/>
                <w:sz w:val="20"/>
                <w:szCs w:val="20"/>
              </w:rPr>
              <w:t>Hiriarteko bidaiari garraio erregularreko erabilera orok</w:t>
            </w:r>
            <w:r>
              <w:rPr>
                <w:rFonts w:ascii="Arial Narrow" w:hAnsi="Arial Narrow"/>
                <w:sz w:val="20"/>
                <w:szCs w:val="20"/>
              </w:rPr>
              <w:t>o</w:t>
            </w:r>
            <w:r>
              <w:rPr>
                <w:rFonts w:ascii="Arial Narrow" w:hAnsi="Arial Narrow"/>
                <w:sz w:val="20"/>
                <w:szCs w:val="20"/>
              </w:rPr>
              <w:t>rreko zerbitzuen emakida-kontratuetarako laguntzak</w:t>
            </w:r>
          </w:p>
        </w:tc>
        <w:tc>
          <w:tcPr>
            <w:tcW w:w="1985" w:type="dxa"/>
            <w:tcBorders>
              <w:top w:val="single" w:sz="2" w:space="0" w:color="auto"/>
              <w:bottom w:val="single" w:sz="2"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1.363.969</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sz w:val="20"/>
                <w:szCs w:val="20"/>
              </w:rPr>
            </w:pPr>
            <w:r>
              <w:rPr>
                <w:rFonts w:ascii="Arial Narrow" w:hAnsi="Arial Narrow"/>
                <w:color w:val="000000"/>
                <w:sz w:val="19"/>
                <w:szCs w:val="19"/>
              </w:rPr>
              <w:t>Unibertsitateaz kanpoko irakaskuntza zentroentzako transf</w:t>
            </w:r>
            <w:r>
              <w:rPr>
                <w:rFonts w:ascii="Arial Narrow" w:hAnsi="Arial Narrow"/>
                <w:color w:val="000000"/>
                <w:sz w:val="19"/>
                <w:szCs w:val="19"/>
              </w:rPr>
              <w:t>e</w:t>
            </w:r>
            <w:r>
              <w:rPr>
                <w:rFonts w:ascii="Arial Narrow" w:hAnsi="Arial Narrow"/>
                <w:color w:val="000000"/>
                <w:sz w:val="19"/>
                <w:szCs w:val="19"/>
              </w:rPr>
              <w:t>rentzia arruntak</w:t>
            </w:r>
          </w:p>
        </w:tc>
        <w:tc>
          <w:tcPr>
            <w:tcW w:w="1985" w:type="dxa"/>
            <w:tcBorders>
              <w:top w:val="single" w:sz="2" w:space="0" w:color="auto"/>
              <w:bottom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2.884.342</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Pr="00F8148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cs="Calibri"/>
                <w:color w:val="000000"/>
                <w:sz w:val="19"/>
                <w:szCs w:val="19"/>
              </w:rPr>
            </w:pPr>
            <w:r>
              <w:rPr>
                <w:rFonts w:ascii="Arial Narrow" w:hAnsi="Arial Narrow"/>
                <w:color w:val="000000"/>
                <w:sz w:val="19"/>
                <w:szCs w:val="19"/>
              </w:rPr>
              <w:t>Etxebizitzen errentarientzako dirulaguntzak</w:t>
            </w:r>
          </w:p>
        </w:tc>
        <w:tc>
          <w:tcPr>
            <w:tcW w:w="1985" w:type="dxa"/>
            <w:tcBorders>
              <w:top w:val="single" w:sz="2" w:space="0" w:color="auto"/>
              <w:bottom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747.510</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cs="Calibri"/>
                <w:color w:val="000000"/>
                <w:sz w:val="19"/>
                <w:szCs w:val="19"/>
              </w:rPr>
            </w:pPr>
            <w:r>
              <w:rPr>
                <w:rFonts w:ascii="Arial Narrow" w:hAnsi="Arial Narrow"/>
                <w:color w:val="000000"/>
                <w:sz w:val="19"/>
                <w:szCs w:val="19"/>
              </w:rPr>
              <w:t>Oinarrizko Gizarte Zerbitzuetarako dirulaguntzak</w:t>
            </w:r>
          </w:p>
        </w:tc>
        <w:tc>
          <w:tcPr>
            <w:tcW w:w="1985" w:type="dxa"/>
            <w:tcBorders>
              <w:top w:val="single" w:sz="2" w:space="0" w:color="auto"/>
              <w:bottom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980.773</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cs="Calibri"/>
                <w:color w:val="000000"/>
                <w:sz w:val="19"/>
                <w:szCs w:val="19"/>
              </w:rPr>
            </w:pPr>
            <w:r>
              <w:rPr>
                <w:rFonts w:ascii="Arial Narrow" w:hAnsi="Arial Narrow"/>
                <w:color w:val="000000"/>
                <w:sz w:val="19"/>
                <w:szCs w:val="19"/>
              </w:rPr>
              <w:t>45 urtetik gorakoentzako dirulaguntzak</w:t>
            </w:r>
            <w:r>
              <w:rPr>
                <w:rStyle w:val="Refdenotaalpie"/>
                <w:rFonts w:ascii="Arial Narrow" w:hAnsi="Arial Narrow" w:cs="Calibri"/>
                <w:color w:val="000000"/>
                <w:sz w:val="19"/>
                <w:szCs w:val="19"/>
              </w:rPr>
              <w:footnoteReference w:id="1"/>
            </w:r>
          </w:p>
        </w:tc>
        <w:tc>
          <w:tcPr>
            <w:tcW w:w="1985" w:type="dxa"/>
            <w:tcBorders>
              <w:top w:val="single" w:sz="2" w:space="0" w:color="auto"/>
              <w:bottom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562.150</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tcBorders>
            <w:vAlign w:val="center"/>
          </w:tcPr>
          <w:p w:rsidR="0049412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cs="Calibri"/>
                <w:color w:val="000000"/>
                <w:sz w:val="19"/>
                <w:szCs w:val="19"/>
              </w:rPr>
            </w:pPr>
            <w:r>
              <w:rPr>
                <w:rFonts w:ascii="Arial Narrow" w:hAnsi="Arial Narrow"/>
                <w:color w:val="000000"/>
                <w:sz w:val="19"/>
                <w:szCs w:val="19"/>
              </w:rPr>
              <w:t>Eguneko zentroen kontratuengatiko kalte-ordainak</w:t>
            </w:r>
          </w:p>
        </w:tc>
        <w:tc>
          <w:tcPr>
            <w:tcW w:w="1985" w:type="dxa"/>
            <w:tcBorders>
              <w:top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202.455</w:t>
            </w:r>
          </w:p>
        </w:tc>
      </w:tr>
    </w:tbl>
    <w:p w:rsidR="0049412A" w:rsidRDefault="0049412A" w:rsidP="007B47F2">
      <w:pPr>
        <w:pStyle w:val="texto"/>
        <w:numPr>
          <w:ilvl w:val="0"/>
          <w:numId w:val="10"/>
        </w:numPr>
        <w:tabs>
          <w:tab w:val="clear" w:pos="2835"/>
          <w:tab w:val="clear" w:pos="3969"/>
          <w:tab w:val="clear" w:pos="5103"/>
          <w:tab w:val="clear" w:pos="6237"/>
          <w:tab w:val="clear" w:pos="7371"/>
          <w:tab w:val="left" w:pos="567"/>
        </w:tabs>
        <w:spacing w:before="240"/>
        <w:ind w:left="0" w:firstLine="284"/>
        <w:rPr>
          <w:szCs w:val="26"/>
        </w:rPr>
      </w:pPr>
      <w:r>
        <w:t>COVID-19aren kudeaketa zela-eta Nafarroako Enpresa Korporazio Publ</w:t>
      </w:r>
      <w:r>
        <w:t>i</w:t>
      </w:r>
      <w:r>
        <w:t>koari egindako zazpi milioiko ekarpena, aurrekontuaren 8. kapituluan (Fina</w:t>
      </w:r>
      <w:r>
        <w:t>n</w:t>
      </w:r>
      <w:r>
        <w:t>tza-aktiboak) jasoa.</w:t>
      </w:r>
    </w:p>
    <w:p w:rsidR="00BB3B9E" w:rsidRPr="00BB3B9E" w:rsidRDefault="00477D89" w:rsidP="00BB3B9E">
      <w:pPr>
        <w:pStyle w:val="texto"/>
        <w:numPr>
          <w:ilvl w:val="0"/>
          <w:numId w:val="10"/>
        </w:numPr>
        <w:tabs>
          <w:tab w:val="clear" w:pos="2835"/>
          <w:tab w:val="clear" w:pos="3969"/>
          <w:tab w:val="clear" w:pos="5103"/>
          <w:tab w:val="clear" w:pos="6237"/>
          <w:tab w:val="clear" w:pos="7371"/>
          <w:tab w:val="left" w:pos="567"/>
        </w:tabs>
        <w:spacing w:before="120"/>
        <w:ind w:left="0" w:firstLine="284"/>
        <w:rPr>
          <w:szCs w:val="26"/>
        </w:rPr>
      </w:pPr>
      <w:r>
        <w:t xml:space="preserve">Nafarroako Azoka Eremua (Refena) okupatzeagatik ordaindutako gastua. </w:t>
      </w:r>
    </w:p>
    <w:p w:rsidR="0049412A" w:rsidRDefault="0049412A" w:rsidP="0049412A">
      <w:pPr>
        <w:pStyle w:val="texto"/>
        <w:tabs>
          <w:tab w:val="clear" w:pos="2835"/>
          <w:tab w:val="clear" w:pos="3969"/>
          <w:tab w:val="clear" w:pos="5103"/>
          <w:tab w:val="clear" w:pos="6237"/>
          <w:tab w:val="clear" w:pos="7371"/>
        </w:tabs>
        <w:spacing w:before="240" w:after="100"/>
        <w:rPr>
          <w:szCs w:val="26"/>
        </w:rPr>
      </w:pPr>
      <w:r>
        <w:t>Jarraian, gure lanaren irismena mugatu duten alderdiak azalduko ditugu:</w:t>
      </w:r>
    </w:p>
    <w:p w:rsidR="0049412A" w:rsidRPr="002408EB"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b/>
          <w:szCs w:val="26"/>
        </w:rPr>
      </w:pPr>
      <w:r>
        <w:t>Egiaztatu dugu badirela COVID-19arekin lotutako gastuak jaso gabe da</w:t>
      </w:r>
      <w:r>
        <w:t>u</w:t>
      </w:r>
      <w:r>
        <w:t>denak hala identifikatutako aurrekontu partidetan. Alabaina, txosten hau ida</w:t>
      </w:r>
      <w:r>
        <w:t>z</w:t>
      </w:r>
      <w:r>
        <w:t>ten ari den garaian NFKA akats horiek zuzentzen ari da zenbait kasutan, esat</w:t>
      </w:r>
      <w:r>
        <w:t>e</w:t>
      </w:r>
      <w:r>
        <w:t xml:space="preserve">rako O-NOZeko langileen ordainsarien kasuan. </w:t>
      </w:r>
    </w:p>
    <w:p w:rsidR="0049412A" w:rsidRPr="00F17591" w:rsidRDefault="0049412A" w:rsidP="0049412A">
      <w:pPr>
        <w:pStyle w:val="texto"/>
      </w:pPr>
      <w:r>
        <w:t xml:space="preserve">Bestalde, egiaztatu dugu COVID-19 partidetan badirela gastu batzuk hor egon behar ez luketenak, errenta bermatuari dagokion zenbatekoa, esaterako; </w:t>
      </w:r>
      <w:r>
        <w:lastRenderedPageBreak/>
        <w:t>kasu horretan, Eskubide Sozialetako Departamentuak maiatzean eta ekainean ez zien deus ere egotzi COVID-19 partidei, eta ordutik aurrera prestazioaren onuradun berriei zegokien gastua erregistratu zuen partida horietan, prestazio</w:t>
      </w:r>
      <w:r>
        <w:t>a</w:t>
      </w:r>
      <w:r>
        <w:t>ren arrazoia COVID-19a zen ala ez kontuan hartu gabe.</w:t>
      </w:r>
    </w:p>
    <w:p w:rsidR="0049412A" w:rsidRPr="001960BB" w:rsidRDefault="0049412A" w:rsidP="0049412A">
      <w:pPr>
        <w:pStyle w:val="texto"/>
      </w:pPr>
      <w:r>
        <w:t>Ezin dugu zenbatetsi aurreko paragrafoetako gertaeren eragina. Beraz, gure txostenean ematen ditugun zenbakiak gutxi gorabeherakoak dira, eta COVID-19 gisa identifikatutako partidetan kontabilizatu den zenbatekoari dagozkio. Beraz, ez dute zehazten COVID-19a kudeatzeko egiaz egindako gastua; hala ere, uste dugu aldea ez litzatekeela esanguratsua izanen.</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Diru-sarreren zenbatespenari dagokionez, badira finantza-pasiboekin lot</w:t>
      </w:r>
      <w:r>
        <w:t>u</w:t>
      </w:r>
      <w:r>
        <w:t>tako aurrekontu partidak COVID-19 gisa identifikatu ez direnak, baina agian zati batez helburu horretarako erabili direnak, eta ezin dugu zati horren zenb</w:t>
      </w:r>
      <w:r>
        <w:t>a</w:t>
      </w:r>
      <w:r>
        <w:t xml:space="preserve">tekoa zehaztu. </w:t>
      </w:r>
    </w:p>
    <w:p w:rsidR="0049412A" w:rsidRPr="002408EB"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b/>
          <w:szCs w:val="26"/>
        </w:rPr>
      </w:pPr>
      <w:r>
        <w:t>COVID-19ari aurre egiteko egindako kontratuei buruz NFKAko depart</w:t>
      </w:r>
      <w:r>
        <w:t>a</w:t>
      </w:r>
      <w:r>
        <w:t xml:space="preserve">mentuek emandako erantzunean ez da azaltzen zenbat kontratu diren. Batzuetan eskariez ari dira, beste batzuetan fakturez edo kontratuez. </w:t>
      </w:r>
    </w:p>
    <w:p w:rsidR="0049412A" w:rsidRPr="00F17591" w:rsidRDefault="0049412A" w:rsidP="0049412A">
      <w:pPr>
        <w:pStyle w:val="texto"/>
        <w:tabs>
          <w:tab w:val="clear" w:pos="2835"/>
          <w:tab w:val="clear" w:pos="3969"/>
          <w:tab w:val="clear" w:pos="5103"/>
          <w:tab w:val="clear" w:pos="6237"/>
          <w:tab w:val="clear" w:pos="7371"/>
        </w:tabs>
        <w:spacing w:after="100"/>
        <w:rPr>
          <w:b/>
          <w:szCs w:val="26"/>
        </w:rPr>
      </w:pPr>
      <w:r>
        <w:t>Horregatik, ezin da zehaztu zenbat kontratu egin ziren. Gainera, kasu ask</w:t>
      </w:r>
      <w:r>
        <w:t>o</w:t>
      </w:r>
      <w:r>
        <w:t>tan, informazioa eskatu zenean kontratazio espedienteak formalizatzen ari z</w:t>
      </w:r>
      <w:r>
        <w:t>i</w:t>
      </w:r>
      <w:r>
        <w:t>ren. Gure txostenean, formalizatu eta Kontratazioaren Atarian argitaratutako larrialdiko espedienteen guztizko kopuruari buruzko datuak ematen ditugu, iz</w:t>
      </w:r>
      <w:r>
        <w:t>a</w:t>
      </w:r>
      <w:r>
        <w:t>pidetzeko modu hori erabili baita kasu gehien-gehienetan.</w:t>
      </w:r>
    </w:p>
    <w:p w:rsidR="0049412A" w:rsidRPr="006C3455"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rFonts w:cs="Arial"/>
        </w:rPr>
      </w:pPr>
      <w:r>
        <w:t>Osasun itunen kasuan soilik aztertu ahal izan ditugu eraginkortasuna eta efizientzia. Alor horretan O-NOZeko Kostuaren Kontrol eta Analisirako Zerb</w:t>
      </w:r>
      <w:r>
        <w:t>i</w:t>
      </w:r>
      <w:r>
        <w:t>tzuak azterketa sakona egin zuen COVID-19a duten pazienteentzako osasun l</w:t>
      </w:r>
      <w:r>
        <w:t>a</w:t>
      </w:r>
      <w:r>
        <w:t>guntzaren kostua kalkulatzeko; kostu horiek erabili ziren osasun itunetako ze</w:t>
      </w:r>
      <w:r>
        <w:t>r</w:t>
      </w:r>
      <w:r>
        <w:t>bitzuen kontratazioan aplikatu behar ziren tarifak zehazteko; gainerako jard</w:t>
      </w:r>
      <w:r>
        <w:t>u</w:t>
      </w:r>
      <w:r>
        <w:t xml:space="preserve">ketetan ez dago aski informazio jasota konklusioak atera ahal ditzagun. </w:t>
      </w:r>
      <w:r>
        <w:br w:type="page"/>
      </w:r>
    </w:p>
    <w:p w:rsidR="00676CA2" w:rsidRPr="00BB1925" w:rsidRDefault="00676CA2" w:rsidP="00676CA2">
      <w:pPr>
        <w:pStyle w:val="atitulo1"/>
      </w:pPr>
      <w:bookmarkStart w:id="28" w:name="_Toc67394579"/>
      <w:bookmarkStart w:id="29" w:name="_Toc70589002"/>
      <w:r>
        <w:lastRenderedPageBreak/>
        <w:t>IV. Konklusioak eta gomendioak</w:t>
      </w:r>
      <w:bookmarkEnd w:id="28"/>
      <w:bookmarkEnd w:id="29"/>
    </w:p>
    <w:p w:rsidR="00676CA2" w:rsidRPr="006538A3" w:rsidRDefault="00676CA2" w:rsidP="006538A3">
      <w:pPr>
        <w:pStyle w:val="atitulo4"/>
      </w:pPr>
      <w:bookmarkStart w:id="30" w:name="_Toc499802369"/>
      <w:bookmarkStart w:id="31" w:name="_Toc511912027"/>
      <w:r>
        <w:t xml:space="preserve">Nafarroako Foru Komunitateko Administrazioaren erantzukizuna </w:t>
      </w:r>
    </w:p>
    <w:p w:rsidR="00676CA2" w:rsidRDefault="00676CA2" w:rsidP="00676CA2">
      <w:pPr>
        <w:pStyle w:val="texto"/>
      </w:pPr>
      <w:r>
        <w:t>NFKAko departamentuen eginbeharra da gastuak zuzen esleitzea COVID-19a kudeatzeko sortutako aurrekontuko partidei; eta bermatzea aplikatu beh</w:t>
      </w:r>
      <w:r>
        <w:t>a</w:t>
      </w:r>
      <w:r>
        <w:t>rreko araudiarekin bat datozela egiten diren kontratazio guztiak eta ematen d</w:t>
      </w:r>
      <w:r>
        <w:t>i</w:t>
      </w:r>
      <w:r>
        <w:t>ren dirulaguntzak.</w:t>
      </w:r>
    </w:p>
    <w:p w:rsidR="00676CA2" w:rsidRDefault="00676CA2" w:rsidP="00676CA2">
      <w:pPr>
        <w:pStyle w:val="texto"/>
      </w:pPr>
      <w:r>
        <w:t>Ekonomia eta Ogasun Departamentua da, Kontu-hartzailetza Nagusiaren b</w:t>
      </w:r>
      <w:r>
        <w:t>i</w:t>
      </w:r>
      <w:r>
        <w:t>dez, beharrezkotzat jotzen dituen barne kontroleko sistemak ezartzeko erantz</w:t>
      </w:r>
      <w:r>
        <w:t>u</w:t>
      </w:r>
      <w:r>
        <w:t>kizuna duena, departamentuek aurreko paragrafoan ezarritakoa betetzen dutela egiaztatzeko.</w:t>
      </w:r>
    </w:p>
    <w:p w:rsidR="00676CA2" w:rsidRPr="006538A3" w:rsidRDefault="00676CA2" w:rsidP="006538A3">
      <w:pPr>
        <w:pStyle w:val="atitulo4"/>
      </w:pPr>
      <w:r>
        <w:t>Nafarroako Kontuen Ganberaren erantzukizuna</w:t>
      </w:r>
    </w:p>
    <w:p w:rsidR="00676CA2" w:rsidRPr="00F377C9" w:rsidRDefault="00676CA2" w:rsidP="00676CA2">
      <w:pPr>
        <w:pStyle w:val="texto"/>
      </w:pPr>
      <w:r>
        <w:t>Gure erantzukizuna da COVID-19aren kudeaketari dagozkion gastuak eta diru-sarrerak kuantifikatzea, COVID-19aren kudeaketari dagozkion kontratazio eta dirulaguntzen legezkotasunari buruzko iritzia ematea, eta kontratazioen er</w:t>
      </w:r>
      <w:r>
        <w:t>a</w:t>
      </w:r>
      <w:r>
        <w:t xml:space="preserve">ginkortasuna eta efizientzia aztertzea, ebaluazio hori egin ahal zaien kasuetan. </w:t>
      </w:r>
    </w:p>
    <w:p w:rsidR="00676CA2" w:rsidRPr="00F377C9" w:rsidRDefault="00676CA2" w:rsidP="00676CA2">
      <w:pPr>
        <w:pStyle w:val="texto"/>
      </w:pPr>
      <w:r>
        <w:t>Horretarako, gure fiskalizazioa egin dugu Kanpo Kontroleko Erakunde P</w:t>
      </w:r>
      <w:r>
        <w:t>u</w:t>
      </w:r>
      <w:r>
        <w:t>blikoen fiskalizaziorako oinarrizko printzipioen arabera, eta, zehazkiago, I</w:t>
      </w:r>
      <w:r>
        <w:t>S</w:t>
      </w:r>
      <w:r>
        <w:t>SAI-ES 400 eta 300 arauei jarraituz, zeinek legeria betetzeari buruzko fiskal</w:t>
      </w:r>
      <w:r>
        <w:t>i</w:t>
      </w:r>
      <w:r>
        <w:t>zazioak eta auditoria operatiboak arautzen baitituzte, hurrenez hurren. Printz</w:t>
      </w:r>
      <w:r>
        <w:t>i</w:t>
      </w:r>
      <w:r>
        <w:t>pio horiek eskatzen dute etikaren arloko eskakizunak bete ditzagula, bai eta fi</w:t>
      </w:r>
      <w:r>
        <w:t>s</w:t>
      </w:r>
      <w:r>
        <w:t>kalizazioaren plangintza eta betearaztea egin dezagula ere, honako helburu h</w:t>
      </w:r>
      <w:r>
        <w:t>o</w:t>
      </w:r>
      <w:r>
        <w:t>nekin: arrazoizko segurtasun bat izatea ekitaldian egindako jarduerak zein f</w:t>
      </w:r>
      <w:r>
        <w:t>i</w:t>
      </w:r>
      <w:r>
        <w:t xml:space="preserve">nantzen egoera-orrietan islatutako informazioa, alderdi adierazgarri guztietan, arau indardunen araberakoak izateari buruz. </w:t>
      </w:r>
    </w:p>
    <w:p w:rsidR="00676CA2" w:rsidRDefault="00676CA2" w:rsidP="00676CA2">
      <w:pPr>
        <w:pStyle w:val="texto"/>
      </w:pPr>
      <w:r>
        <w:t>Fiskalizazio batek eskatzen du prozedura batzuk aplika ditzagula auditoria-ebidentzia bat lortzeko urteko kontuetan adierazitako zenbatekoei eta inform</w:t>
      </w:r>
      <w:r>
        <w:t>a</w:t>
      </w:r>
      <w:r>
        <w:t>zioari buruz, bai eta araudian ezarritako alderdi garrantzitsuak fiskalizatutako ekitaldian zehar betetzeari buruz ere. Hautatutako prozedurak auditorearen iri</w:t>
      </w:r>
      <w:r>
        <w:t>z</w:t>
      </w:r>
      <w:r>
        <w:t>pidearen araberakoak dira, horren barne dela kontu orokorren akats materialei buruzko arriskuen balorazioa, akats hori iruzurraren nahiz akatsaren ondorio</w:t>
      </w:r>
      <w:r>
        <w:t>z</w:t>
      </w:r>
      <w:r>
        <w:t xml:space="preserve">koa denean eta legezkotasunaren ez-betetze aipagarrien ondoriozkoa denean ere. Arriskuari buruzko balorazio horiek egiterakoan, auditoreak barne kontrola hartzen du kontuan —entitateak aurrekontuko partidetan gastua egotz dezan eta legezkotasuna betetzen dela bermatzeko garrantzitsua baita— inguruabarren araberako auditoretza-prozedura egokiak diseinatze aldera, eta ez entitatearen barne kontrolaren eraginkortasunari buruzko iritzia emateko xedez. </w:t>
      </w:r>
    </w:p>
    <w:p w:rsidR="00676CA2" w:rsidRPr="00F377C9" w:rsidRDefault="00676CA2" w:rsidP="00676CA2">
      <w:pPr>
        <w:pStyle w:val="texto"/>
      </w:pPr>
      <w:r>
        <w:t xml:space="preserve">Auditoria batek barne biltzen du, era berean, aplikatutako kontabilitate-politiken egokitasuna eta zuzendaritzak egindako kontabilitate-estimazioen </w:t>
      </w:r>
      <w:r>
        <w:lastRenderedPageBreak/>
        <w:t>arrazoizkotasuna, bai eta aztertutako aurrekontu-partiden aurkezpena ere, oro har.</w:t>
      </w:r>
    </w:p>
    <w:p w:rsidR="00676CA2" w:rsidRPr="00F17591" w:rsidRDefault="00676CA2" w:rsidP="00676CA2">
      <w:pPr>
        <w:pStyle w:val="texto"/>
        <w:spacing w:after="240"/>
        <w:rPr>
          <w:b/>
        </w:rPr>
      </w:pPr>
      <w:r>
        <w:t>Gure ustez, lortu dugun auditoria-ebidentziak behar adinako oinarria eta o</w:t>
      </w:r>
      <w:r>
        <w:t>i</w:t>
      </w:r>
      <w:r>
        <w:t>narri egokia biltzen du gure iritziari eusteko, gastuen kuantifikazioan izan ezik, txosten honen III. atalean azaldu dugun bezala.</w:t>
      </w:r>
    </w:p>
    <w:p w:rsidR="00676CA2" w:rsidRPr="00FF3E46" w:rsidRDefault="00676CA2" w:rsidP="00FF3E46">
      <w:pPr>
        <w:pStyle w:val="atitulo2"/>
      </w:pPr>
      <w:bookmarkStart w:id="32" w:name="_Toc67394580"/>
      <w:bookmarkStart w:id="33" w:name="_Toc70589003"/>
      <w:r>
        <w:t xml:space="preserve">IV.1. </w:t>
      </w:r>
      <w:bookmarkEnd w:id="30"/>
      <w:bookmarkEnd w:id="31"/>
      <w:r>
        <w:t>COVID-19aren kudeaketari dagozkion gastuen eta diru-sarreren kuantifikazioa</w:t>
      </w:r>
      <w:bookmarkEnd w:id="32"/>
      <w:bookmarkEnd w:id="33"/>
    </w:p>
    <w:p w:rsidR="00676CA2" w:rsidRDefault="00676CA2" w:rsidP="00676CA2">
      <w:pPr>
        <w:pStyle w:val="atitulo3"/>
        <w:spacing w:after="120"/>
      </w:pPr>
      <w:r>
        <w:t>IV.1.1. COVID-19aren kudeaketarekin lotutako gastuak</w:t>
      </w:r>
    </w:p>
    <w:p w:rsidR="00676CA2" w:rsidRDefault="00676CA2" w:rsidP="00676CA2">
      <w:pPr>
        <w:pStyle w:val="texto"/>
        <w:rPr>
          <w:szCs w:val="26"/>
        </w:rPr>
      </w:pPr>
      <w:r>
        <w:t>Kontuan izanik II.2 atalean deskribatzen den aurrekontu-egozpenerako pr</w:t>
      </w:r>
      <w:r>
        <w:t>o</w:t>
      </w:r>
      <w:r>
        <w:t>zedura, COVID-19a kudeatzeko hartutako neurriek 224,97 milioiko gastua er</w:t>
      </w:r>
      <w:r>
        <w:t>a</w:t>
      </w:r>
      <w:r>
        <w:t>gin dute 2020ko abenduaren 31ra arte. Zenbateko hori data horretara arteko a</w:t>
      </w:r>
      <w:r>
        <w:t>u</w:t>
      </w:r>
      <w:r>
        <w:t xml:space="preserve">rrekontu-gastu osoaren ehuneko bost da. </w:t>
      </w:r>
    </w:p>
    <w:p w:rsidR="00676CA2" w:rsidRDefault="00676CA2" w:rsidP="00676CA2">
      <w:pPr>
        <w:pStyle w:val="texto"/>
        <w:spacing w:after="240"/>
        <w:rPr>
          <w:szCs w:val="26"/>
        </w:rPr>
      </w:pPr>
      <w:r>
        <w:t>Gastuak honela banatzen dira kapituluz kapitulu:</w:t>
      </w:r>
    </w:p>
    <w:tbl>
      <w:tblPr>
        <w:tblStyle w:val="Tablaconcuadrcula"/>
        <w:tblW w:w="878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7"/>
        <w:gridCol w:w="3260"/>
        <w:gridCol w:w="2551"/>
      </w:tblGrid>
      <w:tr w:rsidR="00676CA2" w:rsidTr="00374505">
        <w:trPr>
          <w:trHeight w:val="255"/>
          <w:jc w:val="center"/>
        </w:trPr>
        <w:tc>
          <w:tcPr>
            <w:tcW w:w="2977" w:type="dxa"/>
            <w:shd w:val="clear" w:color="auto" w:fill="8DB3E2" w:themeFill="text2" w:themeFillTint="66"/>
            <w:vAlign w:val="center"/>
          </w:tcPr>
          <w:p w:rsidR="00676CA2" w:rsidRPr="00BD2DEE" w:rsidRDefault="00676CA2" w:rsidP="00FF3E46">
            <w:pPr>
              <w:pStyle w:val="cuadroCabe"/>
              <w:jc w:val="left"/>
            </w:pPr>
            <w:r>
              <w:t>Gastu-kapitulua</w:t>
            </w:r>
          </w:p>
        </w:tc>
        <w:tc>
          <w:tcPr>
            <w:tcW w:w="3260" w:type="dxa"/>
            <w:shd w:val="clear" w:color="auto" w:fill="8DB3E2" w:themeFill="text2" w:themeFillTint="66"/>
            <w:vAlign w:val="center"/>
          </w:tcPr>
          <w:p w:rsidR="00676CA2" w:rsidRPr="00BD2DEE" w:rsidRDefault="00676CA2" w:rsidP="00FF3E46">
            <w:pPr>
              <w:pStyle w:val="cuadroCabe"/>
              <w:jc w:val="right"/>
            </w:pPr>
            <w:r>
              <w:t>Aitortutako betebehar garbiak</w:t>
            </w:r>
          </w:p>
        </w:tc>
        <w:tc>
          <w:tcPr>
            <w:tcW w:w="2551" w:type="dxa"/>
            <w:shd w:val="clear" w:color="auto" w:fill="8DB3E2" w:themeFill="text2" w:themeFillTint="66"/>
            <w:vAlign w:val="center"/>
          </w:tcPr>
          <w:p w:rsidR="00676CA2" w:rsidRPr="00BD2DEE" w:rsidRDefault="00676CA2" w:rsidP="00FF3E46">
            <w:pPr>
              <w:pStyle w:val="cuadroCabe"/>
              <w:jc w:val="right"/>
            </w:pPr>
            <w:r>
              <w:t>Guztizko ABGen ehunekoa</w:t>
            </w:r>
          </w:p>
        </w:tc>
      </w:tr>
      <w:tr w:rsidR="00676CA2" w:rsidTr="00374505">
        <w:trPr>
          <w:cantSplit/>
          <w:trHeight w:val="198"/>
          <w:jc w:val="center"/>
        </w:trPr>
        <w:tc>
          <w:tcPr>
            <w:tcW w:w="2977" w:type="dxa"/>
            <w:tcBorders>
              <w:bottom w:val="single" w:sz="2" w:space="0" w:color="auto"/>
            </w:tcBorders>
            <w:vAlign w:val="center"/>
          </w:tcPr>
          <w:p w:rsidR="00676CA2" w:rsidRPr="00BD2DEE" w:rsidRDefault="00676CA2" w:rsidP="00676CA2">
            <w:pPr>
              <w:pStyle w:val="texto"/>
              <w:numPr>
                <w:ilvl w:val="0"/>
                <w:numId w:val="16"/>
              </w:numPr>
              <w:spacing w:after="0"/>
              <w:ind w:left="179" w:hanging="269"/>
              <w:jc w:val="left"/>
              <w:rPr>
                <w:rFonts w:ascii="Arial Narrow" w:hAnsi="Arial Narrow"/>
                <w:sz w:val="20"/>
              </w:rPr>
            </w:pPr>
            <w:r>
              <w:rPr>
                <w:rFonts w:ascii="Arial Narrow" w:hAnsi="Arial Narrow"/>
                <w:sz w:val="20"/>
              </w:rPr>
              <w:t xml:space="preserve"> Langileria</w:t>
            </w:r>
          </w:p>
        </w:tc>
        <w:tc>
          <w:tcPr>
            <w:tcW w:w="3260" w:type="dxa"/>
            <w:tcBorders>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44.805.218</w:t>
            </w:r>
          </w:p>
        </w:tc>
        <w:tc>
          <w:tcPr>
            <w:tcW w:w="2551" w:type="dxa"/>
            <w:tcBorders>
              <w:bottom w:val="single" w:sz="2" w:space="0" w:color="auto"/>
            </w:tcBorders>
            <w:vAlign w:val="center"/>
          </w:tcPr>
          <w:p w:rsidR="00676CA2" w:rsidRPr="00171BA3" w:rsidRDefault="00676CA2" w:rsidP="00374505">
            <w:pPr>
              <w:spacing w:after="0"/>
              <w:ind w:firstLine="0"/>
              <w:jc w:val="right"/>
              <w:rPr>
                <w:rFonts w:ascii="Arial Narrow" w:hAnsi="Arial Narrow" w:cs="Calibri"/>
                <w:color w:val="000000"/>
              </w:rPr>
            </w:pPr>
            <w:r>
              <w:rPr>
                <w:rFonts w:ascii="Arial Narrow" w:hAnsi="Arial Narrow"/>
                <w:color w:val="000000"/>
              </w:rPr>
              <w:t>20</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BD2DEE" w:rsidRDefault="00676CA2" w:rsidP="00676CA2">
            <w:pPr>
              <w:pStyle w:val="texto"/>
              <w:numPr>
                <w:ilvl w:val="0"/>
                <w:numId w:val="16"/>
              </w:numPr>
              <w:spacing w:after="0"/>
              <w:ind w:left="179" w:hanging="269"/>
              <w:jc w:val="left"/>
              <w:rPr>
                <w:rFonts w:ascii="Arial Narrow" w:hAnsi="Arial Narrow"/>
                <w:sz w:val="20"/>
              </w:rPr>
            </w:pPr>
            <w:r>
              <w:rPr>
                <w:rFonts w:ascii="Arial Narrow" w:hAnsi="Arial Narrow"/>
                <w:sz w:val="20"/>
              </w:rPr>
              <w:t xml:space="preserve"> Ond. eta zerb. gastu arruntak</w:t>
            </w:r>
          </w:p>
        </w:tc>
        <w:tc>
          <w:tcPr>
            <w:tcW w:w="3260"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70.484.065</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31</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543FA5" w:rsidRDefault="00676CA2" w:rsidP="00676CA2">
            <w:pPr>
              <w:pStyle w:val="texto"/>
              <w:numPr>
                <w:ilvl w:val="0"/>
                <w:numId w:val="16"/>
              </w:numPr>
              <w:spacing w:after="0"/>
              <w:ind w:left="179" w:hanging="269"/>
              <w:jc w:val="left"/>
              <w:rPr>
                <w:rFonts w:ascii="Arial Narrow" w:hAnsi="Arial Narrow"/>
                <w:sz w:val="20"/>
              </w:rPr>
            </w:pPr>
            <w:r>
              <w:rPr>
                <w:rFonts w:ascii="Arial Narrow" w:hAnsi="Arial Narrow"/>
                <w:sz w:val="20"/>
              </w:rPr>
              <w:t xml:space="preserve"> Finantza-gastuak</w:t>
            </w:r>
          </w:p>
        </w:tc>
        <w:tc>
          <w:tcPr>
            <w:tcW w:w="3260" w:type="dxa"/>
            <w:tcBorders>
              <w:top w:val="single" w:sz="2" w:space="0" w:color="auto"/>
              <w:bottom w:val="single" w:sz="2" w:space="0" w:color="auto"/>
            </w:tcBorders>
            <w:vAlign w:val="center"/>
          </w:tcPr>
          <w:p w:rsidR="00676CA2" w:rsidRPr="00543FA5" w:rsidRDefault="00676CA2" w:rsidP="008217D1">
            <w:pPr>
              <w:spacing w:after="0"/>
              <w:ind w:firstLine="0"/>
              <w:jc w:val="right"/>
              <w:rPr>
                <w:rFonts w:ascii="Arial Narrow" w:hAnsi="Arial Narrow" w:cs="Calibri"/>
                <w:color w:val="000000"/>
              </w:rPr>
            </w:pPr>
            <w:r>
              <w:rPr>
                <w:rFonts w:ascii="Arial Narrow" w:hAnsi="Arial Narrow"/>
                <w:color w:val="000000"/>
              </w:rPr>
              <w:t>78.275</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0</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BD2DEE" w:rsidRDefault="00676CA2" w:rsidP="00676CA2">
            <w:pPr>
              <w:pStyle w:val="texto"/>
              <w:numPr>
                <w:ilvl w:val="0"/>
                <w:numId w:val="16"/>
              </w:numPr>
              <w:spacing w:after="0"/>
              <w:ind w:left="179" w:hanging="269"/>
              <w:jc w:val="left"/>
              <w:rPr>
                <w:rFonts w:ascii="Arial Narrow" w:hAnsi="Arial Narrow"/>
                <w:sz w:val="20"/>
              </w:rPr>
            </w:pPr>
            <w:r>
              <w:rPr>
                <w:rFonts w:ascii="Arial Narrow" w:hAnsi="Arial Narrow"/>
                <w:sz w:val="20"/>
              </w:rPr>
              <w:t xml:space="preserve"> Transferentzia arruntak</w:t>
            </w:r>
          </w:p>
        </w:tc>
        <w:tc>
          <w:tcPr>
            <w:tcW w:w="3260"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72.058.514</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32</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BD2DEE" w:rsidRDefault="00676CA2" w:rsidP="00676CA2">
            <w:pPr>
              <w:pStyle w:val="texto"/>
              <w:numPr>
                <w:ilvl w:val="0"/>
                <w:numId w:val="17"/>
              </w:numPr>
              <w:spacing w:after="0"/>
              <w:ind w:left="179" w:hanging="269"/>
              <w:jc w:val="left"/>
              <w:rPr>
                <w:rFonts w:ascii="Arial Narrow" w:hAnsi="Arial Narrow"/>
                <w:sz w:val="20"/>
              </w:rPr>
            </w:pPr>
            <w:r>
              <w:rPr>
                <w:rFonts w:ascii="Arial Narrow" w:hAnsi="Arial Narrow"/>
                <w:sz w:val="20"/>
              </w:rPr>
              <w:t xml:space="preserve"> Inbertsioak</w:t>
            </w:r>
          </w:p>
        </w:tc>
        <w:tc>
          <w:tcPr>
            <w:tcW w:w="3260"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14.828.507</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7</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BD2DEE" w:rsidRDefault="00676CA2" w:rsidP="00676CA2">
            <w:pPr>
              <w:pStyle w:val="texto"/>
              <w:numPr>
                <w:ilvl w:val="0"/>
                <w:numId w:val="17"/>
              </w:numPr>
              <w:spacing w:after="0" w:line="0" w:lineRule="atLeast"/>
              <w:ind w:left="179" w:hanging="269"/>
              <w:jc w:val="left"/>
              <w:rPr>
                <w:rFonts w:ascii="Arial Narrow" w:hAnsi="Arial Narrow"/>
                <w:sz w:val="20"/>
              </w:rPr>
            </w:pPr>
            <w:r>
              <w:rPr>
                <w:rFonts w:ascii="Arial Narrow" w:hAnsi="Arial Narrow"/>
                <w:sz w:val="20"/>
              </w:rPr>
              <w:t xml:space="preserve"> Kapital-transferentziak</w:t>
            </w:r>
          </w:p>
        </w:tc>
        <w:tc>
          <w:tcPr>
            <w:tcW w:w="3260"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15.715.221</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7</w:t>
            </w:r>
          </w:p>
        </w:tc>
      </w:tr>
      <w:tr w:rsidR="00676CA2" w:rsidTr="00374505">
        <w:trPr>
          <w:cantSplit/>
          <w:trHeight w:val="198"/>
          <w:jc w:val="center"/>
        </w:trPr>
        <w:tc>
          <w:tcPr>
            <w:tcW w:w="2977" w:type="dxa"/>
            <w:tcBorders>
              <w:top w:val="single" w:sz="2" w:space="0" w:color="auto"/>
            </w:tcBorders>
            <w:vAlign w:val="center"/>
          </w:tcPr>
          <w:p w:rsidR="00676CA2" w:rsidRPr="00BD2DEE" w:rsidRDefault="00676CA2" w:rsidP="00676CA2">
            <w:pPr>
              <w:pStyle w:val="texto"/>
              <w:numPr>
                <w:ilvl w:val="0"/>
                <w:numId w:val="17"/>
              </w:numPr>
              <w:spacing w:after="0"/>
              <w:ind w:left="179" w:hanging="269"/>
              <w:jc w:val="left"/>
              <w:rPr>
                <w:rFonts w:ascii="Arial Narrow" w:hAnsi="Arial Narrow"/>
                <w:sz w:val="20"/>
              </w:rPr>
            </w:pPr>
            <w:r>
              <w:rPr>
                <w:rFonts w:ascii="Arial Narrow" w:hAnsi="Arial Narrow"/>
                <w:sz w:val="20"/>
              </w:rPr>
              <w:t xml:space="preserve"> Finantza-aktiboak</w:t>
            </w:r>
          </w:p>
        </w:tc>
        <w:tc>
          <w:tcPr>
            <w:tcW w:w="3260" w:type="dxa"/>
            <w:tcBorders>
              <w:top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7.000.000</w:t>
            </w:r>
          </w:p>
        </w:tc>
        <w:tc>
          <w:tcPr>
            <w:tcW w:w="2551" w:type="dxa"/>
            <w:tcBorders>
              <w:top w:val="single" w:sz="2" w:space="0" w:color="auto"/>
            </w:tcBorders>
            <w:vAlign w:val="center"/>
          </w:tcPr>
          <w:p w:rsidR="00676CA2" w:rsidRPr="00171BA3" w:rsidRDefault="00676CA2" w:rsidP="008217D1">
            <w:pPr>
              <w:spacing w:after="0"/>
              <w:ind w:firstLine="0"/>
              <w:jc w:val="right"/>
              <w:rPr>
                <w:rFonts w:ascii="Arial Narrow" w:hAnsi="Arial Narrow" w:cs="Calibri"/>
                <w:color w:val="000000"/>
              </w:rPr>
            </w:pPr>
            <w:r>
              <w:rPr>
                <w:rFonts w:ascii="Arial Narrow" w:hAnsi="Arial Narrow"/>
                <w:color w:val="000000"/>
              </w:rPr>
              <w:t>3</w:t>
            </w:r>
          </w:p>
        </w:tc>
      </w:tr>
      <w:tr w:rsidR="00676CA2" w:rsidRPr="00171BA3" w:rsidTr="00374505">
        <w:trPr>
          <w:trHeight w:val="255"/>
          <w:jc w:val="center"/>
        </w:trPr>
        <w:tc>
          <w:tcPr>
            <w:tcW w:w="2977" w:type="dxa"/>
            <w:shd w:val="clear" w:color="auto" w:fill="8DB3E2" w:themeFill="text2" w:themeFillTint="66"/>
            <w:vAlign w:val="center"/>
          </w:tcPr>
          <w:p w:rsidR="00676CA2" w:rsidRPr="00171BA3" w:rsidRDefault="00676CA2" w:rsidP="00FF3E46">
            <w:pPr>
              <w:pStyle w:val="cuadroCabe"/>
            </w:pPr>
            <w:r>
              <w:t>Guztira</w:t>
            </w:r>
          </w:p>
        </w:tc>
        <w:tc>
          <w:tcPr>
            <w:tcW w:w="3260" w:type="dxa"/>
            <w:shd w:val="clear" w:color="auto" w:fill="8DB3E2" w:themeFill="text2" w:themeFillTint="66"/>
            <w:vAlign w:val="center"/>
          </w:tcPr>
          <w:p w:rsidR="00676CA2" w:rsidRPr="00171BA3" w:rsidRDefault="00676CA2" w:rsidP="00FF3E46">
            <w:pPr>
              <w:pStyle w:val="cuadroCabe"/>
              <w:jc w:val="right"/>
              <w:rPr>
                <w:color w:val="000000"/>
              </w:rPr>
            </w:pPr>
            <w:r>
              <w:rPr>
                <w:color w:val="000000"/>
              </w:rPr>
              <w:t>224.969.800</w:t>
            </w:r>
          </w:p>
        </w:tc>
        <w:tc>
          <w:tcPr>
            <w:tcW w:w="2551" w:type="dxa"/>
            <w:shd w:val="clear" w:color="auto" w:fill="8DB3E2" w:themeFill="text2" w:themeFillTint="66"/>
            <w:vAlign w:val="center"/>
          </w:tcPr>
          <w:p w:rsidR="00676CA2" w:rsidRPr="00171BA3" w:rsidRDefault="00676CA2" w:rsidP="00FF3E46">
            <w:pPr>
              <w:pStyle w:val="cuadroCabe"/>
              <w:jc w:val="right"/>
              <w:rPr>
                <w:color w:val="000000"/>
              </w:rPr>
            </w:pPr>
            <w:r>
              <w:rPr>
                <w:color w:val="000000"/>
              </w:rPr>
              <w:t>100</w:t>
            </w:r>
          </w:p>
        </w:tc>
      </w:tr>
    </w:tbl>
    <w:p w:rsidR="00676CA2" w:rsidRDefault="00676CA2" w:rsidP="00676CA2">
      <w:pPr>
        <w:pStyle w:val="texto"/>
        <w:spacing w:before="240"/>
        <w:rPr>
          <w:szCs w:val="26"/>
        </w:rPr>
      </w:pPr>
      <w:r>
        <w:t>Zenbateko nabarmenena transferentzia arruntetako gastuena da, 72,06 milioi (guztizkoaren ehuneko 32), eta ondoren ondasun eta zerbitzuetako gastu arru</w:t>
      </w:r>
      <w:r>
        <w:t>n</w:t>
      </w:r>
      <w:r>
        <w:t>tena eta langileria-gastuena, hurrenez hurren 70,48 milioi eta 44,81 milioi (gu</w:t>
      </w:r>
      <w:r>
        <w:t>z</w:t>
      </w:r>
      <w:r>
        <w:t>tizko gastuaren ehuneko 31 eta 20).</w:t>
      </w:r>
    </w:p>
    <w:p w:rsidR="00676CA2" w:rsidRDefault="00676CA2" w:rsidP="00676CA2">
      <w:pPr>
        <w:spacing w:after="0"/>
        <w:ind w:firstLine="0"/>
        <w:jc w:val="left"/>
        <w:rPr>
          <w:spacing w:val="6"/>
          <w:sz w:val="26"/>
          <w:szCs w:val="26"/>
        </w:rPr>
      </w:pPr>
      <w:r>
        <w:br w:type="page"/>
      </w:r>
    </w:p>
    <w:p w:rsidR="00676CA2" w:rsidRDefault="00676CA2" w:rsidP="00676CA2">
      <w:pPr>
        <w:pStyle w:val="texto"/>
        <w:spacing w:before="120" w:after="240"/>
        <w:rPr>
          <w:szCs w:val="26"/>
        </w:rPr>
      </w:pPr>
      <w:r>
        <w:lastRenderedPageBreak/>
        <w:t>Hona hemen nola banatu den gastua departamentuen artean:</w:t>
      </w:r>
    </w:p>
    <w:tbl>
      <w:tblPr>
        <w:tblW w:w="5000"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916"/>
        <w:gridCol w:w="5013"/>
      </w:tblGrid>
      <w:tr w:rsidR="00676CA2" w:rsidRPr="00BD2DEE" w:rsidTr="002A78B6">
        <w:trPr>
          <w:trHeight w:val="255"/>
        </w:trPr>
        <w:tc>
          <w:tcPr>
            <w:tcW w:w="2193" w:type="pct"/>
            <w:shd w:val="clear" w:color="auto" w:fill="8DB3E2" w:themeFill="text2" w:themeFillTint="66"/>
            <w:noWrap/>
            <w:vAlign w:val="center"/>
            <w:hideMark/>
          </w:tcPr>
          <w:p w:rsidR="00676CA2" w:rsidRPr="00BD2DEE" w:rsidRDefault="00676CA2" w:rsidP="00FF3E46">
            <w:pPr>
              <w:pStyle w:val="cuadroCabe"/>
            </w:pPr>
            <w:r>
              <w:t>Departamentua</w:t>
            </w:r>
          </w:p>
        </w:tc>
        <w:tc>
          <w:tcPr>
            <w:tcW w:w="2807" w:type="pct"/>
            <w:shd w:val="clear" w:color="auto" w:fill="8DB3E2" w:themeFill="text2" w:themeFillTint="66"/>
            <w:noWrap/>
            <w:vAlign w:val="center"/>
            <w:hideMark/>
          </w:tcPr>
          <w:p w:rsidR="00676CA2" w:rsidRPr="00BD2DEE" w:rsidRDefault="00676CA2" w:rsidP="00FF3E46">
            <w:pPr>
              <w:pStyle w:val="cuadroCabe"/>
              <w:jc w:val="right"/>
            </w:pPr>
            <w:r>
              <w:t>Aitortutako betebehar garbiak</w:t>
            </w:r>
          </w:p>
        </w:tc>
      </w:tr>
      <w:tr w:rsidR="00676CA2" w:rsidRPr="00BD2DEE" w:rsidTr="00374505">
        <w:trPr>
          <w:trHeight w:val="198"/>
        </w:trPr>
        <w:tc>
          <w:tcPr>
            <w:tcW w:w="2193" w:type="pct"/>
            <w:tcBorders>
              <w:bottom w:val="single" w:sz="2" w:space="0" w:color="auto"/>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Osasuna</w:t>
            </w:r>
          </w:p>
        </w:tc>
        <w:tc>
          <w:tcPr>
            <w:tcW w:w="2807" w:type="pct"/>
            <w:tcBorders>
              <w:bottom w:val="single" w:sz="2" w:space="0" w:color="auto"/>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100.670.276</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Garapen Ekonomiko eta Enpresariala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42.539.783</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Lurralde Kohesioa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26.383.821</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 xml:space="preserve">Hezkuntza </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18.263.125</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Eskubide Sozialak</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17.290.231</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Ekonomia eta Ogasuna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8.988.487</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Unibertsitatea, Berrikuntza eta Erald. Digitala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4.488.860</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Landa Garapena eta Ingurumena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3.270.521</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Lehendakaritza, Berd., Funtzio Publ. eta Barnea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1.753.820</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Lurr. Ant., Etxeb., Paisaia eta Proiektu Estrateg</w:t>
            </w:r>
            <w:r>
              <w:rPr>
                <w:rFonts w:ascii="Arial Narrow" w:hAnsi="Arial Narrow"/>
                <w:color w:val="000000"/>
              </w:rPr>
              <w:t>i</w:t>
            </w:r>
            <w:r>
              <w:rPr>
                <w:rFonts w:ascii="Arial Narrow" w:hAnsi="Arial Narrow"/>
                <w:color w:val="000000"/>
              </w:rPr>
              <w:t>koak</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758.079</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Kultura eta Kirola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389.390</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Migrazio Politikak eta Justizia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143.406</w:t>
            </w:r>
          </w:p>
        </w:tc>
      </w:tr>
      <w:tr w:rsidR="00676CA2" w:rsidRPr="00BD2DEE" w:rsidTr="00374505">
        <w:trPr>
          <w:trHeight w:val="198"/>
        </w:trPr>
        <w:tc>
          <w:tcPr>
            <w:tcW w:w="2193" w:type="pct"/>
            <w:tcBorders>
              <w:top w:val="single" w:sz="2" w:space="0" w:color="auto"/>
              <w:bottom w:val="single" w:sz="4" w:space="0" w:color="auto"/>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olor w:val="000000"/>
              </w:rPr>
              <w:t>Erakundeekiko Harremanak</w:t>
            </w:r>
          </w:p>
        </w:tc>
        <w:tc>
          <w:tcPr>
            <w:tcW w:w="2807" w:type="pct"/>
            <w:tcBorders>
              <w:top w:val="single" w:sz="2" w:space="0" w:color="auto"/>
              <w:bottom w:val="single" w:sz="4" w:space="0" w:color="auto"/>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olor w:val="000000"/>
              </w:rPr>
              <w:t>30.000</w:t>
            </w:r>
          </w:p>
        </w:tc>
      </w:tr>
      <w:tr w:rsidR="00676CA2" w:rsidRPr="00BD2DEE" w:rsidTr="002A78B6">
        <w:trPr>
          <w:trHeight w:val="255"/>
        </w:trPr>
        <w:tc>
          <w:tcPr>
            <w:tcW w:w="2193" w:type="pct"/>
            <w:tcBorders>
              <w:bottom w:val="single" w:sz="4" w:space="0" w:color="auto"/>
            </w:tcBorders>
            <w:shd w:val="clear" w:color="auto" w:fill="8DB3E2" w:themeFill="text2" w:themeFillTint="66"/>
            <w:noWrap/>
            <w:vAlign w:val="center"/>
            <w:hideMark/>
          </w:tcPr>
          <w:p w:rsidR="00676CA2" w:rsidRPr="00BD2DEE" w:rsidRDefault="00676CA2" w:rsidP="00FF3E46">
            <w:pPr>
              <w:pStyle w:val="cuadroCabe"/>
            </w:pPr>
            <w:r>
              <w:t> Guztira</w:t>
            </w:r>
          </w:p>
        </w:tc>
        <w:tc>
          <w:tcPr>
            <w:tcW w:w="2807" w:type="pct"/>
            <w:tcBorders>
              <w:bottom w:val="single" w:sz="4" w:space="0" w:color="auto"/>
            </w:tcBorders>
            <w:shd w:val="clear" w:color="auto" w:fill="8DB3E2" w:themeFill="text2" w:themeFillTint="66"/>
            <w:noWrap/>
            <w:vAlign w:val="center"/>
            <w:hideMark/>
          </w:tcPr>
          <w:p w:rsidR="00676CA2" w:rsidRPr="00D12104" w:rsidRDefault="00676CA2" w:rsidP="00FF3E46">
            <w:pPr>
              <w:pStyle w:val="cuadroCabe"/>
              <w:jc w:val="right"/>
              <w:rPr>
                <w:color w:val="000000"/>
              </w:rPr>
            </w:pPr>
            <w:r>
              <w:rPr>
                <w:color w:val="000000"/>
              </w:rPr>
              <w:t>224.969.800</w:t>
            </w:r>
          </w:p>
        </w:tc>
      </w:tr>
    </w:tbl>
    <w:p w:rsidR="00676CA2" w:rsidRDefault="00676CA2" w:rsidP="00676CA2">
      <w:pPr>
        <w:pStyle w:val="texto"/>
        <w:spacing w:before="240" w:after="240"/>
        <w:rPr>
          <w:szCs w:val="26"/>
        </w:rPr>
      </w:pPr>
      <w:r>
        <w:t>Osasun Departamentuak gastatu du gehien, 100,67 milioi, eta ondoren Gar</w:t>
      </w:r>
      <w:r>
        <w:t>a</w:t>
      </w:r>
      <w:r>
        <w:t xml:space="preserve">pen Ekonomiko eta Enpresarialeko Departamentuak, 42,5 milioi, eta Lurralde Kohesiokoak, 26,38 milioi. </w:t>
      </w:r>
    </w:p>
    <w:p w:rsidR="00676CA2" w:rsidRDefault="00676CA2" w:rsidP="00676CA2">
      <w:pPr>
        <w:pStyle w:val="texto"/>
        <w:spacing w:before="240" w:after="120"/>
        <w:rPr>
          <w:szCs w:val="26"/>
        </w:rPr>
      </w:pPr>
      <w:r>
        <w:t>Departamentu bakoitzak guztizko gastuan hartzen duen ehunekoa honako grafiko honetan ageri da:</w:t>
      </w:r>
    </w:p>
    <w:p w:rsidR="00676CA2" w:rsidRPr="008D1AAD" w:rsidRDefault="00676CA2" w:rsidP="00676CA2">
      <w:pPr>
        <w:pStyle w:val="texto"/>
        <w:spacing w:before="120"/>
        <w:ind w:hanging="426"/>
        <w:jc w:val="center"/>
        <w:rPr>
          <w:szCs w:val="26"/>
          <w14:glow w14:rad="0">
            <w14:schemeClr w14:val="bg1"/>
          </w14:glow>
        </w:rPr>
      </w:pPr>
      <w:r>
        <w:rPr>
          <w:noProof/>
          <w:lang w:val="es-ES" w:eastAsia="es-ES"/>
        </w:rPr>
        <w:drawing>
          <wp:inline distT="0" distB="0" distL="0" distR="0" wp14:anchorId="599EECC2" wp14:editId="40EDBB0C">
            <wp:extent cx="5895975" cy="3192780"/>
            <wp:effectExtent l="0" t="0" r="9525" b="7620"/>
            <wp:docPr id="7" name="Gráfico 7" title="% s/ total gasto"/>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68A1" w:rsidRDefault="00676CA2" w:rsidP="00676CA2">
      <w:pPr>
        <w:pStyle w:val="texto"/>
        <w:spacing w:before="120" w:after="120"/>
        <w:rPr>
          <w:szCs w:val="26"/>
        </w:rPr>
      </w:pPr>
      <w:r>
        <w:t>Osasun Departamentuaren gastua ehuneko 45 da. Ondotik daude Garapen Ekonomiko eta Enpresarialeko Departamentua (ehuneko 19), Lurralde Kohes</w:t>
      </w:r>
      <w:r>
        <w:t>i</w:t>
      </w:r>
      <w:r>
        <w:t>okoa (ehuneko 12) eta Eskubide Sozialetakoa eta Hezkuntzakoa (ehuneko zo</w:t>
      </w:r>
      <w:r>
        <w:t>r</w:t>
      </w:r>
      <w:r>
        <w:lastRenderedPageBreak/>
        <w:t>tzina). Gainerako departamentuek ez dute gainditzen guztizkoaren ehuneko bost.</w:t>
      </w:r>
    </w:p>
    <w:p w:rsidR="009868A1" w:rsidRDefault="009868A1">
      <w:pPr>
        <w:spacing w:after="0"/>
        <w:ind w:firstLine="0"/>
        <w:jc w:val="left"/>
        <w:rPr>
          <w:spacing w:val="6"/>
          <w:sz w:val="26"/>
          <w:szCs w:val="26"/>
        </w:rPr>
      </w:pPr>
      <w:r>
        <w:br w:type="page"/>
      </w:r>
    </w:p>
    <w:p w:rsidR="00676CA2" w:rsidRDefault="00676CA2" w:rsidP="006538A3">
      <w:pPr>
        <w:pStyle w:val="atitulo4"/>
      </w:pPr>
      <w:r>
        <w:lastRenderedPageBreak/>
        <w:t>Langileria-gastuak</w:t>
      </w:r>
    </w:p>
    <w:p w:rsidR="00676CA2" w:rsidRDefault="00676CA2" w:rsidP="00676CA2">
      <w:pPr>
        <w:pStyle w:val="texto"/>
        <w:spacing w:after="200"/>
      </w:pPr>
      <w:r>
        <w:t>Langileria-gastuak 44,81 milioikoak ziren 2020ko abenduaren 31n. Hona hemen xehakaturik kontzeptu ekonomikoaren arabera:</w:t>
      </w:r>
    </w:p>
    <w:tbl>
      <w:tblPr>
        <w:tblW w:w="8910" w:type="dxa"/>
        <w:jc w:val="center"/>
        <w:tblCellMar>
          <w:left w:w="70" w:type="dxa"/>
          <w:right w:w="70" w:type="dxa"/>
        </w:tblCellMar>
        <w:tblLook w:val="04A0" w:firstRow="1" w:lastRow="0" w:firstColumn="1" w:lastColumn="0" w:noHBand="0" w:noVBand="1"/>
      </w:tblPr>
      <w:tblGrid>
        <w:gridCol w:w="4671"/>
        <w:gridCol w:w="2811"/>
        <w:gridCol w:w="1428"/>
      </w:tblGrid>
      <w:tr w:rsidR="00676CA2" w:rsidRPr="00A758EA" w:rsidTr="008217D1">
        <w:trPr>
          <w:trHeight w:val="300"/>
          <w:jc w:val="center"/>
        </w:trPr>
        <w:tc>
          <w:tcPr>
            <w:tcW w:w="4671"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FF3E46">
            <w:pPr>
              <w:pStyle w:val="cuadroCabe"/>
            </w:pPr>
            <w:r>
              <w:t>Kontzeptu ekonomikoa</w:t>
            </w:r>
          </w:p>
        </w:tc>
        <w:tc>
          <w:tcPr>
            <w:tcW w:w="2811" w:type="dxa"/>
            <w:tcBorders>
              <w:top w:val="single" w:sz="4" w:space="0" w:color="auto"/>
              <w:left w:val="nil"/>
              <w:bottom w:val="single" w:sz="4" w:space="0" w:color="auto"/>
              <w:right w:val="nil"/>
            </w:tcBorders>
            <w:shd w:val="clear" w:color="auto" w:fill="8DB3E2" w:themeFill="text2" w:themeFillTint="66"/>
            <w:noWrap/>
            <w:vAlign w:val="center"/>
            <w:hideMark/>
          </w:tcPr>
          <w:p w:rsidR="00DB2D91" w:rsidRDefault="00676CA2" w:rsidP="00DB2D91">
            <w:pPr>
              <w:pStyle w:val="cuadroCabe"/>
              <w:jc w:val="right"/>
            </w:pPr>
            <w:r>
              <w:t>Aitortutako</w:t>
            </w:r>
          </w:p>
          <w:p w:rsidR="00676CA2" w:rsidRPr="004177B8" w:rsidRDefault="00676CA2" w:rsidP="00DB2D91">
            <w:pPr>
              <w:pStyle w:val="cuadroCabe"/>
              <w:jc w:val="right"/>
            </w:pPr>
            <w:r>
              <w:t>betebehar garbiak</w:t>
            </w:r>
          </w:p>
        </w:tc>
        <w:tc>
          <w:tcPr>
            <w:tcW w:w="1428"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676CA2" w:rsidP="00FF3E46">
            <w:pPr>
              <w:pStyle w:val="cuadroCabe"/>
              <w:jc w:val="right"/>
            </w:pPr>
            <w:r>
              <w:t>Guztizko A</w:t>
            </w:r>
            <w:r>
              <w:t>B</w:t>
            </w:r>
            <w:r>
              <w:t>Gen ehunekoa</w:t>
            </w:r>
          </w:p>
        </w:tc>
      </w:tr>
      <w:tr w:rsidR="00676CA2" w:rsidRPr="004177B8" w:rsidTr="006825F8">
        <w:trPr>
          <w:trHeight w:val="198"/>
          <w:jc w:val="center"/>
        </w:trPr>
        <w:tc>
          <w:tcPr>
            <w:tcW w:w="4671" w:type="dxa"/>
            <w:tcBorders>
              <w:top w:val="single" w:sz="4"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Aldi baterako lan-kontratudunen ordainsariak</w:t>
            </w:r>
          </w:p>
        </w:tc>
        <w:tc>
          <w:tcPr>
            <w:tcW w:w="2811" w:type="dxa"/>
            <w:tcBorders>
              <w:top w:val="single" w:sz="4"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23.491.003</w:t>
            </w:r>
          </w:p>
        </w:tc>
        <w:tc>
          <w:tcPr>
            <w:tcW w:w="1428" w:type="dxa"/>
            <w:tcBorders>
              <w:top w:val="single" w:sz="4"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52</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Gizarte Segurantza</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8.169.143</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18</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Ordezkatzeetarako kontrataturiko langileen ordainsariak</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4.679.688</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10</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Produktibitate-osagarria</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3.731.565</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8</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Jaiegunak</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1.620.852</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4</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Gaueko lana</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888.153</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2</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Txandakako lana</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657.709</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1,5</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Norberaren ordainsariak (gradua, antzinatasuna, etab.)</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622.161</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1,4</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 xml:space="preserve">Guardiak </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409.953</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0,9</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Langile finkoen ordainsariak</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251.468</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0,6</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Aparteko orduak</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158.633</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0,4</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Sakabanatze geografikoarengatiko osagarria</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64.994</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0,1</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Kapitazio-osagarria</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50.215</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0,1</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Lanbide-karreraren ordainsariak</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6.918</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w:t>
            </w:r>
          </w:p>
        </w:tc>
      </w:tr>
      <w:tr w:rsidR="00676CA2" w:rsidRPr="00A758EA" w:rsidTr="006825F8">
        <w:trPr>
          <w:trHeight w:val="198"/>
          <w:jc w:val="center"/>
        </w:trPr>
        <w:tc>
          <w:tcPr>
            <w:tcW w:w="4671" w:type="dxa"/>
            <w:tcBorders>
              <w:top w:val="single" w:sz="2" w:space="0" w:color="auto"/>
              <w:left w:val="nil"/>
              <w:bottom w:val="single" w:sz="4"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r>
              <w:rPr>
                <w:rFonts w:ascii="Arial Narrow" w:hAnsi="Arial Narrow"/>
                <w:color w:val="000000"/>
              </w:rPr>
              <w:t>Lanpostu erreserbatuak betetzeko kontratatutako langileen ordainsariak</w:t>
            </w:r>
          </w:p>
        </w:tc>
        <w:tc>
          <w:tcPr>
            <w:tcW w:w="2811" w:type="dxa"/>
            <w:tcBorders>
              <w:top w:val="single" w:sz="2" w:space="0" w:color="auto"/>
              <w:left w:val="nil"/>
              <w:bottom w:val="single" w:sz="4"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2.763</w:t>
            </w:r>
          </w:p>
        </w:tc>
        <w:tc>
          <w:tcPr>
            <w:tcW w:w="1428" w:type="dxa"/>
            <w:tcBorders>
              <w:top w:val="single" w:sz="2" w:space="0" w:color="auto"/>
              <w:left w:val="nil"/>
              <w:bottom w:val="single" w:sz="4" w:space="0" w:color="auto"/>
              <w:right w:val="nil"/>
            </w:tcBorders>
            <w:shd w:val="clear" w:color="auto" w:fill="auto"/>
            <w:vAlign w:val="center"/>
          </w:tcPr>
          <w:p w:rsidR="00676CA2" w:rsidRPr="00716B12" w:rsidRDefault="00676CA2" w:rsidP="006825F8">
            <w:pPr>
              <w:spacing w:after="0"/>
              <w:ind w:firstLine="0"/>
              <w:jc w:val="right"/>
              <w:rPr>
                <w:rFonts w:ascii="Arial Narrow" w:hAnsi="Arial Narrow" w:cs="Calibri"/>
                <w:color w:val="000000"/>
              </w:rPr>
            </w:pPr>
            <w:r>
              <w:rPr>
                <w:rFonts w:ascii="Arial Narrow" w:hAnsi="Arial Narrow"/>
                <w:color w:val="000000"/>
              </w:rPr>
              <w:t>-</w:t>
            </w:r>
          </w:p>
        </w:tc>
      </w:tr>
      <w:tr w:rsidR="00676CA2" w:rsidRPr="00A758EA" w:rsidTr="009868A1">
        <w:trPr>
          <w:trHeight w:val="255"/>
          <w:jc w:val="center"/>
        </w:trPr>
        <w:tc>
          <w:tcPr>
            <w:tcW w:w="4671" w:type="dxa"/>
            <w:tcBorders>
              <w:top w:val="single" w:sz="4" w:space="0" w:color="auto"/>
              <w:left w:val="nil"/>
              <w:bottom w:val="single" w:sz="4" w:space="0" w:color="auto"/>
              <w:right w:val="nil"/>
            </w:tcBorders>
            <w:shd w:val="clear" w:color="auto" w:fill="8DB3E2" w:themeFill="text2" w:themeFillTint="66"/>
            <w:noWrap/>
            <w:vAlign w:val="center"/>
          </w:tcPr>
          <w:p w:rsidR="00676CA2" w:rsidRPr="004177B8" w:rsidRDefault="00676CA2" w:rsidP="00FF3E46">
            <w:pPr>
              <w:pStyle w:val="cuadroCabe"/>
            </w:pPr>
            <w:r>
              <w:t>Guztira, oro har</w:t>
            </w:r>
          </w:p>
        </w:tc>
        <w:tc>
          <w:tcPr>
            <w:tcW w:w="2811" w:type="dxa"/>
            <w:tcBorders>
              <w:top w:val="single" w:sz="4" w:space="0" w:color="auto"/>
              <w:left w:val="nil"/>
              <w:bottom w:val="single" w:sz="4" w:space="0" w:color="auto"/>
              <w:right w:val="nil"/>
            </w:tcBorders>
            <w:shd w:val="clear" w:color="auto" w:fill="8DB3E2" w:themeFill="text2" w:themeFillTint="66"/>
            <w:noWrap/>
            <w:vAlign w:val="center"/>
          </w:tcPr>
          <w:p w:rsidR="00676CA2" w:rsidRPr="00716B12" w:rsidRDefault="00676CA2" w:rsidP="00FF3E46">
            <w:pPr>
              <w:pStyle w:val="cuadroCabe"/>
              <w:jc w:val="right"/>
            </w:pPr>
            <w:r>
              <w:t>44.805.218</w:t>
            </w:r>
          </w:p>
        </w:tc>
        <w:tc>
          <w:tcPr>
            <w:tcW w:w="1428" w:type="dxa"/>
            <w:tcBorders>
              <w:top w:val="single" w:sz="4" w:space="0" w:color="auto"/>
              <w:left w:val="nil"/>
              <w:bottom w:val="single" w:sz="4" w:space="0" w:color="auto"/>
              <w:right w:val="nil"/>
            </w:tcBorders>
            <w:shd w:val="clear" w:color="auto" w:fill="8DB3E2" w:themeFill="text2" w:themeFillTint="66"/>
            <w:vAlign w:val="center"/>
          </w:tcPr>
          <w:p w:rsidR="00676CA2" w:rsidRPr="00716B12" w:rsidRDefault="00676CA2" w:rsidP="00FF3E46">
            <w:pPr>
              <w:pStyle w:val="cuadroCabe"/>
              <w:jc w:val="right"/>
            </w:pPr>
            <w:r>
              <w:t>100</w:t>
            </w:r>
          </w:p>
        </w:tc>
      </w:tr>
    </w:tbl>
    <w:p w:rsidR="00676CA2" w:rsidRDefault="00676CA2" w:rsidP="00676CA2">
      <w:pPr>
        <w:pStyle w:val="texto"/>
        <w:spacing w:before="120" w:after="120"/>
        <w:rPr>
          <w:szCs w:val="26"/>
        </w:rPr>
      </w:pPr>
      <w:r>
        <w:t>Hauek izan ziren gastu handieneko kontzeptu ekonomikoak: aldi baterako lan-kontratudunen ordainsariak, 23,49 milioi (guztizko gastuaren ehuneko 52); Gizarte Segurantzarekiko gastua, 8,17 milioi (guztizkoaren ehuneko 18); o</w:t>
      </w:r>
      <w:r>
        <w:t>r</w:t>
      </w:r>
      <w:r>
        <w:t>dezkatzeetarako kontratatutako langileen gastua, 4,68 milioi (guztizkoaren ehuneko 10); eta produktibitate-osagarriarena, 3,73 milioi (guztizkoaren eh</w:t>
      </w:r>
      <w:r>
        <w:t>u</w:t>
      </w:r>
      <w:r>
        <w:t>neko 8). Gainerako kontzeptuek ez dute gainditzen guztizko gastuaren ehuneko bost.</w:t>
      </w:r>
    </w:p>
    <w:p w:rsidR="00676CA2" w:rsidRDefault="00676CA2" w:rsidP="00676CA2">
      <w:pPr>
        <w:pStyle w:val="texto"/>
        <w:spacing w:before="120" w:after="120"/>
        <w:rPr>
          <w:szCs w:val="26"/>
        </w:rPr>
      </w:pPr>
      <w:r>
        <w:t>Laburbilduz, gastu gehienaren helburua izan zen langileak kontratatzea, os</w:t>
      </w:r>
      <w:r>
        <w:t>a</w:t>
      </w:r>
      <w:r>
        <w:t xml:space="preserve">sun krisiari aurre egiteko sortuz joan ziren beharrak ase ahal izateko. </w:t>
      </w:r>
    </w:p>
    <w:p w:rsidR="00676CA2" w:rsidRDefault="00676CA2" w:rsidP="00676CA2">
      <w:pPr>
        <w:pStyle w:val="texto"/>
        <w:spacing w:before="120" w:after="200"/>
        <w:rPr>
          <w:szCs w:val="26"/>
        </w:rPr>
      </w:pPr>
      <w:r>
        <w:t>Hona hemen 2020ko martxoan alarma egoera deklaratu zenetik 2020ko abenduaren 31ra bitartean NFKAren esparru bakoitzean egindako kontratuen kopurua:</w:t>
      </w:r>
    </w:p>
    <w:tbl>
      <w:tblPr>
        <w:tblStyle w:val="Tablaconcuadrcula"/>
        <w:tblW w:w="878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693"/>
        <w:gridCol w:w="1079"/>
        <w:gridCol w:w="2174"/>
        <w:gridCol w:w="973"/>
        <w:gridCol w:w="870"/>
      </w:tblGrid>
      <w:tr w:rsidR="00676CA2" w:rsidRPr="004A1553" w:rsidTr="000D13D5">
        <w:trPr>
          <w:trHeight w:val="255"/>
          <w:jc w:val="center"/>
        </w:trPr>
        <w:tc>
          <w:tcPr>
            <w:tcW w:w="3693" w:type="dxa"/>
            <w:shd w:val="clear" w:color="auto" w:fill="8DB3E2" w:themeFill="text2" w:themeFillTint="66"/>
          </w:tcPr>
          <w:p w:rsidR="00676CA2" w:rsidRPr="004A1553" w:rsidRDefault="00676CA2" w:rsidP="00DB2D91">
            <w:pPr>
              <w:pStyle w:val="cuadroCabe"/>
            </w:pPr>
          </w:p>
        </w:tc>
        <w:tc>
          <w:tcPr>
            <w:tcW w:w="1079" w:type="dxa"/>
            <w:shd w:val="clear" w:color="auto" w:fill="8DB3E2" w:themeFill="text2" w:themeFillTint="66"/>
            <w:vAlign w:val="center"/>
          </w:tcPr>
          <w:p w:rsidR="00676CA2" w:rsidRPr="004A1553" w:rsidRDefault="00676CA2" w:rsidP="00DB2D91">
            <w:pPr>
              <w:pStyle w:val="cuadroCabe"/>
              <w:jc w:val="right"/>
            </w:pPr>
            <w:r>
              <w:t>O-NOZ</w:t>
            </w:r>
          </w:p>
        </w:tc>
        <w:tc>
          <w:tcPr>
            <w:tcW w:w="2174" w:type="dxa"/>
            <w:shd w:val="clear" w:color="auto" w:fill="8DB3E2" w:themeFill="text2" w:themeFillTint="66"/>
            <w:vAlign w:val="center"/>
          </w:tcPr>
          <w:p w:rsidR="00676CA2" w:rsidRPr="004A1553" w:rsidRDefault="00676CA2" w:rsidP="000D13D5">
            <w:pPr>
              <w:pStyle w:val="cuadroCabe"/>
              <w:ind w:right="462"/>
              <w:jc w:val="right"/>
            </w:pPr>
            <w:r>
              <w:t>Hezkuntza Dep.</w:t>
            </w:r>
          </w:p>
        </w:tc>
        <w:tc>
          <w:tcPr>
            <w:tcW w:w="973" w:type="dxa"/>
            <w:shd w:val="clear" w:color="auto" w:fill="8DB3E2" w:themeFill="text2" w:themeFillTint="66"/>
            <w:vAlign w:val="center"/>
          </w:tcPr>
          <w:p w:rsidR="00676CA2" w:rsidRPr="004A1553" w:rsidRDefault="00676CA2" w:rsidP="000D13D5">
            <w:pPr>
              <w:pStyle w:val="cuadroCabe"/>
              <w:ind w:right="20"/>
              <w:jc w:val="right"/>
            </w:pPr>
            <w:r>
              <w:t>PAGNA</w:t>
            </w:r>
          </w:p>
        </w:tc>
        <w:tc>
          <w:tcPr>
            <w:tcW w:w="870" w:type="dxa"/>
            <w:shd w:val="clear" w:color="auto" w:fill="8DB3E2" w:themeFill="text2" w:themeFillTint="66"/>
            <w:vAlign w:val="center"/>
          </w:tcPr>
          <w:p w:rsidR="00676CA2" w:rsidRPr="004A1553" w:rsidRDefault="00676CA2" w:rsidP="00DB2D91">
            <w:pPr>
              <w:pStyle w:val="cuadroCabe"/>
              <w:jc w:val="right"/>
            </w:pPr>
            <w:r>
              <w:t>Guztira</w:t>
            </w:r>
          </w:p>
        </w:tc>
      </w:tr>
      <w:tr w:rsidR="00676CA2" w:rsidRPr="004A1553" w:rsidTr="000D13D5">
        <w:trPr>
          <w:trHeight w:val="198"/>
          <w:jc w:val="center"/>
        </w:trPr>
        <w:tc>
          <w:tcPr>
            <w:tcW w:w="3693" w:type="dxa"/>
            <w:tcBorders>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Pr>
                <w:rFonts w:ascii="Arial Narrow" w:hAnsi="Arial Narrow"/>
                <w:sz w:val="20"/>
                <w:szCs w:val="20"/>
              </w:rPr>
              <w:t>Administrazio-kontratua</w:t>
            </w:r>
          </w:p>
        </w:tc>
        <w:tc>
          <w:tcPr>
            <w:tcW w:w="1079" w:type="dxa"/>
            <w:tcBorders>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4.905</w:t>
            </w:r>
          </w:p>
        </w:tc>
        <w:tc>
          <w:tcPr>
            <w:tcW w:w="2174" w:type="dxa"/>
            <w:tcBorders>
              <w:bottom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rPr>
            </w:pPr>
            <w:r>
              <w:rPr>
                <w:rFonts w:ascii="Arial Narrow" w:hAnsi="Arial Narrow"/>
              </w:rPr>
              <w:t>1.189</w:t>
            </w:r>
          </w:p>
        </w:tc>
        <w:tc>
          <w:tcPr>
            <w:tcW w:w="973" w:type="dxa"/>
            <w:tcBorders>
              <w:bottom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rPr>
            </w:pPr>
            <w:r>
              <w:rPr>
                <w:rFonts w:ascii="Arial Narrow" w:hAnsi="Arial Narrow"/>
              </w:rPr>
              <w:t>584</w:t>
            </w:r>
          </w:p>
        </w:tc>
        <w:tc>
          <w:tcPr>
            <w:tcW w:w="870" w:type="dxa"/>
            <w:tcBorders>
              <w:bottom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rPr>
            </w:pPr>
            <w:r>
              <w:rPr>
                <w:rFonts w:ascii="Arial Narrow" w:hAnsi="Arial Narrow"/>
              </w:rPr>
              <w:t>6.678</w:t>
            </w:r>
          </w:p>
        </w:tc>
      </w:tr>
      <w:tr w:rsidR="00676CA2" w:rsidRPr="004A1553" w:rsidTr="000D13D5">
        <w:trPr>
          <w:trHeight w:val="198"/>
          <w:jc w:val="center"/>
        </w:trPr>
        <w:tc>
          <w:tcPr>
            <w:tcW w:w="3693"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Pr>
                <w:rFonts w:ascii="Arial Narrow" w:hAnsi="Arial Narrow"/>
                <w:sz w:val="20"/>
                <w:szCs w:val="20"/>
              </w:rPr>
              <w:t>Asteburuko zaintzailea</w:t>
            </w:r>
          </w:p>
        </w:tc>
        <w:tc>
          <w:tcPr>
            <w:tcW w:w="1079"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2174"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rPr>
            </w:pPr>
            <w:r>
              <w:rPr>
                <w:rFonts w:ascii="Arial Narrow" w:hAnsi="Arial Narrow"/>
              </w:rPr>
              <w:t>-</w:t>
            </w:r>
          </w:p>
        </w:tc>
        <w:tc>
          <w:tcPr>
            <w:tcW w:w="973"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rPr>
            </w:pPr>
            <w:r>
              <w:rPr>
                <w:rFonts w:ascii="Arial Narrow" w:hAnsi="Arial Narrow"/>
              </w:rPr>
              <w:t>106</w:t>
            </w:r>
          </w:p>
        </w:tc>
        <w:tc>
          <w:tcPr>
            <w:tcW w:w="870" w:type="dxa"/>
            <w:tcBorders>
              <w:top w:val="single" w:sz="2" w:space="0" w:color="auto"/>
              <w:bottom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rPr>
            </w:pPr>
            <w:r>
              <w:rPr>
                <w:rFonts w:ascii="Arial Narrow" w:hAnsi="Arial Narrow"/>
              </w:rPr>
              <w:t>106</w:t>
            </w:r>
          </w:p>
        </w:tc>
      </w:tr>
      <w:tr w:rsidR="00676CA2" w:rsidRPr="004A1553" w:rsidTr="000D13D5">
        <w:trPr>
          <w:trHeight w:val="198"/>
          <w:jc w:val="center"/>
        </w:trPr>
        <w:tc>
          <w:tcPr>
            <w:tcW w:w="3693"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Pr>
                <w:rFonts w:ascii="Arial Narrow" w:hAnsi="Arial Narrow"/>
                <w:sz w:val="20"/>
                <w:szCs w:val="20"/>
              </w:rPr>
              <w:t>Aldi baterako irakasle lan-kontratuduna lanaldi osoarekin</w:t>
            </w:r>
          </w:p>
        </w:tc>
        <w:tc>
          <w:tcPr>
            <w:tcW w:w="1079"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2174"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rPr>
            </w:pPr>
            <w:r>
              <w:rPr>
                <w:rFonts w:ascii="Arial Narrow" w:hAnsi="Arial Narrow"/>
              </w:rPr>
              <w:t>7</w:t>
            </w:r>
          </w:p>
        </w:tc>
        <w:tc>
          <w:tcPr>
            <w:tcW w:w="973"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rPr>
            </w:pPr>
            <w:r>
              <w:rPr>
                <w:rFonts w:ascii="Arial Narrow" w:hAnsi="Arial Narrow"/>
              </w:rPr>
              <w:t>-</w:t>
            </w:r>
          </w:p>
        </w:tc>
        <w:tc>
          <w:tcPr>
            <w:tcW w:w="870" w:type="dxa"/>
            <w:tcBorders>
              <w:top w:val="single" w:sz="2" w:space="0" w:color="auto"/>
              <w:bottom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rPr>
            </w:pPr>
            <w:r>
              <w:rPr>
                <w:rFonts w:ascii="Arial Narrow" w:hAnsi="Arial Narrow"/>
              </w:rPr>
              <w:t>7</w:t>
            </w:r>
          </w:p>
        </w:tc>
      </w:tr>
      <w:tr w:rsidR="00676CA2" w:rsidRPr="004A1553" w:rsidTr="000D13D5">
        <w:trPr>
          <w:trHeight w:val="198"/>
          <w:jc w:val="center"/>
        </w:trPr>
        <w:tc>
          <w:tcPr>
            <w:tcW w:w="3693"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Pr>
                <w:rFonts w:ascii="Arial Narrow" w:hAnsi="Arial Narrow"/>
                <w:sz w:val="20"/>
                <w:szCs w:val="20"/>
              </w:rPr>
              <w:t>Aldi baterako irakasle lan-kontratuduna lanaldi partzialarekin</w:t>
            </w:r>
          </w:p>
        </w:tc>
        <w:tc>
          <w:tcPr>
            <w:tcW w:w="1079"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2174"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rPr>
            </w:pPr>
            <w:r>
              <w:rPr>
                <w:rFonts w:ascii="Arial Narrow" w:hAnsi="Arial Narrow"/>
              </w:rPr>
              <w:t>5</w:t>
            </w:r>
          </w:p>
        </w:tc>
        <w:tc>
          <w:tcPr>
            <w:tcW w:w="973"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rPr>
            </w:pPr>
            <w:r>
              <w:rPr>
                <w:rFonts w:ascii="Arial Narrow" w:hAnsi="Arial Narrow"/>
              </w:rPr>
              <w:t>-</w:t>
            </w:r>
          </w:p>
        </w:tc>
        <w:tc>
          <w:tcPr>
            <w:tcW w:w="870" w:type="dxa"/>
            <w:tcBorders>
              <w:top w:val="single" w:sz="2" w:space="0" w:color="auto"/>
              <w:bottom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rPr>
            </w:pPr>
            <w:r>
              <w:rPr>
                <w:rFonts w:ascii="Arial Narrow" w:hAnsi="Arial Narrow"/>
              </w:rPr>
              <w:t>5</w:t>
            </w:r>
          </w:p>
        </w:tc>
      </w:tr>
      <w:tr w:rsidR="00676CA2" w:rsidRPr="004A1553" w:rsidTr="000D13D5">
        <w:trPr>
          <w:trHeight w:val="198"/>
          <w:jc w:val="center"/>
        </w:trPr>
        <w:tc>
          <w:tcPr>
            <w:tcW w:w="3693" w:type="dxa"/>
            <w:tcBorders>
              <w:top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Pr>
                <w:rFonts w:ascii="Arial Narrow" w:hAnsi="Arial Narrow"/>
                <w:sz w:val="20"/>
                <w:szCs w:val="20"/>
              </w:rPr>
              <w:t>Mediku egoiliarra</w:t>
            </w:r>
          </w:p>
        </w:tc>
        <w:tc>
          <w:tcPr>
            <w:tcW w:w="1079" w:type="dxa"/>
            <w:tcBorders>
              <w:top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2174" w:type="dxa"/>
            <w:tcBorders>
              <w:top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rPr>
            </w:pPr>
            <w:r>
              <w:rPr>
                <w:rFonts w:ascii="Arial Narrow" w:hAnsi="Arial Narrow"/>
              </w:rPr>
              <w:t>-</w:t>
            </w:r>
          </w:p>
        </w:tc>
        <w:tc>
          <w:tcPr>
            <w:tcW w:w="973" w:type="dxa"/>
            <w:tcBorders>
              <w:top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rPr>
            </w:pPr>
            <w:r>
              <w:rPr>
                <w:rFonts w:ascii="Arial Narrow" w:hAnsi="Arial Narrow"/>
              </w:rPr>
              <w:t>1</w:t>
            </w:r>
          </w:p>
        </w:tc>
        <w:tc>
          <w:tcPr>
            <w:tcW w:w="870" w:type="dxa"/>
            <w:tcBorders>
              <w:top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rPr>
            </w:pPr>
            <w:r>
              <w:rPr>
                <w:rFonts w:ascii="Arial Narrow" w:hAnsi="Arial Narrow"/>
              </w:rPr>
              <w:t>1</w:t>
            </w:r>
          </w:p>
        </w:tc>
      </w:tr>
      <w:tr w:rsidR="00676CA2" w:rsidRPr="004A1553" w:rsidTr="000D13D5">
        <w:trPr>
          <w:trHeight w:val="255"/>
          <w:jc w:val="center"/>
        </w:trPr>
        <w:tc>
          <w:tcPr>
            <w:tcW w:w="3693" w:type="dxa"/>
            <w:shd w:val="clear" w:color="auto" w:fill="8DB3E2" w:themeFill="text2" w:themeFillTint="66"/>
            <w:vAlign w:val="center"/>
          </w:tcPr>
          <w:p w:rsidR="00676CA2" w:rsidRPr="004A1553" w:rsidRDefault="00676CA2" w:rsidP="00DB2D91">
            <w:pPr>
              <w:pStyle w:val="cuadroCabe"/>
            </w:pPr>
            <w:r>
              <w:t>Guztira</w:t>
            </w:r>
          </w:p>
        </w:tc>
        <w:tc>
          <w:tcPr>
            <w:tcW w:w="1079" w:type="dxa"/>
            <w:shd w:val="clear" w:color="auto" w:fill="8DB3E2" w:themeFill="text2" w:themeFillTint="66"/>
            <w:vAlign w:val="center"/>
          </w:tcPr>
          <w:p w:rsidR="00676CA2" w:rsidRPr="004A1553" w:rsidRDefault="00676CA2" w:rsidP="00DB2D91">
            <w:pPr>
              <w:pStyle w:val="cuadroCabe"/>
              <w:jc w:val="right"/>
            </w:pPr>
            <w:r>
              <w:t>4.905</w:t>
            </w:r>
          </w:p>
        </w:tc>
        <w:tc>
          <w:tcPr>
            <w:tcW w:w="2174" w:type="dxa"/>
            <w:shd w:val="clear" w:color="auto" w:fill="8DB3E2" w:themeFill="text2" w:themeFillTint="66"/>
            <w:vAlign w:val="center"/>
          </w:tcPr>
          <w:p w:rsidR="00676CA2" w:rsidRPr="004A1553" w:rsidRDefault="00676CA2" w:rsidP="000D13D5">
            <w:pPr>
              <w:pStyle w:val="cuadroCabe"/>
              <w:ind w:right="462"/>
              <w:jc w:val="right"/>
            </w:pPr>
            <w:r>
              <w:t>1.201</w:t>
            </w:r>
          </w:p>
        </w:tc>
        <w:tc>
          <w:tcPr>
            <w:tcW w:w="973" w:type="dxa"/>
            <w:shd w:val="clear" w:color="auto" w:fill="8DB3E2" w:themeFill="text2" w:themeFillTint="66"/>
            <w:vAlign w:val="center"/>
          </w:tcPr>
          <w:p w:rsidR="00676CA2" w:rsidRPr="004A1553" w:rsidRDefault="00676CA2" w:rsidP="000D13D5">
            <w:pPr>
              <w:pStyle w:val="cuadroCabe"/>
              <w:ind w:right="20"/>
              <w:jc w:val="right"/>
            </w:pPr>
            <w:r>
              <w:t>691</w:t>
            </w:r>
          </w:p>
        </w:tc>
        <w:tc>
          <w:tcPr>
            <w:tcW w:w="870" w:type="dxa"/>
            <w:shd w:val="clear" w:color="auto" w:fill="8DB3E2" w:themeFill="text2" w:themeFillTint="66"/>
            <w:vAlign w:val="center"/>
          </w:tcPr>
          <w:p w:rsidR="00676CA2" w:rsidRPr="004A1553" w:rsidRDefault="00676CA2" w:rsidP="00DB2D91">
            <w:pPr>
              <w:pStyle w:val="cuadroCabe"/>
              <w:jc w:val="right"/>
            </w:pPr>
            <w:r>
              <w:t>6.797</w:t>
            </w:r>
          </w:p>
        </w:tc>
      </w:tr>
    </w:tbl>
    <w:p w:rsidR="0003572F" w:rsidRPr="004A1553" w:rsidRDefault="00676CA2" w:rsidP="00676CA2">
      <w:pPr>
        <w:pStyle w:val="texto"/>
        <w:spacing w:before="240" w:after="120"/>
        <w:rPr>
          <w:szCs w:val="26"/>
        </w:rPr>
      </w:pPr>
      <w:r>
        <w:t>NFKAk 6.797 kontratu egin zituen, horietatik ehuneko 72 O-NOZen, eh</w:t>
      </w:r>
      <w:r>
        <w:t>u</w:t>
      </w:r>
      <w:r>
        <w:t>neko 17 Hezkuntza Departamentuan eta gainerako ehuneko 11 Eskubide Sozi</w:t>
      </w:r>
      <w:r>
        <w:t>a</w:t>
      </w:r>
      <w:r>
        <w:lastRenderedPageBreak/>
        <w:t>letako Departamentuan. Kontratu kopuru horretan sartzen dira bai kontratu b</w:t>
      </w:r>
      <w:r>
        <w:t>e</w:t>
      </w:r>
      <w:r>
        <w:t>rriak (lanaldi osokoak nahiz lanaldi partzialekoak), bai lanaldia luzatuz aldat</w:t>
      </w:r>
      <w:r>
        <w:t>u</w:t>
      </w:r>
      <w:r>
        <w:t>tako kontratuak eta ordezkatzeak; Hezkuntza Departamentuaren kasuan, ika</w:t>
      </w:r>
      <w:r>
        <w:t>s</w:t>
      </w:r>
      <w:r>
        <w:t>turterako errefortzu kontratuak ere sartu dira.</w:t>
      </w:r>
    </w:p>
    <w:p w:rsidR="00676CA2" w:rsidRDefault="00676CA2" w:rsidP="008B090B">
      <w:pPr>
        <w:pStyle w:val="texto"/>
        <w:spacing w:before="120"/>
        <w:rPr>
          <w:szCs w:val="26"/>
        </w:rPr>
      </w:pPr>
      <w:r>
        <w:t>O-NOZen barnean, hau izan zen kontratuen kopurua unitate organiko bako</w:t>
      </w:r>
      <w:r>
        <w:t>i</w:t>
      </w:r>
      <w:r>
        <w:t>tzean:</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534"/>
        <w:gridCol w:w="5255"/>
      </w:tblGrid>
      <w:tr w:rsidR="00676CA2" w:rsidRPr="006642C8" w:rsidTr="009868A1">
        <w:trPr>
          <w:trHeight w:val="255"/>
        </w:trPr>
        <w:tc>
          <w:tcPr>
            <w:tcW w:w="3534" w:type="dxa"/>
            <w:shd w:val="clear" w:color="auto" w:fill="8DB3E2" w:themeFill="text2" w:themeFillTint="66"/>
            <w:noWrap/>
            <w:vAlign w:val="center"/>
            <w:hideMark/>
          </w:tcPr>
          <w:p w:rsidR="00676CA2" w:rsidRPr="006642C8" w:rsidRDefault="00676CA2" w:rsidP="00115431">
            <w:pPr>
              <w:pStyle w:val="cuadroCabe"/>
            </w:pPr>
            <w:r>
              <w:t>Unitate organikoa</w:t>
            </w:r>
          </w:p>
        </w:tc>
        <w:tc>
          <w:tcPr>
            <w:tcW w:w="5255" w:type="dxa"/>
            <w:shd w:val="clear" w:color="auto" w:fill="8DB3E2" w:themeFill="text2" w:themeFillTint="66"/>
            <w:noWrap/>
            <w:vAlign w:val="center"/>
            <w:hideMark/>
          </w:tcPr>
          <w:p w:rsidR="00676CA2" w:rsidRPr="006642C8" w:rsidRDefault="00676CA2" w:rsidP="00115431">
            <w:pPr>
              <w:pStyle w:val="cuadroCabe"/>
              <w:jc w:val="right"/>
            </w:pPr>
            <w:r>
              <w:t>Kontratu kop.</w:t>
            </w:r>
          </w:p>
        </w:tc>
      </w:tr>
      <w:tr w:rsidR="00676CA2" w:rsidRPr="006642C8" w:rsidTr="006825F8">
        <w:trPr>
          <w:trHeight w:val="198"/>
        </w:trPr>
        <w:tc>
          <w:tcPr>
            <w:tcW w:w="3534" w:type="dxa"/>
            <w:tcBorders>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rPr>
            </w:pPr>
            <w:r>
              <w:rPr>
                <w:rFonts w:ascii="Arial Narrow" w:hAnsi="Arial Narrow"/>
                <w:color w:val="000000"/>
              </w:rPr>
              <w:t>Nafarroako Ospitalegunea</w:t>
            </w:r>
          </w:p>
        </w:tc>
        <w:tc>
          <w:tcPr>
            <w:tcW w:w="5255" w:type="dxa"/>
            <w:tcBorders>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2.578</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rPr>
            </w:pPr>
            <w:r>
              <w:rPr>
                <w:rFonts w:ascii="Arial Narrow" w:hAnsi="Arial Narrow"/>
                <w:color w:val="000000"/>
              </w:rPr>
              <w:t>Oinarrizko Osasun Laguntza</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1.134</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rPr>
            </w:pPr>
            <w:r>
              <w:rPr>
                <w:rFonts w:ascii="Arial Narrow" w:hAnsi="Arial Narrow"/>
                <w:color w:val="000000"/>
              </w:rPr>
              <w:t>Tuterako Reina Sofia Ospitalea</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708</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rPr>
            </w:pPr>
            <w:r>
              <w:rPr>
                <w:rFonts w:ascii="Arial Narrow" w:hAnsi="Arial Narrow"/>
                <w:color w:val="000000"/>
              </w:rPr>
              <w:t>Tuterako Oinarrizko Osasun Laguntza</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83</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rPr>
            </w:pPr>
            <w:r>
              <w:rPr>
                <w:rFonts w:ascii="Arial Narrow" w:hAnsi="Arial Narrow"/>
                <w:color w:val="000000"/>
              </w:rPr>
              <w:t>Lizarrako García Orcoyen Ospitalea</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155</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rPr>
            </w:pPr>
            <w:r>
              <w:rPr>
                <w:rFonts w:ascii="Arial Narrow" w:hAnsi="Arial Narrow"/>
                <w:color w:val="000000"/>
              </w:rPr>
              <w:t>Lizarrako Oinarrizko Osasun Laguntza</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50</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rPr>
            </w:pPr>
            <w:r>
              <w:rPr>
                <w:rFonts w:ascii="Arial Narrow" w:hAnsi="Arial Narrow"/>
                <w:color w:val="000000"/>
              </w:rPr>
              <w:t>Osasun Mentala</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120</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rPr>
            </w:pPr>
            <w:r>
              <w:rPr>
                <w:rFonts w:ascii="Arial Narrow" w:hAnsi="Arial Narrow"/>
                <w:color w:val="000000"/>
              </w:rPr>
              <w:t>Behin-behineko zentroak</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52</w:t>
            </w:r>
          </w:p>
        </w:tc>
      </w:tr>
      <w:tr w:rsidR="00676CA2" w:rsidRPr="006642C8" w:rsidTr="006825F8">
        <w:trPr>
          <w:trHeight w:val="198"/>
        </w:trPr>
        <w:tc>
          <w:tcPr>
            <w:tcW w:w="3534" w:type="dxa"/>
            <w:tcBorders>
              <w:top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rPr>
            </w:pPr>
            <w:r>
              <w:rPr>
                <w:rFonts w:ascii="Arial Narrow" w:hAnsi="Arial Narrow"/>
                <w:color w:val="000000"/>
              </w:rPr>
              <w:t>Zerbitzu Zentralak</w:t>
            </w:r>
          </w:p>
        </w:tc>
        <w:tc>
          <w:tcPr>
            <w:tcW w:w="5255" w:type="dxa"/>
            <w:tcBorders>
              <w:top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25</w:t>
            </w:r>
          </w:p>
        </w:tc>
      </w:tr>
      <w:tr w:rsidR="00676CA2" w:rsidRPr="006642C8" w:rsidTr="009868A1">
        <w:trPr>
          <w:trHeight w:val="255"/>
        </w:trPr>
        <w:tc>
          <w:tcPr>
            <w:tcW w:w="3534" w:type="dxa"/>
            <w:shd w:val="clear" w:color="auto" w:fill="8DB3E2" w:themeFill="text2" w:themeFillTint="66"/>
            <w:noWrap/>
            <w:vAlign w:val="center"/>
            <w:hideMark/>
          </w:tcPr>
          <w:p w:rsidR="00676CA2" w:rsidRPr="006642C8" w:rsidRDefault="00676CA2" w:rsidP="00115431">
            <w:pPr>
              <w:pStyle w:val="cuadroCabe"/>
            </w:pPr>
            <w:r>
              <w:t>Guztira</w:t>
            </w:r>
          </w:p>
        </w:tc>
        <w:tc>
          <w:tcPr>
            <w:tcW w:w="5255" w:type="dxa"/>
            <w:shd w:val="clear" w:color="auto" w:fill="8DB3E2" w:themeFill="text2" w:themeFillTint="66"/>
            <w:noWrap/>
            <w:vAlign w:val="center"/>
            <w:hideMark/>
          </w:tcPr>
          <w:p w:rsidR="00676CA2" w:rsidRDefault="00676CA2" w:rsidP="00115431">
            <w:pPr>
              <w:pStyle w:val="cuadroCabe"/>
              <w:jc w:val="right"/>
            </w:pPr>
            <w:r>
              <w:t>4.905</w:t>
            </w:r>
          </w:p>
        </w:tc>
      </w:tr>
    </w:tbl>
    <w:p w:rsidR="00676CA2" w:rsidRDefault="00676CA2" w:rsidP="00676CA2">
      <w:pPr>
        <w:pStyle w:val="texto"/>
        <w:spacing w:before="240" w:after="120"/>
        <w:rPr>
          <w:szCs w:val="26"/>
        </w:rPr>
      </w:pPr>
      <w:r>
        <w:t>Kontratuen ehuneko 53 Nafarroako Ospitaleguneko beharretarako egin ziren (2.578), ehuneko 23 Oinarrizko Osasun Laguntzarako izan ziren (1.134), eh</w:t>
      </w:r>
      <w:r>
        <w:t>u</w:t>
      </w:r>
      <w:r>
        <w:t>neko 16 Tuterako Osasun Barrutirako (Oinarrizko Osasun Laguntza barnean hartuta, 791 kontratu guztira), eta ehuneko lau Lizarrako Osasun Barrutirako (Oinarrizko Osasun Laguntza barnean hartuta, 205 kontratu guztira).</w:t>
      </w:r>
    </w:p>
    <w:p w:rsidR="00676CA2" w:rsidRDefault="00676CA2" w:rsidP="008B090B">
      <w:pPr>
        <w:pStyle w:val="texto"/>
        <w:spacing w:before="120" w:after="240"/>
        <w:rPr>
          <w:szCs w:val="26"/>
        </w:rPr>
      </w:pPr>
      <w:r>
        <w:t>O-NOZen kontratatutako pertsonen eginkizunak honako hauek izan ziren:</w:t>
      </w:r>
    </w:p>
    <w:tbl>
      <w:tblPr>
        <w:tblW w:w="8784"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320"/>
        <w:gridCol w:w="4464"/>
      </w:tblGrid>
      <w:tr w:rsidR="00676CA2" w:rsidRPr="00014F7F" w:rsidTr="009868A1">
        <w:trPr>
          <w:trHeight w:val="255"/>
        </w:trPr>
        <w:tc>
          <w:tcPr>
            <w:tcW w:w="4320" w:type="dxa"/>
            <w:shd w:val="clear" w:color="auto" w:fill="8DB3E2" w:themeFill="text2" w:themeFillTint="66"/>
            <w:noWrap/>
            <w:vAlign w:val="center"/>
          </w:tcPr>
          <w:p w:rsidR="00676CA2" w:rsidRPr="00014F7F" w:rsidRDefault="00676CA2" w:rsidP="00115431">
            <w:pPr>
              <w:pStyle w:val="cuadroCabe"/>
            </w:pPr>
            <w:r>
              <w:t>Eginkizuna</w:t>
            </w:r>
          </w:p>
        </w:tc>
        <w:tc>
          <w:tcPr>
            <w:tcW w:w="4464" w:type="dxa"/>
            <w:shd w:val="clear" w:color="auto" w:fill="8DB3E2" w:themeFill="text2" w:themeFillTint="66"/>
            <w:noWrap/>
            <w:vAlign w:val="center"/>
          </w:tcPr>
          <w:p w:rsidR="00676CA2" w:rsidRPr="00014F7F" w:rsidRDefault="00676CA2" w:rsidP="00115431">
            <w:pPr>
              <w:pStyle w:val="cuadroCabe"/>
              <w:jc w:val="right"/>
            </w:pPr>
            <w:r>
              <w:t>Kontratu kop.</w:t>
            </w:r>
          </w:p>
        </w:tc>
      </w:tr>
      <w:tr w:rsidR="00676CA2" w:rsidRPr="00C642A5" w:rsidTr="006825F8">
        <w:trPr>
          <w:trHeight w:val="198"/>
        </w:trPr>
        <w:tc>
          <w:tcPr>
            <w:tcW w:w="4320" w:type="dxa"/>
            <w:tcBorders>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Erizaina</w:t>
            </w:r>
          </w:p>
        </w:tc>
        <w:tc>
          <w:tcPr>
            <w:tcW w:w="4464" w:type="dxa"/>
            <w:tcBorders>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2.135</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Erizaintzako zainketa lagungarrietako teknikaria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1.256</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Zeladorea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431</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Administraria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336</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Zerbitzu orokorretako langilea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224</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Osasun larrialdietako teknikaria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112</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Laborategiko teknikari espezialista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112</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Gizarte langilea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45</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Erradiologiako teknikari espezialista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53</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Fakultatibo espezialistaren ondokoa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32</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tcPr>
          <w:p w:rsidR="00676CA2" w:rsidRPr="00014F7F" w:rsidRDefault="00676CA2" w:rsidP="008217D1">
            <w:pPr>
              <w:spacing w:after="0"/>
              <w:ind w:firstLine="0"/>
              <w:jc w:val="left"/>
              <w:rPr>
                <w:rFonts w:ascii="Arial Narrow" w:hAnsi="Arial Narrow" w:cs="Arial"/>
                <w:color w:val="000000"/>
              </w:rPr>
            </w:pPr>
            <w:r>
              <w:rPr>
                <w:rFonts w:ascii="Arial Narrow" w:hAnsi="Arial Narrow"/>
                <w:color w:val="000000"/>
              </w:rPr>
              <w:t>Osasun hezitzailea</w:t>
            </w:r>
          </w:p>
        </w:tc>
        <w:tc>
          <w:tcPr>
            <w:tcW w:w="4464" w:type="dxa"/>
            <w:tcBorders>
              <w:top w:val="single" w:sz="2" w:space="0" w:color="auto"/>
              <w:bottom w:val="single" w:sz="2" w:space="0" w:color="auto"/>
            </w:tcBorders>
            <w:shd w:val="clear" w:color="auto" w:fill="auto"/>
            <w:noWrap/>
            <w:vAlign w:val="center"/>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33</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Oinarrizko Osasun Laguntzako medikua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29</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Farmaziako teknikaria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22</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Sukaldaria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11</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Erizain espezialista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11</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rPr>
            </w:pPr>
            <w:r>
              <w:rPr>
                <w:rFonts w:ascii="Arial Narrow" w:hAnsi="Arial Narrow"/>
                <w:color w:val="000000"/>
              </w:rPr>
              <w:t>Larrialdietako medikuaren ondokoa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10</w:t>
            </w:r>
          </w:p>
        </w:tc>
      </w:tr>
      <w:tr w:rsidR="00676CA2" w:rsidRPr="00C642A5" w:rsidTr="006825F8">
        <w:trPr>
          <w:trHeight w:val="198"/>
        </w:trPr>
        <w:tc>
          <w:tcPr>
            <w:tcW w:w="4320" w:type="dxa"/>
            <w:tcBorders>
              <w:top w:val="single" w:sz="2" w:space="0" w:color="auto"/>
            </w:tcBorders>
            <w:shd w:val="clear" w:color="auto" w:fill="auto"/>
            <w:noWrap/>
            <w:vAlign w:val="center"/>
          </w:tcPr>
          <w:p w:rsidR="00676CA2" w:rsidRPr="00014F7F" w:rsidRDefault="00676CA2" w:rsidP="008217D1">
            <w:pPr>
              <w:spacing w:after="0"/>
              <w:ind w:firstLine="0"/>
              <w:jc w:val="left"/>
              <w:rPr>
                <w:rFonts w:ascii="Arial Narrow" w:hAnsi="Arial Narrow" w:cs="Arial"/>
                <w:color w:val="000000"/>
              </w:rPr>
            </w:pPr>
            <w:r>
              <w:rPr>
                <w:rFonts w:ascii="Arial Narrow" w:hAnsi="Arial Narrow"/>
                <w:color w:val="000000"/>
              </w:rPr>
              <w:t>Beste batzuk</w:t>
            </w:r>
          </w:p>
        </w:tc>
        <w:tc>
          <w:tcPr>
            <w:tcW w:w="4464" w:type="dxa"/>
            <w:tcBorders>
              <w:top w:val="single" w:sz="2" w:space="0" w:color="auto"/>
            </w:tcBorders>
            <w:shd w:val="clear" w:color="auto" w:fill="auto"/>
            <w:noWrap/>
            <w:vAlign w:val="center"/>
          </w:tcPr>
          <w:p w:rsidR="00676CA2" w:rsidRPr="009A79D9" w:rsidRDefault="00676CA2" w:rsidP="008217D1">
            <w:pPr>
              <w:autoSpaceDE w:val="0"/>
              <w:autoSpaceDN w:val="0"/>
              <w:adjustRightInd w:val="0"/>
              <w:spacing w:after="0"/>
              <w:ind w:firstLine="0"/>
              <w:jc w:val="right"/>
              <w:rPr>
                <w:rFonts w:ascii="Arial Narrow" w:hAnsi="Arial Narrow" w:cs="Arial"/>
                <w:color w:val="000000"/>
              </w:rPr>
            </w:pPr>
            <w:r>
              <w:rPr>
                <w:rFonts w:ascii="Arial Narrow" w:hAnsi="Arial Narrow"/>
                <w:color w:val="000000"/>
              </w:rPr>
              <w:t>53</w:t>
            </w:r>
          </w:p>
        </w:tc>
      </w:tr>
      <w:tr w:rsidR="00676CA2" w:rsidRPr="009A79D9" w:rsidTr="009868A1">
        <w:trPr>
          <w:trHeight w:val="255"/>
        </w:trPr>
        <w:tc>
          <w:tcPr>
            <w:tcW w:w="4320" w:type="dxa"/>
            <w:shd w:val="clear" w:color="auto" w:fill="8DB3E2" w:themeFill="text2" w:themeFillTint="66"/>
            <w:noWrap/>
            <w:vAlign w:val="center"/>
          </w:tcPr>
          <w:p w:rsidR="00676CA2" w:rsidRPr="00014F7F" w:rsidRDefault="00676CA2" w:rsidP="00115431">
            <w:pPr>
              <w:pStyle w:val="cuadroCabe"/>
            </w:pPr>
            <w:r>
              <w:t>Guztira</w:t>
            </w:r>
          </w:p>
        </w:tc>
        <w:tc>
          <w:tcPr>
            <w:tcW w:w="4464" w:type="dxa"/>
            <w:shd w:val="clear" w:color="auto" w:fill="8DB3E2" w:themeFill="text2" w:themeFillTint="66"/>
            <w:noWrap/>
            <w:vAlign w:val="center"/>
          </w:tcPr>
          <w:p w:rsidR="00676CA2" w:rsidRPr="009A79D9" w:rsidRDefault="00676CA2" w:rsidP="00115431">
            <w:pPr>
              <w:pStyle w:val="cuadroCabe"/>
              <w:jc w:val="right"/>
            </w:pPr>
            <w:r>
              <w:t>4.905</w:t>
            </w:r>
          </w:p>
        </w:tc>
      </w:tr>
    </w:tbl>
    <w:p w:rsidR="00676CA2" w:rsidRDefault="00676CA2" w:rsidP="00676CA2">
      <w:pPr>
        <w:pStyle w:val="texto"/>
        <w:spacing w:before="240" w:after="120"/>
        <w:rPr>
          <w:szCs w:val="26"/>
        </w:rPr>
      </w:pPr>
      <w:r>
        <w:t xml:space="preserve">Kontratuen 44k erizaintzako eginkizuna zuten, eta ehuneko 26k erizaintzako zaintza lagungarriekin zuten zerikusia. Ehuneko bederatzi izan ziren zeladore </w:t>
      </w:r>
      <w:r>
        <w:lastRenderedPageBreak/>
        <w:t xml:space="preserve">lanpostuak betetzeko kontratuak, eta ehuneko zazpi administrazio lanetarako kontratuak. </w:t>
      </w:r>
    </w:p>
    <w:p w:rsidR="00676CA2" w:rsidRDefault="00676CA2" w:rsidP="00676CA2">
      <w:pPr>
        <w:pStyle w:val="texto"/>
        <w:spacing w:before="120" w:after="240"/>
        <w:rPr>
          <w:szCs w:val="26"/>
        </w:rPr>
      </w:pPr>
      <w:r>
        <w:t>NFKAk egindako kontratuetan ez da kasu guztietan kontratu bakoitzeko pe</w:t>
      </w:r>
      <w:r>
        <w:t>r</w:t>
      </w:r>
      <w:r>
        <w:t>tsona desberdin bat kontratatu, zenbait pertsona behin baino gehiagotan kontr</w:t>
      </w:r>
      <w:r>
        <w:t>a</w:t>
      </w:r>
      <w:r>
        <w:t>tatu baitituzte, behean agertzen den bezala:</w:t>
      </w:r>
    </w:p>
    <w:tbl>
      <w:tblPr>
        <w:tblStyle w:val="Tablaconcuadrcula"/>
        <w:tblW w:w="883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1086"/>
        <w:gridCol w:w="2486"/>
        <w:gridCol w:w="973"/>
        <w:gridCol w:w="993"/>
      </w:tblGrid>
      <w:tr w:rsidR="00676CA2" w:rsidRPr="008217D1" w:rsidTr="009868A1">
        <w:trPr>
          <w:trHeight w:val="247"/>
          <w:jc w:val="center"/>
        </w:trPr>
        <w:tc>
          <w:tcPr>
            <w:tcW w:w="3295" w:type="dxa"/>
            <w:tcBorders>
              <w:top w:val="single" w:sz="4" w:space="0" w:color="auto"/>
              <w:bottom w:val="single" w:sz="4" w:space="0" w:color="auto"/>
            </w:tcBorders>
            <w:shd w:val="clear" w:color="auto" w:fill="8DB3E2" w:themeFill="text2" w:themeFillTint="66"/>
          </w:tcPr>
          <w:p w:rsidR="00676CA2" w:rsidRPr="008217D1" w:rsidRDefault="00676CA2" w:rsidP="008217D1">
            <w:pPr>
              <w:pStyle w:val="cuadroCabe"/>
            </w:pPr>
          </w:p>
        </w:tc>
        <w:tc>
          <w:tcPr>
            <w:tcW w:w="1086" w:type="dxa"/>
            <w:tcBorders>
              <w:top w:val="single" w:sz="4" w:space="0" w:color="auto"/>
              <w:bottom w:val="single" w:sz="4" w:space="0" w:color="auto"/>
            </w:tcBorders>
            <w:shd w:val="clear" w:color="auto" w:fill="8DB3E2" w:themeFill="text2" w:themeFillTint="66"/>
            <w:vAlign w:val="center"/>
          </w:tcPr>
          <w:p w:rsidR="00676CA2" w:rsidRPr="008217D1" w:rsidRDefault="00676CA2" w:rsidP="008217D1">
            <w:pPr>
              <w:pStyle w:val="cuadroCabe"/>
              <w:jc w:val="right"/>
            </w:pPr>
            <w:r>
              <w:t>O-NOZ</w:t>
            </w:r>
          </w:p>
        </w:tc>
        <w:tc>
          <w:tcPr>
            <w:tcW w:w="2486" w:type="dxa"/>
            <w:tcBorders>
              <w:top w:val="single" w:sz="4" w:space="0" w:color="auto"/>
              <w:bottom w:val="single" w:sz="4" w:space="0" w:color="auto"/>
            </w:tcBorders>
            <w:shd w:val="clear" w:color="auto" w:fill="8DB3E2" w:themeFill="text2" w:themeFillTint="66"/>
            <w:vAlign w:val="center"/>
          </w:tcPr>
          <w:p w:rsidR="00676CA2" w:rsidRPr="008217D1" w:rsidRDefault="00676CA2" w:rsidP="008217D1">
            <w:pPr>
              <w:pStyle w:val="cuadroCabe"/>
              <w:jc w:val="right"/>
            </w:pPr>
            <w:r>
              <w:t>Hezkuntza Departame</w:t>
            </w:r>
            <w:r>
              <w:t>n</w:t>
            </w:r>
            <w:r>
              <w:t>tua</w:t>
            </w:r>
          </w:p>
        </w:tc>
        <w:tc>
          <w:tcPr>
            <w:tcW w:w="973" w:type="dxa"/>
            <w:tcBorders>
              <w:top w:val="single" w:sz="4" w:space="0" w:color="auto"/>
              <w:bottom w:val="single" w:sz="4" w:space="0" w:color="auto"/>
            </w:tcBorders>
            <w:shd w:val="clear" w:color="auto" w:fill="8DB3E2" w:themeFill="text2" w:themeFillTint="66"/>
            <w:vAlign w:val="center"/>
          </w:tcPr>
          <w:p w:rsidR="00676CA2" w:rsidRPr="008217D1" w:rsidRDefault="00676CA2" w:rsidP="008217D1">
            <w:pPr>
              <w:pStyle w:val="cuadroCabe"/>
              <w:jc w:val="right"/>
            </w:pPr>
            <w:r>
              <w:t>PAGNA</w:t>
            </w:r>
          </w:p>
        </w:tc>
        <w:tc>
          <w:tcPr>
            <w:tcW w:w="993" w:type="dxa"/>
            <w:tcBorders>
              <w:top w:val="single" w:sz="4" w:space="0" w:color="auto"/>
              <w:bottom w:val="single" w:sz="4" w:space="0" w:color="auto"/>
            </w:tcBorders>
            <w:shd w:val="clear" w:color="auto" w:fill="8DB3E2" w:themeFill="text2" w:themeFillTint="66"/>
            <w:vAlign w:val="center"/>
          </w:tcPr>
          <w:p w:rsidR="00676CA2" w:rsidRPr="008217D1" w:rsidRDefault="00676CA2" w:rsidP="008217D1">
            <w:pPr>
              <w:pStyle w:val="cuadroCabe"/>
              <w:jc w:val="right"/>
            </w:pPr>
            <w:r>
              <w:t>Guztira</w:t>
            </w:r>
          </w:p>
        </w:tc>
      </w:tr>
      <w:tr w:rsidR="00676CA2" w:rsidRPr="004A1553" w:rsidTr="009868A1">
        <w:trPr>
          <w:trHeight w:val="198"/>
          <w:jc w:val="center"/>
        </w:trPr>
        <w:tc>
          <w:tcPr>
            <w:tcW w:w="3295"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Pr>
                <w:rFonts w:ascii="Arial Narrow" w:hAnsi="Arial Narrow"/>
                <w:sz w:val="20"/>
                <w:szCs w:val="20"/>
              </w:rPr>
              <w:t>Kontratu kop.</w:t>
            </w:r>
          </w:p>
        </w:tc>
        <w:tc>
          <w:tcPr>
            <w:tcW w:w="1086"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4.905</w:t>
            </w:r>
          </w:p>
        </w:tc>
        <w:tc>
          <w:tcPr>
            <w:tcW w:w="2486"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1.201</w:t>
            </w:r>
          </w:p>
        </w:tc>
        <w:tc>
          <w:tcPr>
            <w:tcW w:w="973"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691</w:t>
            </w:r>
          </w:p>
        </w:tc>
        <w:tc>
          <w:tcPr>
            <w:tcW w:w="993"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6.797</w:t>
            </w:r>
          </w:p>
        </w:tc>
      </w:tr>
      <w:tr w:rsidR="00676CA2" w:rsidRPr="004A1553" w:rsidTr="009868A1">
        <w:trPr>
          <w:trHeight w:val="198"/>
          <w:jc w:val="center"/>
        </w:trPr>
        <w:tc>
          <w:tcPr>
            <w:tcW w:w="3295"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Pr>
                <w:rFonts w:ascii="Arial Narrow" w:hAnsi="Arial Narrow"/>
                <w:sz w:val="20"/>
                <w:szCs w:val="20"/>
              </w:rPr>
              <w:t>Pertsona kop.</w:t>
            </w:r>
          </w:p>
        </w:tc>
        <w:tc>
          <w:tcPr>
            <w:tcW w:w="1086"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2.234</w:t>
            </w:r>
          </w:p>
        </w:tc>
        <w:tc>
          <w:tcPr>
            <w:tcW w:w="2486"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918</w:t>
            </w:r>
          </w:p>
        </w:tc>
        <w:tc>
          <w:tcPr>
            <w:tcW w:w="973"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255</w:t>
            </w:r>
          </w:p>
        </w:tc>
        <w:tc>
          <w:tcPr>
            <w:tcW w:w="993"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3.407</w:t>
            </w:r>
          </w:p>
        </w:tc>
      </w:tr>
    </w:tbl>
    <w:p w:rsidR="00676CA2" w:rsidRDefault="00676CA2" w:rsidP="00676CA2">
      <w:pPr>
        <w:pStyle w:val="texto"/>
        <w:spacing w:before="240" w:after="240"/>
        <w:rPr>
          <w:szCs w:val="26"/>
        </w:rPr>
      </w:pPr>
      <w:r>
        <w:t>Hona hemen mota bakoitzeko zenbat kontratu egin diren, lan harremanaren arabera:</w:t>
      </w:r>
    </w:p>
    <w:tbl>
      <w:tblPr>
        <w:tblStyle w:val="Tablaconcuadrcula"/>
        <w:tblW w:w="883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295"/>
        <w:gridCol w:w="1086"/>
        <w:gridCol w:w="2486"/>
        <w:gridCol w:w="973"/>
        <w:gridCol w:w="993"/>
      </w:tblGrid>
      <w:tr w:rsidR="00676CA2" w:rsidRPr="008217D1" w:rsidTr="009573C3">
        <w:trPr>
          <w:trHeight w:val="272"/>
          <w:jc w:val="center"/>
        </w:trPr>
        <w:tc>
          <w:tcPr>
            <w:tcW w:w="3295" w:type="dxa"/>
            <w:shd w:val="clear" w:color="auto" w:fill="8DB3E2" w:themeFill="text2" w:themeFillTint="66"/>
          </w:tcPr>
          <w:p w:rsidR="00676CA2" w:rsidRPr="008217D1" w:rsidRDefault="00676CA2" w:rsidP="008217D1">
            <w:pPr>
              <w:pStyle w:val="cuadroCabe"/>
            </w:pPr>
          </w:p>
        </w:tc>
        <w:tc>
          <w:tcPr>
            <w:tcW w:w="1086" w:type="dxa"/>
            <w:shd w:val="clear" w:color="auto" w:fill="8DB3E2" w:themeFill="text2" w:themeFillTint="66"/>
            <w:vAlign w:val="center"/>
          </w:tcPr>
          <w:p w:rsidR="00676CA2" w:rsidRPr="008217D1" w:rsidRDefault="00676CA2" w:rsidP="008217D1">
            <w:pPr>
              <w:pStyle w:val="cuadroCabe"/>
              <w:jc w:val="right"/>
            </w:pPr>
            <w:r>
              <w:t>O-NOZ</w:t>
            </w:r>
          </w:p>
        </w:tc>
        <w:tc>
          <w:tcPr>
            <w:tcW w:w="2486" w:type="dxa"/>
            <w:shd w:val="clear" w:color="auto" w:fill="8DB3E2" w:themeFill="text2" w:themeFillTint="66"/>
            <w:vAlign w:val="center"/>
          </w:tcPr>
          <w:p w:rsidR="00676CA2" w:rsidRPr="008217D1" w:rsidRDefault="00676CA2" w:rsidP="008217D1">
            <w:pPr>
              <w:pStyle w:val="cuadroCabe"/>
              <w:jc w:val="right"/>
            </w:pPr>
            <w:r>
              <w:t>Hezkuntza Departame</w:t>
            </w:r>
            <w:r>
              <w:t>n</w:t>
            </w:r>
            <w:r>
              <w:t>tua</w:t>
            </w:r>
          </w:p>
        </w:tc>
        <w:tc>
          <w:tcPr>
            <w:tcW w:w="973" w:type="dxa"/>
            <w:shd w:val="clear" w:color="auto" w:fill="8DB3E2" w:themeFill="text2" w:themeFillTint="66"/>
            <w:vAlign w:val="center"/>
          </w:tcPr>
          <w:p w:rsidR="00676CA2" w:rsidRPr="008217D1" w:rsidRDefault="00676CA2" w:rsidP="008217D1">
            <w:pPr>
              <w:pStyle w:val="cuadroCabe"/>
              <w:jc w:val="right"/>
            </w:pPr>
            <w:r>
              <w:t>PAGNA</w:t>
            </w:r>
          </w:p>
        </w:tc>
        <w:tc>
          <w:tcPr>
            <w:tcW w:w="993" w:type="dxa"/>
            <w:shd w:val="clear" w:color="auto" w:fill="8DB3E2" w:themeFill="text2" w:themeFillTint="66"/>
            <w:vAlign w:val="center"/>
          </w:tcPr>
          <w:p w:rsidR="00676CA2" w:rsidRPr="008217D1" w:rsidRDefault="00676CA2" w:rsidP="008217D1">
            <w:pPr>
              <w:pStyle w:val="cuadroCabe"/>
              <w:jc w:val="right"/>
            </w:pPr>
            <w:r>
              <w:t>Guztira</w:t>
            </w:r>
          </w:p>
        </w:tc>
      </w:tr>
      <w:tr w:rsidR="00676CA2" w:rsidRPr="00610E18" w:rsidTr="009868A1">
        <w:trPr>
          <w:trHeight w:val="198"/>
          <w:jc w:val="center"/>
        </w:trPr>
        <w:tc>
          <w:tcPr>
            <w:tcW w:w="3295" w:type="dxa"/>
            <w:vAlign w:val="center"/>
          </w:tcPr>
          <w:p w:rsidR="00676CA2" w:rsidRPr="00610E18" w:rsidRDefault="00676CA2" w:rsidP="008217D1">
            <w:pPr>
              <w:pStyle w:val="texto"/>
              <w:spacing w:after="0" w:line="240" w:lineRule="atLeast"/>
              <w:ind w:firstLine="0"/>
              <w:jc w:val="left"/>
              <w:rPr>
                <w:rFonts w:ascii="Arial Narrow" w:hAnsi="Arial Narrow"/>
                <w:sz w:val="20"/>
                <w:szCs w:val="20"/>
              </w:rPr>
            </w:pPr>
            <w:r>
              <w:rPr>
                <w:rFonts w:ascii="Arial Narrow" w:hAnsi="Arial Narrow"/>
                <w:sz w:val="20"/>
                <w:szCs w:val="20"/>
              </w:rPr>
              <w:t>Egiturazko kontratua</w:t>
            </w:r>
          </w:p>
        </w:tc>
        <w:tc>
          <w:tcPr>
            <w:tcW w:w="1086" w:type="dxa"/>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4.004</w:t>
            </w:r>
          </w:p>
        </w:tc>
        <w:tc>
          <w:tcPr>
            <w:tcW w:w="2486" w:type="dxa"/>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533</w:t>
            </w:r>
          </w:p>
        </w:tc>
        <w:tc>
          <w:tcPr>
            <w:tcW w:w="973" w:type="dxa"/>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476</w:t>
            </w:r>
          </w:p>
        </w:tc>
        <w:tc>
          <w:tcPr>
            <w:tcW w:w="993" w:type="dxa"/>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5.013</w:t>
            </w:r>
          </w:p>
        </w:tc>
      </w:tr>
      <w:tr w:rsidR="00676CA2" w:rsidRPr="00610E18" w:rsidTr="009868A1">
        <w:trPr>
          <w:trHeight w:val="198"/>
          <w:jc w:val="center"/>
        </w:trPr>
        <w:tc>
          <w:tcPr>
            <w:tcW w:w="3295" w:type="dxa"/>
            <w:tcBorders>
              <w:bottom w:val="single" w:sz="4" w:space="0" w:color="auto"/>
            </w:tcBorders>
            <w:vAlign w:val="center"/>
          </w:tcPr>
          <w:p w:rsidR="00676CA2" w:rsidRPr="00610E18" w:rsidRDefault="00676CA2" w:rsidP="008217D1">
            <w:pPr>
              <w:pStyle w:val="texto"/>
              <w:spacing w:after="0" w:line="240" w:lineRule="atLeast"/>
              <w:ind w:firstLine="0"/>
              <w:jc w:val="left"/>
              <w:rPr>
                <w:rFonts w:ascii="Arial Narrow" w:hAnsi="Arial Narrow"/>
                <w:sz w:val="20"/>
                <w:szCs w:val="20"/>
              </w:rPr>
            </w:pPr>
            <w:r>
              <w:rPr>
                <w:rFonts w:ascii="Arial Narrow" w:hAnsi="Arial Narrow"/>
                <w:sz w:val="20"/>
                <w:szCs w:val="20"/>
              </w:rPr>
              <w:t>Ordezkatzeetarako kontratuak</w:t>
            </w:r>
          </w:p>
        </w:tc>
        <w:tc>
          <w:tcPr>
            <w:tcW w:w="1086" w:type="dxa"/>
            <w:tcBorders>
              <w:bottom w:val="single" w:sz="4" w:space="0" w:color="auto"/>
            </w:tcBorders>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901</w:t>
            </w:r>
          </w:p>
        </w:tc>
        <w:tc>
          <w:tcPr>
            <w:tcW w:w="2486" w:type="dxa"/>
            <w:tcBorders>
              <w:bottom w:val="single" w:sz="4" w:space="0" w:color="auto"/>
            </w:tcBorders>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668</w:t>
            </w:r>
          </w:p>
        </w:tc>
        <w:tc>
          <w:tcPr>
            <w:tcW w:w="973" w:type="dxa"/>
            <w:tcBorders>
              <w:bottom w:val="single" w:sz="4" w:space="0" w:color="auto"/>
            </w:tcBorders>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215</w:t>
            </w:r>
          </w:p>
        </w:tc>
        <w:tc>
          <w:tcPr>
            <w:tcW w:w="993" w:type="dxa"/>
            <w:tcBorders>
              <w:bottom w:val="single" w:sz="4" w:space="0" w:color="auto"/>
            </w:tcBorders>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Pr>
                <w:rFonts w:ascii="Arial Narrow" w:hAnsi="Arial Narrow"/>
                <w:sz w:val="20"/>
                <w:szCs w:val="20"/>
              </w:rPr>
              <w:t>1.784</w:t>
            </w:r>
          </w:p>
        </w:tc>
      </w:tr>
      <w:tr w:rsidR="00676CA2" w:rsidRPr="00610E18" w:rsidTr="008217D1">
        <w:trPr>
          <w:trHeight w:val="257"/>
          <w:jc w:val="center"/>
        </w:trPr>
        <w:tc>
          <w:tcPr>
            <w:tcW w:w="3295" w:type="dxa"/>
            <w:shd w:val="clear" w:color="auto" w:fill="8DB3E2" w:themeFill="text2" w:themeFillTint="66"/>
            <w:vAlign w:val="center"/>
          </w:tcPr>
          <w:p w:rsidR="00676CA2" w:rsidRPr="00610E18" w:rsidRDefault="00676CA2" w:rsidP="008217D1">
            <w:pPr>
              <w:pStyle w:val="cuadroCabe"/>
            </w:pPr>
            <w:r>
              <w:t>Guztira</w:t>
            </w:r>
          </w:p>
        </w:tc>
        <w:tc>
          <w:tcPr>
            <w:tcW w:w="1086" w:type="dxa"/>
            <w:shd w:val="clear" w:color="auto" w:fill="8DB3E2" w:themeFill="text2" w:themeFillTint="66"/>
            <w:vAlign w:val="center"/>
          </w:tcPr>
          <w:p w:rsidR="00676CA2" w:rsidRPr="00610E18" w:rsidRDefault="00676CA2" w:rsidP="008217D1">
            <w:pPr>
              <w:pStyle w:val="cuadroCabe"/>
              <w:jc w:val="right"/>
            </w:pPr>
            <w:r>
              <w:t>4.905</w:t>
            </w:r>
          </w:p>
        </w:tc>
        <w:tc>
          <w:tcPr>
            <w:tcW w:w="2486" w:type="dxa"/>
            <w:shd w:val="clear" w:color="auto" w:fill="8DB3E2" w:themeFill="text2" w:themeFillTint="66"/>
            <w:vAlign w:val="center"/>
          </w:tcPr>
          <w:p w:rsidR="00676CA2" w:rsidRPr="00610E18" w:rsidRDefault="00676CA2" w:rsidP="008217D1">
            <w:pPr>
              <w:pStyle w:val="cuadroCabe"/>
              <w:jc w:val="right"/>
            </w:pPr>
            <w:r>
              <w:t>1.201</w:t>
            </w:r>
          </w:p>
        </w:tc>
        <w:tc>
          <w:tcPr>
            <w:tcW w:w="973" w:type="dxa"/>
            <w:shd w:val="clear" w:color="auto" w:fill="8DB3E2" w:themeFill="text2" w:themeFillTint="66"/>
            <w:vAlign w:val="center"/>
          </w:tcPr>
          <w:p w:rsidR="00676CA2" w:rsidRPr="00610E18" w:rsidRDefault="00676CA2" w:rsidP="008217D1">
            <w:pPr>
              <w:pStyle w:val="cuadroCabe"/>
              <w:jc w:val="right"/>
            </w:pPr>
            <w:r>
              <w:t>691</w:t>
            </w:r>
          </w:p>
        </w:tc>
        <w:tc>
          <w:tcPr>
            <w:tcW w:w="993" w:type="dxa"/>
            <w:shd w:val="clear" w:color="auto" w:fill="8DB3E2" w:themeFill="text2" w:themeFillTint="66"/>
            <w:vAlign w:val="center"/>
          </w:tcPr>
          <w:p w:rsidR="00676CA2" w:rsidRPr="00610E18" w:rsidRDefault="00676CA2" w:rsidP="008217D1">
            <w:pPr>
              <w:pStyle w:val="cuadroCabe"/>
              <w:jc w:val="right"/>
            </w:pPr>
            <w:r>
              <w:t>6.797</w:t>
            </w:r>
          </w:p>
        </w:tc>
      </w:tr>
    </w:tbl>
    <w:p w:rsidR="00676CA2" w:rsidRDefault="00676CA2" w:rsidP="00676CA2">
      <w:pPr>
        <w:pStyle w:val="texto"/>
        <w:spacing w:before="240" w:after="120"/>
        <w:rPr>
          <w:szCs w:val="26"/>
        </w:rPr>
      </w:pPr>
      <w:r>
        <w:t>Egindako kontratu guztien ehuneko 73 egiturazkoak izan ziren, eta ehuneko 27 ordezkatzeetarako egin ziren.</w:t>
      </w:r>
    </w:p>
    <w:p w:rsidR="00676CA2" w:rsidRDefault="00676CA2" w:rsidP="00676CA2">
      <w:pPr>
        <w:pStyle w:val="texto"/>
        <w:spacing w:before="120" w:after="200"/>
        <w:rPr>
          <w:szCs w:val="26"/>
        </w:rPr>
      </w:pPr>
      <w:r>
        <w:t>Honako hau izan zen kontratuen iraupena jarduketa-eremuaren arabera:</w:t>
      </w:r>
    </w:p>
    <w:tbl>
      <w:tblPr>
        <w:tblW w:w="8781"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31"/>
        <w:gridCol w:w="1584"/>
        <w:gridCol w:w="1701"/>
        <w:gridCol w:w="1603"/>
        <w:gridCol w:w="1062"/>
      </w:tblGrid>
      <w:tr w:rsidR="006825F8" w:rsidRPr="000C5337" w:rsidTr="006825F8">
        <w:trPr>
          <w:trHeight w:val="255"/>
        </w:trPr>
        <w:tc>
          <w:tcPr>
            <w:tcW w:w="3045" w:type="dxa"/>
            <w:tcBorders>
              <w:top w:val="single" w:sz="4" w:space="0" w:color="auto"/>
              <w:bottom w:val="nil"/>
            </w:tcBorders>
            <w:shd w:val="clear" w:color="auto" w:fill="8DB3E2" w:themeFill="text2" w:themeFillTint="66"/>
            <w:vAlign w:val="center"/>
          </w:tcPr>
          <w:p w:rsidR="006825F8" w:rsidRPr="000C5337" w:rsidRDefault="006825F8" w:rsidP="008217D1">
            <w:pPr>
              <w:pStyle w:val="cuadroCabe"/>
            </w:pPr>
            <w:r>
              <w:t>Kontratuen iraupena</w:t>
            </w:r>
          </w:p>
        </w:tc>
        <w:tc>
          <w:tcPr>
            <w:tcW w:w="1701" w:type="dxa"/>
            <w:gridSpan w:val="4"/>
            <w:tcBorders>
              <w:top w:val="single" w:sz="4" w:space="0" w:color="auto"/>
              <w:bottom w:val="single" w:sz="2" w:space="0" w:color="auto"/>
            </w:tcBorders>
            <w:shd w:val="clear" w:color="auto" w:fill="8DB3E2" w:themeFill="text2" w:themeFillTint="66"/>
            <w:vAlign w:val="center"/>
          </w:tcPr>
          <w:p w:rsidR="006825F8" w:rsidRPr="00D04AEE" w:rsidRDefault="006825F8" w:rsidP="006825F8">
            <w:pPr>
              <w:pStyle w:val="cuadroCabe"/>
              <w:jc w:val="center"/>
            </w:pPr>
            <w:r>
              <w:t>Kontratuen kopurua</w:t>
            </w:r>
          </w:p>
        </w:tc>
      </w:tr>
      <w:tr w:rsidR="00E77652" w:rsidRPr="000C5337" w:rsidTr="006825F8">
        <w:trPr>
          <w:trHeight w:val="255"/>
        </w:trPr>
        <w:tc>
          <w:tcPr>
            <w:tcW w:w="3045" w:type="dxa"/>
            <w:tcBorders>
              <w:top w:val="nil"/>
            </w:tcBorders>
            <w:shd w:val="clear" w:color="auto" w:fill="8DB3E2" w:themeFill="text2" w:themeFillTint="66"/>
            <w:vAlign w:val="center"/>
            <w:hideMark/>
          </w:tcPr>
          <w:p w:rsidR="00E77652" w:rsidRPr="000C5337" w:rsidRDefault="00E77652" w:rsidP="008217D1">
            <w:pPr>
              <w:pStyle w:val="cuadroCabe"/>
              <w:rPr>
                <w:lang w:val="es-ES" w:eastAsia="es-ES"/>
              </w:rPr>
            </w:pPr>
          </w:p>
        </w:tc>
        <w:tc>
          <w:tcPr>
            <w:tcW w:w="1701" w:type="dxa"/>
            <w:tcBorders>
              <w:top w:val="single" w:sz="2" w:space="0" w:color="auto"/>
            </w:tcBorders>
            <w:shd w:val="clear" w:color="auto" w:fill="8DB3E2" w:themeFill="text2" w:themeFillTint="66"/>
            <w:vAlign w:val="center"/>
            <w:hideMark/>
          </w:tcPr>
          <w:p w:rsidR="00E77652" w:rsidRPr="00D04AEE" w:rsidRDefault="00E77652" w:rsidP="008217D1">
            <w:pPr>
              <w:pStyle w:val="cuadroCabe"/>
              <w:jc w:val="right"/>
            </w:pPr>
            <w:r>
              <w:t>O-NOZ</w:t>
            </w:r>
          </w:p>
        </w:tc>
        <w:tc>
          <w:tcPr>
            <w:tcW w:w="1701" w:type="dxa"/>
            <w:tcBorders>
              <w:top w:val="single" w:sz="4" w:space="0" w:color="auto"/>
            </w:tcBorders>
            <w:shd w:val="clear" w:color="auto" w:fill="8DB3E2" w:themeFill="text2" w:themeFillTint="66"/>
            <w:vAlign w:val="center"/>
            <w:hideMark/>
          </w:tcPr>
          <w:p w:rsidR="00E77652" w:rsidRPr="00D04AEE" w:rsidRDefault="00E77652" w:rsidP="006825F8">
            <w:pPr>
              <w:pStyle w:val="cuadroCabe"/>
              <w:jc w:val="right"/>
            </w:pPr>
            <w:r>
              <w:t>Hezkuntza Dep.</w:t>
            </w:r>
          </w:p>
        </w:tc>
        <w:tc>
          <w:tcPr>
            <w:tcW w:w="1701" w:type="dxa"/>
            <w:tcBorders>
              <w:top w:val="single" w:sz="4" w:space="0" w:color="auto"/>
            </w:tcBorders>
            <w:shd w:val="clear" w:color="auto" w:fill="8DB3E2" w:themeFill="text2" w:themeFillTint="66"/>
            <w:vAlign w:val="center"/>
            <w:hideMark/>
          </w:tcPr>
          <w:p w:rsidR="00E77652" w:rsidRPr="005D70ED" w:rsidRDefault="00E77652" w:rsidP="008217D1">
            <w:pPr>
              <w:pStyle w:val="cuadroCabe"/>
              <w:jc w:val="right"/>
              <w:rPr>
                <w:color w:val="FF0000"/>
              </w:rPr>
            </w:pPr>
            <w:r>
              <w:t>PAGNA</w:t>
            </w:r>
          </w:p>
        </w:tc>
        <w:tc>
          <w:tcPr>
            <w:tcW w:w="1062" w:type="dxa"/>
            <w:tcBorders>
              <w:top w:val="single" w:sz="4" w:space="0" w:color="auto"/>
            </w:tcBorders>
            <w:shd w:val="clear" w:color="auto" w:fill="8DB3E2" w:themeFill="text2" w:themeFillTint="66"/>
            <w:noWrap/>
            <w:vAlign w:val="center"/>
            <w:hideMark/>
          </w:tcPr>
          <w:p w:rsidR="00E77652" w:rsidRPr="00D04AEE" w:rsidRDefault="00E77652" w:rsidP="008217D1">
            <w:pPr>
              <w:pStyle w:val="cuadroCabe"/>
              <w:jc w:val="right"/>
            </w:pPr>
            <w:r>
              <w:t>Guztira</w:t>
            </w:r>
          </w:p>
        </w:tc>
      </w:tr>
      <w:tr w:rsidR="00E77652" w:rsidRPr="000C5337" w:rsidTr="006825F8">
        <w:trPr>
          <w:trHeight w:val="198"/>
        </w:trPr>
        <w:tc>
          <w:tcPr>
            <w:tcW w:w="3045" w:type="dxa"/>
            <w:tcBorders>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rPr>
            </w:pPr>
            <w:r>
              <w:rPr>
                <w:rFonts w:ascii="Arial Narrow" w:hAnsi="Arial Narrow"/>
                <w:color w:val="000000"/>
              </w:rPr>
              <w:t>Urtebete baino gehiago</w:t>
            </w:r>
          </w:p>
        </w:tc>
        <w:tc>
          <w:tcPr>
            <w:tcW w:w="1701" w:type="dxa"/>
            <w:tcBorders>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w:t>
            </w:r>
          </w:p>
        </w:tc>
        <w:tc>
          <w:tcPr>
            <w:tcW w:w="1701" w:type="dxa"/>
            <w:tcBorders>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 </w:t>
            </w:r>
          </w:p>
        </w:tc>
        <w:tc>
          <w:tcPr>
            <w:tcW w:w="1701" w:type="dxa"/>
            <w:tcBorders>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1062" w:type="dxa"/>
            <w:tcBorders>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rPr>
            </w:pPr>
            <w:r>
              <w:rPr>
                <w:rFonts w:ascii="Arial Narrow" w:hAnsi="Arial Narrow"/>
                <w:color w:val="000000"/>
              </w:rPr>
              <w:t>Sei hilabete baino gehiago eta urt</w:t>
            </w:r>
            <w:r>
              <w:rPr>
                <w:rFonts w:ascii="Arial Narrow" w:hAnsi="Arial Narrow"/>
                <w:color w:val="000000"/>
              </w:rPr>
              <w:t>e</w:t>
            </w:r>
            <w:r>
              <w:rPr>
                <w:rFonts w:ascii="Arial Narrow" w:hAnsi="Arial Narrow"/>
                <w:color w:val="000000"/>
              </w:rPr>
              <w:t>bete baino gutxiago</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24</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524</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2</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550</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rPr>
            </w:pPr>
            <w:r>
              <w:rPr>
                <w:rFonts w:ascii="Arial Narrow" w:hAnsi="Arial Narrow"/>
                <w:color w:val="000000"/>
              </w:rPr>
              <w:t>Hiru eta sei hilabete bitarte</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1.716</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16</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15</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1.747</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rPr>
            </w:pPr>
            <w:r>
              <w:rPr>
                <w:rFonts w:ascii="Arial Narrow" w:hAnsi="Arial Narrow"/>
                <w:color w:val="000000"/>
              </w:rPr>
              <w:t>Bi eta hiru hilabete bitarte</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479</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17</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10</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506</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rPr>
            </w:pPr>
            <w:r>
              <w:rPr>
                <w:rFonts w:ascii="Arial Narrow" w:hAnsi="Arial Narrow"/>
                <w:color w:val="000000"/>
              </w:rPr>
              <w:t>Hilabete eta bi hilabete bitarte</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1.299</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50</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305</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1.654</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rPr>
            </w:pPr>
            <w:r>
              <w:rPr>
                <w:rFonts w:ascii="Arial Narrow" w:hAnsi="Arial Narrow"/>
                <w:color w:val="000000"/>
              </w:rPr>
              <w:t>15 eta 29 egun bitarte</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412</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91</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74</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577</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rPr>
            </w:pPr>
            <w:r>
              <w:rPr>
                <w:rFonts w:ascii="Arial Narrow" w:hAnsi="Arial Narrow"/>
                <w:color w:val="000000"/>
              </w:rPr>
              <w:t>Sei eta 14 egun bitarte</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530</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281</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111</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922</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rPr>
            </w:pPr>
            <w:r>
              <w:rPr>
                <w:rFonts w:ascii="Arial Narrow" w:hAnsi="Arial Narrow"/>
                <w:color w:val="000000"/>
              </w:rPr>
              <w:t>Bi eta bost egun bitarte</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292</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198</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135</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625</w:t>
            </w:r>
          </w:p>
        </w:tc>
      </w:tr>
      <w:tr w:rsidR="00E77652" w:rsidRPr="000C5337" w:rsidTr="006825F8">
        <w:trPr>
          <w:trHeight w:val="198"/>
        </w:trPr>
        <w:tc>
          <w:tcPr>
            <w:tcW w:w="3045" w:type="dxa"/>
            <w:tcBorders>
              <w:top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rPr>
            </w:pPr>
            <w:r>
              <w:rPr>
                <w:rFonts w:ascii="Arial Narrow" w:hAnsi="Arial Narrow"/>
                <w:color w:val="000000"/>
              </w:rPr>
              <w:t>Egun bat</w:t>
            </w:r>
          </w:p>
        </w:tc>
        <w:tc>
          <w:tcPr>
            <w:tcW w:w="1701" w:type="dxa"/>
            <w:tcBorders>
              <w:top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152</w:t>
            </w:r>
          </w:p>
        </w:tc>
        <w:tc>
          <w:tcPr>
            <w:tcW w:w="1701" w:type="dxa"/>
            <w:tcBorders>
              <w:top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24</w:t>
            </w:r>
          </w:p>
        </w:tc>
        <w:tc>
          <w:tcPr>
            <w:tcW w:w="1701" w:type="dxa"/>
            <w:tcBorders>
              <w:top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39</w:t>
            </w:r>
          </w:p>
        </w:tc>
        <w:tc>
          <w:tcPr>
            <w:tcW w:w="1062" w:type="dxa"/>
            <w:tcBorders>
              <w:top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215</w:t>
            </w:r>
          </w:p>
        </w:tc>
      </w:tr>
      <w:tr w:rsidR="00E77652" w:rsidRPr="008217D1" w:rsidTr="006825F8">
        <w:trPr>
          <w:trHeight w:val="255"/>
        </w:trPr>
        <w:tc>
          <w:tcPr>
            <w:tcW w:w="3045" w:type="dxa"/>
            <w:shd w:val="clear" w:color="auto" w:fill="8DB3E2" w:themeFill="text2" w:themeFillTint="66"/>
            <w:vAlign w:val="center"/>
            <w:hideMark/>
          </w:tcPr>
          <w:p w:rsidR="00E77652" w:rsidRPr="008217D1" w:rsidRDefault="00E77652" w:rsidP="00E77652">
            <w:pPr>
              <w:pStyle w:val="cuadroCabe"/>
            </w:pPr>
            <w:r>
              <w:t>Guztira</w:t>
            </w:r>
          </w:p>
        </w:tc>
        <w:tc>
          <w:tcPr>
            <w:tcW w:w="1701" w:type="dxa"/>
            <w:shd w:val="clear" w:color="auto" w:fill="8DB3E2" w:themeFill="text2" w:themeFillTint="66"/>
            <w:vAlign w:val="center"/>
            <w:hideMark/>
          </w:tcPr>
          <w:p w:rsidR="00E77652" w:rsidRPr="008217D1" w:rsidRDefault="00E77652" w:rsidP="00E77652">
            <w:pPr>
              <w:pStyle w:val="cuadroCabe"/>
              <w:jc w:val="right"/>
            </w:pPr>
            <w:r>
              <w:t>4.905</w:t>
            </w:r>
          </w:p>
        </w:tc>
        <w:tc>
          <w:tcPr>
            <w:tcW w:w="1701" w:type="dxa"/>
            <w:shd w:val="clear" w:color="auto" w:fill="8DB3E2" w:themeFill="text2" w:themeFillTint="66"/>
            <w:vAlign w:val="center"/>
          </w:tcPr>
          <w:p w:rsidR="00E77652" w:rsidRPr="008217D1" w:rsidRDefault="00E77652" w:rsidP="00E77652">
            <w:pPr>
              <w:pStyle w:val="cuadroCabe"/>
              <w:jc w:val="right"/>
            </w:pPr>
            <w:r>
              <w:t>1.201</w:t>
            </w:r>
          </w:p>
        </w:tc>
        <w:tc>
          <w:tcPr>
            <w:tcW w:w="1701" w:type="dxa"/>
            <w:shd w:val="clear" w:color="auto" w:fill="8DB3E2" w:themeFill="text2" w:themeFillTint="66"/>
            <w:vAlign w:val="center"/>
          </w:tcPr>
          <w:p w:rsidR="00E77652" w:rsidRPr="008217D1" w:rsidRDefault="00E77652" w:rsidP="00E77652">
            <w:pPr>
              <w:pStyle w:val="cuadroCabe"/>
              <w:jc w:val="right"/>
            </w:pPr>
            <w:r>
              <w:t>691</w:t>
            </w:r>
          </w:p>
        </w:tc>
        <w:tc>
          <w:tcPr>
            <w:tcW w:w="1062" w:type="dxa"/>
            <w:shd w:val="clear" w:color="auto" w:fill="8DB3E2" w:themeFill="text2" w:themeFillTint="66"/>
            <w:noWrap/>
            <w:vAlign w:val="center"/>
            <w:hideMark/>
          </w:tcPr>
          <w:p w:rsidR="00E77652" w:rsidRPr="008217D1" w:rsidRDefault="00E77652" w:rsidP="00E77652">
            <w:pPr>
              <w:pStyle w:val="cuadroCabe"/>
              <w:jc w:val="right"/>
            </w:pPr>
            <w:r>
              <w:t>6.797</w:t>
            </w:r>
          </w:p>
        </w:tc>
      </w:tr>
    </w:tbl>
    <w:p w:rsidR="00676CA2" w:rsidRDefault="00676CA2" w:rsidP="00676CA2">
      <w:pPr>
        <w:pStyle w:val="texto"/>
        <w:spacing w:before="200" w:after="240"/>
        <w:rPr>
          <w:rFonts w:ascii="Arial" w:hAnsi="Arial"/>
          <w:i/>
          <w:iCs/>
          <w:color w:val="000000"/>
          <w:spacing w:val="10"/>
          <w:kern w:val="28"/>
          <w:sz w:val="25"/>
          <w:szCs w:val="26"/>
        </w:rPr>
      </w:pPr>
      <w:r>
        <w:t>Kontratuen ehuneko 26 hiru eta sei hilabete bitarteko aldirako egin ziren, ehuneko 24 hilabete eta bi hilabete bitarteko aldirako, eta ehuneko 14k sei eta 14 egun bitarteko iraupena izan zuten.</w:t>
      </w:r>
    </w:p>
    <w:p w:rsidR="00676CA2" w:rsidRDefault="00676CA2" w:rsidP="00676CA2">
      <w:pPr>
        <w:spacing w:after="0"/>
        <w:ind w:firstLine="0"/>
        <w:jc w:val="left"/>
        <w:rPr>
          <w:rFonts w:ascii="Arial" w:hAnsi="Arial"/>
          <w:i/>
          <w:iCs/>
          <w:color w:val="000000"/>
          <w:spacing w:val="10"/>
          <w:kern w:val="28"/>
          <w:sz w:val="25"/>
          <w:szCs w:val="26"/>
        </w:rPr>
      </w:pPr>
      <w:r>
        <w:br w:type="page"/>
      </w:r>
    </w:p>
    <w:p w:rsidR="00676CA2" w:rsidRDefault="00676CA2" w:rsidP="006538A3">
      <w:pPr>
        <w:pStyle w:val="atitulo4"/>
      </w:pPr>
      <w:r>
        <w:lastRenderedPageBreak/>
        <w:t>Ondasun eta zerbitzuetan egindako gastu arrunta</w:t>
      </w:r>
    </w:p>
    <w:p w:rsidR="00676CA2" w:rsidRDefault="00676CA2" w:rsidP="00676CA2">
      <w:pPr>
        <w:pStyle w:val="texto"/>
        <w:spacing w:after="220"/>
      </w:pPr>
      <w:r>
        <w:t>Ondasun eta zerbitzuetan egindako gastu arrunta 70,48 milioikoa zen 2020ko abenduaren 31n. Hona hemen xehakaturik kontzeptu ekonomikoaren arabera:</w:t>
      </w:r>
    </w:p>
    <w:tbl>
      <w:tblPr>
        <w:tblW w:w="8789" w:type="dxa"/>
        <w:tblLayout w:type="fixed"/>
        <w:tblCellMar>
          <w:left w:w="70" w:type="dxa"/>
          <w:right w:w="70" w:type="dxa"/>
        </w:tblCellMar>
        <w:tblLook w:val="04A0" w:firstRow="1" w:lastRow="0" w:firstColumn="1" w:lastColumn="0" w:noHBand="0" w:noVBand="1"/>
      </w:tblPr>
      <w:tblGrid>
        <w:gridCol w:w="4253"/>
        <w:gridCol w:w="2693"/>
        <w:gridCol w:w="1843"/>
      </w:tblGrid>
      <w:tr w:rsidR="00676CA2" w:rsidRPr="00A758EA" w:rsidTr="00E51697">
        <w:trPr>
          <w:trHeight w:val="284"/>
        </w:trPr>
        <w:tc>
          <w:tcPr>
            <w:tcW w:w="425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E51697">
            <w:pPr>
              <w:pStyle w:val="cuadroCabe"/>
            </w:pPr>
            <w:r>
              <w:t>Kontzeptu ekonomikoa</w:t>
            </w:r>
          </w:p>
        </w:tc>
        <w:tc>
          <w:tcPr>
            <w:tcW w:w="2693" w:type="dxa"/>
            <w:tcBorders>
              <w:top w:val="single" w:sz="4" w:space="0" w:color="auto"/>
              <w:left w:val="nil"/>
              <w:bottom w:val="single" w:sz="4" w:space="0" w:color="auto"/>
              <w:right w:val="nil"/>
            </w:tcBorders>
            <w:shd w:val="clear" w:color="auto" w:fill="8DB3E2" w:themeFill="text2" w:themeFillTint="66"/>
            <w:noWrap/>
            <w:vAlign w:val="center"/>
            <w:hideMark/>
          </w:tcPr>
          <w:p w:rsidR="00EA45FC" w:rsidRDefault="00676CA2" w:rsidP="00E51697">
            <w:pPr>
              <w:pStyle w:val="cuadroCabe"/>
              <w:jc w:val="right"/>
            </w:pPr>
            <w:r>
              <w:t xml:space="preserve">Aitortutako </w:t>
            </w:r>
          </w:p>
          <w:p w:rsidR="00676CA2" w:rsidRPr="004177B8" w:rsidRDefault="00676CA2" w:rsidP="00E51697">
            <w:pPr>
              <w:pStyle w:val="cuadroCabe"/>
              <w:jc w:val="right"/>
            </w:pPr>
            <w:r>
              <w:t>betebehar garbiak</w:t>
            </w:r>
          </w:p>
        </w:tc>
        <w:tc>
          <w:tcPr>
            <w:tcW w:w="1843"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676CA2" w:rsidP="00E51697">
            <w:pPr>
              <w:pStyle w:val="cuadroCabe"/>
              <w:jc w:val="right"/>
            </w:pPr>
            <w:r>
              <w:t>Guztizko ABGen ehunekoa</w:t>
            </w:r>
          </w:p>
        </w:tc>
      </w:tr>
      <w:tr w:rsidR="00676CA2" w:rsidRPr="002102CF" w:rsidTr="00E51697">
        <w:trPr>
          <w:trHeight w:val="198"/>
        </w:trPr>
        <w:tc>
          <w:tcPr>
            <w:tcW w:w="4253" w:type="dxa"/>
            <w:tcBorders>
              <w:top w:val="single" w:sz="4"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Kontsumitzeko osasun alorreko materiala</w:t>
            </w:r>
          </w:p>
        </w:tc>
        <w:tc>
          <w:tcPr>
            <w:tcW w:w="2693" w:type="dxa"/>
            <w:tcBorders>
              <w:top w:val="single" w:sz="4"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23.492.140</w:t>
            </w:r>
          </w:p>
        </w:tc>
        <w:tc>
          <w:tcPr>
            <w:tcW w:w="1843" w:type="dxa"/>
            <w:tcBorders>
              <w:top w:val="single" w:sz="4"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33</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Produktu kimikoak eta laborategikoak</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14.017.539</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20</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Osasun laguntzako itunak</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8.585.045</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12</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Gizarte zerbitzu bermatuen kudeaketa</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4.646.102</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6,6</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Instrumentuak eta tresna txikiak</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3.228.254</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4,6</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Garbiketarako eta txukuntasunerako materiala</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2.363.003</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3,4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Farmakoak</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1.996.050</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2,8</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Garbiketa eta txukuntasun zerbitzuak</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1.789.775</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2,5</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Bestelako gastu askotarikoak</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1.591.396</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2,3</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Publizitatea eta propaganda</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1.120.399</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1,6</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Hirugarrenek egindako bestelako lanak</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1.042.478</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1,5</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Bestelako hornidura osagarriak</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1.021.540</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1,4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Eskola garraioa</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761.435</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1,1</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Osasun garraioa</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635.294</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0,9</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Informatika zerbitzuak</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630.461</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0,9</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Programen eta lizentzien errentamenduak</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497.182</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0,7</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Elikadura</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428.043</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0,6</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Hondakinen kudeaketa</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327.338</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0,5</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Telekomunikazio zerbitzuak</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296.406</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Jantziak</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265.305</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Segurtasun zerbitzuak</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257.861</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Gas medikoak</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205.458</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0,3</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Azterlanak eta lan teknikoak</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190.778</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0,3</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Bestelako garraio gastuak</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156.543</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0,2</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Altzarien eta bestelako gauzen errentamenduak</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153.556</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0,2</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Ikuztegi-zerbitzuak</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136.447</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0,2</w:t>
            </w:r>
          </w:p>
        </w:tc>
      </w:tr>
      <w:tr w:rsidR="00676CA2" w:rsidRPr="002102CF" w:rsidTr="00E51697">
        <w:trPr>
          <w:trHeight w:val="198"/>
        </w:trPr>
        <w:tc>
          <w:tcPr>
            <w:tcW w:w="4253" w:type="dxa"/>
            <w:tcBorders>
              <w:top w:val="single" w:sz="2" w:space="0" w:color="auto"/>
              <w:left w:val="nil"/>
              <w:bottom w:val="single" w:sz="4"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olor w:val="000000"/>
              </w:rPr>
              <w:t>Bestelako kontzeptuak (13 kontzeptu)</w:t>
            </w:r>
          </w:p>
        </w:tc>
        <w:tc>
          <w:tcPr>
            <w:tcW w:w="2693" w:type="dxa"/>
            <w:tcBorders>
              <w:top w:val="single" w:sz="2" w:space="0" w:color="auto"/>
              <w:left w:val="nil"/>
              <w:bottom w:val="single" w:sz="4"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olor w:val="000000"/>
              </w:rPr>
              <w:t>648.237</w:t>
            </w:r>
          </w:p>
        </w:tc>
        <w:tc>
          <w:tcPr>
            <w:tcW w:w="1843" w:type="dxa"/>
            <w:tcBorders>
              <w:top w:val="single" w:sz="2" w:space="0" w:color="auto"/>
              <w:left w:val="nil"/>
              <w:bottom w:val="single" w:sz="4"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olor w:val="000000"/>
              </w:rPr>
              <w:t>0,9</w:t>
            </w:r>
          </w:p>
        </w:tc>
      </w:tr>
      <w:tr w:rsidR="00676CA2" w:rsidRPr="00BE3C93" w:rsidTr="00E51697">
        <w:trPr>
          <w:trHeight w:val="255"/>
        </w:trPr>
        <w:tc>
          <w:tcPr>
            <w:tcW w:w="425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BE3C93" w:rsidRDefault="00676CA2" w:rsidP="00E51697">
            <w:pPr>
              <w:pStyle w:val="cuadroCabe"/>
            </w:pPr>
            <w:r>
              <w:t>Guztira, oro har</w:t>
            </w:r>
          </w:p>
        </w:tc>
        <w:tc>
          <w:tcPr>
            <w:tcW w:w="269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BE3C93" w:rsidRDefault="00676CA2" w:rsidP="00E51697">
            <w:pPr>
              <w:pStyle w:val="cuadroCabe"/>
              <w:jc w:val="right"/>
            </w:pPr>
            <w:r>
              <w:t>70.484.065</w:t>
            </w:r>
          </w:p>
        </w:tc>
        <w:tc>
          <w:tcPr>
            <w:tcW w:w="1843" w:type="dxa"/>
            <w:tcBorders>
              <w:top w:val="single" w:sz="4" w:space="0" w:color="auto"/>
              <w:left w:val="nil"/>
              <w:bottom w:val="single" w:sz="4" w:space="0" w:color="auto"/>
              <w:right w:val="nil"/>
            </w:tcBorders>
            <w:shd w:val="clear" w:color="auto" w:fill="8DB3E2" w:themeFill="text2" w:themeFillTint="66"/>
            <w:vAlign w:val="center"/>
          </w:tcPr>
          <w:p w:rsidR="00676CA2" w:rsidRPr="00BE3C93" w:rsidRDefault="00676CA2" w:rsidP="00E51697">
            <w:pPr>
              <w:pStyle w:val="cuadroCabe"/>
              <w:jc w:val="right"/>
            </w:pPr>
            <w:r>
              <w:t>100</w:t>
            </w:r>
          </w:p>
        </w:tc>
      </w:tr>
    </w:tbl>
    <w:p w:rsidR="00676CA2" w:rsidRDefault="00676CA2" w:rsidP="00676CA2">
      <w:pPr>
        <w:pStyle w:val="texto"/>
        <w:spacing w:before="240"/>
      </w:pPr>
      <w:r>
        <w:t>Gastuaren ehuneko 33 kontsumitzeko osasun alorreko materiala erosteko egin zen (23,49 milioi); ehuneko 20, produktu kimiko eta laborategikoetarako (14,02 milioi); ehuneko 12, osasun laguntzako zerbitzuak ituntzeko (8,59 m</w:t>
      </w:r>
      <w:r>
        <w:t>i</w:t>
      </w:r>
      <w:r>
        <w:t>lioi); eta ehuneko zazpi, gizarte zerbitzu bermatuak kudeatzeko (4,65 milioi). Gainerako kontzeptu ekonomikoek, banaka hartuta, guztizko gastuaren ehuneko bostetik beherako zenbatekoa izan zuten.</w:t>
      </w:r>
    </w:p>
    <w:p w:rsidR="00676CA2" w:rsidRDefault="00676CA2" w:rsidP="00676CA2">
      <w:pPr>
        <w:pStyle w:val="texto"/>
        <w:spacing w:before="120" w:after="120"/>
      </w:pPr>
      <w:r>
        <w:t>Gastu horiek berekin ekarri zuten kontratuak formalizatzea edo lehendik zeudenak aldatzea, txosten honen II.2 atalean azaldutako irizpideei jarraituz. Espediente horietatik ia guztiak larrialdiko prozeduraren bidez izapidetu zir</w:t>
      </w:r>
      <w:r>
        <w:t>e</w:t>
      </w:r>
      <w:r>
        <w:t>nez, ezin dugu kalkulatu zenbat kontraturi dagokien adierazitako gastua. Izan ere, oraindik ez daude denak formalizatuta eta Kontratazioaren Atarian argit</w:t>
      </w:r>
      <w:r>
        <w:t>a</w:t>
      </w:r>
      <w:r>
        <w:t xml:space="preserve">ratuta. </w:t>
      </w:r>
    </w:p>
    <w:p w:rsidR="00676CA2" w:rsidRDefault="00676CA2" w:rsidP="00676CA2">
      <w:pPr>
        <w:pStyle w:val="texto"/>
        <w:spacing w:before="120" w:after="120"/>
      </w:pPr>
      <w:r>
        <w:t xml:space="preserve">Horren ildotik hau adierazi behar dugu: 2021eko martxoaren 1ean, aipatu atarian dagoen informazioaren arabera, COVID-19aren kudeaketa zela-eta </w:t>
      </w:r>
      <w:r>
        <w:lastRenderedPageBreak/>
        <w:t>2020ko martxotik 2021eko martxora bitartean larrialdiko prozeduraz izapidetu ondoren formalizatu eta argitaratu diren kontratazio espedienteak 96 dira, eta guztira 14,88 milioi egiten dute (BEZik gabe), aipatutako gastua baino zenb</w:t>
      </w:r>
      <w:r>
        <w:t>a</w:t>
      </w:r>
      <w:r>
        <w:t>teko nabarmen txikiagoa. Bestalde, aipatu aldian COVID-19a dela-eta ohiko prozeduraren bidez izapidetutako bi kontratu daude jasorik, eta guztira 1,80 m</w:t>
      </w:r>
      <w:r>
        <w:t>i</w:t>
      </w:r>
      <w:r>
        <w:t>lioi egiten dute.</w:t>
      </w:r>
    </w:p>
    <w:p w:rsidR="00676CA2" w:rsidRDefault="00676CA2" w:rsidP="006538A3">
      <w:pPr>
        <w:pStyle w:val="atitulo4"/>
      </w:pPr>
      <w:r>
        <w:t>Transferentzia arruntengatiko gastuak</w:t>
      </w:r>
    </w:p>
    <w:p w:rsidR="00676CA2" w:rsidRDefault="00676CA2" w:rsidP="00676CA2">
      <w:pPr>
        <w:pStyle w:val="texto"/>
        <w:spacing w:after="240"/>
      </w:pPr>
      <w:r>
        <w:t>Transferentzia arruntengatiko gastua 72,06 milioikoa zen 2020ko abenduaren 31n. Hona hemen xehakaturik kontzeptu ekonomikoaren arabera:</w:t>
      </w:r>
    </w:p>
    <w:tbl>
      <w:tblPr>
        <w:tblW w:w="8789" w:type="dxa"/>
        <w:jc w:val="center"/>
        <w:tblCellMar>
          <w:left w:w="70" w:type="dxa"/>
          <w:right w:w="70" w:type="dxa"/>
        </w:tblCellMar>
        <w:tblLook w:val="04A0" w:firstRow="1" w:lastRow="0" w:firstColumn="1" w:lastColumn="0" w:noHBand="0" w:noVBand="1"/>
      </w:tblPr>
      <w:tblGrid>
        <w:gridCol w:w="4536"/>
        <w:gridCol w:w="2835"/>
        <w:gridCol w:w="1418"/>
      </w:tblGrid>
      <w:tr w:rsidR="00676CA2" w:rsidRPr="00A758EA" w:rsidTr="005A518C">
        <w:trPr>
          <w:trHeight w:val="300"/>
          <w:jc w:val="center"/>
        </w:trPr>
        <w:tc>
          <w:tcPr>
            <w:tcW w:w="4536"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5A518C">
            <w:pPr>
              <w:pStyle w:val="cuadroCabe"/>
            </w:pPr>
            <w:r>
              <w:t>Kontzeptu ekonomikoa</w:t>
            </w:r>
          </w:p>
        </w:tc>
        <w:tc>
          <w:tcPr>
            <w:tcW w:w="2835" w:type="dxa"/>
            <w:tcBorders>
              <w:top w:val="single" w:sz="4" w:space="0" w:color="auto"/>
              <w:left w:val="nil"/>
              <w:bottom w:val="single" w:sz="4" w:space="0" w:color="auto"/>
              <w:right w:val="nil"/>
            </w:tcBorders>
            <w:shd w:val="clear" w:color="auto" w:fill="8DB3E2" w:themeFill="text2" w:themeFillTint="66"/>
            <w:noWrap/>
            <w:vAlign w:val="center"/>
            <w:hideMark/>
          </w:tcPr>
          <w:p w:rsidR="00A76D1C" w:rsidRDefault="00676CA2" w:rsidP="005A518C">
            <w:pPr>
              <w:pStyle w:val="cuadroCabe"/>
              <w:ind w:right="642"/>
              <w:jc w:val="right"/>
            </w:pPr>
            <w:r>
              <w:t xml:space="preserve">Aitortutako </w:t>
            </w:r>
          </w:p>
          <w:p w:rsidR="00676CA2" w:rsidRPr="004177B8" w:rsidRDefault="00676CA2" w:rsidP="005A518C">
            <w:pPr>
              <w:pStyle w:val="cuadroCabe"/>
              <w:ind w:right="642"/>
              <w:jc w:val="right"/>
            </w:pPr>
            <w:r>
              <w:t>betebehar garbiak</w:t>
            </w:r>
          </w:p>
        </w:tc>
        <w:tc>
          <w:tcPr>
            <w:tcW w:w="1418"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A76D1C" w:rsidP="0010329E">
            <w:pPr>
              <w:pStyle w:val="cuadroCabe"/>
              <w:jc w:val="right"/>
            </w:pPr>
            <w:r>
              <w:t>Guztizko A</w:t>
            </w:r>
            <w:r>
              <w:t>B</w:t>
            </w:r>
            <w:r>
              <w:t>Gen ehunekoa</w:t>
            </w:r>
          </w:p>
        </w:tc>
      </w:tr>
      <w:tr w:rsidR="00676CA2" w:rsidRPr="004177B8" w:rsidTr="005A518C">
        <w:trPr>
          <w:trHeight w:hRule="exact" w:val="255"/>
          <w:jc w:val="center"/>
        </w:trPr>
        <w:tc>
          <w:tcPr>
            <w:tcW w:w="4536" w:type="dxa"/>
            <w:tcBorders>
              <w:top w:val="single" w:sz="4" w:space="0" w:color="auto"/>
              <w:left w:val="nil"/>
              <w:bottom w:val="single" w:sz="2" w:space="0" w:color="auto"/>
              <w:right w:val="nil"/>
            </w:tcBorders>
            <w:shd w:val="clear" w:color="auto" w:fill="auto"/>
            <w:noWrap/>
            <w:vAlign w:val="center"/>
            <w:hideMark/>
          </w:tcPr>
          <w:p w:rsidR="00676CA2" w:rsidRDefault="00676CA2" w:rsidP="005A518C">
            <w:pPr>
              <w:spacing w:after="0"/>
              <w:ind w:firstLine="0"/>
              <w:jc w:val="left"/>
              <w:rPr>
                <w:rFonts w:ascii="Arial Narrow" w:hAnsi="Arial Narrow" w:cs="Calibri"/>
                <w:color w:val="000000"/>
                <w:sz w:val="19"/>
                <w:szCs w:val="19"/>
              </w:rPr>
            </w:pPr>
            <w:r>
              <w:rPr>
                <w:rFonts w:ascii="Arial Narrow" w:hAnsi="Arial Narrow"/>
                <w:color w:val="000000"/>
                <w:sz w:val="19"/>
                <w:szCs w:val="19"/>
              </w:rPr>
              <w:t>Transf. arruntak beste enpresa pribatu batzuei</w:t>
            </w:r>
          </w:p>
        </w:tc>
        <w:tc>
          <w:tcPr>
            <w:tcW w:w="2835" w:type="dxa"/>
            <w:tcBorders>
              <w:top w:val="single" w:sz="4"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39.915.850</w:t>
            </w:r>
          </w:p>
        </w:tc>
        <w:tc>
          <w:tcPr>
            <w:tcW w:w="1418" w:type="dxa"/>
            <w:tcBorders>
              <w:top w:val="single" w:sz="4"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55,5</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Toki entitateentzako transferentzia arrunten funtsa</w:t>
            </w:r>
          </w:p>
        </w:tc>
        <w:tc>
          <w:tcPr>
            <w:tcW w:w="2835" w:type="dxa"/>
            <w:tcBorders>
              <w:top w:val="single" w:sz="2" w:space="0" w:color="auto"/>
              <w:left w:val="nil"/>
              <w:bottom w:val="single" w:sz="2" w:space="0" w:color="auto"/>
              <w:right w:val="nil"/>
            </w:tcBorders>
            <w:shd w:val="clear" w:color="auto" w:fill="auto"/>
            <w:noWrap/>
            <w:vAlign w:val="center"/>
          </w:tcPr>
          <w:p w:rsidR="00676CA2" w:rsidRPr="003A1F5B" w:rsidRDefault="00676CA2" w:rsidP="005A518C">
            <w:pPr>
              <w:ind w:right="642"/>
              <w:jc w:val="right"/>
              <w:rPr>
                <w:rFonts w:ascii="Arial Narrow" w:hAnsi="Arial Narrow" w:cs="Calibri"/>
                <w:color w:val="FF0000"/>
              </w:rPr>
            </w:pPr>
            <w:r>
              <w:rPr>
                <w:rFonts w:ascii="Arial Narrow" w:hAnsi="Arial Narrow"/>
              </w:rPr>
              <w:t>11.500.000</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16</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Transf. arruntak familia eta banakoei</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7.732.911</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11</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Transf. arruntak enpresa publikoei</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4.345.222</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6</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Transf. arruntak nekazaritza enpresei</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2.935.943</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4</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Transf. arruntak unibertsitateaz kanpoko irakaskuntza zentroei</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2.884.342</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4</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Bestelako transf. arruntak toki entitateei</w:t>
            </w:r>
          </w:p>
        </w:tc>
        <w:tc>
          <w:tcPr>
            <w:tcW w:w="2835" w:type="dxa"/>
            <w:tcBorders>
              <w:top w:val="single" w:sz="2" w:space="0" w:color="auto"/>
              <w:left w:val="nil"/>
              <w:bottom w:val="single" w:sz="2" w:space="0" w:color="auto"/>
              <w:right w:val="nil"/>
            </w:tcBorders>
            <w:shd w:val="clear" w:color="auto" w:fill="auto"/>
            <w:noWrap/>
            <w:vAlign w:val="center"/>
          </w:tcPr>
          <w:p w:rsidR="00676CA2" w:rsidRDefault="00676CA2" w:rsidP="005A518C">
            <w:pPr>
              <w:ind w:right="642"/>
              <w:jc w:val="right"/>
              <w:rPr>
                <w:rFonts w:ascii="Arial Narrow" w:hAnsi="Arial Narrow" w:cs="Calibri"/>
                <w:color w:val="000000"/>
              </w:rPr>
            </w:pPr>
            <w:r>
              <w:rPr>
                <w:rFonts w:ascii="Arial Narrow" w:hAnsi="Arial Narrow"/>
                <w:color w:val="000000"/>
              </w:rPr>
              <w:t>1.626.529</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2</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Transf. arruntak Nafarroako Unibertsitate Publikoari</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750.000</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1</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Transf. arruntak beste erakunde publiko batzuei</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269.292</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0,5</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Transf. arruntak fakultate eta unibertsitate-eskolei</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80.150</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Transf. arruntak irabazi-asmorik gabeko beste erakunde b</w:t>
            </w:r>
            <w:r>
              <w:rPr>
                <w:rFonts w:ascii="Arial Narrow" w:hAnsi="Arial Narrow"/>
                <w:color w:val="000000"/>
                <w:sz w:val="19"/>
                <w:szCs w:val="19"/>
              </w:rPr>
              <w:t>a</w:t>
            </w:r>
            <w:r>
              <w:rPr>
                <w:rFonts w:ascii="Arial Narrow" w:hAnsi="Arial Narrow"/>
                <w:color w:val="000000"/>
                <w:sz w:val="19"/>
                <w:szCs w:val="19"/>
              </w:rPr>
              <w:t>tzuei</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15.000</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w:t>
            </w:r>
          </w:p>
        </w:tc>
      </w:tr>
      <w:tr w:rsidR="00676CA2" w:rsidRPr="004177B8" w:rsidTr="005A518C">
        <w:trPr>
          <w:trHeight w:hRule="exact" w:val="255"/>
          <w:jc w:val="center"/>
        </w:trPr>
        <w:tc>
          <w:tcPr>
            <w:tcW w:w="4536" w:type="dxa"/>
            <w:tcBorders>
              <w:top w:val="single" w:sz="2" w:space="0" w:color="auto"/>
              <w:left w:val="nil"/>
              <w:bottom w:val="single" w:sz="4"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r>
              <w:rPr>
                <w:rFonts w:ascii="Arial Narrow" w:hAnsi="Arial Narrow"/>
                <w:color w:val="000000"/>
                <w:sz w:val="19"/>
                <w:szCs w:val="19"/>
              </w:rPr>
              <w:t>Transf. arruntak merkataritza enpresei</w:t>
            </w:r>
          </w:p>
        </w:tc>
        <w:tc>
          <w:tcPr>
            <w:tcW w:w="2835" w:type="dxa"/>
            <w:tcBorders>
              <w:top w:val="single" w:sz="2" w:space="0" w:color="auto"/>
              <w:left w:val="nil"/>
              <w:bottom w:val="single" w:sz="4"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olor w:val="000000"/>
              </w:rPr>
              <w:t>3.275</w:t>
            </w:r>
          </w:p>
        </w:tc>
        <w:tc>
          <w:tcPr>
            <w:tcW w:w="1418" w:type="dxa"/>
            <w:tcBorders>
              <w:top w:val="single" w:sz="2" w:space="0" w:color="auto"/>
              <w:left w:val="nil"/>
              <w:bottom w:val="single" w:sz="4"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olor w:val="000000"/>
              </w:rPr>
              <w:t>-</w:t>
            </w:r>
          </w:p>
        </w:tc>
      </w:tr>
      <w:tr w:rsidR="00676CA2" w:rsidRPr="004177B8" w:rsidTr="005A518C">
        <w:trPr>
          <w:trHeight w:hRule="exact" w:val="255"/>
          <w:jc w:val="center"/>
        </w:trPr>
        <w:tc>
          <w:tcPr>
            <w:tcW w:w="4536"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Default="00676CA2" w:rsidP="005A518C">
            <w:pPr>
              <w:pStyle w:val="cuadroCabe"/>
            </w:pPr>
            <w:r>
              <w:t>Guztira, oro har</w:t>
            </w:r>
          </w:p>
        </w:tc>
        <w:tc>
          <w:tcPr>
            <w:tcW w:w="2835"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B536B4" w:rsidRDefault="00676CA2" w:rsidP="005A518C">
            <w:pPr>
              <w:pStyle w:val="cuadroCabe"/>
              <w:ind w:right="642"/>
              <w:jc w:val="right"/>
              <w:rPr>
                <w:color w:val="000000"/>
              </w:rPr>
            </w:pPr>
            <w:r>
              <w:rPr>
                <w:color w:val="000000"/>
              </w:rPr>
              <w:t>72.058.514</w:t>
            </w:r>
          </w:p>
        </w:tc>
        <w:tc>
          <w:tcPr>
            <w:tcW w:w="1418" w:type="dxa"/>
            <w:tcBorders>
              <w:top w:val="single" w:sz="4" w:space="0" w:color="auto"/>
              <w:left w:val="nil"/>
              <w:bottom w:val="single" w:sz="4" w:space="0" w:color="auto"/>
              <w:right w:val="nil"/>
            </w:tcBorders>
            <w:shd w:val="clear" w:color="auto" w:fill="8DB3E2" w:themeFill="text2" w:themeFillTint="66"/>
            <w:vAlign w:val="center"/>
          </w:tcPr>
          <w:p w:rsidR="00676CA2" w:rsidRPr="00B536B4" w:rsidRDefault="00676CA2" w:rsidP="0010329E">
            <w:pPr>
              <w:pStyle w:val="cuadroCabe"/>
              <w:jc w:val="right"/>
              <w:rPr>
                <w:color w:val="000000"/>
              </w:rPr>
            </w:pPr>
            <w:r>
              <w:rPr>
                <w:color w:val="000000"/>
              </w:rPr>
              <w:t>100</w:t>
            </w:r>
          </w:p>
        </w:tc>
      </w:tr>
    </w:tbl>
    <w:p w:rsidR="00676CA2" w:rsidRDefault="00676CA2" w:rsidP="00676CA2">
      <w:pPr>
        <w:pStyle w:val="texto"/>
        <w:spacing w:before="240" w:after="240"/>
        <w:rPr>
          <w:szCs w:val="26"/>
        </w:rPr>
      </w:pPr>
      <w:r>
        <w:t>Transferentzien ehuneko 55 (39,92 milioi) enpresa pribatuentzako laguntzak izan ziren, eta horietatik 24,03 milioi autonomoei eman zitzaizkien; toki entit</w:t>
      </w:r>
      <w:r>
        <w:t>a</w:t>
      </w:r>
      <w:r>
        <w:t>teek guztizko gastuaren ehuneko 18 jaso zuten, eta guztizko gastu horren ba</w:t>
      </w:r>
      <w:r>
        <w:t>r</w:t>
      </w:r>
      <w:r>
        <w:t>nean nabarmentzen dira toki entitateei diru-bilketa urriagatik laguntza ez-finalista emateko aparteko funtsa, 10,50 milioikoa (13/2020 Foru Legearen b</w:t>
      </w:r>
      <w:r>
        <w:t>i</w:t>
      </w:r>
      <w:r>
        <w:t>dez onetsi zen), eta bidaiarien hiri garraioaren defizita arintzeko milioi bat euro; bestalde, gastuaren ehuneko 11 familia eta banakoengana bideratu zen, errenta bermatura gehienbat (kontzeptu horretan jarritako 7,73 milioien eh</w:t>
      </w:r>
      <w:r>
        <w:t>u</w:t>
      </w:r>
      <w:r>
        <w:t>neko 78, hain zuzen ere).</w:t>
      </w:r>
    </w:p>
    <w:p w:rsidR="00676CA2" w:rsidRDefault="00676CA2" w:rsidP="006538A3">
      <w:pPr>
        <w:pStyle w:val="atitulo4"/>
      </w:pPr>
      <w:r>
        <w:t>Kapital-transferentziengatiko gastua</w:t>
      </w:r>
    </w:p>
    <w:p w:rsidR="00676CA2" w:rsidRDefault="00676CA2" w:rsidP="00676CA2">
      <w:pPr>
        <w:pStyle w:val="texto"/>
        <w:spacing w:after="240"/>
      </w:pPr>
      <w:r>
        <w:t>Kapital-transferentziengatiko gastua 15,72 milioikoa zen 2020ko abenduaren 31n. Hona hemen xehakaturik kontzeptu ekonomikoaren arabera:</w:t>
      </w:r>
    </w:p>
    <w:tbl>
      <w:tblPr>
        <w:tblW w:w="8931" w:type="dxa"/>
        <w:jc w:val="center"/>
        <w:tblCellMar>
          <w:left w:w="70" w:type="dxa"/>
          <w:right w:w="70" w:type="dxa"/>
        </w:tblCellMar>
        <w:tblLook w:val="04A0" w:firstRow="1" w:lastRow="0" w:firstColumn="1" w:lastColumn="0" w:noHBand="0" w:noVBand="1"/>
      </w:tblPr>
      <w:tblGrid>
        <w:gridCol w:w="4536"/>
        <w:gridCol w:w="3060"/>
        <w:gridCol w:w="1335"/>
      </w:tblGrid>
      <w:tr w:rsidR="00676CA2" w:rsidRPr="00A758EA" w:rsidTr="00D7219A">
        <w:trPr>
          <w:trHeight w:val="300"/>
          <w:jc w:val="center"/>
        </w:trPr>
        <w:tc>
          <w:tcPr>
            <w:tcW w:w="4536"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A76D1C">
            <w:pPr>
              <w:pStyle w:val="cuadroCabe"/>
            </w:pPr>
            <w:r>
              <w:t>Kontzeptu ekonomikoa</w:t>
            </w:r>
          </w:p>
        </w:tc>
        <w:tc>
          <w:tcPr>
            <w:tcW w:w="3060"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A76D1C">
            <w:pPr>
              <w:pStyle w:val="cuadroCabe"/>
              <w:jc w:val="right"/>
            </w:pPr>
            <w:r>
              <w:t>Aitortutako betebehar garbiak</w:t>
            </w:r>
          </w:p>
        </w:tc>
        <w:tc>
          <w:tcPr>
            <w:tcW w:w="1335"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676CA2" w:rsidP="00A76D1C">
            <w:pPr>
              <w:pStyle w:val="cuadroCabe"/>
              <w:jc w:val="right"/>
            </w:pPr>
            <w:r>
              <w:t>Guztizko ABGen eh</w:t>
            </w:r>
            <w:r>
              <w:t>u</w:t>
            </w:r>
            <w:r>
              <w:t>nekoa</w:t>
            </w:r>
          </w:p>
        </w:tc>
      </w:tr>
      <w:tr w:rsidR="00676CA2" w:rsidRPr="004177B8" w:rsidTr="00D7219A">
        <w:trPr>
          <w:trHeight w:val="198"/>
          <w:jc w:val="center"/>
        </w:trPr>
        <w:tc>
          <w:tcPr>
            <w:tcW w:w="4536" w:type="dxa"/>
            <w:tcBorders>
              <w:top w:val="single" w:sz="4" w:space="0" w:color="auto"/>
              <w:left w:val="nil"/>
              <w:bottom w:val="single" w:sz="2" w:space="0" w:color="auto"/>
              <w:right w:val="nil"/>
            </w:tcBorders>
            <w:shd w:val="clear" w:color="auto" w:fill="auto"/>
            <w:noWrap/>
            <w:vAlign w:val="center"/>
            <w:hideMark/>
          </w:tcPr>
          <w:p w:rsidR="00676CA2" w:rsidRPr="00D7219A" w:rsidRDefault="00676CA2" w:rsidP="00D7219A">
            <w:pPr>
              <w:spacing w:after="0"/>
              <w:ind w:firstLine="0"/>
              <w:jc w:val="left"/>
              <w:rPr>
                <w:rFonts w:ascii="Arial Narrow" w:hAnsi="Arial Narrow" w:cs="Calibri"/>
                <w:color w:val="000000"/>
              </w:rPr>
            </w:pPr>
            <w:r>
              <w:rPr>
                <w:rFonts w:ascii="Arial Narrow" w:hAnsi="Arial Narrow"/>
                <w:color w:val="000000"/>
              </w:rPr>
              <w:t>Kapital-transf. toki entitateei</w:t>
            </w:r>
          </w:p>
        </w:tc>
        <w:tc>
          <w:tcPr>
            <w:tcW w:w="3060" w:type="dxa"/>
            <w:tcBorders>
              <w:top w:val="single" w:sz="4" w:space="0" w:color="auto"/>
              <w:left w:val="nil"/>
              <w:bottom w:val="single" w:sz="2" w:space="0" w:color="auto"/>
              <w:right w:val="nil"/>
            </w:tcBorders>
            <w:shd w:val="clear" w:color="auto" w:fill="auto"/>
            <w:noWrap/>
            <w:vAlign w:val="center"/>
            <w:hideMark/>
          </w:tcPr>
          <w:p w:rsidR="00676CA2" w:rsidRPr="00D7219A" w:rsidRDefault="00676CA2" w:rsidP="00D7219A">
            <w:pPr>
              <w:spacing w:after="0"/>
              <w:jc w:val="right"/>
              <w:rPr>
                <w:rFonts w:ascii="Arial Narrow" w:hAnsi="Arial Narrow" w:cs="Calibri"/>
                <w:color w:val="000000"/>
              </w:rPr>
            </w:pPr>
            <w:r>
              <w:rPr>
                <w:rFonts w:ascii="Arial Narrow" w:hAnsi="Arial Narrow"/>
                <w:color w:val="000000"/>
              </w:rPr>
              <w:t>13.499.999</w:t>
            </w:r>
          </w:p>
        </w:tc>
        <w:tc>
          <w:tcPr>
            <w:tcW w:w="1335" w:type="dxa"/>
            <w:tcBorders>
              <w:top w:val="single" w:sz="4" w:space="0" w:color="auto"/>
              <w:left w:val="nil"/>
              <w:bottom w:val="single" w:sz="2" w:space="0" w:color="auto"/>
              <w:right w:val="nil"/>
            </w:tcBorders>
            <w:vAlign w:val="center"/>
          </w:tcPr>
          <w:p w:rsidR="00676CA2" w:rsidRPr="00D7219A" w:rsidRDefault="00676CA2" w:rsidP="00D7219A">
            <w:pPr>
              <w:spacing w:after="0"/>
              <w:jc w:val="right"/>
              <w:rPr>
                <w:rFonts w:ascii="Arial Narrow" w:hAnsi="Arial Narrow" w:cs="Calibri"/>
                <w:color w:val="000000"/>
              </w:rPr>
            </w:pPr>
            <w:r>
              <w:rPr>
                <w:rFonts w:ascii="Arial Narrow" w:hAnsi="Arial Narrow"/>
                <w:color w:val="000000"/>
              </w:rPr>
              <w:t>86</w:t>
            </w:r>
          </w:p>
        </w:tc>
      </w:tr>
      <w:tr w:rsidR="00676CA2" w:rsidRPr="004177B8" w:rsidTr="00D7219A">
        <w:trPr>
          <w:trHeight w:val="198"/>
          <w:jc w:val="center"/>
        </w:trPr>
        <w:tc>
          <w:tcPr>
            <w:tcW w:w="4536" w:type="dxa"/>
            <w:tcBorders>
              <w:top w:val="single" w:sz="2" w:space="0" w:color="auto"/>
              <w:left w:val="nil"/>
              <w:bottom w:val="single" w:sz="4" w:space="0" w:color="auto"/>
              <w:right w:val="nil"/>
            </w:tcBorders>
            <w:shd w:val="clear" w:color="auto" w:fill="auto"/>
            <w:noWrap/>
            <w:vAlign w:val="center"/>
            <w:hideMark/>
          </w:tcPr>
          <w:p w:rsidR="00676CA2" w:rsidRPr="00D7219A" w:rsidRDefault="00676CA2" w:rsidP="00D7219A">
            <w:pPr>
              <w:spacing w:after="0"/>
              <w:ind w:firstLine="0"/>
              <w:jc w:val="left"/>
              <w:rPr>
                <w:rFonts w:ascii="Arial Narrow" w:hAnsi="Arial Narrow" w:cs="Calibri"/>
                <w:color w:val="000000"/>
              </w:rPr>
            </w:pPr>
            <w:r>
              <w:rPr>
                <w:rFonts w:ascii="Arial Narrow" w:hAnsi="Arial Narrow"/>
                <w:color w:val="000000"/>
              </w:rPr>
              <w:t>Kapital-transf. irabazi-asmorik gabeko beste erakunde b</w:t>
            </w:r>
            <w:r>
              <w:rPr>
                <w:rFonts w:ascii="Arial Narrow" w:hAnsi="Arial Narrow"/>
                <w:color w:val="000000"/>
              </w:rPr>
              <w:t>a</w:t>
            </w:r>
            <w:r>
              <w:rPr>
                <w:rFonts w:ascii="Arial Narrow" w:hAnsi="Arial Narrow"/>
                <w:color w:val="000000"/>
              </w:rPr>
              <w:t>tzuei</w:t>
            </w:r>
          </w:p>
        </w:tc>
        <w:tc>
          <w:tcPr>
            <w:tcW w:w="3060" w:type="dxa"/>
            <w:tcBorders>
              <w:top w:val="single" w:sz="2" w:space="0" w:color="auto"/>
              <w:left w:val="nil"/>
              <w:bottom w:val="single" w:sz="4" w:space="0" w:color="auto"/>
              <w:right w:val="nil"/>
            </w:tcBorders>
            <w:shd w:val="clear" w:color="auto" w:fill="auto"/>
            <w:noWrap/>
            <w:vAlign w:val="center"/>
            <w:hideMark/>
          </w:tcPr>
          <w:p w:rsidR="00676CA2" w:rsidRPr="00D7219A" w:rsidRDefault="00676CA2" w:rsidP="00D7219A">
            <w:pPr>
              <w:spacing w:after="0"/>
              <w:jc w:val="right"/>
              <w:rPr>
                <w:rFonts w:ascii="Arial Narrow" w:hAnsi="Arial Narrow" w:cs="Calibri"/>
                <w:color w:val="000000"/>
              </w:rPr>
            </w:pPr>
            <w:r>
              <w:rPr>
                <w:rFonts w:ascii="Arial Narrow" w:hAnsi="Arial Narrow"/>
                <w:color w:val="000000"/>
              </w:rPr>
              <w:t>2.215.222</w:t>
            </w:r>
          </w:p>
        </w:tc>
        <w:tc>
          <w:tcPr>
            <w:tcW w:w="1335" w:type="dxa"/>
            <w:tcBorders>
              <w:top w:val="single" w:sz="2" w:space="0" w:color="auto"/>
              <w:left w:val="nil"/>
              <w:bottom w:val="single" w:sz="4" w:space="0" w:color="auto"/>
              <w:right w:val="nil"/>
            </w:tcBorders>
            <w:vAlign w:val="center"/>
          </w:tcPr>
          <w:p w:rsidR="00676CA2" w:rsidRPr="00D7219A" w:rsidRDefault="00676CA2" w:rsidP="00D7219A">
            <w:pPr>
              <w:spacing w:after="0"/>
              <w:jc w:val="right"/>
              <w:rPr>
                <w:rFonts w:ascii="Arial Narrow" w:hAnsi="Arial Narrow" w:cs="Calibri"/>
                <w:color w:val="000000"/>
              </w:rPr>
            </w:pPr>
            <w:r>
              <w:rPr>
                <w:rFonts w:ascii="Arial Narrow" w:hAnsi="Arial Narrow"/>
                <w:color w:val="000000"/>
              </w:rPr>
              <w:t>14</w:t>
            </w:r>
          </w:p>
        </w:tc>
      </w:tr>
      <w:tr w:rsidR="00676CA2" w:rsidRPr="004177B8" w:rsidTr="005A518C">
        <w:trPr>
          <w:trHeight w:hRule="exact" w:val="255"/>
          <w:jc w:val="center"/>
        </w:trPr>
        <w:tc>
          <w:tcPr>
            <w:tcW w:w="4536"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Default="00676CA2" w:rsidP="00A76D1C">
            <w:pPr>
              <w:pStyle w:val="cuadroCabe"/>
            </w:pPr>
            <w:r>
              <w:lastRenderedPageBreak/>
              <w:t>Guztira, oro har</w:t>
            </w:r>
          </w:p>
        </w:tc>
        <w:tc>
          <w:tcPr>
            <w:tcW w:w="3060"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Default="00676CA2" w:rsidP="00A76D1C">
            <w:pPr>
              <w:pStyle w:val="cuadroCabe"/>
              <w:jc w:val="right"/>
              <w:rPr>
                <w:color w:val="000000"/>
              </w:rPr>
            </w:pPr>
            <w:r>
              <w:rPr>
                <w:color w:val="000000"/>
              </w:rPr>
              <w:t>15.715.221</w:t>
            </w:r>
          </w:p>
        </w:tc>
        <w:tc>
          <w:tcPr>
            <w:tcW w:w="1335" w:type="dxa"/>
            <w:tcBorders>
              <w:top w:val="single" w:sz="4" w:space="0" w:color="auto"/>
              <w:left w:val="nil"/>
              <w:bottom w:val="single" w:sz="4" w:space="0" w:color="auto"/>
              <w:right w:val="nil"/>
            </w:tcBorders>
            <w:shd w:val="clear" w:color="auto" w:fill="8DB3E2" w:themeFill="text2" w:themeFillTint="66"/>
            <w:vAlign w:val="center"/>
          </w:tcPr>
          <w:p w:rsidR="00676CA2" w:rsidRPr="00F8148A" w:rsidRDefault="00676CA2" w:rsidP="00A76D1C">
            <w:pPr>
              <w:pStyle w:val="cuadroCabe"/>
              <w:jc w:val="right"/>
              <w:rPr>
                <w:rFonts w:ascii="Arial Narrow" w:hAnsi="Arial Narrow" w:cs="Calibri"/>
                <w:color w:val="000000"/>
              </w:rPr>
            </w:pPr>
            <w:r>
              <w:rPr>
                <w:rFonts w:ascii="Arial Narrow" w:hAnsi="Arial Narrow"/>
                <w:color w:val="000000"/>
              </w:rPr>
              <w:t>100</w:t>
            </w:r>
          </w:p>
        </w:tc>
      </w:tr>
    </w:tbl>
    <w:p w:rsidR="00676CA2" w:rsidRDefault="00676CA2" w:rsidP="00676CA2">
      <w:pPr>
        <w:pStyle w:val="texto"/>
        <w:spacing w:before="240" w:after="240"/>
        <w:rPr>
          <w:rFonts w:cstheme="minorHAnsi"/>
        </w:rPr>
      </w:pPr>
      <w:r>
        <w:t>Kopuru osoaren ehuneko 86 (13,50 milioi) toki entitateentzat izan zen, t</w:t>
      </w:r>
      <w:r>
        <w:t>o</w:t>
      </w:r>
      <w:r>
        <w:t>kiko ekonomia bultzatzeko aparteko funtsa banatu baitzen hainbat arlotan i</w:t>
      </w:r>
      <w:r>
        <w:t>n</w:t>
      </w:r>
      <w:r>
        <w:t>bertsioak egiteko: efizientzia energetikoa, zuzkiduren egokitzapena, banda z</w:t>
      </w:r>
      <w:r>
        <w:t>a</w:t>
      </w:r>
      <w:r>
        <w:t>baleko konektibitatea eta abar. Goian aipatutako 13/2020 Foru Legeak onetsi zuen funts hori. Gastuaren gainerako ehuneko 14a, gehienbat, zentro teknolog</w:t>
      </w:r>
      <w:r>
        <w:t>i</w:t>
      </w:r>
      <w:r>
        <w:t>koen bideragarritasuna bermatzera bideratu zen (1,1 milioi) eta SARS-CoV-2 birusa eta COVID-19 gaitza ikertzeko proiektuetara (milioi bat).</w:t>
      </w:r>
    </w:p>
    <w:p w:rsidR="00676CA2" w:rsidRDefault="00676CA2" w:rsidP="006538A3">
      <w:pPr>
        <w:pStyle w:val="atitulo4"/>
      </w:pPr>
      <w:r>
        <w:t>Inbertsioetan egindako gastua</w:t>
      </w:r>
    </w:p>
    <w:p w:rsidR="00676CA2" w:rsidRDefault="00676CA2" w:rsidP="00676CA2">
      <w:pPr>
        <w:pStyle w:val="texto"/>
        <w:spacing w:after="240"/>
      </w:pPr>
      <w:r>
        <w:t>Inbertsioetan egindako gastua 14,83 milioikoa zen 2020ko abenduaren 31n. Hona hemen xehakaturik kontzeptu ekonomikoaren arabera:</w:t>
      </w:r>
    </w:p>
    <w:tbl>
      <w:tblPr>
        <w:tblW w:w="8882" w:type="dxa"/>
        <w:jc w:val="center"/>
        <w:tblCellMar>
          <w:left w:w="70" w:type="dxa"/>
          <w:right w:w="70" w:type="dxa"/>
        </w:tblCellMar>
        <w:tblLook w:val="04A0" w:firstRow="1" w:lastRow="0" w:firstColumn="1" w:lastColumn="0" w:noHBand="0" w:noVBand="1"/>
      </w:tblPr>
      <w:tblGrid>
        <w:gridCol w:w="4643"/>
        <w:gridCol w:w="2811"/>
        <w:gridCol w:w="1428"/>
      </w:tblGrid>
      <w:tr w:rsidR="00676CA2" w:rsidRPr="00A758EA" w:rsidTr="008217D1">
        <w:trPr>
          <w:trHeight w:val="300"/>
          <w:jc w:val="center"/>
        </w:trPr>
        <w:tc>
          <w:tcPr>
            <w:tcW w:w="464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A76D1C">
            <w:pPr>
              <w:pStyle w:val="cuadroCabe"/>
            </w:pPr>
            <w:r>
              <w:t>Kontzeptu ekonomikoa</w:t>
            </w:r>
          </w:p>
        </w:tc>
        <w:tc>
          <w:tcPr>
            <w:tcW w:w="2811" w:type="dxa"/>
            <w:tcBorders>
              <w:top w:val="single" w:sz="4" w:space="0" w:color="auto"/>
              <w:left w:val="nil"/>
              <w:bottom w:val="single" w:sz="4" w:space="0" w:color="auto"/>
              <w:right w:val="nil"/>
            </w:tcBorders>
            <w:shd w:val="clear" w:color="auto" w:fill="8DB3E2" w:themeFill="text2" w:themeFillTint="66"/>
            <w:noWrap/>
            <w:vAlign w:val="center"/>
            <w:hideMark/>
          </w:tcPr>
          <w:p w:rsidR="00A76D1C" w:rsidRDefault="00676CA2" w:rsidP="00A76D1C">
            <w:pPr>
              <w:pStyle w:val="cuadroCabe"/>
              <w:jc w:val="right"/>
            </w:pPr>
            <w:r>
              <w:t xml:space="preserve">Aitortutako </w:t>
            </w:r>
          </w:p>
          <w:p w:rsidR="00676CA2" w:rsidRPr="004177B8" w:rsidRDefault="00676CA2" w:rsidP="00A76D1C">
            <w:pPr>
              <w:pStyle w:val="cuadroCabe"/>
              <w:jc w:val="right"/>
            </w:pPr>
            <w:r>
              <w:t>betebehar garbiak</w:t>
            </w:r>
          </w:p>
        </w:tc>
        <w:tc>
          <w:tcPr>
            <w:tcW w:w="1428"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676CA2" w:rsidP="00A76D1C">
            <w:pPr>
              <w:pStyle w:val="cuadroCabe"/>
              <w:jc w:val="right"/>
            </w:pPr>
            <w:r>
              <w:t>Guztizko A</w:t>
            </w:r>
            <w:r>
              <w:t>B</w:t>
            </w:r>
            <w:r>
              <w:t>Gen ehunekoa</w:t>
            </w:r>
          </w:p>
        </w:tc>
      </w:tr>
      <w:tr w:rsidR="00676CA2" w:rsidRPr="004177B8" w:rsidTr="00D7219A">
        <w:trPr>
          <w:trHeight w:val="198"/>
          <w:jc w:val="center"/>
        </w:trPr>
        <w:tc>
          <w:tcPr>
            <w:tcW w:w="4643" w:type="dxa"/>
            <w:tcBorders>
              <w:top w:val="single" w:sz="4" w:space="0" w:color="auto"/>
              <w:left w:val="nil"/>
              <w:bottom w:val="single" w:sz="2" w:space="0" w:color="auto"/>
              <w:right w:val="nil"/>
            </w:tcBorders>
            <w:shd w:val="clear" w:color="auto" w:fill="auto"/>
            <w:noWrap/>
            <w:vAlign w:val="center"/>
          </w:tcPr>
          <w:p w:rsidR="00676CA2" w:rsidRPr="00D7219A" w:rsidRDefault="00676CA2" w:rsidP="00D7219A">
            <w:pPr>
              <w:pStyle w:val="cuatexto"/>
            </w:pPr>
            <w:r>
              <w:t>Informazioa prozesatzeko ekipamenduak</w:t>
            </w:r>
          </w:p>
        </w:tc>
        <w:tc>
          <w:tcPr>
            <w:tcW w:w="2811" w:type="dxa"/>
            <w:tcBorders>
              <w:top w:val="single" w:sz="4"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t>6.990.988</w:t>
            </w:r>
          </w:p>
        </w:tc>
        <w:tc>
          <w:tcPr>
            <w:tcW w:w="1428" w:type="dxa"/>
            <w:tcBorders>
              <w:top w:val="single" w:sz="4" w:space="0" w:color="auto"/>
              <w:left w:val="nil"/>
              <w:bottom w:val="single" w:sz="2" w:space="0" w:color="auto"/>
              <w:right w:val="nil"/>
            </w:tcBorders>
            <w:vAlign w:val="center"/>
          </w:tcPr>
          <w:p w:rsidR="00676CA2" w:rsidRPr="00D7219A" w:rsidRDefault="00676CA2" w:rsidP="00D7219A">
            <w:pPr>
              <w:pStyle w:val="cuatexto"/>
              <w:jc w:val="right"/>
            </w:pPr>
            <w:r>
              <w:t>47</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t>Ekipamendu medikoak</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t>2.986.545</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t>20</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t>Eraikinak</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t>1.939.131</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t>13</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t>Beste altzari eta ekipamendu batzuk</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t>1.827.088</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t>12</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t>Aplikazio informatikoak</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t>574.607</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t>4</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t>Instalazioak</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t>252.663</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t>2</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t>Bulegoko ekipamendu eta altzariak</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t>159.567</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t>1</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t>Material teknikoa</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t>52.874</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t>0,5</w:t>
            </w:r>
          </w:p>
        </w:tc>
      </w:tr>
      <w:tr w:rsidR="00676CA2" w:rsidRPr="004177B8" w:rsidTr="00D7219A">
        <w:trPr>
          <w:trHeight w:val="198"/>
          <w:jc w:val="center"/>
        </w:trPr>
        <w:tc>
          <w:tcPr>
            <w:tcW w:w="4643" w:type="dxa"/>
            <w:tcBorders>
              <w:top w:val="single" w:sz="2" w:space="0" w:color="auto"/>
              <w:left w:val="nil"/>
              <w:bottom w:val="single" w:sz="4" w:space="0" w:color="auto"/>
              <w:right w:val="nil"/>
            </w:tcBorders>
            <w:shd w:val="clear" w:color="auto" w:fill="auto"/>
            <w:noWrap/>
            <w:vAlign w:val="center"/>
            <w:hideMark/>
          </w:tcPr>
          <w:p w:rsidR="00676CA2" w:rsidRPr="00D7219A" w:rsidRDefault="00676CA2" w:rsidP="00D7219A">
            <w:pPr>
              <w:pStyle w:val="cuatexto"/>
            </w:pPr>
            <w:r>
              <w:t>Ibilgetu ez-materiala</w:t>
            </w:r>
          </w:p>
        </w:tc>
        <w:tc>
          <w:tcPr>
            <w:tcW w:w="2811" w:type="dxa"/>
            <w:tcBorders>
              <w:top w:val="single" w:sz="2" w:space="0" w:color="auto"/>
              <w:left w:val="nil"/>
              <w:bottom w:val="single" w:sz="4" w:space="0" w:color="auto"/>
              <w:right w:val="nil"/>
            </w:tcBorders>
            <w:shd w:val="clear" w:color="auto" w:fill="auto"/>
            <w:noWrap/>
            <w:vAlign w:val="center"/>
            <w:hideMark/>
          </w:tcPr>
          <w:p w:rsidR="00676CA2" w:rsidRPr="00D7219A" w:rsidRDefault="00676CA2" w:rsidP="00D7219A">
            <w:pPr>
              <w:pStyle w:val="cuatexto"/>
              <w:jc w:val="right"/>
            </w:pPr>
            <w:r>
              <w:t>45.044</w:t>
            </w:r>
          </w:p>
        </w:tc>
        <w:tc>
          <w:tcPr>
            <w:tcW w:w="1428" w:type="dxa"/>
            <w:tcBorders>
              <w:top w:val="single" w:sz="2" w:space="0" w:color="auto"/>
              <w:left w:val="nil"/>
              <w:bottom w:val="single" w:sz="4" w:space="0" w:color="auto"/>
              <w:right w:val="nil"/>
            </w:tcBorders>
            <w:vAlign w:val="center"/>
          </w:tcPr>
          <w:p w:rsidR="00676CA2" w:rsidRPr="00D7219A" w:rsidRDefault="00676CA2" w:rsidP="00D7219A">
            <w:pPr>
              <w:pStyle w:val="cuatexto"/>
              <w:jc w:val="right"/>
            </w:pPr>
            <w:r>
              <w:t>0,5</w:t>
            </w:r>
          </w:p>
        </w:tc>
      </w:tr>
      <w:tr w:rsidR="00676CA2" w:rsidRPr="004177B8" w:rsidTr="00D7219A">
        <w:trPr>
          <w:trHeight w:val="255"/>
          <w:jc w:val="center"/>
        </w:trPr>
        <w:tc>
          <w:tcPr>
            <w:tcW w:w="464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Default="00676CA2" w:rsidP="00A76D1C">
            <w:pPr>
              <w:pStyle w:val="cuadroCabe"/>
            </w:pPr>
            <w:r>
              <w:t>Guztira, oro har</w:t>
            </w:r>
          </w:p>
        </w:tc>
        <w:tc>
          <w:tcPr>
            <w:tcW w:w="2811"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DF7389" w:rsidRDefault="00676CA2" w:rsidP="00A76D1C">
            <w:pPr>
              <w:pStyle w:val="cuadroCabe"/>
              <w:jc w:val="right"/>
              <w:rPr>
                <w:color w:val="000000"/>
              </w:rPr>
            </w:pPr>
            <w:r>
              <w:rPr>
                <w:color w:val="000000"/>
              </w:rPr>
              <w:t>14.828.507</w:t>
            </w:r>
          </w:p>
        </w:tc>
        <w:tc>
          <w:tcPr>
            <w:tcW w:w="1428" w:type="dxa"/>
            <w:tcBorders>
              <w:top w:val="single" w:sz="4" w:space="0" w:color="auto"/>
              <w:left w:val="nil"/>
              <w:bottom w:val="single" w:sz="4" w:space="0" w:color="auto"/>
              <w:right w:val="nil"/>
            </w:tcBorders>
            <w:shd w:val="clear" w:color="auto" w:fill="8DB3E2" w:themeFill="text2" w:themeFillTint="66"/>
            <w:vAlign w:val="center"/>
          </w:tcPr>
          <w:p w:rsidR="00676CA2" w:rsidRPr="00DF7389" w:rsidRDefault="00676CA2" w:rsidP="00A76D1C">
            <w:pPr>
              <w:pStyle w:val="cuadroCabe"/>
              <w:jc w:val="right"/>
              <w:rPr>
                <w:color w:val="000000"/>
              </w:rPr>
            </w:pPr>
            <w:r>
              <w:rPr>
                <w:color w:val="000000"/>
              </w:rPr>
              <w:t>100</w:t>
            </w:r>
          </w:p>
        </w:tc>
      </w:tr>
    </w:tbl>
    <w:p w:rsidR="00676CA2" w:rsidRDefault="00676CA2" w:rsidP="00676CA2">
      <w:pPr>
        <w:pStyle w:val="texto"/>
        <w:spacing w:before="240" w:after="240"/>
        <w:rPr>
          <w:rFonts w:cstheme="minorHAnsi"/>
        </w:rPr>
      </w:pPr>
      <w:r>
        <w:t>Kopuru osoaren ehuneko 47 (6,99 milioi) informazioa prozesatzeko ekip</w:t>
      </w:r>
      <w:r>
        <w:t>a</w:t>
      </w:r>
      <w:r>
        <w:t>menduak erostera bideratu zen, ehuneko 20 (2,99 milioi) ekipamendu mediko</w:t>
      </w:r>
      <w:r>
        <w:t>e</w:t>
      </w:r>
      <w:r>
        <w:t xml:space="preserve">tara, eta ehuneko 13 (1,94 milioi) eraikinetako obretara. </w:t>
      </w:r>
    </w:p>
    <w:p w:rsidR="00676CA2" w:rsidRPr="008A0500" w:rsidRDefault="00676CA2" w:rsidP="006538A3">
      <w:pPr>
        <w:pStyle w:val="atitulo4"/>
      </w:pPr>
      <w:r>
        <w:t>Finantza-aktiboetan eta -interesetan egindako gastuak</w:t>
      </w:r>
    </w:p>
    <w:p w:rsidR="00676CA2" w:rsidRDefault="00676CA2" w:rsidP="00676CA2">
      <w:pPr>
        <w:pStyle w:val="texto"/>
        <w:spacing w:after="120"/>
      </w:pPr>
      <w:r>
        <w:t>Finantza-aktiboetan egindako gastua zazpi milioikoa zen 2020ko abenduaren 31n. Diru kopuru hori NEKPren kapitala handitzeko erabili zen, gero NEKPk bazkideen ekarpena egin ziezaion Sociedad de Desarrollo de Navarra SLUri (SODENA), eta azken horrek maileguak eman enpresei, COVID-19ak sort</w:t>
      </w:r>
      <w:r>
        <w:t>u</w:t>
      </w:r>
      <w:r>
        <w:t>tako krisia kontuan izanda.</w:t>
      </w:r>
    </w:p>
    <w:p w:rsidR="00676CA2" w:rsidRDefault="00676CA2" w:rsidP="00676CA2">
      <w:pPr>
        <w:pStyle w:val="texto"/>
        <w:spacing w:before="120" w:after="240"/>
      </w:pPr>
      <w:r>
        <w:t>Bestalde, finantza-gastuak 78.275 eurokoak izan ziren, maileguen eta kr</w:t>
      </w:r>
      <w:r>
        <w:t>e</w:t>
      </w:r>
      <w:r>
        <w:t>ditu-eragiketen interesen ondoriozkoak.</w:t>
      </w:r>
    </w:p>
    <w:p w:rsidR="00164FEC" w:rsidRDefault="00164FEC">
      <w:pPr>
        <w:spacing w:after="0"/>
        <w:ind w:firstLine="0"/>
        <w:jc w:val="left"/>
        <w:rPr>
          <w:rFonts w:ascii="Arial" w:hAnsi="Arial"/>
          <w:i/>
          <w:iCs/>
          <w:color w:val="000000"/>
          <w:spacing w:val="10"/>
          <w:kern w:val="28"/>
          <w:sz w:val="25"/>
          <w:szCs w:val="26"/>
        </w:rPr>
      </w:pPr>
      <w:r>
        <w:br w:type="page"/>
      </w:r>
    </w:p>
    <w:p w:rsidR="006B548F" w:rsidRDefault="006B548F" w:rsidP="006B548F">
      <w:pPr>
        <w:pStyle w:val="atitulo3"/>
        <w:spacing w:before="240"/>
      </w:pPr>
      <w:r>
        <w:lastRenderedPageBreak/>
        <w:t>IV.1.2. COVID-19aren kudeaketarekin lotutako diru-sarrerak</w:t>
      </w:r>
    </w:p>
    <w:p w:rsidR="006B548F" w:rsidRDefault="006B548F" w:rsidP="006B548F">
      <w:pPr>
        <w:spacing w:after="240"/>
        <w:ind w:firstLine="284"/>
        <w:rPr>
          <w:sz w:val="26"/>
          <w:szCs w:val="26"/>
        </w:rPr>
      </w:pPr>
      <w:r>
        <w:rPr>
          <w:sz w:val="26"/>
          <w:szCs w:val="26"/>
        </w:rPr>
        <w:t>Gastu horiei aurre egiteko, COVID-19aren kudeaketarekin lotutako diru-sarrera hauek baliatu zituen NFKAk:</w:t>
      </w:r>
    </w:p>
    <w:tbl>
      <w:tblPr>
        <w:tblStyle w:val="Tablaconcuadrcula"/>
        <w:tblW w:w="878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48"/>
        <w:gridCol w:w="3877"/>
        <w:gridCol w:w="1564"/>
      </w:tblGrid>
      <w:tr w:rsidR="006B548F" w:rsidTr="00D7219A">
        <w:trPr>
          <w:trHeight w:hRule="exact" w:val="255"/>
          <w:jc w:val="center"/>
        </w:trPr>
        <w:tc>
          <w:tcPr>
            <w:tcW w:w="3348" w:type="dxa"/>
            <w:shd w:val="clear" w:color="auto" w:fill="8DB3E2" w:themeFill="text2" w:themeFillTint="66"/>
            <w:vAlign w:val="center"/>
          </w:tcPr>
          <w:p w:rsidR="006B548F" w:rsidRPr="00BD2DEE" w:rsidRDefault="006B548F" w:rsidP="00164FEC">
            <w:pPr>
              <w:pStyle w:val="cuadroCabe"/>
            </w:pPr>
            <w:r>
              <w:t>Diru-sarreren kapitulua</w:t>
            </w:r>
          </w:p>
        </w:tc>
        <w:tc>
          <w:tcPr>
            <w:tcW w:w="3877" w:type="dxa"/>
            <w:shd w:val="clear" w:color="auto" w:fill="8DB3E2" w:themeFill="text2" w:themeFillTint="66"/>
            <w:vAlign w:val="center"/>
          </w:tcPr>
          <w:p w:rsidR="006B548F" w:rsidRPr="00BD2DEE" w:rsidRDefault="006B548F" w:rsidP="00164FEC">
            <w:pPr>
              <w:pStyle w:val="cuadroCabe"/>
              <w:jc w:val="right"/>
            </w:pPr>
            <w:r>
              <w:t>Aitortutako eskubide garbiak 2020-12-31n</w:t>
            </w:r>
          </w:p>
        </w:tc>
        <w:tc>
          <w:tcPr>
            <w:tcW w:w="1564" w:type="dxa"/>
            <w:shd w:val="clear" w:color="auto" w:fill="8DB3E2" w:themeFill="text2" w:themeFillTint="66"/>
            <w:vAlign w:val="center"/>
          </w:tcPr>
          <w:p w:rsidR="006B548F" w:rsidRPr="00BD2DEE" w:rsidRDefault="006B548F" w:rsidP="00164FEC">
            <w:pPr>
              <w:pStyle w:val="cuadroCabe"/>
              <w:jc w:val="right"/>
            </w:pPr>
            <w:r>
              <w:t>AEGen guzti</w:t>
            </w:r>
            <w:r>
              <w:t>z</w:t>
            </w:r>
            <w:r>
              <w:t>koaren ehun</w:t>
            </w:r>
            <w:r>
              <w:t>e</w:t>
            </w:r>
            <w:r>
              <w:t xml:space="preserve">koa </w:t>
            </w:r>
          </w:p>
        </w:tc>
      </w:tr>
      <w:tr w:rsidR="006B548F" w:rsidTr="00D7219A">
        <w:trPr>
          <w:cantSplit/>
          <w:trHeight w:hRule="exact" w:val="198"/>
          <w:jc w:val="center"/>
        </w:trPr>
        <w:tc>
          <w:tcPr>
            <w:tcW w:w="3348" w:type="dxa"/>
            <w:tcBorders>
              <w:bottom w:val="single" w:sz="2" w:space="0" w:color="auto"/>
            </w:tcBorders>
            <w:vAlign w:val="center"/>
          </w:tcPr>
          <w:p w:rsidR="006B548F" w:rsidRDefault="006B548F" w:rsidP="00D7219A">
            <w:pPr>
              <w:pStyle w:val="cuatexto"/>
            </w:pPr>
            <w:r>
              <w:t>3. Tasak eta prezio publikoak</w:t>
            </w:r>
          </w:p>
        </w:tc>
        <w:tc>
          <w:tcPr>
            <w:tcW w:w="3877" w:type="dxa"/>
            <w:tcBorders>
              <w:bottom w:val="single" w:sz="2" w:space="0" w:color="auto"/>
            </w:tcBorders>
            <w:vAlign w:val="center"/>
          </w:tcPr>
          <w:p w:rsidR="006B548F" w:rsidRDefault="006B548F" w:rsidP="00D7219A">
            <w:pPr>
              <w:pStyle w:val="cuatexto"/>
              <w:jc w:val="right"/>
              <w:rPr>
                <w:rFonts w:cs="Calibri"/>
                <w:color w:val="000000"/>
              </w:rPr>
            </w:pPr>
            <w:r>
              <w:rPr>
                <w:color w:val="000000"/>
              </w:rPr>
              <w:t>23.845</w:t>
            </w:r>
          </w:p>
        </w:tc>
        <w:tc>
          <w:tcPr>
            <w:tcW w:w="1564" w:type="dxa"/>
            <w:tcBorders>
              <w:bottom w:val="single" w:sz="2" w:space="0" w:color="auto"/>
            </w:tcBorders>
            <w:vAlign w:val="center"/>
          </w:tcPr>
          <w:p w:rsidR="006B548F" w:rsidRPr="00BD2DEE" w:rsidRDefault="006B548F" w:rsidP="00D7219A">
            <w:pPr>
              <w:pStyle w:val="cuatexto"/>
              <w:jc w:val="right"/>
              <w:rPr>
                <w:rFonts w:cs="Calibri"/>
                <w:color w:val="000000"/>
              </w:rPr>
            </w:pPr>
            <w:r>
              <w:rPr>
                <w:color w:val="000000"/>
              </w:rPr>
              <w:t>-</w:t>
            </w:r>
          </w:p>
        </w:tc>
      </w:tr>
      <w:tr w:rsidR="006B548F" w:rsidTr="00D7219A">
        <w:trPr>
          <w:cantSplit/>
          <w:trHeight w:hRule="exact" w:val="198"/>
          <w:jc w:val="center"/>
        </w:trPr>
        <w:tc>
          <w:tcPr>
            <w:tcW w:w="3348" w:type="dxa"/>
            <w:tcBorders>
              <w:top w:val="single" w:sz="2" w:space="0" w:color="auto"/>
              <w:bottom w:val="single" w:sz="2" w:space="0" w:color="auto"/>
            </w:tcBorders>
            <w:vAlign w:val="center"/>
          </w:tcPr>
          <w:p w:rsidR="006B548F" w:rsidRDefault="00D7219A" w:rsidP="00D7219A">
            <w:pPr>
              <w:pStyle w:val="cuatexto"/>
            </w:pPr>
            <w:r>
              <w:t xml:space="preserve">4. Transferentzia arruntak </w:t>
            </w:r>
          </w:p>
        </w:tc>
        <w:tc>
          <w:tcPr>
            <w:tcW w:w="3877" w:type="dxa"/>
            <w:tcBorders>
              <w:top w:val="single" w:sz="2" w:space="0" w:color="auto"/>
              <w:bottom w:val="single" w:sz="2" w:space="0" w:color="auto"/>
            </w:tcBorders>
            <w:vAlign w:val="center"/>
          </w:tcPr>
          <w:p w:rsidR="006B548F" w:rsidRDefault="006B548F" w:rsidP="00D7219A">
            <w:pPr>
              <w:pStyle w:val="cuatexto"/>
              <w:jc w:val="right"/>
              <w:rPr>
                <w:rFonts w:cs="Calibri"/>
                <w:color w:val="000000"/>
              </w:rPr>
            </w:pPr>
            <w:r>
              <w:rPr>
                <w:color w:val="000000"/>
              </w:rPr>
              <w:t>186.392.563</w:t>
            </w:r>
          </w:p>
        </w:tc>
        <w:tc>
          <w:tcPr>
            <w:tcW w:w="1564" w:type="dxa"/>
            <w:tcBorders>
              <w:top w:val="single" w:sz="2" w:space="0" w:color="auto"/>
              <w:bottom w:val="single" w:sz="2" w:space="0" w:color="auto"/>
            </w:tcBorders>
            <w:vAlign w:val="center"/>
          </w:tcPr>
          <w:p w:rsidR="006B548F" w:rsidRPr="00BD2DEE" w:rsidRDefault="006B548F" w:rsidP="00D7219A">
            <w:pPr>
              <w:pStyle w:val="cuatexto"/>
              <w:jc w:val="right"/>
              <w:rPr>
                <w:rFonts w:cs="Calibri"/>
                <w:color w:val="000000"/>
              </w:rPr>
            </w:pPr>
            <w:r>
              <w:rPr>
                <w:color w:val="000000"/>
              </w:rPr>
              <w:t>99,5</w:t>
            </w:r>
          </w:p>
        </w:tc>
      </w:tr>
      <w:tr w:rsidR="006B548F" w:rsidTr="00D7219A">
        <w:trPr>
          <w:cantSplit/>
          <w:trHeight w:hRule="exact" w:val="198"/>
          <w:jc w:val="center"/>
        </w:trPr>
        <w:tc>
          <w:tcPr>
            <w:tcW w:w="3348" w:type="dxa"/>
            <w:tcBorders>
              <w:top w:val="single" w:sz="2" w:space="0" w:color="auto"/>
              <w:bottom w:val="single" w:sz="4" w:space="0" w:color="auto"/>
            </w:tcBorders>
            <w:vAlign w:val="center"/>
          </w:tcPr>
          <w:p w:rsidR="006B548F" w:rsidRDefault="006B548F" w:rsidP="00D7219A">
            <w:pPr>
              <w:pStyle w:val="cuatexto"/>
            </w:pPr>
            <w:r>
              <w:t xml:space="preserve">7. Kapital-transferentziak </w:t>
            </w:r>
          </w:p>
        </w:tc>
        <w:tc>
          <w:tcPr>
            <w:tcW w:w="3877" w:type="dxa"/>
            <w:tcBorders>
              <w:top w:val="single" w:sz="2" w:space="0" w:color="auto"/>
              <w:bottom w:val="single" w:sz="4" w:space="0" w:color="auto"/>
            </w:tcBorders>
            <w:vAlign w:val="center"/>
          </w:tcPr>
          <w:p w:rsidR="006B548F" w:rsidRPr="00BD2DEE" w:rsidRDefault="006B548F" w:rsidP="00D7219A">
            <w:pPr>
              <w:pStyle w:val="cuatexto"/>
              <w:jc w:val="right"/>
              <w:rPr>
                <w:rFonts w:cs="Calibri"/>
                <w:color w:val="000000"/>
              </w:rPr>
            </w:pPr>
            <w:r>
              <w:rPr>
                <w:color w:val="000000"/>
              </w:rPr>
              <w:t>956.807</w:t>
            </w:r>
          </w:p>
        </w:tc>
        <w:tc>
          <w:tcPr>
            <w:tcW w:w="1564" w:type="dxa"/>
            <w:tcBorders>
              <w:top w:val="single" w:sz="2" w:space="0" w:color="auto"/>
              <w:bottom w:val="single" w:sz="4" w:space="0" w:color="auto"/>
            </w:tcBorders>
            <w:vAlign w:val="center"/>
          </w:tcPr>
          <w:p w:rsidR="006B548F" w:rsidRPr="00BD2DEE" w:rsidRDefault="006B548F" w:rsidP="00D7219A">
            <w:pPr>
              <w:pStyle w:val="cuatexto"/>
              <w:jc w:val="right"/>
              <w:rPr>
                <w:rFonts w:cs="Calibri"/>
                <w:color w:val="000000"/>
              </w:rPr>
            </w:pPr>
            <w:r>
              <w:rPr>
                <w:color w:val="000000"/>
              </w:rPr>
              <w:t>0,5</w:t>
            </w:r>
          </w:p>
        </w:tc>
      </w:tr>
      <w:tr w:rsidR="006B548F" w:rsidTr="00D7219A">
        <w:trPr>
          <w:trHeight w:hRule="exact" w:val="255"/>
          <w:jc w:val="center"/>
        </w:trPr>
        <w:tc>
          <w:tcPr>
            <w:tcW w:w="3348" w:type="dxa"/>
            <w:shd w:val="clear" w:color="auto" w:fill="8DB3E2" w:themeFill="text2" w:themeFillTint="66"/>
            <w:vAlign w:val="center"/>
          </w:tcPr>
          <w:p w:rsidR="006B548F" w:rsidRPr="00BD2DEE" w:rsidRDefault="006B548F" w:rsidP="00164FEC">
            <w:pPr>
              <w:pStyle w:val="cuadroCabe"/>
            </w:pPr>
            <w:r>
              <w:t>Guztira</w:t>
            </w:r>
          </w:p>
        </w:tc>
        <w:tc>
          <w:tcPr>
            <w:tcW w:w="3877" w:type="dxa"/>
            <w:shd w:val="clear" w:color="auto" w:fill="8DB3E2" w:themeFill="text2" w:themeFillTint="66"/>
            <w:vAlign w:val="center"/>
          </w:tcPr>
          <w:p w:rsidR="006B548F" w:rsidRDefault="006B548F" w:rsidP="00164FEC">
            <w:pPr>
              <w:pStyle w:val="cuadroCabe"/>
              <w:jc w:val="right"/>
              <w:rPr>
                <w:rFonts w:cs="Arial"/>
                <w:bCs/>
                <w:color w:val="000000"/>
                <w:szCs w:val="18"/>
              </w:rPr>
            </w:pPr>
            <w:r>
              <w:rPr>
                <w:bCs/>
                <w:color w:val="000000"/>
                <w:szCs w:val="18"/>
              </w:rPr>
              <w:t>187.373.215</w:t>
            </w:r>
          </w:p>
        </w:tc>
        <w:tc>
          <w:tcPr>
            <w:tcW w:w="1564" w:type="dxa"/>
            <w:shd w:val="clear" w:color="auto" w:fill="8DB3E2" w:themeFill="text2" w:themeFillTint="66"/>
            <w:vAlign w:val="center"/>
          </w:tcPr>
          <w:p w:rsidR="006B548F" w:rsidRDefault="006B548F" w:rsidP="00164FEC">
            <w:pPr>
              <w:pStyle w:val="cuadroCabe"/>
              <w:jc w:val="right"/>
              <w:rPr>
                <w:rFonts w:cs="Arial"/>
                <w:bCs/>
                <w:color w:val="000000"/>
                <w:szCs w:val="18"/>
              </w:rPr>
            </w:pPr>
            <w:r>
              <w:rPr>
                <w:bCs/>
                <w:color w:val="000000"/>
                <w:szCs w:val="18"/>
              </w:rPr>
              <w:t>100</w:t>
            </w:r>
          </w:p>
        </w:tc>
      </w:tr>
    </w:tbl>
    <w:p w:rsidR="006B548F" w:rsidRDefault="006B548F" w:rsidP="006B548F">
      <w:pPr>
        <w:spacing w:before="240" w:after="120"/>
        <w:ind w:firstLine="284"/>
        <w:rPr>
          <w:sz w:val="26"/>
          <w:szCs w:val="26"/>
        </w:rPr>
      </w:pPr>
      <w:r>
        <w:rPr>
          <w:sz w:val="26"/>
          <w:szCs w:val="26"/>
        </w:rPr>
        <w:t>COVID-19 partidetan izandako diru-sarrera ia guztiak Estatutik etorritako tran</w:t>
      </w:r>
      <w:r>
        <w:rPr>
          <w:sz w:val="26"/>
          <w:szCs w:val="26"/>
        </w:rPr>
        <w:t>s</w:t>
      </w:r>
      <w:r>
        <w:rPr>
          <w:sz w:val="26"/>
          <w:szCs w:val="26"/>
        </w:rPr>
        <w:t>ferentzia arruntak eta kapital-transferentziak dira, 187,16 milioi, guztira; zenbateko horretatik, garrantzi handieneko diru-sarrera 174,82 milioi eurokoa da eta ekainaren 16ko 22/2020 Errege Lege-dekretuak autonomia-erkidegoentzat sortutako funtsetik dator, Nafarroak diru kopuru hori jaso baitzuen abenduaren 31ra arte. Itzuli behar ez den funtsa da, eta COVID-19ak sortutako krisiaren ondoriozko aurrekontu-beharrak finantzatzea du helburu.</w:t>
      </w:r>
    </w:p>
    <w:p w:rsidR="006B548F" w:rsidRDefault="006B548F" w:rsidP="006B548F">
      <w:pPr>
        <w:spacing w:before="120" w:after="120"/>
        <w:ind w:firstLine="284"/>
        <w:rPr>
          <w:sz w:val="26"/>
          <w:szCs w:val="26"/>
        </w:rPr>
      </w:pPr>
      <w:r>
        <w:rPr>
          <w:sz w:val="26"/>
          <w:szCs w:val="26"/>
        </w:rPr>
        <w:t xml:space="preserve">Transferentzia arrunten 4. kapituluan partikularren dohaintzak ere badaude, eta guztira 188.993 eurokoak dira. </w:t>
      </w:r>
    </w:p>
    <w:p w:rsidR="006B548F" w:rsidRDefault="006B548F" w:rsidP="006B548F">
      <w:pPr>
        <w:pStyle w:val="texto"/>
        <w:spacing w:before="120"/>
        <w:rPr>
          <w:szCs w:val="26"/>
        </w:rPr>
      </w:pPr>
      <w:r>
        <w:t>Aurrekoaz gain, NFKAk zorpetze eragiketak egin zituen berariaz kontabil</w:t>
      </w:r>
      <w:r>
        <w:t>i</w:t>
      </w:r>
      <w:r>
        <w:t>zatuta ez daudenak COVID-19 partidetan, ez direlako osasun krisiari soil-soilik lotutako eragiketak.  Zehazki, NFKAren zorpetze-eragiketek 2020ko martxotik abendura bitartean 648,37 milioi egin zuten, eta baliteke diru kopuru horren zati bat zerikusia izatea COVID-19aren kudeaketarekin, baina ezin dugu z</w:t>
      </w:r>
      <w:r>
        <w:t>e</w:t>
      </w:r>
      <w:r>
        <w:t xml:space="preserve">haztu zenbat izan den.  </w:t>
      </w:r>
    </w:p>
    <w:p w:rsidR="006B548F" w:rsidRDefault="006B548F" w:rsidP="006B548F">
      <w:pPr>
        <w:pStyle w:val="atitulo2"/>
        <w:spacing w:before="240"/>
        <w:rPr>
          <w:bCs w:val="0"/>
          <w:iCs w:val="0"/>
        </w:rPr>
      </w:pPr>
      <w:bookmarkStart w:id="34" w:name="_Toc67394581"/>
      <w:bookmarkStart w:id="35" w:name="_Toc70589004"/>
      <w:r>
        <w:t>IV.2. Legezkotasunari buruzko auditoria</w:t>
      </w:r>
      <w:bookmarkEnd w:id="34"/>
      <w:bookmarkEnd w:id="35"/>
    </w:p>
    <w:p w:rsidR="006B548F" w:rsidRDefault="006B548F" w:rsidP="008A0500">
      <w:pPr>
        <w:pStyle w:val="atitulo4"/>
      </w:pPr>
      <w:r>
        <w:t>Legezkotasunari buruzko iritziaren oinarria, salbuespenekin</w:t>
      </w:r>
    </w:p>
    <w:p w:rsidR="006B548F" w:rsidRPr="00622FA4"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Autonomoentzako laguntzen eskatzaileek 24,03 milioi jaso zituzten gu</w:t>
      </w:r>
      <w:r>
        <w:t>z</w:t>
      </w:r>
      <w:r>
        <w:t>tira. Deialdian ezarritakoarekin bat, beren ahalmen ekonomikoari buruzko era</w:t>
      </w:r>
      <w:r>
        <w:t>n</w:t>
      </w:r>
      <w:r>
        <w:t>tzukizunpeko adierazpena aurkeztu zuten, ezin baitzituen gainditu muga jakin batzuk, eskatutako diru kopuruaren eta familia unitatearen osaeraren araber</w:t>
      </w:r>
      <w:r>
        <w:t>a</w:t>
      </w:r>
      <w:r>
        <w:t>koak. Baldintza horiek bete behar baziren ere, ez zen inolako mekanismorik a</w:t>
      </w:r>
      <w:r>
        <w:t>n</w:t>
      </w:r>
      <w:r>
        <w:t>tolatu gerora egiaztatu ahal izateko. Erantzukizunpeko adierazpena laguntzak bizkorrago izapidetzeko mekanismo ona da, baina ez du ordeztu behar geroko egiaztapen bat egitea baldintzak betetzen diren jakiteko.</w:t>
      </w:r>
    </w:p>
    <w:p w:rsidR="006B548F" w:rsidRDefault="006B548F" w:rsidP="006B548F">
      <w:pPr>
        <w:pStyle w:val="texto"/>
        <w:tabs>
          <w:tab w:val="clear" w:pos="2835"/>
          <w:tab w:val="clear" w:pos="3969"/>
          <w:tab w:val="clear" w:pos="5103"/>
          <w:tab w:val="clear" w:pos="6237"/>
          <w:tab w:val="clear" w:pos="7371"/>
        </w:tabs>
        <w:spacing w:after="100"/>
        <w:ind w:firstLine="289"/>
        <w:rPr>
          <w:szCs w:val="26"/>
        </w:rPr>
      </w:pPr>
      <w:r>
        <w:t xml:space="preserve">Horri buruz esan behar dugu ostalaritzarako eta turismorako </w:t>
      </w:r>
      <w:r>
        <w:rPr>
          <w:i/>
          <w:szCs w:val="26"/>
        </w:rPr>
        <w:t>a posteriori</w:t>
      </w:r>
      <w:r>
        <w:t xml:space="preserve"> a</w:t>
      </w:r>
      <w:r>
        <w:t>n</w:t>
      </w:r>
      <w:r>
        <w:t>tolatu diren laguntzetan alderdi horiek hobetu egin direla eta onuradun izateko ezarritako baldintzak betetzen diren egiaztatzeko mekanismoak aurreikusi d</w:t>
      </w:r>
      <w:r>
        <w:t>i</w:t>
      </w:r>
      <w:r>
        <w:t>rela.</w:t>
      </w:r>
    </w:p>
    <w:p w:rsidR="006B548F" w:rsidRPr="00F377C9" w:rsidRDefault="006B548F" w:rsidP="008A0500">
      <w:pPr>
        <w:pStyle w:val="atitulo4"/>
      </w:pPr>
      <w:r>
        <w:lastRenderedPageBreak/>
        <w:t>Legeriaren betetzeari buruzko iritzia</w:t>
      </w:r>
    </w:p>
    <w:p w:rsidR="006B548F" w:rsidRPr="00D725EA" w:rsidRDefault="006B548F" w:rsidP="006B548F">
      <w:pPr>
        <w:pStyle w:val="texto"/>
        <w:tabs>
          <w:tab w:val="clear" w:pos="2835"/>
          <w:tab w:val="clear" w:pos="3969"/>
          <w:tab w:val="clear" w:pos="5103"/>
          <w:tab w:val="clear" w:pos="6237"/>
          <w:tab w:val="clear" w:pos="7371"/>
        </w:tabs>
        <w:spacing w:after="100"/>
        <w:ind w:firstLine="289"/>
        <w:rPr>
          <w:szCs w:val="26"/>
        </w:rPr>
      </w:pPr>
      <w:r>
        <w:t>Gure ustez, “Legezkotasunari buruzko iritziaren oinarria, salbuespenekin” ataleko paragrafoan deskribatu ditugun egitateen eraginengatik ez bada eta egindako lanaren norainokoa kontuan hartuta, 2020ko martxotik abendura b</w:t>
      </w:r>
      <w:r>
        <w:t>i</w:t>
      </w:r>
      <w:r>
        <w:t>tartean COVID-19arekin lotuta egindako langile-kontratazioa eta ondasun arrunt eta zerbitzuena, inbertsioak eta emandako dirulaguntzak bat datoz, g</w:t>
      </w:r>
      <w:r>
        <w:t>a</w:t>
      </w:r>
      <w:r>
        <w:t xml:space="preserve">rrantzizko alderdi guztietan, funts publikoen kudeaketari aplikatzekoa zaion araudiarekin. </w:t>
      </w:r>
    </w:p>
    <w:p w:rsidR="006B548F" w:rsidRPr="008A0500" w:rsidRDefault="006B548F" w:rsidP="00366A59">
      <w:pPr>
        <w:pStyle w:val="atitulo4"/>
        <w:spacing w:before="360"/>
      </w:pPr>
      <w:r>
        <w:t>Beste oharpen batzuk, emandako iritzian eraginik ez dutenak</w:t>
      </w:r>
    </w:p>
    <w:p w:rsidR="006B548F" w:rsidRPr="00366A59" w:rsidRDefault="006B548F" w:rsidP="00366A59">
      <w:pPr>
        <w:pStyle w:val="texto"/>
        <w:tabs>
          <w:tab w:val="clear" w:pos="2835"/>
          <w:tab w:val="clear" w:pos="3969"/>
          <w:tab w:val="clear" w:pos="5103"/>
          <w:tab w:val="clear" w:pos="6237"/>
          <w:tab w:val="clear" w:pos="7371"/>
        </w:tabs>
        <w:spacing w:after="100"/>
        <w:ind w:firstLine="289"/>
        <w:rPr>
          <w:szCs w:val="26"/>
        </w:rPr>
      </w:pPr>
      <w:r>
        <w:t>Egindako fiskalizazioaren atal gisa, ondoren ohar batzuk eta aurkitutako g</w:t>
      </w:r>
      <w:r>
        <w:t>o</w:t>
      </w:r>
      <w:r>
        <w:t>rabeherak gehitu ditugu, emandako iritzian eraginik ez dutenak, eta gure ustez interesgarri gerta daitezkeenak COVID-19aren kudeaketa hobetzeko:</w:t>
      </w:r>
    </w:p>
    <w:p w:rsidR="00D94FF9" w:rsidRDefault="00D94FF9" w:rsidP="00D94FF9">
      <w:pPr>
        <w:pStyle w:val="texto"/>
        <w:numPr>
          <w:ilvl w:val="0"/>
          <w:numId w:val="10"/>
        </w:numPr>
        <w:tabs>
          <w:tab w:val="clear" w:pos="2835"/>
          <w:tab w:val="clear" w:pos="3969"/>
          <w:tab w:val="clear" w:pos="5103"/>
          <w:tab w:val="clear" w:pos="6237"/>
          <w:tab w:val="clear" w:pos="7371"/>
          <w:tab w:val="left" w:pos="567"/>
        </w:tabs>
        <w:ind w:left="0" w:firstLine="284"/>
        <w:rPr>
          <w:szCs w:val="26"/>
        </w:rPr>
      </w:pPr>
      <w:r>
        <w:t>PAGNAk bere gain hartu zuen 2020ko abenduaren 31n guztira 2,15 mil</w:t>
      </w:r>
      <w:r>
        <w:t>i</w:t>
      </w:r>
      <w:r>
        <w:t>oikoa zen gastua, aparteko gastutzat, COVID-19ak zentro itunduetan eragi</w:t>
      </w:r>
      <w:r>
        <w:t>n</w:t>
      </w:r>
      <w:r>
        <w:t>dako gainkostuaren zati gisa, zerbitzuak ematen jarraituko zutela bermatzeko; kostuaren gehikuntza horrek zerikusia du errefortzuko langileen kontratazio</w:t>
      </w:r>
      <w:r>
        <w:t>a</w:t>
      </w:r>
      <w:r>
        <w:t>rekin, enpresako langileen ohiko absentismoa gainditzen duten bajekin, kuts</w:t>
      </w:r>
      <w:r>
        <w:t>a</w:t>
      </w:r>
      <w:r>
        <w:t>tzeen prebentziorako gastuekin eta desokupazioak diru-sarreretan eragindako beherakadarekin.</w:t>
      </w:r>
    </w:p>
    <w:p w:rsidR="00D94FF9" w:rsidRDefault="001D6078" w:rsidP="00D94FF9">
      <w:pPr>
        <w:pStyle w:val="texto"/>
        <w:tabs>
          <w:tab w:val="clear" w:pos="2835"/>
          <w:tab w:val="clear" w:pos="3969"/>
          <w:tab w:val="clear" w:pos="5103"/>
          <w:tab w:val="clear" w:pos="6237"/>
          <w:tab w:val="clear" w:pos="7371"/>
        </w:tabs>
        <w:spacing w:after="100"/>
        <w:rPr>
          <w:szCs w:val="26"/>
        </w:rPr>
      </w:pPr>
      <w:r>
        <w:t>PAGNAk aldatu egin zituen zentro soziosanitarioekiko kontratuak, eta er</w:t>
      </w:r>
      <w:r>
        <w:t>a</w:t>
      </w:r>
      <w:r>
        <w:t>baki zuen zentro bakoitzari berak egindako gastuak ordaintzea; banakako ze</w:t>
      </w:r>
      <w:r>
        <w:t>n</w:t>
      </w:r>
      <w:r>
        <w:t>bateko horien kalkulua zentroek igorritako informazioa erabiliz kalkulatzen da, Excel fitxategi banatan beren aparteko gastuei buruz jartzen duten informazio</w:t>
      </w:r>
      <w:r>
        <w:t>a</w:t>
      </w:r>
      <w:r>
        <w:t>rekin, hain zuzen ere; datu horiekin PAGNAk kalkulu konplexu eta neketsu b</w:t>
      </w:r>
      <w:r>
        <w:t>a</w:t>
      </w:r>
      <w:r>
        <w:t>tzuk egiten ditu aparteko gastu gisa bere gain hartuko duen zenbatekoari buruz. Kalkulu prozesu horrek denbora luze samarra behar duen arren, ez da egiaztatu ea zuzena den zentroek langileriari buruz igorritako hasierako informazioa, 1,18 milioiko zenbatekoa ematen duena.  Hori dela-eta, PAGNAk gastu horien justifikazioa eskatzeko asmoa duela aipatu behar dugu.</w:t>
      </w:r>
    </w:p>
    <w:p w:rsidR="006B548F" w:rsidRPr="00622FA4"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Ondoko taulan pazienteak artatzeko eta oheak gordetzeko gastua ageri da Nafarroako Unibertsitateko Klinikan, San Juan de Dios Ospitalean eta San M</w:t>
      </w:r>
      <w:r>
        <w:t>i</w:t>
      </w:r>
      <w:r>
        <w:t>guel Klinikan, 2020ko martxotik ekainera eta uztailetik abendura:</w:t>
      </w:r>
    </w:p>
    <w:tbl>
      <w:tblPr>
        <w:tblStyle w:val="Tablaconcuadrcula"/>
        <w:tblW w:w="8789"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929"/>
        <w:gridCol w:w="2930"/>
        <w:gridCol w:w="2930"/>
      </w:tblGrid>
      <w:tr w:rsidR="006B548F" w:rsidTr="007B47F2">
        <w:trPr>
          <w:trHeight w:val="235"/>
        </w:trPr>
        <w:tc>
          <w:tcPr>
            <w:tcW w:w="2929" w:type="dxa"/>
            <w:tcBorders>
              <w:bottom w:val="single" w:sz="4" w:space="0" w:color="auto"/>
            </w:tcBorders>
            <w:shd w:val="clear" w:color="auto" w:fill="8DB3E2" w:themeFill="text2" w:themeFillTint="66"/>
          </w:tcPr>
          <w:p w:rsidR="006B548F" w:rsidRDefault="006B548F" w:rsidP="00202BCF">
            <w:pPr>
              <w:pStyle w:val="cuadroCabe"/>
              <w:jc w:val="right"/>
            </w:pPr>
          </w:p>
        </w:tc>
        <w:tc>
          <w:tcPr>
            <w:tcW w:w="2930" w:type="dxa"/>
            <w:tcBorders>
              <w:bottom w:val="single" w:sz="4" w:space="0" w:color="auto"/>
            </w:tcBorders>
            <w:shd w:val="clear" w:color="auto" w:fill="8DB3E2" w:themeFill="text2" w:themeFillTint="66"/>
            <w:vAlign w:val="center"/>
          </w:tcPr>
          <w:p w:rsidR="006B548F" w:rsidRPr="00367D21" w:rsidRDefault="006B548F" w:rsidP="00202BCF">
            <w:pPr>
              <w:pStyle w:val="cuadroCabe"/>
              <w:jc w:val="right"/>
              <w:rPr>
                <w:rFonts w:cs="Arial"/>
                <w:szCs w:val="18"/>
              </w:rPr>
            </w:pPr>
            <w:r>
              <w:t>Pazienteak artatzeko gastua</w:t>
            </w:r>
          </w:p>
        </w:tc>
        <w:tc>
          <w:tcPr>
            <w:tcW w:w="2930" w:type="dxa"/>
            <w:tcBorders>
              <w:bottom w:val="single" w:sz="4" w:space="0" w:color="auto"/>
            </w:tcBorders>
            <w:shd w:val="clear" w:color="auto" w:fill="8DB3E2" w:themeFill="text2" w:themeFillTint="66"/>
            <w:vAlign w:val="center"/>
          </w:tcPr>
          <w:p w:rsidR="006B548F" w:rsidRPr="00367D21" w:rsidRDefault="006B548F" w:rsidP="00202BCF">
            <w:pPr>
              <w:pStyle w:val="cuadroCabe"/>
              <w:jc w:val="right"/>
              <w:rPr>
                <w:rFonts w:cs="Arial"/>
                <w:szCs w:val="18"/>
              </w:rPr>
            </w:pPr>
            <w:r>
              <w:t>Oheak gordetzeko gastua</w:t>
            </w:r>
          </w:p>
        </w:tc>
      </w:tr>
      <w:tr w:rsidR="006B548F" w:rsidTr="008A0500">
        <w:trPr>
          <w:trHeight w:val="198"/>
        </w:trPr>
        <w:tc>
          <w:tcPr>
            <w:tcW w:w="2929" w:type="dxa"/>
            <w:tcBorders>
              <w:bottom w:val="single" w:sz="2" w:space="0" w:color="auto"/>
            </w:tcBorders>
            <w:vAlign w:val="center"/>
          </w:tcPr>
          <w:p w:rsidR="006B548F" w:rsidRPr="00367D21" w:rsidRDefault="006B548F" w:rsidP="008A0500">
            <w:pPr>
              <w:pStyle w:val="cuatexto"/>
            </w:pPr>
            <w:r>
              <w:t>2020ko martxoa-ekaina</w:t>
            </w:r>
          </w:p>
        </w:tc>
        <w:tc>
          <w:tcPr>
            <w:tcW w:w="2930" w:type="dxa"/>
            <w:tcBorders>
              <w:bottom w:val="single" w:sz="2" w:space="0" w:color="auto"/>
            </w:tcBorders>
            <w:vAlign w:val="center"/>
          </w:tcPr>
          <w:p w:rsidR="006B548F" w:rsidRPr="00367D21" w:rsidRDefault="006B548F" w:rsidP="008A0500">
            <w:pPr>
              <w:pStyle w:val="cuatexto"/>
              <w:jc w:val="right"/>
              <w:rPr>
                <w:szCs w:val="20"/>
              </w:rPr>
            </w:pPr>
            <w:r>
              <w:t>2.790.689</w:t>
            </w:r>
          </w:p>
        </w:tc>
        <w:tc>
          <w:tcPr>
            <w:tcW w:w="2930" w:type="dxa"/>
            <w:tcBorders>
              <w:bottom w:val="single" w:sz="2" w:space="0" w:color="auto"/>
            </w:tcBorders>
            <w:vAlign w:val="center"/>
          </w:tcPr>
          <w:p w:rsidR="006B548F" w:rsidRPr="00367D21" w:rsidRDefault="006B548F" w:rsidP="008A0500">
            <w:pPr>
              <w:pStyle w:val="cuatexto"/>
              <w:jc w:val="right"/>
              <w:rPr>
                <w:szCs w:val="20"/>
              </w:rPr>
            </w:pPr>
            <w:r>
              <w:t>1.997.878</w:t>
            </w:r>
          </w:p>
        </w:tc>
      </w:tr>
      <w:tr w:rsidR="006B548F" w:rsidTr="005A518C">
        <w:trPr>
          <w:trHeight w:hRule="exact" w:val="198"/>
        </w:trPr>
        <w:tc>
          <w:tcPr>
            <w:tcW w:w="2929" w:type="dxa"/>
            <w:tcBorders>
              <w:top w:val="single" w:sz="2" w:space="0" w:color="auto"/>
              <w:bottom w:val="single" w:sz="4" w:space="0" w:color="auto"/>
            </w:tcBorders>
            <w:vAlign w:val="center"/>
          </w:tcPr>
          <w:p w:rsidR="006B548F" w:rsidRPr="00367D21" w:rsidRDefault="006B548F" w:rsidP="008A0500">
            <w:pPr>
              <w:pStyle w:val="cuatexto"/>
            </w:pPr>
            <w:r>
              <w:t>2020ko uztaila-abendua</w:t>
            </w:r>
          </w:p>
        </w:tc>
        <w:tc>
          <w:tcPr>
            <w:tcW w:w="2930" w:type="dxa"/>
            <w:tcBorders>
              <w:top w:val="single" w:sz="2" w:space="0" w:color="auto"/>
              <w:bottom w:val="single" w:sz="4" w:space="0" w:color="auto"/>
            </w:tcBorders>
            <w:vAlign w:val="center"/>
          </w:tcPr>
          <w:p w:rsidR="006B548F" w:rsidRPr="00367D21" w:rsidRDefault="006B548F" w:rsidP="008A0500">
            <w:pPr>
              <w:pStyle w:val="cuatexto"/>
              <w:jc w:val="right"/>
              <w:rPr>
                <w:szCs w:val="20"/>
              </w:rPr>
            </w:pPr>
            <w:r>
              <w:t>2.820.494</w:t>
            </w:r>
          </w:p>
        </w:tc>
        <w:tc>
          <w:tcPr>
            <w:tcW w:w="2930" w:type="dxa"/>
            <w:tcBorders>
              <w:top w:val="single" w:sz="2" w:space="0" w:color="auto"/>
              <w:bottom w:val="single" w:sz="4" w:space="0" w:color="auto"/>
            </w:tcBorders>
            <w:vAlign w:val="center"/>
          </w:tcPr>
          <w:p w:rsidR="006B548F" w:rsidRPr="00367D21" w:rsidRDefault="006B548F" w:rsidP="008A0500">
            <w:pPr>
              <w:pStyle w:val="cuatexto"/>
              <w:jc w:val="right"/>
              <w:rPr>
                <w:szCs w:val="20"/>
              </w:rPr>
            </w:pPr>
            <w:r>
              <w:t>255.753</w:t>
            </w:r>
          </w:p>
        </w:tc>
      </w:tr>
      <w:tr w:rsidR="006B548F" w:rsidRPr="00367D21" w:rsidTr="005A518C">
        <w:trPr>
          <w:trHeight w:hRule="exact" w:val="255"/>
        </w:trPr>
        <w:tc>
          <w:tcPr>
            <w:tcW w:w="2929" w:type="dxa"/>
            <w:shd w:val="clear" w:color="auto" w:fill="8DB3E2" w:themeFill="text2" w:themeFillTint="66"/>
            <w:vAlign w:val="center"/>
          </w:tcPr>
          <w:p w:rsidR="006B548F" w:rsidRPr="00367D21" w:rsidRDefault="006B548F" w:rsidP="00202BCF">
            <w:pPr>
              <w:pStyle w:val="cuadroCabe"/>
            </w:pPr>
            <w:r>
              <w:t>2020ko martxoa-abendua, gu</w:t>
            </w:r>
            <w:r>
              <w:t>z</w:t>
            </w:r>
            <w:r>
              <w:t>tira</w:t>
            </w:r>
          </w:p>
        </w:tc>
        <w:tc>
          <w:tcPr>
            <w:tcW w:w="2930" w:type="dxa"/>
            <w:shd w:val="clear" w:color="auto" w:fill="8DB3E2" w:themeFill="text2" w:themeFillTint="66"/>
            <w:vAlign w:val="center"/>
          </w:tcPr>
          <w:p w:rsidR="006B548F" w:rsidRPr="00367D21" w:rsidRDefault="006B548F" w:rsidP="00202BCF">
            <w:pPr>
              <w:pStyle w:val="cuadroCabe"/>
              <w:jc w:val="right"/>
            </w:pPr>
            <w:r>
              <w:t>5.611.183</w:t>
            </w:r>
          </w:p>
        </w:tc>
        <w:tc>
          <w:tcPr>
            <w:tcW w:w="2930" w:type="dxa"/>
            <w:shd w:val="clear" w:color="auto" w:fill="8DB3E2" w:themeFill="text2" w:themeFillTint="66"/>
            <w:vAlign w:val="center"/>
          </w:tcPr>
          <w:p w:rsidR="006B548F" w:rsidRPr="00367D21" w:rsidRDefault="006B548F" w:rsidP="00202BCF">
            <w:pPr>
              <w:pStyle w:val="cuadroCabe"/>
              <w:jc w:val="right"/>
            </w:pPr>
            <w:r>
              <w:t>2.253.631</w:t>
            </w:r>
          </w:p>
        </w:tc>
      </w:tr>
    </w:tbl>
    <w:p w:rsidR="006B548F" w:rsidRDefault="006B548F" w:rsidP="006B548F">
      <w:pPr>
        <w:pStyle w:val="texto"/>
        <w:tabs>
          <w:tab w:val="clear" w:pos="2835"/>
          <w:tab w:val="clear" w:pos="3969"/>
          <w:tab w:val="clear" w:pos="5103"/>
          <w:tab w:val="clear" w:pos="6237"/>
          <w:tab w:val="clear" w:pos="7371"/>
        </w:tabs>
        <w:spacing w:before="240" w:after="100"/>
        <w:ind w:firstLine="289"/>
        <w:rPr>
          <w:szCs w:val="26"/>
        </w:rPr>
      </w:pPr>
      <w:r>
        <w:t xml:space="preserve">Guztira 7,86 milioi gastatu ziren, horietatik ehuneko 71 pazienteak artatzeko eta gainerako ehuneko 29a oheak gordetzeko; ohe erabilgarrien kontratazioaren kudeaketa nabarmen hobetu zen denbora igaro ahala, eta txosten hau egin den </w:t>
      </w:r>
      <w:r>
        <w:lastRenderedPageBreak/>
        <w:t>garaian egiazko beharrizanen epe laburreko aurreikuspenak egiten ari ziren pandemiaren eboluzioaren arabera.</w:t>
      </w:r>
    </w:p>
    <w:p w:rsidR="00FB2599" w:rsidRPr="00C46D0D" w:rsidRDefault="00C46D0D" w:rsidP="00366A59">
      <w:pPr>
        <w:pStyle w:val="texto"/>
        <w:tabs>
          <w:tab w:val="clear" w:pos="2835"/>
          <w:tab w:val="clear" w:pos="3969"/>
          <w:tab w:val="clear" w:pos="5103"/>
          <w:tab w:val="clear" w:pos="6237"/>
          <w:tab w:val="clear" w:pos="7371"/>
        </w:tabs>
        <w:spacing w:before="120" w:after="120"/>
        <w:ind w:firstLine="289"/>
        <w:rPr>
          <w:szCs w:val="26"/>
        </w:rPr>
      </w:pPr>
      <w:r>
        <w:t>Gastu horretatik ehuneko 60 Nafarroako Unibertsitateko Klinikara bideratu zen (4,7 milioi), ehuneko 29 San Juan de Dios Ospitalera (2,3 milioi) eta eh</w:t>
      </w:r>
      <w:r>
        <w:t>u</w:t>
      </w:r>
      <w:r>
        <w:t>neko 11 San Miguel Klinikara (0,8 milioi).</w:t>
      </w:r>
    </w:p>
    <w:p w:rsidR="006B548F" w:rsidRPr="00BB3B9E" w:rsidRDefault="006B548F" w:rsidP="00BB3B9E">
      <w:pPr>
        <w:pStyle w:val="texto"/>
        <w:numPr>
          <w:ilvl w:val="0"/>
          <w:numId w:val="10"/>
        </w:numPr>
        <w:tabs>
          <w:tab w:val="clear" w:pos="2835"/>
          <w:tab w:val="clear" w:pos="3969"/>
          <w:tab w:val="clear" w:pos="5103"/>
          <w:tab w:val="clear" w:pos="6237"/>
          <w:tab w:val="clear" w:pos="7371"/>
          <w:tab w:val="left" w:pos="567"/>
        </w:tabs>
        <w:ind w:left="0" w:firstLine="284"/>
        <w:rPr>
          <w:szCs w:val="26"/>
        </w:rPr>
      </w:pPr>
      <w:r>
        <w:t>FPP2 maskaren hornidura hornitzaile batekin egin zen, larrialdiko proz</w:t>
      </w:r>
      <w:r>
        <w:t>e</w:t>
      </w:r>
      <w:r>
        <w:t>duraz, O-NOZen eta Ekonomia eta Ogasun Departamentuaren arteko lankid</w:t>
      </w:r>
      <w:r>
        <w:t>e</w:t>
      </w:r>
      <w:r>
        <w:t>tza-hitzarmen bat zela medio; hitzarmenean adierazi zen O-NOZen ardura zela kontratazio prozedura kudeatzea, kontratuaren formalizazioa izan ezik, hori e</w:t>
      </w:r>
      <w:r>
        <w:t>n</w:t>
      </w:r>
      <w:r>
        <w:t>titate bakoitzak egin behar baitzuen. Hornidura, zehazki, O-NOZi eta Ekon</w:t>
      </w:r>
      <w:r>
        <w:t>o</w:t>
      </w:r>
      <w:r>
        <w:t>mia eta Ogasun Departamentuari egin zitzaien (hitzarmenaren arabera, bigarr</w:t>
      </w:r>
      <w:r>
        <w:t>e</w:t>
      </w:r>
      <w:r>
        <w:t>nak onartu egin behar zuen O-NOZen jarduketen ondorioz adjudikazioa jasoko zuen enpresa), eta Ekonomia eta Ogasun Departamentuak erosketa zentralizatu zuen gainerako departamentuak hornitzeko. Ez dago jasorik kontratua formal</w:t>
      </w:r>
      <w:r>
        <w:t>i</w:t>
      </w:r>
      <w:r>
        <w:t>zatu izana hornitzailearekin eta Ekonomia eta Ogasun Departamentuarekin.</w:t>
      </w:r>
    </w:p>
    <w:p w:rsidR="006B548F" w:rsidRDefault="00BB3B9E" w:rsidP="006B548F">
      <w:pPr>
        <w:pStyle w:val="texto"/>
        <w:tabs>
          <w:tab w:val="clear" w:pos="2835"/>
          <w:tab w:val="clear" w:pos="3969"/>
          <w:tab w:val="clear" w:pos="5103"/>
          <w:tab w:val="clear" w:pos="6237"/>
          <w:tab w:val="clear" w:pos="7371"/>
        </w:tabs>
        <w:spacing w:after="100"/>
        <w:ind w:firstLine="289"/>
        <w:rPr>
          <w:szCs w:val="26"/>
        </w:rPr>
      </w:pPr>
      <w:r>
        <w:t xml:space="preserve">Bestalde, O-NOZen kontu-hartzailetza delegatuak eragozpen-ohar etengarri bat egin zuen hornidura horri zegozkion fakturen ordainketari buruz, eta O-NOZek desadostasuna adierazi zuen. Txosten hau idazteko garaian, Kontu-hartze eta Kontabilitate Zuzendaritza Nagusia desadostasun horren jakitun da, eta ebatzi egin behar du. </w:t>
      </w:r>
    </w:p>
    <w:p w:rsidR="006B548F" w:rsidRDefault="006B548F" w:rsidP="00560890">
      <w:pPr>
        <w:pStyle w:val="texto"/>
        <w:numPr>
          <w:ilvl w:val="0"/>
          <w:numId w:val="10"/>
        </w:numPr>
        <w:tabs>
          <w:tab w:val="clear" w:pos="2835"/>
          <w:tab w:val="clear" w:pos="3969"/>
          <w:tab w:val="clear" w:pos="5103"/>
          <w:tab w:val="clear" w:pos="6237"/>
          <w:tab w:val="clear" w:pos="7371"/>
          <w:tab w:val="left" w:pos="567"/>
        </w:tabs>
        <w:spacing w:after="240"/>
        <w:ind w:left="0" w:firstLine="284"/>
      </w:pPr>
      <w:r>
        <w:t>NFKAk 2020ko martxotik urrira arteko aldiari buruz emandako inform</w:t>
      </w:r>
      <w:r>
        <w:t>a</w:t>
      </w:r>
      <w:r>
        <w:t>zioaren arabera, kontratuak eteteagatiko kalte-ordainen ondorioz 762.820 e</w:t>
      </w:r>
      <w:r>
        <w:t>u</w:t>
      </w:r>
      <w:r>
        <w:t>roko gastua egin zen, honela xehakatuta:</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774"/>
        <w:gridCol w:w="5627"/>
        <w:gridCol w:w="1418"/>
      </w:tblGrid>
      <w:tr w:rsidR="006B548F" w:rsidTr="005A518C">
        <w:trPr>
          <w:trHeight w:val="255"/>
        </w:trPr>
        <w:tc>
          <w:tcPr>
            <w:tcW w:w="1774" w:type="dxa"/>
            <w:shd w:val="clear" w:color="auto" w:fill="8DB3E2" w:themeFill="text2" w:themeFillTint="66"/>
            <w:vAlign w:val="center"/>
          </w:tcPr>
          <w:p w:rsidR="006B548F" w:rsidRDefault="006B548F" w:rsidP="00202BCF">
            <w:pPr>
              <w:pStyle w:val="cuadroCabe"/>
            </w:pPr>
            <w:r>
              <w:t>Departamentua</w:t>
            </w:r>
          </w:p>
        </w:tc>
        <w:tc>
          <w:tcPr>
            <w:tcW w:w="5627" w:type="dxa"/>
            <w:shd w:val="clear" w:color="auto" w:fill="8DB3E2" w:themeFill="text2" w:themeFillTint="66"/>
            <w:vAlign w:val="center"/>
          </w:tcPr>
          <w:p w:rsidR="006B548F" w:rsidRDefault="006B548F" w:rsidP="00202BCF">
            <w:pPr>
              <w:pStyle w:val="cuadroCabe"/>
            </w:pPr>
            <w:r>
              <w:t>Etendako kontratua</w:t>
            </w:r>
          </w:p>
        </w:tc>
        <w:tc>
          <w:tcPr>
            <w:tcW w:w="1418" w:type="dxa"/>
            <w:shd w:val="clear" w:color="auto" w:fill="8DB3E2" w:themeFill="text2" w:themeFillTint="66"/>
            <w:vAlign w:val="center"/>
          </w:tcPr>
          <w:p w:rsidR="006B548F" w:rsidRDefault="006B548F" w:rsidP="00202BCF">
            <w:pPr>
              <w:pStyle w:val="cuadroCabe"/>
              <w:jc w:val="right"/>
            </w:pPr>
            <w:r>
              <w:t>Zenbatekoa</w:t>
            </w:r>
          </w:p>
        </w:tc>
      </w:tr>
      <w:tr w:rsidR="006B548F" w:rsidTr="00202BCF">
        <w:trPr>
          <w:trHeight w:val="509"/>
        </w:trPr>
        <w:tc>
          <w:tcPr>
            <w:tcW w:w="1774" w:type="dxa"/>
            <w:vMerge w:val="restart"/>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Ekonomia eta Og</w:t>
            </w:r>
            <w:r>
              <w:rPr>
                <w:rFonts w:ascii="Arial Narrow" w:hAnsi="Arial Narrow"/>
                <w:color w:val="000000"/>
              </w:rPr>
              <w:t>a</w:t>
            </w:r>
            <w:r>
              <w:rPr>
                <w:rFonts w:ascii="Arial Narrow" w:hAnsi="Arial Narrow"/>
                <w:color w:val="000000"/>
              </w:rPr>
              <w:t>suna</w:t>
            </w:r>
          </w:p>
        </w:tc>
        <w:tc>
          <w:tcPr>
            <w:tcW w:w="5627" w:type="dxa"/>
            <w:tcBorders>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Nafarroako Gobernuaren eta atxikitako erakunde autonomoen erabilera administratiboko egoitzak garbitzeko zerbitzua</w:t>
            </w:r>
          </w:p>
        </w:tc>
        <w:tc>
          <w:tcPr>
            <w:tcW w:w="1418" w:type="dxa"/>
            <w:tcBorders>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23.636</w:t>
            </w:r>
          </w:p>
        </w:tc>
      </w:tr>
      <w:tr w:rsidR="006B548F" w:rsidTr="00202BCF">
        <w:trPr>
          <w:trHeight w:val="276"/>
        </w:trPr>
        <w:tc>
          <w:tcPr>
            <w:tcW w:w="1774" w:type="dxa"/>
            <w:vMerge/>
            <w:tcBorders>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PFEZaren aitorpenak inprimatu eta gutun-azaletan sartzea</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rPr>
            </w:pPr>
            <w:r>
              <w:rPr>
                <w:rFonts w:ascii="Arial Narrow" w:hAnsi="Arial Narrow"/>
              </w:rPr>
              <w:t>Finkatzeko dago</w:t>
            </w:r>
          </w:p>
        </w:tc>
      </w:tr>
      <w:tr w:rsidR="006B548F" w:rsidTr="00202BCF">
        <w:trPr>
          <w:trHeight w:val="290"/>
        </w:trPr>
        <w:tc>
          <w:tcPr>
            <w:tcW w:w="1774" w:type="dxa"/>
            <w:vMerge w:val="restart"/>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Hezkuntza</w:t>
            </w: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Hainbat hezkuntza-programa</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30.184</w:t>
            </w:r>
          </w:p>
        </w:tc>
      </w:tr>
      <w:tr w:rsidR="006B548F" w:rsidTr="00202BCF">
        <w:trPr>
          <w:trHeight w:val="471"/>
        </w:trPr>
        <w:tc>
          <w:tcPr>
            <w:tcW w:w="1774" w:type="dxa"/>
            <w:vMerge/>
            <w:tcBorders>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 xml:space="preserve">Eskualdeko eskola-jantokien zerbitzua ikastetxe publikoetan, 2019-2020 ikasturterako </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440.980</w:t>
            </w:r>
          </w:p>
        </w:tc>
      </w:tr>
      <w:tr w:rsidR="006B548F" w:rsidTr="00202BCF">
        <w:trPr>
          <w:trHeight w:val="492"/>
        </w:trPr>
        <w:tc>
          <w:tcPr>
            <w:tcW w:w="1774" w:type="dxa"/>
            <w:vMerge/>
            <w:tcBorders>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Eskola-garraioaren zerbitzua ikastetxe publikoetan, 2019-2020 ikasturterako</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45.983</w:t>
            </w:r>
          </w:p>
        </w:tc>
      </w:tr>
      <w:tr w:rsidR="006B548F" w:rsidTr="00202BCF">
        <w:trPr>
          <w:trHeight w:val="290"/>
        </w:trPr>
        <w:tc>
          <w:tcPr>
            <w:tcW w:w="1774"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Eskubide Sozialak</w:t>
            </w: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 xml:space="preserve">Eguneko zentroen kudeaketa </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202.455</w:t>
            </w:r>
          </w:p>
        </w:tc>
      </w:tr>
      <w:tr w:rsidR="006B548F" w:rsidTr="00202BCF">
        <w:trPr>
          <w:trHeight w:val="177"/>
        </w:trPr>
        <w:tc>
          <w:tcPr>
            <w:tcW w:w="1774" w:type="dxa"/>
            <w:vMerge w:val="restart"/>
            <w:tcBorders>
              <w:top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Kultura eta Kirola</w:t>
            </w: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Kirolaren Etxearen kudeaketa eta oinarrizko mantentze-lanak</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1.141</w:t>
            </w:r>
          </w:p>
        </w:tc>
      </w:tr>
      <w:tr w:rsidR="006B548F" w:rsidTr="00202BCF">
        <w:trPr>
          <w:trHeight w:val="208"/>
        </w:trPr>
        <w:tc>
          <w:tcPr>
            <w:tcW w:w="1774" w:type="dxa"/>
            <w:vMerge/>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p>
        </w:tc>
        <w:tc>
          <w:tcPr>
            <w:tcW w:w="5627" w:type="dxa"/>
            <w:tcBorders>
              <w:top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Nafarroako Errege Artxibo Nagusiko lan lagungarriak</w:t>
            </w:r>
          </w:p>
        </w:tc>
        <w:tc>
          <w:tcPr>
            <w:tcW w:w="1418" w:type="dxa"/>
            <w:tcBorders>
              <w:top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18.441</w:t>
            </w:r>
          </w:p>
        </w:tc>
      </w:tr>
      <w:tr w:rsidR="006B548F" w:rsidTr="005A518C">
        <w:trPr>
          <w:trHeight w:val="255"/>
        </w:trPr>
        <w:tc>
          <w:tcPr>
            <w:tcW w:w="1774" w:type="dxa"/>
            <w:shd w:val="clear" w:color="auto" w:fill="8DB3E2" w:themeFill="text2" w:themeFillTint="66"/>
            <w:vAlign w:val="center"/>
          </w:tcPr>
          <w:p w:rsidR="006B548F" w:rsidRDefault="006B548F" w:rsidP="00202BCF">
            <w:pPr>
              <w:pStyle w:val="cuadroCabe"/>
            </w:pPr>
            <w:r>
              <w:t xml:space="preserve">Guztira </w:t>
            </w:r>
          </w:p>
        </w:tc>
        <w:tc>
          <w:tcPr>
            <w:tcW w:w="5627" w:type="dxa"/>
            <w:shd w:val="clear" w:color="auto" w:fill="8DB3E2" w:themeFill="text2" w:themeFillTint="66"/>
            <w:vAlign w:val="center"/>
          </w:tcPr>
          <w:p w:rsidR="006B548F" w:rsidRDefault="006B548F" w:rsidP="00202BCF">
            <w:pPr>
              <w:pStyle w:val="cuadroCabe"/>
            </w:pPr>
            <w:r>
              <w:t xml:space="preserve"> </w:t>
            </w:r>
          </w:p>
        </w:tc>
        <w:tc>
          <w:tcPr>
            <w:tcW w:w="1418" w:type="dxa"/>
            <w:shd w:val="clear" w:color="auto" w:fill="8DB3E2" w:themeFill="text2" w:themeFillTint="66"/>
            <w:vAlign w:val="center"/>
          </w:tcPr>
          <w:p w:rsidR="006B548F" w:rsidRDefault="006B548F" w:rsidP="00202BCF">
            <w:pPr>
              <w:pStyle w:val="cuadroCabe"/>
              <w:jc w:val="right"/>
            </w:pPr>
            <w:r>
              <w:t>762.820</w:t>
            </w:r>
          </w:p>
        </w:tc>
      </w:tr>
    </w:tbl>
    <w:p w:rsidR="006B548F" w:rsidRDefault="006B548F" w:rsidP="00560890">
      <w:pPr>
        <w:pStyle w:val="texto"/>
        <w:numPr>
          <w:ilvl w:val="0"/>
          <w:numId w:val="10"/>
        </w:numPr>
        <w:tabs>
          <w:tab w:val="clear" w:pos="2835"/>
          <w:tab w:val="clear" w:pos="3969"/>
          <w:tab w:val="clear" w:pos="5103"/>
          <w:tab w:val="clear" w:pos="6237"/>
          <w:tab w:val="clear" w:pos="7371"/>
          <w:tab w:val="left" w:pos="567"/>
        </w:tabs>
        <w:spacing w:before="240"/>
        <w:ind w:left="0" w:firstLine="284"/>
      </w:pPr>
      <w:r>
        <w:t xml:space="preserve">Refena kokatuta dagoen finkaren erabilera lagata dago 2009az geroztik. Izan ere, Sociedad de Promoción de Inversiones e Infraestructuras de Navarra SAk Recintos Feriales de Navarra SAri eta Eventos Zunzarren SLri laga zien erabilera, azokak eta bestelako ekitaldiak antolatzeko. </w:t>
      </w:r>
    </w:p>
    <w:p w:rsidR="006B548F" w:rsidRDefault="006B548F" w:rsidP="006B548F">
      <w:pPr>
        <w:pStyle w:val="texto"/>
      </w:pPr>
      <w:r>
        <w:lastRenderedPageBreak/>
        <w:t xml:space="preserve">COVID-19ak eragindako osasun krisia zela-eta, NFKAk beharrezkotzat jo zuen presaz eta berehala baliatzea Refena kokatuta dagoen finka eta higiezin hori kudeatzen duen enpresaren hainbat altzari eta tresna, 2020ko martxoaren 15etik 2021eko martxoaren 31ra bitartean. </w:t>
      </w:r>
    </w:p>
    <w:p w:rsidR="006B548F" w:rsidRDefault="006B548F" w:rsidP="007B47F2">
      <w:pPr>
        <w:pStyle w:val="texto"/>
      </w:pPr>
      <w:r>
        <w:t>NFKAk finka okupatze horrek bi gastu-espediente eragin ditu 2021ean, biak ere 2020ko gertaerekin lotuak. Hona hemen xehetasunak:</w:t>
      </w:r>
    </w:p>
    <w:p w:rsidR="00DC7281" w:rsidRPr="00DC7281" w:rsidRDefault="006B548F" w:rsidP="007B47F2">
      <w:pPr>
        <w:pStyle w:val="texto"/>
        <w:numPr>
          <w:ilvl w:val="0"/>
          <w:numId w:val="26"/>
        </w:numPr>
        <w:tabs>
          <w:tab w:val="clear" w:pos="2835"/>
          <w:tab w:val="clear" w:pos="3969"/>
          <w:tab w:val="clear" w:pos="5103"/>
          <w:tab w:val="clear" w:pos="6237"/>
          <w:tab w:val="clear" w:pos="7371"/>
          <w:tab w:val="left" w:pos="567"/>
        </w:tabs>
        <w:ind w:left="0" w:firstLine="284"/>
      </w:pPr>
      <w:r>
        <w:t>O-NOZek 2020ko urriaren 8an proposatu zuen altzarien erabilerari zego</w:t>
      </w:r>
      <w:r>
        <w:t>z</w:t>
      </w:r>
      <w:r>
        <w:t>kion bost faktura ordaintzea —guztira 137.393 euro 2020ko martxotik irailera bitarteko aldirako— aipatu finken erabilera laga zitzaien enpresei. Kontu-hartzailetza Nagusiak horri buruzko txostena eman zuen, non egokitzat jotzen zen espedientea izapidetzea, larrialdiko espedientea zela iritzita, baina inguru</w:t>
      </w:r>
      <w:r>
        <w:t>a</w:t>
      </w:r>
      <w:r>
        <w:t xml:space="preserve">bar hauek ere aipatzen ziren: </w:t>
      </w:r>
      <w:r>
        <w:rPr>
          <w:i/>
          <w:sz w:val="24"/>
        </w:rPr>
        <w:t>“...txostenean aztergai den espedientean falta dira kontratuen xedeen azalpena, kontratuen exekuzioaren unea, iraupena, prezioaren x</w:t>
      </w:r>
      <w:r>
        <w:rPr>
          <w:i/>
          <w:sz w:val="24"/>
        </w:rPr>
        <w:t>e</w:t>
      </w:r>
      <w:r>
        <w:rPr>
          <w:i/>
          <w:sz w:val="24"/>
        </w:rPr>
        <w:t>hakapena —merkatuarekin bat datorren aztertu ahal izateko—, eta halaber egiazt</w:t>
      </w:r>
      <w:r>
        <w:rPr>
          <w:i/>
          <w:sz w:val="24"/>
        </w:rPr>
        <w:t>a</w:t>
      </w:r>
      <w:r>
        <w:rPr>
          <w:i/>
          <w:sz w:val="24"/>
        </w:rPr>
        <w:t>pen juridiko eta tekniko arrazoitua eta sendoa, erakutsi behar duena halako kasuan gaudela egindako jarduketa guztietan…”; “…ez dakigu zein altzari eta tresna zeuden instalazioan Nafarroako Foru Komunitateko Administrazioak higiezina okupatu zu</w:t>
      </w:r>
      <w:r>
        <w:rPr>
          <w:i/>
          <w:sz w:val="24"/>
        </w:rPr>
        <w:t>e</w:t>
      </w:r>
      <w:r>
        <w:rPr>
          <w:i/>
          <w:sz w:val="24"/>
        </w:rPr>
        <w:t>nean (kategoria horretan sartu behar dira bai SPRINek erabilera lagapen-hartzaileari laga zionean higiezinean zeudenak, baita lagapen-hartzaileak berariaz azoka-jarduera garatzeko erosi zituenak ere), eta zein gehitu ziren gerora, Naf</w:t>
      </w:r>
      <w:r>
        <w:rPr>
          <w:i/>
          <w:sz w:val="24"/>
        </w:rPr>
        <w:t>a</w:t>
      </w:r>
      <w:r>
        <w:rPr>
          <w:i/>
          <w:sz w:val="24"/>
        </w:rPr>
        <w:t>rroako Osasun Zerbitzuak hala eskaturik, ez baitago inbentario batean jasorik zer ondasun zeuden higiezinean hura okupatu zenean…”.</w:t>
      </w:r>
    </w:p>
    <w:p w:rsidR="006B548F" w:rsidRDefault="006B548F" w:rsidP="00DC7281">
      <w:pPr>
        <w:pStyle w:val="texto"/>
        <w:tabs>
          <w:tab w:val="clear" w:pos="2835"/>
          <w:tab w:val="clear" w:pos="3969"/>
          <w:tab w:val="clear" w:pos="5103"/>
          <w:tab w:val="clear" w:pos="6237"/>
          <w:tab w:val="clear" w:pos="7371"/>
          <w:tab w:val="left" w:pos="567"/>
        </w:tabs>
      </w:pPr>
      <w:r>
        <w:t xml:space="preserve">Horrek guztiak berekin ekarri zuen eragozpen-ohar etengarri bat egitea 2020ko urriaren 14an. </w:t>
      </w:r>
    </w:p>
    <w:p w:rsidR="006B548F" w:rsidRDefault="006B548F" w:rsidP="006B548F">
      <w:pPr>
        <w:pStyle w:val="texto"/>
        <w:tabs>
          <w:tab w:val="clear" w:pos="2835"/>
          <w:tab w:val="clear" w:pos="3969"/>
          <w:tab w:val="clear" w:pos="5103"/>
          <w:tab w:val="clear" w:pos="6237"/>
          <w:tab w:val="clear" w:pos="7371"/>
        </w:tabs>
      </w:pPr>
      <w:r>
        <w:t>2020ko urriaren 20an O-NOZek txostena eman zuen Kontu-hartzailetza N</w:t>
      </w:r>
      <w:r>
        <w:t>a</w:t>
      </w:r>
      <w:r>
        <w:t xml:space="preserve">gusiaren txostenarekin ados ez zegoela adierazteko, eta ondorioz eragozpen-oharra Nafarroako Gobernuari aurkeztu zitzaion. </w:t>
      </w:r>
    </w:p>
    <w:p w:rsidR="006B548F" w:rsidRPr="003C4C39" w:rsidRDefault="006B548F" w:rsidP="006B548F">
      <w:pPr>
        <w:pStyle w:val="texto"/>
        <w:tabs>
          <w:tab w:val="clear" w:pos="2835"/>
          <w:tab w:val="clear" w:pos="3969"/>
          <w:tab w:val="clear" w:pos="5103"/>
          <w:tab w:val="clear" w:pos="6237"/>
          <w:tab w:val="clear" w:pos="7371"/>
        </w:tabs>
      </w:pPr>
      <w:r>
        <w:t>2020ko urriaren 21ean Nafarroako Gobernuak desadostasuna ebatzi zuen O-NOZen alde, eta O-NOZeko zuzendari kudeatzailearen ebazpen baten bidez l</w:t>
      </w:r>
      <w:r>
        <w:t>a</w:t>
      </w:r>
      <w:r>
        <w:t>rrialdiko espedienteko jarduketak onetsi ziren, bai eta adierazitako gastuak a</w:t>
      </w:r>
      <w:r>
        <w:t>i</w:t>
      </w:r>
      <w:r>
        <w:t>tortu ere.</w:t>
      </w:r>
    </w:p>
    <w:p w:rsidR="006B548F" w:rsidRDefault="006B548F" w:rsidP="006B548F">
      <w:pPr>
        <w:pStyle w:val="texto"/>
        <w:tabs>
          <w:tab w:val="clear" w:pos="2835"/>
          <w:tab w:val="clear" w:pos="3969"/>
          <w:tab w:val="clear" w:pos="5103"/>
          <w:tab w:val="clear" w:pos="6237"/>
          <w:tab w:val="clear" w:pos="7371"/>
        </w:tabs>
      </w:pPr>
      <w:r>
        <w:t>Ondoren, 2021ean, 2020ko urriko, azaroko eta abenduko gastuak onetsi ziren eta 2021eko aurrekontuan kontabilizatu ziren. Guztira 68.622 euroko gastuak ziren.</w:t>
      </w:r>
    </w:p>
    <w:p w:rsidR="006B548F" w:rsidRDefault="006B548F" w:rsidP="00D7181A">
      <w:pPr>
        <w:pStyle w:val="texto"/>
        <w:numPr>
          <w:ilvl w:val="0"/>
          <w:numId w:val="26"/>
        </w:numPr>
        <w:tabs>
          <w:tab w:val="clear" w:pos="2835"/>
          <w:tab w:val="clear" w:pos="3969"/>
          <w:tab w:val="clear" w:pos="5103"/>
          <w:tab w:val="clear" w:pos="6237"/>
          <w:tab w:val="clear" w:pos="7371"/>
          <w:tab w:val="left" w:pos="567"/>
        </w:tabs>
        <w:ind w:left="0" w:firstLine="426"/>
      </w:pPr>
      <w:r>
        <w:t>Bestalde, O-NOZek larrialdiagatiko gastua baimentzeko espediente bat izapidetu zuen, 2020ko martxotik 2021eko martxora bitartean higiezinaren er</w:t>
      </w:r>
      <w:r>
        <w:t>a</w:t>
      </w:r>
      <w:r>
        <w:t>bilerak eta hornidurek eragindako gastuarengatik kalte-ordaina emateko, gu</w:t>
      </w:r>
      <w:r>
        <w:t>z</w:t>
      </w:r>
      <w:r>
        <w:t>tira 187.030 euro (163.662 euro erabileragatik eta 23.368 euro hornidureng</w:t>
      </w:r>
      <w:r>
        <w:t>a</w:t>
      </w:r>
      <w:r>
        <w:t xml:space="preserve">tik). Gastu horiek 2021eko aurrekontuari egotziko zitzaizkiola adierazi zen. </w:t>
      </w:r>
    </w:p>
    <w:p w:rsidR="006B548F" w:rsidRDefault="006B548F" w:rsidP="006B548F">
      <w:pPr>
        <w:pStyle w:val="texto"/>
        <w:tabs>
          <w:tab w:val="clear" w:pos="2835"/>
          <w:tab w:val="clear" w:pos="3969"/>
          <w:tab w:val="clear" w:pos="5103"/>
          <w:tab w:val="clear" w:pos="6237"/>
          <w:tab w:val="clear" w:pos="7371"/>
        </w:tabs>
        <w:ind w:firstLine="426"/>
      </w:pPr>
      <w:r>
        <w:lastRenderedPageBreak/>
        <w:t>Diru kopuru horretatik 142.143 euro 2020ko gastuak lirateke, baina ezin izan ziren kontabilizatu ekitaldi horretako aurrekontuan, zegozkien administr</w:t>
      </w:r>
      <w:r>
        <w:t>a</w:t>
      </w:r>
      <w:r>
        <w:t xml:space="preserve">zio egintzak gauzatu gabe zeudelako. </w:t>
      </w:r>
    </w:p>
    <w:p w:rsidR="006B548F" w:rsidRDefault="006B548F" w:rsidP="006B548F">
      <w:pPr>
        <w:pStyle w:val="texto"/>
        <w:tabs>
          <w:tab w:val="clear" w:pos="2835"/>
          <w:tab w:val="clear" w:pos="3969"/>
          <w:tab w:val="clear" w:pos="5103"/>
          <w:tab w:val="clear" w:pos="6237"/>
          <w:tab w:val="clear" w:pos="7371"/>
        </w:tabs>
        <w:ind w:firstLine="426"/>
      </w:pPr>
      <w:r>
        <w:t>Adierazi behar dugu, gainera, gastu horiek baimendu eta aitortzen dituen ebazpenak dioenez, kalte-ordain hori emateak ez duela ezertan eragotziko beste kalte eta galera batzuen ordaina ere ematea, halakorik izanez gero.</w:t>
      </w:r>
    </w:p>
    <w:p w:rsidR="006B548F" w:rsidRDefault="006B548F" w:rsidP="008A0500">
      <w:pPr>
        <w:pStyle w:val="atitulo2"/>
        <w:spacing w:before="240"/>
        <w:rPr>
          <w:bCs w:val="0"/>
          <w:iCs w:val="0"/>
        </w:rPr>
      </w:pPr>
      <w:bookmarkStart w:id="36" w:name="_Toc67394582"/>
      <w:bookmarkStart w:id="37" w:name="_Toc70589005"/>
      <w:r>
        <w:t>IV.3. Eraginkortasunari eta efizientziari buruzko auditoria</w:t>
      </w:r>
      <w:bookmarkEnd w:id="36"/>
      <w:bookmarkEnd w:id="37"/>
    </w:p>
    <w:p w:rsidR="006B548F" w:rsidRDefault="006B548F" w:rsidP="006B548F">
      <w:pPr>
        <w:pStyle w:val="texto"/>
      </w:pPr>
      <w:r>
        <w:t>2020ko ekainean, Nafarroako Parlamentuaren Osoko Bilkurak O-NOZ pr</w:t>
      </w:r>
      <w:r>
        <w:t>e</w:t>
      </w:r>
      <w:r>
        <w:t>miatu zuen COVID-19ak jotako pazienteen prozesu eta tratamenduen kostuaren kalkulu analitikoa egin zezan, eta emaitzak kontuan har zitzan osasun zentro itunduekin tarifak ezartzeko.</w:t>
      </w:r>
    </w:p>
    <w:p w:rsidR="006B548F" w:rsidRDefault="006B548F" w:rsidP="006B548F">
      <w:pPr>
        <w:pStyle w:val="texto"/>
        <w:spacing w:after="120"/>
      </w:pPr>
      <w:r>
        <w:t>Eskaera horri erantzunez, O-NOZeko Kostuaren Kontrol eta Analisirako Zerbitzuak COVID-19dun pazienteen egonaldien batez besteko kostua kalk</w:t>
      </w:r>
      <w:r>
        <w:t>u</w:t>
      </w:r>
      <w:r>
        <w:t xml:space="preserve">latu zuen, ZIUan egon direnak eta egon ez direnak bereizita, 2020ko martxotik 2020ko maiatzera arteko aldirako. Lortutako datuak erabiliz ezarri ziren tarifak, ez zitezen izan O-NOZi paziente horiek artatzea kostatuko litzaiokeena baino handiagoak. </w:t>
      </w:r>
    </w:p>
    <w:p w:rsidR="006B548F" w:rsidRDefault="006B548F" w:rsidP="006B548F">
      <w:pPr>
        <w:pStyle w:val="texto"/>
        <w:spacing w:after="240"/>
      </w:pPr>
      <w:r>
        <w:t>O-NOZek lortutako emaitzak kontuan hartuta, tarifak ezarri ziren batetik N</w:t>
      </w:r>
      <w:r>
        <w:t>a</w:t>
      </w:r>
      <w:r>
        <w:t>farroako Unibertsitateko Klinikarako eta San Miguel Klinikarako eta bestetik San Juan de Dios Ospitalerako, zentro bakoitzera eramaten diren pazienteen t</w:t>
      </w:r>
      <w:r>
        <w:t>i</w:t>
      </w:r>
      <w:r>
        <w:t>pologiaren arabera. Honako hauek izan ziren tarifak:</w:t>
      </w:r>
    </w:p>
    <w:tbl>
      <w:tblPr>
        <w:tblStyle w:val="Tablaconcuadrcula"/>
        <w:tblW w:w="8931" w:type="dxa"/>
        <w:tblBorders>
          <w:left w:val="none" w:sz="0" w:space="0" w:color="auto"/>
          <w:right w:val="none" w:sz="0" w:space="0" w:color="auto"/>
          <w:insideV w:val="none" w:sz="0" w:space="0" w:color="auto"/>
        </w:tblBorders>
        <w:tblLook w:val="04A0" w:firstRow="1" w:lastRow="0" w:firstColumn="1" w:lastColumn="0" w:noHBand="0" w:noVBand="1"/>
      </w:tblPr>
      <w:tblGrid>
        <w:gridCol w:w="4662"/>
        <w:gridCol w:w="2426"/>
        <w:gridCol w:w="1843"/>
      </w:tblGrid>
      <w:tr w:rsidR="006B548F" w:rsidTr="002B0800">
        <w:trPr>
          <w:trHeight w:val="255"/>
        </w:trPr>
        <w:tc>
          <w:tcPr>
            <w:tcW w:w="4662" w:type="dxa"/>
            <w:shd w:val="clear" w:color="auto" w:fill="8DB3E2" w:themeFill="text2" w:themeFillTint="66"/>
            <w:vAlign w:val="center"/>
          </w:tcPr>
          <w:p w:rsidR="006B548F" w:rsidRPr="00FB0085" w:rsidRDefault="006B548F" w:rsidP="00202BCF">
            <w:pPr>
              <w:pStyle w:val="cuadroCabe"/>
            </w:pPr>
            <w:r>
              <w:t>Kontzeptua</w:t>
            </w:r>
          </w:p>
        </w:tc>
        <w:tc>
          <w:tcPr>
            <w:tcW w:w="2426" w:type="dxa"/>
            <w:shd w:val="clear" w:color="auto" w:fill="8DB3E2" w:themeFill="text2" w:themeFillTint="66"/>
            <w:vAlign w:val="center"/>
          </w:tcPr>
          <w:p w:rsidR="006B548F" w:rsidRPr="00FB0085" w:rsidRDefault="006B548F" w:rsidP="002B0800">
            <w:pPr>
              <w:pStyle w:val="cuadroCabe"/>
              <w:jc w:val="left"/>
            </w:pPr>
            <w:r>
              <w:t>Zentroa</w:t>
            </w:r>
          </w:p>
        </w:tc>
        <w:tc>
          <w:tcPr>
            <w:tcW w:w="1843" w:type="dxa"/>
            <w:shd w:val="clear" w:color="auto" w:fill="8DB3E2" w:themeFill="text2" w:themeFillTint="66"/>
            <w:vAlign w:val="center"/>
          </w:tcPr>
          <w:p w:rsidR="006B548F" w:rsidRPr="00FB0085" w:rsidRDefault="006B548F" w:rsidP="002B0800">
            <w:pPr>
              <w:pStyle w:val="cuadroCabe"/>
              <w:ind w:left="-112"/>
              <w:jc w:val="right"/>
            </w:pPr>
            <w:r>
              <w:t>Zenbatekoa</w:t>
            </w:r>
          </w:p>
        </w:tc>
      </w:tr>
      <w:tr w:rsidR="006B548F" w:rsidTr="002B0800">
        <w:trPr>
          <w:trHeight w:val="198"/>
        </w:trPr>
        <w:tc>
          <w:tcPr>
            <w:tcW w:w="4662" w:type="dxa"/>
            <w:tcBorders>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ZIUko COVID-19 pazientea</w:t>
            </w:r>
          </w:p>
        </w:tc>
        <w:tc>
          <w:tcPr>
            <w:tcW w:w="2426" w:type="dxa"/>
            <w:vMerge w:val="restart"/>
            <w:tcBorders>
              <w:bottom w:val="single" w:sz="2" w:space="0" w:color="auto"/>
            </w:tcBorders>
            <w:vAlign w:val="center"/>
          </w:tcPr>
          <w:p w:rsidR="0078595C" w:rsidRDefault="0049629A" w:rsidP="002B0800">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 xml:space="preserve">Nafarroako Unibertsitateko </w:t>
            </w:r>
          </w:p>
          <w:p w:rsidR="006B548F" w:rsidRPr="00FB0085" w:rsidRDefault="006B548F" w:rsidP="002B0800">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Klinika eta San Miguel Klinika</w:t>
            </w:r>
          </w:p>
        </w:tc>
        <w:tc>
          <w:tcPr>
            <w:tcW w:w="1843" w:type="dxa"/>
            <w:tcBorders>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rPr>
            </w:pPr>
            <w:r>
              <w:rPr>
                <w:rFonts w:ascii="Arial Narrow" w:hAnsi="Arial Narrow"/>
                <w:color w:val="000000"/>
              </w:rPr>
              <w:t>40.978 euro pazienteko</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Ospitalizazio solairuko COVID-19 pazientea</w:t>
            </w:r>
          </w:p>
        </w:tc>
        <w:tc>
          <w:tcPr>
            <w:tcW w:w="2426" w:type="dxa"/>
            <w:vMerge/>
            <w:tcBorders>
              <w:top w:val="single" w:sz="2" w:space="0" w:color="auto"/>
              <w:bottom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rPr>
            </w:pPr>
            <w:r>
              <w:rPr>
                <w:rFonts w:ascii="Arial Narrow" w:hAnsi="Arial Narrow"/>
                <w:color w:val="000000"/>
              </w:rPr>
              <w:t>4.908 euro pazienteko</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Ohea gordetzea</w:t>
            </w:r>
          </w:p>
        </w:tc>
        <w:tc>
          <w:tcPr>
            <w:tcW w:w="2426" w:type="dxa"/>
            <w:vMerge/>
            <w:tcBorders>
              <w:top w:val="single" w:sz="2" w:space="0" w:color="auto"/>
              <w:bottom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rPr>
            </w:pPr>
            <w:r>
              <w:rPr>
                <w:rFonts w:ascii="Arial Narrow" w:hAnsi="Arial Narrow"/>
                <w:color w:val="000000"/>
              </w:rPr>
              <w:t>181 euro/oheko/pazienteko</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COVID pazienteen egonaldia (1-10 egun)</w:t>
            </w:r>
          </w:p>
        </w:tc>
        <w:tc>
          <w:tcPr>
            <w:tcW w:w="2426" w:type="dxa"/>
            <w:vMerge w:val="restart"/>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San Juan de Dios Ospitalea</w:t>
            </w: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rPr>
            </w:pPr>
            <w:r>
              <w:rPr>
                <w:rFonts w:ascii="Arial Narrow" w:hAnsi="Arial Narrow"/>
                <w:color w:val="000000"/>
              </w:rPr>
              <w:t>519,31 euro eguneko</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COVID pazienteen egonaldia (11-20 egun)</w:t>
            </w:r>
          </w:p>
        </w:tc>
        <w:tc>
          <w:tcPr>
            <w:tcW w:w="2426" w:type="dxa"/>
            <w:vMerge/>
            <w:tcBorders>
              <w:top w:val="single" w:sz="2" w:space="0" w:color="auto"/>
              <w:bottom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rPr>
            </w:pPr>
            <w:r>
              <w:rPr>
                <w:rFonts w:ascii="Arial Narrow" w:hAnsi="Arial Narrow"/>
                <w:color w:val="000000"/>
              </w:rPr>
              <w:t>298,82 euro eguneko</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rPr>
            </w:pPr>
            <w:r>
              <w:rPr>
                <w:rFonts w:ascii="Arial Narrow" w:hAnsi="Arial Narrow"/>
                <w:color w:val="000000"/>
              </w:rPr>
              <w:t>COVID pazienteen egonaldia (21-99.999 egun)</w:t>
            </w:r>
          </w:p>
        </w:tc>
        <w:tc>
          <w:tcPr>
            <w:tcW w:w="2426" w:type="dxa"/>
            <w:vMerge/>
            <w:tcBorders>
              <w:top w:val="single" w:sz="2" w:space="0" w:color="auto"/>
              <w:bottom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rPr>
            </w:pPr>
            <w:r>
              <w:rPr>
                <w:rFonts w:ascii="Arial Narrow" w:hAnsi="Arial Narrow"/>
                <w:color w:val="000000"/>
              </w:rPr>
              <w:t>209,60 euro eguneko</w:t>
            </w:r>
          </w:p>
        </w:tc>
      </w:tr>
      <w:tr w:rsidR="006B548F" w:rsidTr="002B0800">
        <w:trPr>
          <w:trHeight w:val="198"/>
        </w:trPr>
        <w:tc>
          <w:tcPr>
            <w:tcW w:w="4662" w:type="dxa"/>
            <w:tcBorders>
              <w:top w:val="single" w:sz="2" w:space="0" w:color="auto"/>
            </w:tcBorders>
            <w:vAlign w:val="center"/>
          </w:tcPr>
          <w:p w:rsidR="006B548F" w:rsidRPr="00FB0085" w:rsidRDefault="006B548F" w:rsidP="0078595C">
            <w:pPr>
              <w:autoSpaceDE w:val="0"/>
              <w:autoSpaceDN w:val="0"/>
              <w:adjustRightInd w:val="0"/>
              <w:spacing w:after="0"/>
              <w:ind w:right="-260" w:firstLine="0"/>
              <w:jc w:val="left"/>
              <w:rPr>
                <w:rFonts w:ascii="Arial Narrow" w:hAnsi="Arial Narrow" w:cs="Arial Narrow"/>
                <w:color w:val="000000"/>
              </w:rPr>
            </w:pPr>
            <w:r>
              <w:rPr>
                <w:rFonts w:ascii="Arial Narrow" w:hAnsi="Arial Narrow"/>
                <w:color w:val="000000"/>
              </w:rPr>
              <w:t>COVID pazienteen egonaldia errehabilitazioarekin (11-99.999 egun)</w:t>
            </w:r>
          </w:p>
        </w:tc>
        <w:tc>
          <w:tcPr>
            <w:tcW w:w="2426" w:type="dxa"/>
            <w:vMerge/>
            <w:tcBorders>
              <w:top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rPr>
            </w:pPr>
            <w:r>
              <w:rPr>
                <w:rFonts w:ascii="Arial Narrow" w:hAnsi="Arial Narrow"/>
                <w:color w:val="000000"/>
              </w:rPr>
              <w:t>232,94 euro eguneko</w:t>
            </w:r>
          </w:p>
        </w:tc>
      </w:tr>
    </w:tbl>
    <w:p w:rsidR="006B548F" w:rsidRDefault="006B548F" w:rsidP="006B548F">
      <w:pPr>
        <w:pStyle w:val="texto"/>
        <w:spacing w:before="240"/>
      </w:pPr>
      <w:r>
        <w:t>Unibertsitateko Klinikan eta San Miguel Klinikan, tarifa horiek lauak dira. Alegia, diru kopuru hori ordaintzen da beti, pazienteak ZIUan zenbat egun eman dituen kontuan hartu gabe.</w:t>
      </w:r>
    </w:p>
    <w:p w:rsidR="006B548F" w:rsidRDefault="006B548F" w:rsidP="006B548F">
      <w:pPr>
        <w:pStyle w:val="texto"/>
        <w:spacing w:before="120"/>
      </w:pPr>
      <w:r>
        <w:t>Ondorioztatzen ahal dugu kudeaketa ongi egin zela kasu honetan helburua lortzeko, hau da, hala behar zuten paziente guztiak artatzeko O-NOZen izanen luketen kostua gainditu gabe.</w:t>
      </w:r>
    </w:p>
    <w:p w:rsidR="006B548F" w:rsidRDefault="006B548F" w:rsidP="006B548F">
      <w:pPr>
        <w:pStyle w:val="atitulo2"/>
        <w:spacing w:before="240"/>
        <w:rPr>
          <w:bCs w:val="0"/>
          <w:iCs w:val="0"/>
        </w:rPr>
      </w:pPr>
      <w:bookmarkStart w:id="38" w:name="_Toc67394583"/>
      <w:bookmarkStart w:id="39" w:name="_Toc70589006"/>
      <w:r>
        <w:lastRenderedPageBreak/>
        <w:t>IV.4. 2020ko abenduaren 31tik aurrerako gertaerak</w:t>
      </w:r>
      <w:bookmarkEnd w:id="38"/>
      <w:bookmarkEnd w:id="39"/>
    </w:p>
    <w:p w:rsidR="006B548F" w:rsidRDefault="006B548F" w:rsidP="006B548F">
      <w:pPr>
        <w:pStyle w:val="texto"/>
      </w:pPr>
      <w:r>
        <w:t>Txosten honetan 2020ko martxotik abendura bitarteko aldia hartu dugu a</w:t>
      </w:r>
      <w:r>
        <w:t>z</w:t>
      </w:r>
      <w:r>
        <w:t>tergai, baina COVID-19ak eragindako osasun krisia ez da amaitu eta ez dakigu noiz arte iraunen duen.</w:t>
      </w:r>
    </w:p>
    <w:p w:rsidR="006B548F" w:rsidRDefault="006B548F" w:rsidP="006B548F">
      <w:pPr>
        <w:pStyle w:val="texto"/>
        <w:spacing w:after="240"/>
      </w:pPr>
      <w:r>
        <w:t>Hala, COVID-19aren kudeaketan 28,40 milioi gastatu dira 2021eko urtarril</w:t>
      </w:r>
      <w:r>
        <w:t>e</w:t>
      </w:r>
      <w:r>
        <w:t>tik martxora bitartean. Hona hemen xehetasunak:</w:t>
      </w:r>
    </w:p>
    <w:tbl>
      <w:tblPr>
        <w:tblStyle w:val="Tablaconcuadrcula"/>
        <w:tblW w:w="864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812"/>
        <w:gridCol w:w="1445"/>
        <w:gridCol w:w="1985"/>
        <w:gridCol w:w="1405"/>
      </w:tblGrid>
      <w:tr w:rsidR="006B548F" w:rsidTr="002B0800">
        <w:trPr>
          <w:trHeight w:val="255"/>
          <w:jc w:val="center"/>
        </w:trPr>
        <w:tc>
          <w:tcPr>
            <w:tcW w:w="3812" w:type="dxa"/>
            <w:shd w:val="clear" w:color="auto" w:fill="8DB3E2" w:themeFill="text2" w:themeFillTint="66"/>
            <w:vAlign w:val="center"/>
          </w:tcPr>
          <w:p w:rsidR="006B548F" w:rsidRPr="00BD2DEE" w:rsidRDefault="006B548F" w:rsidP="00DF3538">
            <w:pPr>
              <w:pStyle w:val="cuadroCabe"/>
            </w:pPr>
            <w:r>
              <w:t>Gastu-kapitulua</w:t>
            </w:r>
          </w:p>
        </w:tc>
        <w:tc>
          <w:tcPr>
            <w:tcW w:w="1445" w:type="dxa"/>
            <w:shd w:val="clear" w:color="auto" w:fill="8DB3E2" w:themeFill="text2" w:themeFillTint="66"/>
            <w:vAlign w:val="center"/>
          </w:tcPr>
          <w:p w:rsidR="006B548F" w:rsidRDefault="006B548F" w:rsidP="00DF3538">
            <w:pPr>
              <w:pStyle w:val="cuadroCabe"/>
              <w:jc w:val="right"/>
            </w:pPr>
            <w:r>
              <w:t xml:space="preserve">Gastu </w:t>
            </w:r>
          </w:p>
          <w:p w:rsidR="006B548F" w:rsidRPr="00BD2DEE" w:rsidRDefault="006B548F" w:rsidP="00DF3538">
            <w:pPr>
              <w:pStyle w:val="cuadroCabe"/>
              <w:jc w:val="right"/>
            </w:pPr>
            <w:r>
              <w:t>bateratuak</w:t>
            </w:r>
          </w:p>
        </w:tc>
        <w:tc>
          <w:tcPr>
            <w:tcW w:w="1985" w:type="dxa"/>
            <w:shd w:val="clear" w:color="auto" w:fill="8DB3E2" w:themeFill="text2" w:themeFillTint="66"/>
            <w:vAlign w:val="center"/>
          </w:tcPr>
          <w:p w:rsidR="006B548F" w:rsidRDefault="006B548F" w:rsidP="00DF3538">
            <w:pPr>
              <w:pStyle w:val="cuadroCabe"/>
              <w:jc w:val="right"/>
            </w:pPr>
            <w:r>
              <w:t xml:space="preserve">Aitortutako </w:t>
            </w:r>
          </w:p>
          <w:p w:rsidR="006B548F" w:rsidRPr="00BD2DEE" w:rsidRDefault="006B548F" w:rsidP="00DF3538">
            <w:pPr>
              <w:pStyle w:val="cuadroCabe"/>
              <w:jc w:val="right"/>
            </w:pPr>
            <w:r>
              <w:t>betebehar garbiak</w:t>
            </w:r>
          </w:p>
        </w:tc>
        <w:tc>
          <w:tcPr>
            <w:tcW w:w="1405" w:type="dxa"/>
            <w:shd w:val="clear" w:color="auto" w:fill="8DB3E2" w:themeFill="text2" w:themeFillTint="66"/>
            <w:vAlign w:val="center"/>
          </w:tcPr>
          <w:p w:rsidR="006B548F" w:rsidRDefault="006B548F" w:rsidP="00DF3538">
            <w:pPr>
              <w:pStyle w:val="cuadroCabe"/>
              <w:jc w:val="right"/>
            </w:pPr>
            <w:r>
              <w:t>ABGen eh</w:t>
            </w:r>
            <w:r>
              <w:t>u</w:t>
            </w:r>
            <w:r>
              <w:t xml:space="preserve">nekoa </w:t>
            </w:r>
          </w:p>
          <w:p w:rsidR="006B548F" w:rsidRPr="00BD2DEE" w:rsidRDefault="006B548F" w:rsidP="00DF3538">
            <w:pPr>
              <w:pStyle w:val="cuadroCabe"/>
              <w:jc w:val="right"/>
            </w:pPr>
            <w:r>
              <w:t>guztira</w:t>
            </w:r>
          </w:p>
        </w:tc>
      </w:tr>
      <w:tr w:rsidR="006B548F" w:rsidTr="002B0800">
        <w:trPr>
          <w:cantSplit/>
          <w:trHeight w:val="198"/>
          <w:jc w:val="center"/>
        </w:trPr>
        <w:tc>
          <w:tcPr>
            <w:tcW w:w="3812" w:type="dxa"/>
            <w:tcBorders>
              <w:bottom w:val="single" w:sz="2" w:space="0" w:color="auto"/>
            </w:tcBorders>
            <w:vAlign w:val="center"/>
          </w:tcPr>
          <w:p w:rsidR="006B548F" w:rsidRPr="00BD2DEE" w:rsidRDefault="006B548F" w:rsidP="002B0800">
            <w:pPr>
              <w:pStyle w:val="texto"/>
              <w:numPr>
                <w:ilvl w:val="0"/>
                <w:numId w:val="23"/>
              </w:numPr>
              <w:tabs>
                <w:tab w:val="left" w:pos="179"/>
              </w:tabs>
              <w:spacing w:after="0"/>
              <w:ind w:left="321" w:hanging="426"/>
              <w:jc w:val="left"/>
              <w:rPr>
                <w:rFonts w:ascii="Arial Narrow" w:hAnsi="Arial Narrow"/>
                <w:sz w:val="20"/>
              </w:rPr>
            </w:pPr>
            <w:r>
              <w:rPr>
                <w:rFonts w:ascii="Arial Narrow" w:hAnsi="Arial Narrow"/>
                <w:sz w:val="20"/>
              </w:rPr>
              <w:t xml:space="preserve"> Langileria</w:t>
            </w:r>
          </w:p>
        </w:tc>
        <w:tc>
          <w:tcPr>
            <w:tcW w:w="1445" w:type="dxa"/>
            <w:tcBorders>
              <w:bottom w:val="single" w:sz="2" w:space="0" w:color="auto"/>
            </w:tcBorders>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49.458.236</w:t>
            </w:r>
          </w:p>
        </w:tc>
        <w:tc>
          <w:tcPr>
            <w:tcW w:w="1985" w:type="dxa"/>
            <w:tcBorders>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16.080.948</w:t>
            </w:r>
          </w:p>
        </w:tc>
        <w:tc>
          <w:tcPr>
            <w:tcW w:w="1405" w:type="dxa"/>
            <w:tcBorders>
              <w:bottom w:val="single" w:sz="2" w:space="0" w:color="auto"/>
            </w:tcBorders>
            <w:vAlign w:val="center"/>
          </w:tcPr>
          <w:p w:rsidR="006B548F" w:rsidRPr="00171BA3" w:rsidRDefault="000F13D3" w:rsidP="002B0800">
            <w:pPr>
              <w:spacing w:after="0"/>
              <w:jc w:val="right"/>
              <w:rPr>
                <w:rFonts w:ascii="Arial Narrow" w:hAnsi="Arial Narrow" w:cs="Calibri"/>
                <w:color w:val="000000"/>
              </w:rPr>
            </w:pPr>
            <w:r>
              <w:rPr>
                <w:rFonts w:ascii="Arial Narrow" w:hAnsi="Arial Narrow"/>
                <w:color w:val="000000"/>
              </w:rPr>
              <w:t>57</w:t>
            </w:r>
          </w:p>
        </w:tc>
      </w:tr>
      <w:tr w:rsidR="006B548F" w:rsidTr="002B0800">
        <w:trPr>
          <w:cantSplit/>
          <w:trHeight w:val="198"/>
          <w:jc w:val="center"/>
        </w:trPr>
        <w:tc>
          <w:tcPr>
            <w:tcW w:w="3812" w:type="dxa"/>
            <w:tcBorders>
              <w:top w:val="single" w:sz="2" w:space="0" w:color="auto"/>
              <w:bottom w:val="single" w:sz="2" w:space="0" w:color="auto"/>
            </w:tcBorders>
            <w:vAlign w:val="center"/>
          </w:tcPr>
          <w:p w:rsidR="006B548F" w:rsidRPr="00BD2DEE" w:rsidRDefault="006B548F" w:rsidP="002B0800">
            <w:pPr>
              <w:pStyle w:val="texto"/>
              <w:numPr>
                <w:ilvl w:val="0"/>
                <w:numId w:val="23"/>
              </w:numPr>
              <w:spacing w:after="0"/>
              <w:ind w:left="179" w:hanging="269"/>
              <w:jc w:val="left"/>
              <w:rPr>
                <w:rFonts w:ascii="Arial Narrow" w:hAnsi="Arial Narrow"/>
                <w:sz w:val="20"/>
              </w:rPr>
            </w:pPr>
            <w:r>
              <w:rPr>
                <w:rFonts w:ascii="Arial Narrow" w:hAnsi="Arial Narrow"/>
                <w:sz w:val="20"/>
              </w:rPr>
              <w:t xml:space="preserve"> Ondasun eta zerbitzuetako gastu arruntak</w:t>
            </w:r>
          </w:p>
        </w:tc>
        <w:tc>
          <w:tcPr>
            <w:tcW w:w="1445" w:type="dxa"/>
            <w:tcBorders>
              <w:top w:val="single" w:sz="2" w:space="0" w:color="auto"/>
              <w:bottom w:val="single" w:sz="2" w:space="0" w:color="auto"/>
            </w:tcBorders>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52.172.342</w:t>
            </w:r>
          </w:p>
        </w:tc>
        <w:tc>
          <w:tcPr>
            <w:tcW w:w="198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7.875.891</w:t>
            </w:r>
          </w:p>
        </w:tc>
        <w:tc>
          <w:tcPr>
            <w:tcW w:w="140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28</w:t>
            </w:r>
          </w:p>
        </w:tc>
      </w:tr>
      <w:tr w:rsidR="006B548F" w:rsidTr="002B0800">
        <w:trPr>
          <w:cantSplit/>
          <w:trHeight w:val="198"/>
          <w:jc w:val="center"/>
        </w:trPr>
        <w:tc>
          <w:tcPr>
            <w:tcW w:w="3812" w:type="dxa"/>
            <w:tcBorders>
              <w:top w:val="single" w:sz="2" w:space="0" w:color="auto"/>
              <w:bottom w:val="single" w:sz="2" w:space="0" w:color="auto"/>
            </w:tcBorders>
            <w:vAlign w:val="center"/>
          </w:tcPr>
          <w:p w:rsidR="006B548F" w:rsidRPr="00BD2DEE" w:rsidRDefault="006B548F" w:rsidP="002B0800">
            <w:pPr>
              <w:pStyle w:val="texto"/>
              <w:numPr>
                <w:ilvl w:val="0"/>
                <w:numId w:val="23"/>
              </w:numPr>
              <w:spacing w:after="0"/>
              <w:ind w:left="179" w:hanging="269"/>
              <w:jc w:val="left"/>
              <w:rPr>
                <w:rFonts w:ascii="Arial Narrow" w:hAnsi="Arial Narrow"/>
                <w:sz w:val="20"/>
              </w:rPr>
            </w:pPr>
            <w:r>
              <w:rPr>
                <w:rFonts w:ascii="Arial Narrow" w:hAnsi="Arial Narrow"/>
                <w:sz w:val="20"/>
              </w:rPr>
              <w:t xml:space="preserve"> Transferentzia arruntak</w:t>
            </w:r>
          </w:p>
        </w:tc>
        <w:tc>
          <w:tcPr>
            <w:tcW w:w="1445" w:type="dxa"/>
            <w:tcBorders>
              <w:top w:val="single" w:sz="2" w:space="0" w:color="auto"/>
              <w:bottom w:val="single" w:sz="2" w:space="0" w:color="auto"/>
            </w:tcBorders>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48.154.674</w:t>
            </w:r>
          </w:p>
        </w:tc>
        <w:tc>
          <w:tcPr>
            <w:tcW w:w="198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2.161.811</w:t>
            </w:r>
          </w:p>
        </w:tc>
        <w:tc>
          <w:tcPr>
            <w:tcW w:w="140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7</w:t>
            </w:r>
          </w:p>
        </w:tc>
      </w:tr>
      <w:tr w:rsidR="006B548F" w:rsidTr="002B0800">
        <w:trPr>
          <w:cantSplit/>
          <w:trHeight w:val="198"/>
          <w:jc w:val="center"/>
        </w:trPr>
        <w:tc>
          <w:tcPr>
            <w:tcW w:w="3812" w:type="dxa"/>
            <w:tcBorders>
              <w:top w:val="single" w:sz="2" w:space="0" w:color="auto"/>
              <w:bottom w:val="single" w:sz="2" w:space="0" w:color="auto"/>
            </w:tcBorders>
            <w:vAlign w:val="center"/>
          </w:tcPr>
          <w:p w:rsidR="006B548F" w:rsidRPr="00BD2DEE" w:rsidRDefault="006B548F" w:rsidP="002B0800">
            <w:pPr>
              <w:pStyle w:val="texto"/>
              <w:numPr>
                <w:ilvl w:val="0"/>
                <w:numId w:val="24"/>
              </w:numPr>
              <w:spacing w:after="0"/>
              <w:ind w:left="179" w:hanging="284"/>
              <w:jc w:val="left"/>
              <w:rPr>
                <w:rFonts w:ascii="Arial Narrow" w:hAnsi="Arial Narrow"/>
                <w:sz w:val="20"/>
              </w:rPr>
            </w:pPr>
            <w:r>
              <w:rPr>
                <w:rFonts w:ascii="Arial Narrow" w:hAnsi="Arial Narrow"/>
                <w:sz w:val="20"/>
              </w:rPr>
              <w:t xml:space="preserve"> Inbertsioak</w:t>
            </w:r>
          </w:p>
        </w:tc>
        <w:tc>
          <w:tcPr>
            <w:tcW w:w="1445" w:type="dxa"/>
            <w:tcBorders>
              <w:top w:val="single" w:sz="2" w:space="0" w:color="auto"/>
              <w:bottom w:val="single" w:sz="2" w:space="0" w:color="auto"/>
            </w:tcBorders>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4.3554.892</w:t>
            </w:r>
          </w:p>
        </w:tc>
        <w:tc>
          <w:tcPr>
            <w:tcW w:w="198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2.280.755</w:t>
            </w:r>
          </w:p>
        </w:tc>
        <w:tc>
          <w:tcPr>
            <w:tcW w:w="140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8</w:t>
            </w:r>
          </w:p>
        </w:tc>
      </w:tr>
      <w:tr w:rsidR="006B548F" w:rsidTr="002B0800">
        <w:trPr>
          <w:cantSplit/>
          <w:trHeight w:val="198"/>
          <w:jc w:val="center"/>
        </w:trPr>
        <w:tc>
          <w:tcPr>
            <w:tcW w:w="3812" w:type="dxa"/>
            <w:tcBorders>
              <w:top w:val="single" w:sz="2" w:space="0" w:color="auto"/>
              <w:bottom w:val="single" w:sz="2" w:space="0" w:color="auto"/>
            </w:tcBorders>
            <w:vAlign w:val="center"/>
          </w:tcPr>
          <w:p w:rsidR="006B548F" w:rsidRPr="00BD2DEE" w:rsidRDefault="006B548F" w:rsidP="002B0800">
            <w:pPr>
              <w:pStyle w:val="texto"/>
              <w:numPr>
                <w:ilvl w:val="0"/>
                <w:numId w:val="24"/>
              </w:numPr>
              <w:spacing w:after="0" w:line="0" w:lineRule="atLeast"/>
              <w:ind w:left="179" w:hanging="269"/>
              <w:jc w:val="left"/>
              <w:rPr>
                <w:rFonts w:ascii="Arial Narrow" w:hAnsi="Arial Narrow"/>
                <w:sz w:val="20"/>
              </w:rPr>
            </w:pPr>
            <w:r>
              <w:rPr>
                <w:rFonts w:ascii="Arial Narrow" w:hAnsi="Arial Narrow"/>
                <w:sz w:val="20"/>
              </w:rPr>
              <w:t xml:space="preserve"> Kapital-transferentziak</w:t>
            </w:r>
          </w:p>
        </w:tc>
        <w:tc>
          <w:tcPr>
            <w:tcW w:w="1445" w:type="dxa"/>
            <w:tcBorders>
              <w:top w:val="single" w:sz="2" w:space="0" w:color="auto"/>
              <w:bottom w:val="single" w:sz="2" w:space="0" w:color="auto"/>
            </w:tcBorders>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15.010</w:t>
            </w:r>
          </w:p>
        </w:tc>
        <w:tc>
          <w:tcPr>
            <w:tcW w:w="198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0</w:t>
            </w:r>
          </w:p>
        </w:tc>
        <w:tc>
          <w:tcPr>
            <w:tcW w:w="140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0</w:t>
            </w:r>
          </w:p>
        </w:tc>
      </w:tr>
      <w:tr w:rsidR="006B548F" w:rsidTr="002B0800">
        <w:trPr>
          <w:cantSplit/>
          <w:trHeight w:val="198"/>
          <w:jc w:val="center"/>
        </w:trPr>
        <w:tc>
          <w:tcPr>
            <w:tcW w:w="3812" w:type="dxa"/>
            <w:tcBorders>
              <w:top w:val="single" w:sz="2" w:space="0" w:color="auto"/>
            </w:tcBorders>
            <w:vAlign w:val="center"/>
          </w:tcPr>
          <w:p w:rsidR="006B548F" w:rsidRPr="00BD2DEE" w:rsidRDefault="006B548F" w:rsidP="002B0800">
            <w:pPr>
              <w:pStyle w:val="texto"/>
              <w:numPr>
                <w:ilvl w:val="0"/>
                <w:numId w:val="24"/>
              </w:numPr>
              <w:spacing w:after="0"/>
              <w:ind w:left="179" w:hanging="269"/>
              <w:jc w:val="left"/>
              <w:rPr>
                <w:rFonts w:ascii="Arial Narrow" w:hAnsi="Arial Narrow"/>
                <w:sz w:val="20"/>
              </w:rPr>
            </w:pPr>
            <w:r>
              <w:rPr>
                <w:rFonts w:ascii="Arial Narrow" w:hAnsi="Arial Narrow"/>
                <w:sz w:val="20"/>
              </w:rPr>
              <w:t xml:space="preserve"> Finantza-aktiboak</w:t>
            </w:r>
          </w:p>
        </w:tc>
        <w:tc>
          <w:tcPr>
            <w:tcW w:w="1445" w:type="dxa"/>
            <w:tcBorders>
              <w:top w:val="single" w:sz="2" w:space="0" w:color="auto"/>
            </w:tcBorders>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240.010</w:t>
            </w:r>
          </w:p>
        </w:tc>
        <w:tc>
          <w:tcPr>
            <w:tcW w:w="1985" w:type="dxa"/>
            <w:tcBorders>
              <w:top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0</w:t>
            </w:r>
          </w:p>
        </w:tc>
        <w:tc>
          <w:tcPr>
            <w:tcW w:w="1405" w:type="dxa"/>
            <w:tcBorders>
              <w:top w:val="single" w:sz="2" w:space="0" w:color="auto"/>
            </w:tcBorders>
            <w:vAlign w:val="center"/>
          </w:tcPr>
          <w:p w:rsidR="006B548F" w:rsidRPr="00171BA3" w:rsidRDefault="000F13D3" w:rsidP="002B0800">
            <w:pPr>
              <w:spacing w:after="0"/>
              <w:ind w:firstLine="0"/>
              <w:jc w:val="right"/>
              <w:rPr>
                <w:rFonts w:ascii="Arial Narrow" w:hAnsi="Arial Narrow" w:cs="Calibri"/>
                <w:color w:val="000000"/>
              </w:rPr>
            </w:pPr>
            <w:r>
              <w:rPr>
                <w:rFonts w:ascii="Arial Narrow" w:hAnsi="Arial Narrow"/>
                <w:color w:val="000000"/>
              </w:rPr>
              <w:t>0</w:t>
            </w:r>
          </w:p>
        </w:tc>
      </w:tr>
      <w:tr w:rsidR="006B548F" w:rsidRPr="00171BA3" w:rsidTr="002B0800">
        <w:trPr>
          <w:trHeight w:val="255"/>
          <w:jc w:val="center"/>
        </w:trPr>
        <w:tc>
          <w:tcPr>
            <w:tcW w:w="3812" w:type="dxa"/>
            <w:shd w:val="clear" w:color="auto" w:fill="8DB3E2" w:themeFill="text2" w:themeFillTint="66"/>
            <w:vAlign w:val="center"/>
          </w:tcPr>
          <w:p w:rsidR="006B548F" w:rsidRPr="00171BA3" w:rsidRDefault="006B548F" w:rsidP="00DF3538">
            <w:pPr>
              <w:pStyle w:val="cuadroCabe"/>
            </w:pPr>
            <w:r>
              <w:t>Guztira</w:t>
            </w:r>
          </w:p>
        </w:tc>
        <w:tc>
          <w:tcPr>
            <w:tcW w:w="1445" w:type="dxa"/>
            <w:shd w:val="clear" w:color="auto" w:fill="8DB3E2" w:themeFill="text2" w:themeFillTint="66"/>
          </w:tcPr>
          <w:p w:rsidR="006B548F" w:rsidRPr="00171BA3" w:rsidRDefault="000F13D3" w:rsidP="00780AC7">
            <w:pPr>
              <w:pStyle w:val="cuadroCabe"/>
              <w:jc w:val="right"/>
              <w:rPr>
                <w:color w:val="000000"/>
              </w:rPr>
            </w:pPr>
            <w:r>
              <w:rPr>
                <w:color w:val="000000"/>
              </w:rPr>
              <w:t>154.395.164</w:t>
            </w:r>
          </w:p>
        </w:tc>
        <w:tc>
          <w:tcPr>
            <w:tcW w:w="1985" w:type="dxa"/>
            <w:shd w:val="clear" w:color="auto" w:fill="8DB3E2" w:themeFill="text2" w:themeFillTint="66"/>
            <w:vAlign w:val="center"/>
          </w:tcPr>
          <w:p w:rsidR="006B548F" w:rsidRPr="00171BA3" w:rsidRDefault="000F13D3" w:rsidP="00780AC7">
            <w:pPr>
              <w:pStyle w:val="cuadroCabe"/>
              <w:jc w:val="right"/>
              <w:rPr>
                <w:color w:val="000000"/>
              </w:rPr>
            </w:pPr>
            <w:r>
              <w:rPr>
                <w:color w:val="000000"/>
              </w:rPr>
              <w:t>28.399.405</w:t>
            </w:r>
          </w:p>
        </w:tc>
        <w:tc>
          <w:tcPr>
            <w:tcW w:w="1405" w:type="dxa"/>
            <w:shd w:val="clear" w:color="auto" w:fill="8DB3E2" w:themeFill="text2" w:themeFillTint="66"/>
            <w:vAlign w:val="center"/>
          </w:tcPr>
          <w:p w:rsidR="006B548F" w:rsidRPr="00171BA3" w:rsidRDefault="000F13D3" w:rsidP="00780AC7">
            <w:pPr>
              <w:pStyle w:val="cuadroCabe"/>
              <w:jc w:val="right"/>
              <w:rPr>
                <w:color w:val="000000"/>
              </w:rPr>
            </w:pPr>
            <w:r>
              <w:rPr>
                <w:color w:val="000000"/>
              </w:rPr>
              <w:t>100</w:t>
            </w:r>
          </w:p>
        </w:tc>
      </w:tr>
    </w:tbl>
    <w:p w:rsidR="00D75D86" w:rsidRPr="00D75D86" w:rsidRDefault="00D75D86" w:rsidP="00C16593">
      <w:pPr>
        <w:pStyle w:val="texto"/>
        <w:spacing w:before="240" w:after="240"/>
      </w:pPr>
      <w:bookmarkStart w:id="40" w:name="_Toc67394584"/>
      <w:r>
        <w:t>Gastuaren ehuneko 57 langilerian egin zen (16,08 milioi); ehuneko 28, ond</w:t>
      </w:r>
      <w:r>
        <w:t>a</w:t>
      </w:r>
      <w:r>
        <w:t>sun eta zerbitzuetako gastu arruntetan (7,88 milioi); ehuneko 8, inbertsioetan (2,28 milioi); eta gainerako ehuneko zazpia, transferentzia arruntetan (2,16 m</w:t>
      </w:r>
      <w:r>
        <w:t>i</w:t>
      </w:r>
      <w:r>
        <w:t>lioi).</w:t>
      </w:r>
    </w:p>
    <w:p w:rsidR="00D75D86" w:rsidRDefault="00D75D86" w:rsidP="00D75D86">
      <w:pPr>
        <w:pStyle w:val="texto"/>
        <w:spacing w:after="240"/>
      </w:pPr>
      <w:r>
        <w:t>Gastuaren ehuneko 65 Osasun Departamentuari dagokio (18,60 milioi); eh</w:t>
      </w:r>
      <w:r>
        <w:t>u</w:t>
      </w:r>
      <w:r>
        <w:t>neko 27, Hezkuntza Departamentuari (7,69 milioi); eta ehuneko 4, Eskubide Sozialetako Departamentuari (1,23 milioi).</w:t>
      </w:r>
    </w:p>
    <w:p w:rsidR="00D75D86" w:rsidRDefault="00075327" w:rsidP="00D75D86">
      <w:pPr>
        <w:pStyle w:val="texto"/>
        <w:spacing w:after="240"/>
      </w:pPr>
      <w:r>
        <w:t>Bestalde, NFKAk aldi horretan 735 kontratu egin ditu 563 pertsonarekin; h</w:t>
      </w:r>
      <w:r>
        <w:t>o</w:t>
      </w:r>
      <w:r>
        <w:t>rietatik ehuneko 50 Hezkuntza Departamentuak egin ditu (365), ehuneko 42 O-NOZek (309), eta gainerako ehuneko zortzia PAGNAk (61).</w:t>
      </w:r>
    </w:p>
    <w:p w:rsidR="00E52D81" w:rsidRDefault="00E52D81" w:rsidP="00D75D86">
      <w:pPr>
        <w:pStyle w:val="texto"/>
        <w:spacing w:after="240"/>
      </w:pPr>
      <w:r>
        <w:t>Diru-sarrerei dagokienez, aurreikusita dago NFKAk Estatutik eta Europatik funtsak jasotzea. Txosten hau idazteko garaian oraindik ez dakigu zenbat.</w:t>
      </w:r>
    </w:p>
    <w:p w:rsidR="006B548F" w:rsidRDefault="006B548F" w:rsidP="006B548F">
      <w:pPr>
        <w:pStyle w:val="atitulo2"/>
        <w:spacing w:before="240" w:after="120"/>
        <w:rPr>
          <w:bCs w:val="0"/>
          <w:iCs w:val="0"/>
        </w:rPr>
      </w:pPr>
      <w:bookmarkStart w:id="41" w:name="_Toc70589007"/>
      <w:r>
        <w:t>IV.5. Amaierako konklusioa eta gomendioak</w:t>
      </w:r>
      <w:bookmarkEnd w:id="40"/>
      <w:bookmarkEnd w:id="41"/>
    </w:p>
    <w:p w:rsidR="006B548F" w:rsidRDefault="006B548F" w:rsidP="006B548F">
      <w:pPr>
        <w:pStyle w:val="texto"/>
        <w:tabs>
          <w:tab w:val="clear" w:pos="2835"/>
          <w:tab w:val="clear" w:pos="3969"/>
          <w:tab w:val="clear" w:pos="5103"/>
          <w:tab w:val="clear" w:pos="6237"/>
          <w:tab w:val="clear" w:pos="7371"/>
        </w:tabs>
        <w:rPr>
          <w:szCs w:val="26"/>
        </w:rPr>
      </w:pPr>
      <w:r>
        <w:t>2020ko martxoan Osasunaren Mundu Erakundeak nazioarteko pandemia izendatu zuen urte horretako urtarrilean deklaratutako osasun publikoko larria</w:t>
      </w:r>
      <w:r>
        <w:t>l</w:t>
      </w:r>
      <w:r>
        <w:t xml:space="preserve">dia, COVID-19ak eragindakoa. Izan ere, gaitzaren hedapena herrialdeetako osasun publikoaren kontrako arriskua zen, eta nazioarteko erantzun koordinatua eskatzen zuen. </w:t>
      </w:r>
    </w:p>
    <w:p w:rsidR="006B548F" w:rsidRPr="003A6595" w:rsidRDefault="006B548F" w:rsidP="006B548F">
      <w:pPr>
        <w:pStyle w:val="texto"/>
        <w:tabs>
          <w:tab w:val="clear" w:pos="2835"/>
          <w:tab w:val="clear" w:pos="3969"/>
          <w:tab w:val="clear" w:pos="5103"/>
          <w:tab w:val="clear" w:pos="6237"/>
          <w:tab w:val="clear" w:pos="7371"/>
        </w:tabs>
        <w:rPr>
          <w:szCs w:val="26"/>
        </w:rPr>
      </w:pPr>
      <w:r>
        <w:t>Ez zegoen inola ere jakiterik nola eboluzionatuko zuen inoiz ezagutu gabeko osasun krisiak, eta NFKAk laster batean aparteko eta presako neurri sail bat a</w:t>
      </w:r>
      <w:r>
        <w:t>n</w:t>
      </w:r>
      <w:r>
        <w:t xml:space="preserve">tolatu behar izan zuen osasun publikoko arrazoiengatik, pertsonak artatzeari lehentasuna emanez ororen gainetik. </w:t>
      </w:r>
    </w:p>
    <w:p w:rsidR="006B548F" w:rsidRPr="00075327" w:rsidRDefault="006B548F" w:rsidP="006B548F">
      <w:pPr>
        <w:pStyle w:val="texto"/>
      </w:pPr>
      <w:r>
        <w:lastRenderedPageBreak/>
        <w:t>Neurri horiek ezartzeak garrantzizko gastua eragin zuen, 2020ko martxotik 2020ko abendura bitartean 225 milioi ingurukoa, eta 3.407 pertsona kontratatu behar izan ziren. NFKAk 187,1 milioi jaso zituen Estatutik. Osasun krisia ez da oraindik amaitu, eta jarraitzen du baliabide publiko ugari bereganatzen. Ma</w:t>
      </w:r>
      <w:r>
        <w:t>r</w:t>
      </w:r>
      <w:r>
        <w:t>txora arte 28,40 milioiko gastua kontabilizatu da 2021erako aurrekontuan.</w:t>
      </w:r>
    </w:p>
    <w:p w:rsidR="006B548F" w:rsidRPr="00075327" w:rsidRDefault="006B548F" w:rsidP="006B548F">
      <w:pPr>
        <w:pStyle w:val="texto"/>
      </w:pPr>
      <w:r>
        <w:t>Aztertu dugu ea legeria betetzen duten langileen kontratuek, ondasun arrunt eta zerbitzuetako gastuek eta inbertsioek, bai eta 2020ko martxotik abendura bitartean izapidetutako dirulaguntzek ere. Ondorioztatu dugu prozedurak apl</w:t>
      </w:r>
      <w:r>
        <w:t>i</w:t>
      </w:r>
      <w:r>
        <w:t>katzekoak zaizkien arauei jarraituz bete direla, salbuespenak salbuespen. Araudi hori NFKAk aurre egin beharreko aparteko egoera kontuan hartuz on</w:t>
      </w:r>
      <w:r>
        <w:t>e</w:t>
      </w:r>
      <w:r>
        <w:t>tsi zen. Eraginkortasunari eta efizientziari dagokienez, osasun itunen kasua be</w:t>
      </w:r>
      <w:r>
        <w:t>s</w:t>
      </w:r>
      <w:r>
        <w:t>terik ezin izan da aztertu, eta ondorioztatzen ahal dugu kudeaketa onaren pri</w:t>
      </w:r>
      <w:r>
        <w:t>n</w:t>
      </w:r>
      <w:r>
        <w:t>tzipioak aplikatu direla.</w:t>
      </w:r>
    </w:p>
    <w:p w:rsidR="006B548F" w:rsidRPr="002552C4" w:rsidRDefault="008039BF" w:rsidP="006B548F">
      <w:pPr>
        <w:pStyle w:val="texto"/>
      </w:pPr>
      <w:r>
        <w:t>Kontuen Ganberaren ustez, txosten honen datara arte NFKAk zentzuz k</w:t>
      </w:r>
      <w:r>
        <w:t>u</w:t>
      </w:r>
      <w:r>
        <w:t>deatu du osasun krisia langileen kontratazioari, obrei, horniduren erosketari eta dirulaguntzei dagokienez; alabaina, COVID-19ak eragindako osasun, gizarte eta ekonomia krisia ez da amaitu oraindik eta NFKAk jarraitu beharko du a</w:t>
      </w:r>
      <w:r>
        <w:t>u</w:t>
      </w:r>
      <w:r>
        <w:t>rrekontuan eragina eta ondorioak izanen dituzten neurriak hartzen.</w:t>
      </w:r>
    </w:p>
    <w:p w:rsidR="006B548F" w:rsidRPr="002552C4" w:rsidRDefault="006B548F" w:rsidP="006B548F">
      <w:pPr>
        <w:pStyle w:val="texto"/>
      </w:pPr>
      <w:r>
        <w:t>Atera ditugun konklusioak kontuan hartuz, bada, aholku hauek ematen d</w:t>
      </w:r>
      <w:r>
        <w:t>i</w:t>
      </w:r>
      <w:r>
        <w:t xml:space="preserve">tugu: </w:t>
      </w:r>
    </w:p>
    <w:p w:rsidR="006B548F"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Pr>
          <w:i/>
          <w:szCs w:val="26"/>
        </w:rPr>
        <w:t xml:space="preserve">Laguntzak jasotzeko eskatzen diren baldintzak betetzen direla egiaztatzeko prozedura bideragarriak antolatzea. </w:t>
      </w:r>
    </w:p>
    <w:p w:rsidR="006B548F"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Pr>
          <w:i/>
          <w:szCs w:val="26"/>
        </w:rPr>
        <w:t>PAGNAri igorritako ohiz kanpoko langileria-gastuen justifikazioa egia</w:t>
      </w:r>
      <w:r>
        <w:rPr>
          <w:i/>
          <w:szCs w:val="26"/>
        </w:rPr>
        <w:t>z</w:t>
      </w:r>
      <w:r>
        <w:rPr>
          <w:i/>
          <w:szCs w:val="26"/>
        </w:rPr>
        <w:t xml:space="preserve">tatzea zentro soziosanitarioen lagin batean. </w:t>
      </w:r>
    </w:p>
    <w:p w:rsidR="006B548F"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Pr>
          <w:i/>
          <w:szCs w:val="26"/>
        </w:rPr>
        <w:t>Larrialdia dela-eta izapidetu diren kontratazio-espediente guztiak form</w:t>
      </w:r>
      <w:r>
        <w:rPr>
          <w:i/>
          <w:szCs w:val="26"/>
        </w:rPr>
        <w:t>a</w:t>
      </w:r>
      <w:r>
        <w:rPr>
          <w:i/>
          <w:szCs w:val="26"/>
        </w:rPr>
        <w:t>lizatzea eta Kontratazioaren Atarian argitaratzea.</w:t>
      </w:r>
    </w:p>
    <w:p w:rsidR="00392C6B" w:rsidRDefault="00392C6B" w:rsidP="00392C6B">
      <w:pPr>
        <w:pStyle w:val="texto"/>
        <w:tabs>
          <w:tab w:val="clear" w:pos="2835"/>
          <w:tab w:val="clear" w:pos="3969"/>
          <w:tab w:val="clear" w:pos="5103"/>
          <w:tab w:val="clear" w:pos="6237"/>
          <w:tab w:val="clear" w:pos="7371"/>
          <w:tab w:val="left" w:pos="567"/>
        </w:tabs>
        <w:rPr>
          <w:i/>
          <w:szCs w:val="26"/>
        </w:rPr>
      </w:pPr>
    </w:p>
    <w:p w:rsidR="006B548F" w:rsidRDefault="00392C6B" w:rsidP="00392C6B">
      <w:pPr>
        <w:pStyle w:val="texto"/>
      </w:pPr>
      <w:r>
        <w:t>Txosten hau, araudi indardunak ezarritako izapideak bete ondoren, auditore Karen Moreno Orduña andreak proposatuta egin da, bera izan baita lan honen arduraduna.</w:t>
      </w:r>
    </w:p>
    <w:p w:rsidR="006B548F" w:rsidRPr="00E732C8" w:rsidRDefault="006B548F" w:rsidP="00B12809">
      <w:pPr>
        <w:pStyle w:val="texto"/>
        <w:ind w:firstLine="0"/>
        <w:jc w:val="center"/>
      </w:pPr>
      <w:r>
        <w:t>Iruñean, 2021eko apirilaren 16an</w:t>
      </w:r>
    </w:p>
    <w:p w:rsidR="006B548F" w:rsidRDefault="004A49A4" w:rsidP="00B12809">
      <w:pPr>
        <w:pStyle w:val="texto"/>
        <w:ind w:firstLine="0"/>
        <w:jc w:val="center"/>
        <w:sectPr w:rsidR="006B548F" w:rsidSect="00D2472C">
          <w:headerReference w:type="even" r:id="rId15"/>
          <w:footerReference w:type="default" r:id="rId16"/>
          <w:type w:val="oddPage"/>
          <w:pgSz w:w="11907" w:h="16840" w:code="9"/>
          <w:pgMar w:top="2109" w:right="1559" w:bottom="1644" w:left="1559" w:header="369" w:footer="136" w:gutter="0"/>
          <w:pgNumType w:start="3"/>
          <w:cols w:space="720"/>
          <w:docGrid w:linePitch="360"/>
        </w:sectPr>
      </w:pPr>
      <w:r>
        <w:t>Lehendakaria, Asunción Olaechea Estanga</w:t>
      </w:r>
    </w:p>
    <w:p w:rsidR="00392C6B" w:rsidRDefault="00392C6B" w:rsidP="00392C6B">
      <w:pPr>
        <w:pStyle w:val="texto"/>
        <w:jc w:val="center"/>
      </w:pPr>
      <w:bookmarkStart w:id="42" w:name="_Toc59453089"/>
      <w:bookmarkStart w:id="43" w:name="_Toc67394585"/>
      <w:bookmarkStart w:id="44" w:name="_Toc511912038"/>
    </w:p>
    <w:p w:rsidR="00392C6B" w:rsidRDefault="00392C6B" w:rsidP="00392C6B">
      <w:pPr>
        <w:pStyle w:val="atitulo1"/>
        <w:jc w:val="right"/>
        <w:rPr>
          <w:rFonts w:eastAsiaTheme="minorHAnsi"/>
          <w:sz w:val="36"/>
          <w:szCs w:val="36"/>
        </w:rPr>
      </w:pPr>
    </w:p>
    <w:p w:rsidR="00392C6B" w:rsidRDefault="00392C6B" w:rsidP="00392C6B">
      <w:pPr>
        <w:pStyle w:val="atitulo1"/>
        <w:jc w:val="right"/>
        <w:rPr>
          <w:rFonts w:eastAsiaTheme="minorHAnsi"/>
          <w:sz w:val="36"/>
          <w:szCs w:val="36"/>
        </w:rPr>
      </w:pPr>
    </w:p>
    <w:p w:rsidR="00392C6B" w:rsidRDefault="00392C6B" w:rsidP="00392C6B">
      <w:pPr>
        <w:pStyle w:val="atitulo1"/>
        <w:jc w:val="right"/>
        <w:rPr>
          <w:rFonts w:eastAsiaTheme="minorHAnsi"/>
          <w:sz w:val="36"/>
          <w:szCs w:val="36"/>
        </w:rPr>
      </w:pPr>
      <w:bookmarkStart w:id="45" w:name="_Toc66949899"/>
      <w:bookmarkStart w:id="46" w:name="_Toc70589008"/>
      <w:r>
        <w:rPr>
          <w:sz w:val="36"/>
          <w:szCs w:val="36"/>
        </w:rPr>
        <w:t>Eranskinak</w:t>
      </w:r>
      <w:bookmarkEnd w:id="45"/>
      <w:bookmarkEnd w:id="46"/>
    </w:p>
    <w:p w:rsidR="00392C6B" w:rsidRDefault="00392C6B">
      <w:pPr>
        <w:spacing w:after="0"/>
        <w:ind w:firstLine="0"/>
        <w:jc w:val="left"/>
        <w:rPr>
          <w:rFonts w:ascii="Arial" w:hAnsi="Arial"/>
          <w:b/>
          <w:color w:val="000000"/>
          <w:kern w:val="28"/>
          <w:sz w:val="25"/>
          <w:szCs w:val="26"/>
        </w:rPr>
      </w:pPr>
      <w:r>
        <w:br w:type="page"/>
      </w:r>
    </w:p>
    <w:p w:rsidR="00811A5F" w:rsidRDefault="00811A5F" w:rsidP="00811A5F">
      <w:pPr>
        <w:pStyle w:val="atitulo1"/>
      </w:pPr>
      <w:bookmarkStart w:id="47" w:name="_Toc70589009"/>
      <w:r>
        <w:lastRenderedPageBreak/>
        <w:t>1. eranskina. COVID-19aren kudeaketari Nafarroan aplikatu beharreko o</w:t>
      </w:r>
      <w:r>
        <w:t>i</w:t>
      </w:r>
      <w:r>
        <w:t>narrizko arau-esparrua</w:t>
      </w:r>
      <w:bookmarkEnd w:id="42"/>
      <w:bookmarkEnd w:id="43"/>
      <w:bookmarkEnd w:id="47"/>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sz w:val="24"/>
        </w:rPr>
        <w:t>347E/2017 Foru Agindua, martxoaren 23koa, Osasuneko kontseilariak emana. Horren bidez onesten dira aldi baterako kontratatzeko izangaien zerrendak kudeatzeko arauak, Osasun Departamentuari atxikitako er</w:t>
      </w:r>
      <w:r>
        <w:rPr>
          <w:rFonts w:ascii="Arial" w:hAnsi="Arial"/>
          <w:sz w:val="24"/>
        </w:rPr>
        <w:t>a</w:t>
      </w:r>
      <w:r>
        <w:rPr>
          <w:rFonts w:ascii="Arial" w:hAnsi="Arial"/>
          <w:sz w:val="24"/>
        </w:rPr>
        <w:t>kunde autonomoetako zentro eta establezimenduetarako.</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9/2020 Jarraibidea, 2020ko martxoaren 13koa, Osasunbidea-Nafarroako Osasun Zerbitzuko zuzendari kudeatzaileak emana, COVID-19aren ag</w:t>
      </w:r>
      <w:r>
        <w:rPr>
          <w:rFonts w:ascii="Arial" w:hAnsi="Arial"/>
          <w:color w:val="000000"/>
          <w:sz w:val="24"/>
        </w:rPr>
        <w:t>e</w:t>
      </w:r>
      <w:r>
        <w:rPr>
          <w:rFonts w:ascii="Arial" w:hAnsi="Arial"/>
          <w:color w:val="000000"/>
          <w:sz w:val="24"/>
        </w:rPr>
        <w:t>rraldia dela-eta Osasunbidea-Nafarroako Osasun Zerbitzuko lantokietan hartu beharreko neurriei buruzkoa.</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SND/232/2020 Agindua, martxoaren 15ekoa, COVID-19ak eragindako osasun krisia kudeatzeko giza baliabideei eta bitartekoei buruzko neurriak ezartzen dituena.</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1/2020 Foru Lege-dekretua, martxoaren 18koa, premiazko neurriak one</w:t>
      </w:r>
      <w:r>
        <w:rPr>
          <w:rFonts w:ascii="Arial" w:hAnsi="Arial"/>
          <w:color w:val="000000"/>
          <w:sz w:val="24"/>
        </w:rPr>
        <w:t>s</w:t>
      </w:r>
      <w:r>
        <w:rPr>
          <w:rFonts w:ascii="Arial" w:hAnsi="Arial"/>
          <w:color w:val="000000"/>
          <w:sz w:val="24"/>
        </w:rPr>
        <w:t>ten dituena koronabirusaren (COVID-19) osasun krisiak eragindako inpa</w:t>
      </w:r>
      <w:r>
        <w:rPr>
          <w:rFonts w:ascii="Arial" w:hAnsi="Arial"/>
          <w:color w:val="000000"/>
          <w:sz w:val="24"/>
        </w:rPr>
        <w:t>k</w:t>
      </w:r>
      <w:r>
        <w:rPr>
          <w:rFonts w:ascii="Arial" w:hAnsi="Arial"/>
          <w:color w:val="000000"/>
          <w:sz w:val="24"/>
        </w:rPr>
        <w:t>tuari aurre egiteko.</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6/2020 Foru Legea, apirilaren 6koa, premiazko neurriak onesten dituena koronabirusaren (COVID-19) osasun krisiak eragindako inpaktuari aurre egiteko.</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7/2020 Foru Legea, apirilaren 6koa, premiazko neurriak onesten dituena koronabirusaren (COVID-19) osasun krisiak eragindako inpaktuari aurre egiteko.</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284E/2020 Ebazpena, apirilaren 6koa, Osasunbidea-Nafarroako Osasun Zerbitzuko zuzendari kudeatzaileak emana, COVID-19 produktibitate-osagarria zehazten duena, lanaldia luzatzeagatik, Osasunbidea-Nafarroako Osasun Zerbitzuari atxikitako langileentzat, COVID-19ak er</w:t>
      </w:r>
      <w:r>
        <w:rPr>
          <w:rFonts w:ascii="Arial" w:hAnsi="Arial"/>
          <w:color w:val="000000"/>
          <w:sz w:val="24"/>
        </w:rPr>
        <w:t>a</w:t>
      </w:r>
      <w:r>
        <w:rPr>
          <w:rFonts w:ascii="Arial" w:hAnsi="Arial"/>
          <w:color w:val="000000"/>
          <w:sz w:val="24"/>
        </w:rPr>
        <w:t>gindako osasun krisia dela-eta.</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10/2020 Foru Legea, apirilaren 8koa, 2020rako Nafarroako Aurrekontu Orokorrei buruzko martxoaren 4ko 5/2020 Foru Legea aldatzen duena.</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37/2020 Foru Agindua, apirilaren 8koa, Hezkuntzako kontseilariak emana, Hezkuntza Departamentuaren zerbitzuan aldi baterako kontratuekin ir</w:t>
      </w:r>
      <w:r>
        <w:rPr>
          <w:rFonts w:ascii="Arial" w:hAnsi="Arial"/>
          <w:color w:val="000000"/>
          <w:sz w:val="24"/>
        </w:rPr>
        <w:t>a</w:t>
      </w:r>
      <w:r>
        <w:rPr>
          <w:rFonts w:ascii="Arial" w:hAnsi="Arial"/>
          <w:color w:val="000000"/>
          <w:sz w:val="24"/>
        </w:rPr>
        <w:t>kasle lanpostuetan aritu nahi duten izangaien zerrendak kudeatzeko arauak onesten dituena.</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3/2020 Foru Lege-dekretua, apirilaren 15ekoa, premiazko neurriak one</w:t>
      </w:r>
      <w:r>
        <w:rPr>
          <w:rFonts w:ascii="Arial" w:hAnsi="Arial"/>
          <w:color w:val="000000"/>
          <w:sz w:val="24"/>
        </w:rPr>
        <w:t>s</w:t>
      </w:r>
      <w:r>
        <w:rPr>
          <w:rFonts w:ascii="Arial" w:hAnsi="Arial"/>
          <w:color w:val="000000"/>
          <w:sz w:val="24"/>
        </w:rPr>
        <w:t>ten dituena koronabirusaren (COVID-19) osasun krisiak eragindako inpa</w:t>
      </w:r>
      <w:r>
        <w:rPr>
          <w:rFonts w:ascii="Arial" w:hAnsi="Arial"/>
          <w:color w:val="000000"/>
          <w:sz w:val="24"/>
        </w:rPr>
        <w:t>k</w:t>
      </w:r>
      <w:r>
        <w:rPr>
          <w:rFonts w:ascii="Arial" w:hAnsi="Arial"/>
          <w:color w:val="000000"/>
          <w:sz w:val="24"/>
        </w:rPr>
        <w:t>tuari aurre egiteko.</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10/2020 Jarraibidea, apirilaren 23koa, Osasunbidea-Nafarroako Osasun Zerbitzuko zuzendari kudeatzaileak emana, ondoriorik gabe uzten duena Osasunbidea-Nafarroako Osasun Zerbitzuko zuzendari kudeatzailearen martxoaren 13ko 9/2020 Jarraibidearen 2., 3., 4. eta 6. apartatuak; jarra</w:t>
      </w:r>
      <w:r>
        <w:rPr>
          <w:rFonts w:ascii="Arial" w:hAnsi="Arial"/>
          <w:color w:val="000000"/>
          <w:sz w:val="24"/>
        </w:rPr>
        <w:t>i</w:t>
      </w:r>
      <w:r>
        <w:rPr>
          <w:rFonts w:ascii="Arial" w:hAnsi="Arial"/>
          <w:color w:val="000000"/>
          <w:sz w:val="24"/>
        </w:rPr>
        <w:lastRenderedPageBreak/>
        <w:t>bide hori COVID-19aren agerraldia dela-eta Osasunbidea-Nafarroako Osasun Zerbitzuko lantokietan hartu beharreko neurriei buruzkoa da.</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4/2020 Foru Lege-dekretua, apirilaren 29koa, premiazko neurriak onesten dituena koronabirusaren (COVID-19) osasun krisiak eragindako inpaktuari aurre egiteko.</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17/2020 Foru Agindua, maiatzaren 13koa, Garapen Ekonomiko eta E</w:t>
      </w:r>
      <w:r>
        <w:rPr>
          <w:rFonts w:ascii="Arial" w:hAnsi="Arial"/>
          <w:color w:val="000000"/>
          <w:sz w:val="24"/>
        </w:rPr>
        <w:t>n</w:t>
      </w:r>
      <w:r>
        <w:rPr>
          <w:rFonts w:ascii="Arial" w:hAnsi="Arial"/>
          <w:color w:val="000000"/>
          <w:sz w:val="24"/>
        </w:rPr>
        <w:t>presarialeko kontseilariak emana, zeinaren bidez ezartzen baita langile autonomoei laguntzak emateko prozedura, koronabirusaren (COVID-19) osasun krisiak eragindako inpaktuari aurre egiteko premiazko neurriak onesten dituen apirilaren 15eko 3/2020 Foru Lege-dekretuan araututakoa betez.</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5/2020 Foru Lege-dekretua, maiatzaren 20koa, premiazko neurriak one</w:t>
      </w:r>
      <w:r>
        <w:rPr>
          <w:rFonts w:ascii="Arial" w:hAnsi="Arial"/>
          <w:color w:val="000000"/>
          <w:sz w:val="24"/>
        </w:rPr>
        <w:t>s</w:t>
      </w:r>
      <w:r>
        <w:rPr>
          <w:rFonts w:ascii="Arial" w:hAnsi="Arial"/>
          <w:color w:val="000000"/>
          <w:sz w:val="24"/>
        </w:rPr>
        <w:t>ten dituena koronabirusaren (COVID-19) osasun krisiak eragindako inpa</w:t>
      </w:r>
      <w:r>
        <w:rPr>
          <w:rFonts w:ascii="Arial" w:hAnsi="Arial"/>
          <w:color w:val="000000"/>
          <w:sz w:val="24"/>
        </w:rPr>
        <w:t>k</w:t>
      </w:r>
      <w:r>
        <w:rPr>
          <w:rFonts w:ascii="Arial" w:hAnsi="Arial"/>
          <w:color w:val="000000"/>
          <w:sz w:val="24"/>
        </w:rPr>
        <w:t>tuari aurre egiteko.</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22/2020 Errege Lege-dekretua, ekainaren 16koa, COVID-19 Funtsaren sorrera arautu eta haren banaketari eta igorpenari buruzko arauak eza</w:t>
      </w:r>
      <w:r>
        <w:rPr>
          <w:rFonts w:ascii="Arial" w:hAnsi="Arial"/>
          <w:color w:val="000000"/>
          <w:sz w:val="24"/>
        </w:rPr>
        <w:t>r</w:t>
      </w:r>
      <w:r>
        <w:rPr>
          <w:rFonts w:ascii="Arial" w:hAnsi="Arial"/>
          <w:color w:val="000000"/>
          <w:sz w:val="24"/>
        </w:rPr>
        <w:t>tzen dituena.</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6/2020 Foru Lege-dekretua, ekainaren 17koa, premiazko neurriak onesten dituena koronabirusaren (COVID-19) osasun krisiak eragindako inpaktuari aurre egiteko.</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13/2020 Foru Legea, uztailaren 1ekoa, 25 milioi euroko aparteko kreditu bat eman, arautu eta banatzekoa, Nafarroako Toki Ogasunen parte-hartzearen funtsaren kargura, COVID-19ak eragindako osasun publikoko arrazoiak direla-eta hartu behar izan diren ohiz kanpoko neurri urgentee</w:t>
      </w:r>
      <w:r>
        <w:rPr>
          <w:rFonts w:ascii="Arial" w:hAnsi="Arial"/>
          <w:color w:val="000000"/>
          <w:sz w:val="24"/>
        </w:rPr>
        <w:t>n</w:t>
      </w:r>
      <w:r>
        <w:rPr>
          <w:rFonts w:ascii="Arial" w:hAnsi="Arial"/>
          <w:color w:val="000000"/>
          <w:sz w:val="24"/>
        </w:rPr>
        <w:t>gatik toki entitateek dituzten beharrei erantzuteko.</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7/2020 Foru Lege-dekretua, uztailaren 22koa, zeinaren bidez ohiz ka</w:t>
      </w:r>
      <w:r>
        <w:rPr>
          <w:rFonts w:ascii="Arial" w:hAnsi="Arial"/>
          <w:color w:val="000000"/>
          <w:sz w:val="24"/>
        </w:rPr>
        <w:t>n</w:t>
      </w:r>
      <w:r>
        <w:rPr>
          <w:rFonts w:ascii="Arial" w:hAnsi="Arial"/>
          <w:color w:val="000000"/>
          <w:sz w:val="24"/>
        </w:rPr>
        <w:t>poko prebentzio neurri batzuk hartzen baitira koronabirusaren (COVID-19a) osasun krisiari aurre egiteko, normaltasun berrirako trantsizio plan</w:t>
      </w:r>
      <w:r>
        <w:rPr>
          <w:rFonts w:ascii="Arial" w:hAnsi="Arial"/>
          <w:color w:val="000000"/>
          <w:sz w:val="24"/>
        </w:rPr>
        <w:t>a</w:t>
      </w:r>
      <w:r>
        <w:rPr>
          <w:rFonts w:ascii="Arial" w:hAnsi="Arial"/>
          <w:color w:val="000000"/>
          <w:sz w:val="24"/>
        </w:rPr>
        <w:t>ren 3. fasea gainditu ondoren.</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8/2020 Foru Lege-dekretua, abuztuaren 17koa, zeinaren bidez ohiz ka</w:t>
      </w:r>
      <w:r>
        <w:rPr>
          <w:rFonts w:ascii="Arial" w:hAnsi="Arial"/>
          <w:color w:val="000000"/>
          <w:sz w:val="24"/>
        </w:rPr>
        <w:t>n</w:t>
      </w:r>
      <w:r>
        <w:rPr>
          <w:rFonts w:ascii="Arial" w:hAnsi="Arial"/>
          <w:color w:val="000000"/>
          <w:sz w:val="24"/>
        </w:rPr>
        <w:t>poko neurriak onesten baitira Nafarroako Foru Komunitatean COVID-19aren kasu positiboen igoerak eragiten duen arrisku bereziko egoerari erantzuteko.</w:t>
      </w:r>
    </w:p>
    <w:p w:rsidR="00477D89" w:rsidRPr="002B0800" w:rsidRDefault="00477D89" w:rsidP="00811A5F">
      <w:pPr>
        <w:pStyle w:val="texto"/>
        <w:numPr>
          <w:ilvl w:val="0"/>
          <w:numId w:val="15"/>
        </w:numPr>
        <w:ind w:left="426" w:hanging="426"/>
        <w:rPr>
          <w:rFonts w:ascii="Arial" w:hAnsi="Arial" w:cs="Arial"/>
          <w:sz w:val="24"/>
        </w:rPr>
      </w:pPr>
      <w:r>
        <w:rPr>
          <w:rFonts w:ascii="Arial" w:hAnsi="Arial"/>
          <w:sz w:val="24"/>
        </w:rPr>
        <w:t>75/2020 Foru Agindua, abuztuaren 31koa, Hezkuntzako kontseilariak emana, hezkuntza jarduera presentziala aurrera eramateko prebentzio eta antolaketa protokoloa onesten duena 2020-2021 ikasturterako.</w:t>
      </w:r>
    </w:p>
    <w:p w:rsidR="00811A5F" w:rsidRPr="002B0800" w:rsidRDefault="00811A5F" w:rsidP="00811A5F">
      <w:pPr>
        <w:pStyle w:val="texto"/>
        <w:numPr>
          <w:ilvl w:val="0"/>
          <w:numId w:val="15"/>
        </w:numPr>
        <w:ind w:left="426" w:hanging="426"/>
        <w:rPr>
          <w:rFonts w:ascii="Arial" w:hAnsi="Arial" w:cs="Arial"/>
          <w:sz w:val="24"/>
        </w:rPr>
      </w:pPr>
      <w:r>
        <w:rPr>
          <w:rFonts w:ascii="Arial" w:hAnsi="Arial"/>
          <w:color w:val="000000"/>
          <w:sz w:val="24"/>
        </w:rPr>
        <w:t>14/2020 Foru Legea, irailaren 1ekoa, zeinaren bidez ohiz kanpoko neurri batzuk hartzen baitira koronabirusaren (COVID-19a) osasun krisiari aurre egiteko, normaltasun berrirako trantsizio planaren 3. fasea gainditu ond</w:t>
      </w:r>
      <w:r>
        <w:rPr>
          <w:rFonts w:ascii="Arial" w:hAnsi="Arial"/>
          <w:color w:val="000000"/>
          <w:sz w:val="24"/>
        </w:rPr>
        <w:t>o</w:t>
      </w:r>
      <w:r>
        <w:rPr>
          <w:rFonts w:ascii="Arial" w:hAnsi="Arial"/>
          <w:color w:val="000000"/>
          <w:sz w:val="24"/>
        </w:rPr>
        <w:t>ren.</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lastRenderedPageBreak/>
        <w:t>9/2020 Foru Lege-dekretua, irailaren 16koa, zeinaren bidez ezartzen baita, Nafarroako Foru Komunitatean, COVID-19ak eragindako osasun krisiari aurre egiteko osasun arloko prebentzio eta euste neurriak ez bet</w:t>
      </w:r>
      <w:r>
        <w:rPr>
          <w:rFonts w:ascii="Arial" w:hAnsi="Arial"/>
          <w:color w:val="000000"/>
          <w:sz w:val="24"/>
        </w:rPr>
        <w:t>e</w:t>
      </w:r>
      <w:r>
        <w:rPr>
          <w:rFonts w:ascii="Arial" w:hAnsi="Arial"/>
          <w:color w:val="000000"/>
          <w:sz w:val="24"/>
        </w:rPr>
        <w:t>tzeagatik aplikatu beharreko zehapen araubidea.</w:t>
      </w:r>
    </w:p>
    <w:p w:rsidR="00811A5F" w:rsidRPr="002B0800" w:rsidRDefault="00811A5F" w:rsidP="00811A5F">
      <w:pPr>
        <w:pStyle w:val="texto"/>
        <w:numPr>
          <w:ilvl w:val="0"/>
          <w:numId w:val="15"/>
        </w:numPr>
        <w:ind w:left="426" w:hanging="426"/>
        <w:rPr>
          <w:rFonts w:ascii="Arial" w:hAnsi="Arial" w:cs="Arial"/>
          <w:color w:val="000000"/>
          <w:sz w:val="24"/>
        </w:rPr>
      </w:pPr>
      <w:r>
        <w:rPr>
          <w:rFonts w:ascii="Arial" w:hAnsi="Arial"/>
          <w:color w:val="000000"/>
          <w:sz w:val="24"/>
        </w:rPr>
        <w:t>29/2020 Errege Lege-dekretua, irailaren 29koa, administrazio publiko</w:t>
      </w:r>
      <w:r>
        <w:rPr>
          <w:rFonts w:ascii="Arial" w:hAnsi="Arial"/>
          <w:color w:val="000000"/>
          <w:sz w:val="24"/>
        </w:rPr>
        <w:t>e</w:t>
      </w:r>
      <w:r>
        <w:rPr>
          <w:rFonts w:ascii="Arial" w:hAnsi="Arial"/>
          <w:color w:val="000000"/>
          <w:sz w:val="24"/>
        </w:rPr>
        <w:t>tako telelanaren arloan eta Osasun Sistema Nazionaleko giza baliabideen arloan presako neurriak ezartzen dituena COVID-19ak eragindako osasun krisiari aurre egiteko.</w:t>
      </w:r>
    </w:p>
    <w:p w:rsidR="00811A5F" w:rsidRDefault="00811A5F" w:rsidP="00811A5F">
      <w:pPr>
        <w:pStyle w:val="texto"/>
        <w:ind w:left="426" w:firstLine="0"/>
      </w:pPr>
    </w:p>
    <w:p w:rsidR="00477D89" w:rsidRDefault="00477D89" w:rsidP="00811A5F">
      <w:pPr>
        <w:pStyle w:val="texto"/>
        <w:ind w:left="426" w:firstLine="0"/>
        <w:sectPr w:rsidR="00477D89" w:rsidSect="00811A5F">
          <w:footerReference w:type="default" r:id="rId17"/>
          <w:type w:val="oddPage"/>
          <w:pgSz w:w="11907" w:h="16840" w:code="9"/>
          <w:pgMar w:top="2109" w:right="1559" w:bottom="1644" w:left="1559" w:header="369" w:footer="136" w:gutter="0"/>
          <w:cols w:space="720"/>
          <w:docGrid w:linePitch="360"/>
        </w:sectPr>
      </w:pPr>
    </w:p>
    <w:p w:rsidR="00811A5F" w:rsidRPr="003D60A6" w:rsidRDefault="00811A5F" w:rsidP="007A0000"/>
    <w:tbl>
      <w:tblPr>
        <w:tblW w:w="1318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40"/>
        <w:gridCol w:w="1200"/>
        <w:gridCol w:w="9843"/>
      </w:tblGrid>
      <w:tr w:rsidR="00811A5F" w:rsidRPr="00D85F54" w:rsidTr="007C5DE1">
        <w:trPr>
          <w:trHeight w:val="300"/>
        </w:trPr>
        <w:tc>
          <w:tcPr>
            <w:tcW w:w="2140" w:type="dxa"/>
            <w:shd w:val="clear" w:color="auto" w:fill="8DB3E2" w:themeFill="text2" w:themeFillTint="66"/>
            <w:noWrap/>
            <w:vAlign w:val="center"/>
            <w:hideMark/>
          </w:tcPr>
          <w:p w:rsidR="00811A5F" w:rsidRPr="00D85F54" w:rsidRDefault="00811A5F" w:rsidP="006E625A">
            <w:pPr>
              <w:pStyle w:val="cuadroCabe"/>
            </w:pPr>
            <w:r>
              <w:t>Araua</w:t>
            </w:r>
          </w:p>
        </w:tc>
        <w:tc>
          <w:tcPr>
            <w:tcW w:w="1200" w:type="dxa"/>
            <w:shd w:val="clear" w:color="auto" w:fill="8DB3E2" w:themeFill="text2" w:themeFillTint="66"/>
            <w:noWrap/>
            <w:vAlign w:val="center"/>
            <w:hideMark/>
          </w:tcPr>
          <w:p w:rsidR="00811A5F" w:rsidRPr="00D85F54" w:rsidRDefault="00811A5F" w:rsidP="006E625A">
            <w:pPr>
              <w:pStyle w:val="cuadroCabe"/>
            </w:pPr>
            <w:r>
              <w:t>Data</w:t>
            </w:r>
          </w:p>
        </w:tc>
        <w:tc>
          <w:tcPr>
            <w:tcW w:w="9843" w:type="dxa"/>
            <w:shd w:val="clear" w:color="auto" w:fill="8DB3E2" w:themeFill="text2" w:themeFillTint="66"/>
            <w:noWrap/>
            <w:vAlign w:val="center"/>
            <w:hideMark/>
          </w:tcPr>
          <w:p w:rsidR="00811A5F" w:rsidRPr="00D85F54" w:rsidRDefault="00811A5F" w:rsidP="002B0800">
            <w:pPr>
              <w:pStyle w:val="cuadroCabe"/>
              <w:jc w:val="left"/>
            </w:pPr>
            <w:r>
              <w:t>COVID-19aren ondorioak arintzeko ohiz kanpoko neurriekin lotura duten alderdiak</w:t>
            </w:r>
          </w:p>
        </w:tc>
      </w:tr>
      <w:tr w:rsidR="00811A5F" w:rsidRPr="00962556" w:rsidTr="007C5DE1">
        <w:trPr>
          <w:trHeight w:val="300"/>
        </w:trPr>
        <w:tc>
          <w:tcPr>
            <w:tcW w:w="2140" w:type="dxa"/>
            <w:tcBorders>
              <w:bottom w:val="single" w:sz="2" w:space="0" w:color="auto"/>
            </w:tcBorders>
            <w:shd w:val="clear" w:color="auto" w:fill="auto"/>
            <w:noWrap/>
            <w:vAlign w:val="center"/>
          </w:tcPr>
          <w:p w:rsidR="00811A5F" w:rsidRPr="00D85F54" w:rsidRDefault="00811A5F" w:rsidP="003810F9">
            <w:pPr>
              <w:spacing w:after="0"/>
              <w:ind w:firstLine="0"/>
              <w:jc w:val="left"/>
              <w:rPr>
                <w:rFonts w:ascii="Arial" w:hAnsi="Arial" w:cs="Arial"/>
                <w:color w:val="000000"/>
                <w:sz w:val="18"/>
                <w:szCs w:val="18"/>
              </w:rPr>
            </w:pPr>
            <w:r>
              <w:rPr>
                <w:rFonts w:ascii="Arial" w:hAnsi="Arial"/>
                <w:color w:val="000000"/>
                <w:sz w:val="18"/>
                <w:szCs w:val="18"/>
              </w:rPr>
              <w:t>347E/2017 Foru Agi</w:t>
            </w:r>
            <w:r>
              <w:rPr>
                <w:rFonts w:ascii="Arial" w:hAnsi="Arial"/>
                <w:color w:val="000000"/>
                <w:sz w:val="18"/>
                <w:szCs w:val="18"/>
              </w:rPr>
              <w:t>n</w:t>
            </w:r>
            <w:r>
              <w:rPr>
                <w:rFonts w:ascii="Arial" w:hAnsi="Arial"/>
                <w:color w:val="000000"/>
                <w:sz w:val="18"/>
                <w:szCs w:val="18"/>
              </w:rPr>
              <w:t>dua</w:t>
            </w:r>
          </w:p>
        </w:tc>
        <w:tc>
          <w:tcPr>
            <w:tcW w:w="1200" w:type="dxa"/>
            <w:tcBorders>
              <w:bottom w:val="single" w:sz="2" w:space="0" w:color="auto"/>
            </w:tcBorders>
            <w:shd w:val="clear" w:color="auto" w:fill="auto"/>
            <w:noWrap/>
            <w:vAlign w:val="center"/>
          </w:tcPr>
          <w:p w:rsidR="00811A5F" w:rsidRPr="00D85F54" w:rsidRDefault="00811A5F" w:rsidP="003810F9">
            <w:pPr>
              <w:spacing w:after="0"/>
              <w:ind w:firstLine="0"/>
              <w:jc w:val="left"/>
              <w:rPr>
                <w:rFonts w:ascii="Arial" w:hAnsi="Arial" w:cs="Arial"/>
                <w:color w:val="000000"/>
                <w:sz w:val="18"/>
                <w:szCs w:val="18"/>
              </w:rPr>
            </w:pPr>
            <w:r>
              <w:rPr>
                <w:rFonts w:ascii="Arial" w:hAnsi="Arial"/>
                <w:color w:val="000000"/>
                <w:sz w:val="18"/>
                <w:szCs w:val="18"/>
              </w:rPr>
              <w:t>Martxoaren 23a</w:t>
            </w:r>
          </w:p>
        </w:tc>
        <w:tc>
          <w:tcPr>
            <w:tcW w:w="9843" w:type="dxa"/>
            <w:tcBorders>
              <w:bottom w:val="single" w:sz="2" w:space="0" w:color="auto"/>
            </w:tcBorders>
            <w:shd w:val="clear" w:color="auto" w:fill="auto"/>
            <w:noWrap/>
            <w:vAlign w:val="center"/>
          </w:tcPr>
          <w:p w:rsidR="00811A5F" w:rsidRPr="00D85F54" w:rsidRDefault="00811A5F" w:rsidP="002B0800">
            <w:pPr>
              <w:spacing w:after="0"/>
              <w:ind w:firstLine="0"/>
              <w:jc w:val="left"/>
              <w:rPr>
                <w:rFonts w:ascii="Arial" w:hAnsi="Arial" w:cs="Arial"/>
                <w:color w:val="000000"/>
                <w:sz w:val="18"/>
                <w:szCs w:val="18"/>
              </w:rPr>
            </w:pPr>
            <w:r>
              <w:rPr>
                <w:rFonts w:ascii="Arial" w:hAnsi="Arial"/>
                <w:color w:val="000000"/>
                <w:sz w:val="18"/>
                <w:szCs w:val="18"/>
              </w:rPr>
              <w:t>Aldi baterako kontratatzeko izangaien zerrendak kudeatzeko arauak, Osasun Departamentuari atxikitako erakunde aut</w:t>
            </w:r>
            <w:r>
              <w:rPr>
                <w:rFonts w:ascii="Arial" w:hAnsi="Arial"/>
                <w:color w:val="000000"/>
                <w:sz w:val="18"/>
                <w:szCs w:val="18"/>
              </w:rPr>
              <w:t>o</w:t>
            </w:r>
            <w:r>
              <w:rPr>
                <w:rFonts w:ascii="Arial" w:hAnsi="Arial"/>
                <w:color w:val="000000"/>
                <w:sz w:val="18"/>
                <w:szCs w:val="18"/>
              </w:rPr>
              <w:t>nomoen zentro eta establezimenduetarako</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w:hAnsi="Arial" w:cs="Arial"/>
                <w:color w:val="000000"/>
                <w:sz w:val="18"/>
                <w:szCs w:val="18"/>
              </w:rPr>
            </w:pPr>
            <w:r>
              <w:rPr>
                <w:rFonts w:ascii="Arial" w:hAnsi="Arial"/>
                <w:color w:val="000000"/>
                <w:sz w:val="18"/>
                <w:szCs w:val="18"/>
              </w:rPr>
              <w:t>9/2020 Jarraibidea</w:t>
            </w:r>
          </w:p>
        </w:tc>
        <w:tc>
          <w:tcPr>
            <w:tcW w:w="120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w:hAnsi="Arial" w:cs="Arial"/>
                <w:color w:val="000000"/>
                <w:sz w:val="18"/>
                <w:szCs w:val="18"/>
              </w:rPr>
            </w:pPr>
            <w:r>
              <w:rPr>
                <w:rFonts w:ascii="Arial" w:hAnsi="Arial"/>
                <w:color w:val="000000"/>
                <w:sz w:val="18"/>
                <w:szCs w:val="18"/>
              </w:rPr>
              <w:t>Martxoaren 13a</w:t>
            </w:r>
          </w:p>
        </w:tc>
        <w:tc>
          <w:tcPr>
            <w:tcW w:w="9843" w:type="dxa"/>
            <w:tcBorders>
              <w:top w:val="single" w:sz="2" w:space="0" w:color="auto"/>
              <w:bottom w:val="single" w:sz="2" w:space="0" w:color="auto"/>
            </w:tcBorders>
            <w:shd w:val="clear" w:color="auto" w:fill="auto"/>
            <w:noWrap/>
            <w:vAlign w:val="center"/>
          </w:tcPr>
          <w:p w:rsidR="00811A5F" w:rsidRPr="00D85F54" w:rsidRDefault="00811A5F" w:rsidP="002B0800">
            <w:pPr>
              <w:spacing w:after="0"/>
              <w:ind w:firstLine="0"/>
              <w:jc w:val="left"/>
              <w:rPr>
                <w:rFonts w:ascii="Arial" w:hAnsi="Arial" w:cs="Arial"/>
                <w:color w:val="000000"/>
                <w:sz w:val="18"/>
                <w:szCs w:val="18"/>
              </w:rPr>
            </w:pPr>
            <w:r>
              <w:rPr>
                <w:rFonts w:ascii="Arial" w:hAnsi="Arial"/>
                <w:color w:val="000000"/>
                <w:sz w:val="18"/>
                <w:szCs w:val="18"/>
              </w:rPr>
              <w:t>O-NOZeko lantokietako langileentzako neurriak, COVID-19a dela-eta</w:t>
            </w:r>
          </w:p>
        </w:tc>
      </w:tr>
      <w:tr w:rsidR="00811A5F" w:rsidRPr="00962556"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477D89">
            <w:pPr>
              <w:spacing w:after="0"/>
              <w:ind w:firstLine="0"/>
              <w:jc w:val="left"/>
              <w:rPr>
                <w:rFonts w:ascii="Arial Narrow" w:hAnsi="Arial Narrow" w:cs="Calibri"/>
                <w:color w:val="000000"/>
              </w:rPr>
            </w:pPr>
            <w:r>
              <w:rPr>
                <w:rFonts w:ascii="Arial Narrow" w:hAnsi="Arial Narrow"/>
                <w:color w:val="000000"/>
              </w:rPr>
              <w:t>SND/232/2020 Agindua</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Martxoaren 15a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COVID-19aren kudeaketarako giza baliabideak eta bitartekoak</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1/2020 FLD</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Martxoaren 18a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 xml:space="preserve">Langileria (zerbitzuen prestazioa, aldi baterako langileak kontratatzeko zerrendak; sindikalak, erretiratuak etab. lanera itzultzea) </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Gizarte zerbitzuak (etxeko zaintzaileen kontratazioa, landa eremuetako kontratazioa)</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Adm. Publikoaren kudeaketa (kontratazioa eta mandatuak, kontabilizazioa eta aurrekontu-kudeaketa, dirulaguntzak, etab.)</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Ekonomiko-fiskalak (COVID-19ak eragindako gastuetarako funtsa)</w:t>
            </w:r>
          </w:p>
        </w:tc>
      </w:tr>
      <w:tr w:rsidR="00811A5F" w:rsidRPr="00D85F54" w:rsidTr="007C5DE1">
        <w:trPr>
          <w:trHeight w:val="765"/>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2/2020 FLD</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Martxoaren 25a</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Adm. Publikoaren kudeaketa (kontratazioa, itun sozialak, Eskubide Sozialetako eta Migrazio Politiketako eta Justiziako departame</w:t>
            </w:r>
            <w:r>
              <w:rPr>
                <w:rFonts w:ascii="Arial Narrow" w:hAnsi="Arial Narrow"/>
                <w:color w:val="000000"/>
              </w:rPr>
              <w:t>n</w:t>
            </w:r>
            <w:r>
              <w:rPr>
                <w:rFonts w:ascii="Arial Narrow" w:hAnsi="Arial Narrow"/>
                <w:color w:val="000000"/>
              </w:rPr>
              <w:t>tuen dirulaguntzak, behin-behineko zentro soziosanitarioak, zentro eta establezimendu pribatuak eta mutuak baliatzea, bai eta haien langileak ere, genero-indarkeriaren biktimentzako harrera-baliabideetako gehieneko egonaldiak)</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Etxebizitza (bizigarritasun-zedulen indarraldia eta obra amaierako epeak, etxebizitza babestuen sustapena, etxebizitzarako eskubide subjektiboa, etab.)</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Zergak (tributu arloko epeak etetea, zerga zorrak geroratzea salbuespenez)</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6/2020 FL</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6a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 xml:space="preserve">Langileria (zerbitzuen prestazioa, aldi baterako langileak kontratatzeko zerrendak; sindikalak, erretiratuak etab. lanera itzultzea) </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Gizarte zerbitzuak (etxeko zaintzaileen kontratazioa, landa eremuetako kontratazioa)</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Adm. Publikoaren kudeaketa (kontratazioa eta mandatuak, kontabilizazioa eta aurrekontu-kudeaketa, dirulaguntzak, etab.)</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Ekonomia eta zergak (COVID-19 gastuetarako funtsa eta toki entitateen COVID-19 gastuetarako funts berezia)</w:t>
            </w:r>
          </w:p>
        </w:tc>
      </w:tr>
      <w:tr w:rsidR="00811A5F" w:rsidRPr="00D85F54" w:rsidTr="007C5DE1">
        <w:trPr>
          <w:trHeight w:val="765"/>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7/2020 FL</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6a</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Adm. Publikoaren kudeaketa (kontratazioa, itun sozialak, Eskubide Sozialetako eta Migrazio Politiketako eta Justiziako departame</w:t>
            </w:r>
            <w:r>
              <w:rPr>
                <w:rFonts w:ascii="Arial Narrow" w:hAnsi="Arial Narrow"/>
                <w:color w:val="000000"/>
              </w:rPr>
              <w:t>n</w:t>
            </w:r>
            <w:r>
              <w:rPr>
                <w:rFonts w:ascii="Arial Narrow" w:hAnsi="Arial Narrow"/>
                <w:color w:val="000000"/>
              </w:rPr>
              <w:t>tuen dirulaguntzak, behin-behineko zentro soziosanitarioak, zentro eta establezimendu pribatuak eta mutuak eta haien langileak b</w:t>
            </w:r>
            <w:r>
              <w:rPr>
                <w:rFonts w:ascii="Arial Narrow" w:hAnsi="Arial Narrow"/>
                <w:color w:val="000000"/>
              </w:rPr>
              <w:t>a</w:t>
            </w:r>
            <w:r>
              <w:rPr>
                <w:rFonts w:ascii="Arial Narrow" w:hAnsi="Arial Narrow"/>
                <w:color w:val="000000"/>
              </w:rPr>
              <w:t>liatzea, gehieneko egonaldiak genero-indarkeriaren biktimentzako harrera-baliabideetan eta genero-indarkeriaren biktima diren em</w:t>
            </w:r>
            <w:r>
              <w:rPr>
                <w:rFonts w:ascii="Arial Narrow" w:hAnsi="Arial Narrow"/>
                <w:color w:val="000000"/>
              </w:rPr>
              <w:t>a</w:t>
            </w:r>
            <w:r>
              <w:rPr>
                <w:rFonts w:ascii="Arial Narrow" w:hAnsi="Arial Narrow"/>
                <w:color w:val="000000"/>
              </w:rPr>
              <w:t>kumeentzako behin-behineko harrera-baliabideetan)</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Etxebizitza (bizigarritasun-zedulen indarraldia eta obra amaierako epeak, etxebizitza babestuen sustapena, etxebizitzarako eskubide subjektiboa, etab.)</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Zergak (tributu arloko epeak etetea, udal tasak eta prezio publikoak)</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284E/2020 Ebazpena</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6a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COVID-19 produktibitate-osagarria zehaztea O-NOZeko langileentzat</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8/2020 FLD</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8a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Kreditu-gehigarria COVID-19 neurriei lotutako beharretarako</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lastRenderedPageBreak/>
              <w:t>9/2020 FLD</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8a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Kreditu-gehigarria COVID-19 neurriei lotutako beharretarako</w:t>
            </w:r>
          </w:p>
        </w:tc>
      </w:tr>
    </w:tbl>
    <w:p w:rsidR="007A0000" w:rsidRDefault="007A0000">
      <w:pPr>
        <w:spacing w:after="0"/>
        <w:ind w:firstLine="0"/>
        <w:jc w:val="left"/>
      </w:pPr>
      <w:r>
        <w:br w:type="page"/>
      </w:r>
    </w:p>
    <w:p w:rsidR="007A0000" w:rsidRDefault="007A0000"/>
    <w:tbl>
      <w:tblPr>
        <w:tblW w:w="1318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40"/>
        <w:gridCol w:w="1200"/>
        <w:gridCol w:w="9843"/>
      </w:tblGrid>
      <w:tr w:rsidR="002B0800" w:rsidRPr="00D85F54" w:rsidTr="00B46545">
        <w:trPr>
          <w:trHeight w:val="300"/>
        </w:trPr>
        <w:tc>
          <w:tcPr>
            <w:tcW w:w="2140" w:type="dxa"/>
            <w:shd w:val="clear" w:color="auto" w:fill="8DB3E2" w:themeFill="text2" w:themeFillTint="66"/>
            <w:noWrap/>
            <w:vAlign w:val="center"/>
            <w:hideMark/>
          </w:tcPr>
          <w:p w:rsidR="002B0800" w:rsidRPr="00D85F54" w:rsidRDefault="002B0800" w:rsidP="00B46545">
            <w:pPr>
              <w:pStyle w:val="cuadroCabe"/>
            </w:pPr>
            <w:r>
              <w:t>Araua</w:t>
            </w:r>
          </w:p>
        </w:tc>
        <w:tc>
          <w:tcPr>
            <w:tcW w:w="1200" w:type="dxa"/>
            <w:shd w:val="clear" w:color="auto" w:fill="8DB3E2" w:themeFill="text2" w:themeFillTint="66"/>
            <w:noWrap/>
            <w:vAlign w:val="center"/>
            <w:hideMark/>
          </w:tcPr>
          <w:p w:rsidR="002B0800" w:rsidRPr="00D85F54" w:rsidRDefault="002B0800" w:rsidP="00B46545">
            <w:pPr>
              <w:pStyle w:val="cuadroCabe"/>
            </w:pPr>
            <w:r>
              <w:t>Data</w:t>
            </w:r>
          </w:p>
        </w:tc>
        <w:tc>
          <w:tcPr>
            <w:tcW w:w="9843" w:type="dxa"/>
            <w:shd w:val="clear" w:color="auto" w:fill="8DB3E2" w:themeFill="text2" w:themeFillTint="66"/>
            <w:noWrap/>
            <w:vAlign w:val="center"/>
            <w:hideMark/>
          </w:tcPr>
          <w:p w:rsidR="002B0800" w:rsidRPr="00D85F54" w:rsidRDefault="002B0800" w:rsidP="00B46545">
            <w:pPr>
              <w:pStyle w:val="cuadroCabe"/>
              <w:jc w:val="left"/>
            </w:pPr>
            <w:r>
              <w:t>COVID-19aren ondorioak arintzeko ohiz kanpoko neurriekin lotura duten alderdiak</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10/2020 FL</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8a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2020rako Nafarroako Aurrekontu Orokorrei buruzko 5/2020 Foru Legea aldatzea</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37/2020 Foru Agindua</w:t>
            </w:r>
          </w:p>
        </w:tc>
        <w:tc>
          <w:tcPr>
            <w:tcW w:w="120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8a</w:t>
            </w:r>
          </w:p>
        </w:tc>
        <w:tc>
          <w:tcPr>
            <w:tcW w:w="9843" w:type="dxa"/>
            <w:tcBorders>
              <w:top w:val="single" w:sz="2" w:space="0" w:color="auto"/>
              <w:bottom w:val="single" w:sz="2" w:space="0" w:color="auto"/>
            </w:tcBorders>
            <w:shd w:val="clear" w:color="auto" w:fill="auto"/>
            <w:noWrap/>
            <w:vAlign w:val="bottom"/>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Aldi baterako kontratazioaren bidez Hezkuntza Departamentuko lanpostuak betetzeko izangaien zerrendak kudeatzeko arauak</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3/2020 FLD (2020ko apir</w:t>
            </w:r>
            <w:r>
              <w:rPr>
                <w:rFonts w:ascii="Arial Narrow" w:hAnsi="Arial Narrow"/>
                <w:color w:val="000000"/>
              </w:rPr>
              <w:t>i</w:t>
            </w:r>
            <w:r>
              <w:rPr>
                <w:rFonts w:ascii="Arial Narrow" w:hAnsi="Arial Narrow"/>
                <w:color w:val="000000"/>
              </w:rPr>
              <w:t>laren 27ko NAOn baliozk</w:t>
            </w:r>
            <w:r>
              <w:rPr>
                <w:rFonts w:ascii="Arial Narrow" w:hAnsi="Arial Narrow"/>
                <w:color w:val="000000"/>
              </w:rPr>
              <w:t>o</w:t>
            </w:r>
            <w:r>
              <w:rPr>
                <w:rFonts w:ascii="Arial Narrow" w:hAnsi="Arial Narrow"/>
                <w:color w:val="000000"/>
              </w:rPr>
              <w:t>tua)</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15a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Langile autonomoentzako laguntzak</w:t>
            </w:r>
          </w:p>
        </w:tc>
      </w:tr>
      <w:tr w:rsidR="00811A5F" w:rsidRPr="00D85F54" w:rsidTr="007C5DE1">
        <w:trPr>
          <w:trHeight w:val="765"/>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Adm. Publikoaren kudeaketa (COVID-19 hornidura eta ekipamenduen kontratazioaren prezioa ordaintzea, COVID-19 dohaintzak, Oinarrizko Gizarte Zerbitzuetarako bigarren ordainketa toki entitateei, COVID-19a dela-eta gizarte larrialdiko laguntzak ordaintzea toki entitateei, osasun laguntza antolatzeko neurriak zahar etxeetan, desgaitasuna duten pertsonentzako egoitzetan, egoitza psikogeri</w:t>
            </w:r>
            <w:r>
              <w:rPr>
                <w:rFonts w:ascii="Arial Narrow" w:hAnsi="Arial Narrow"/>
                <w:color w:val="000000"/>
              </w:rPr>
              <w:t>a</w:t>
            </w:r>
            <w:r>
              <w:rPr>
                <w:rFonts w:ascii="Arial Narrow" w:hAnsi="Arial Narrow"/>
                <w:color w:val="000000"/>
              </w:rPr>
              <w:t>trikoetan eta parekoetan)</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COVID-19ari buruzko ikerketa zientifikoa eta teknikoa sustatzea</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 xml:space="preserve">Nafarroako Osasun Publikoaren eta Lan Osasunaren Institutuak Nafarroako prebentzio zerbitzuak koordinatzea </w:t>
            </w:r>
          </w:p>
        </w:tc>
      </w:tr>
      <w:tr w:rsidR="00811A5F" w:rsidRPr="00D85F54" w:rsidTr="007C5DE1">
        <w:trPr>
          <w:trHeight w:val="370"/>
        </w:trPr>
        <w:tc>
          <w:tcPr>
            <w:tcW w:w="214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10/2020 Jarraibidea</w:t>
            </w:r>
          </w:p>
        </w:tc>
        <w:tc>
          <w:tcPr>
            <w:tcW w:w="120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23a</w:t>
            </w:r>
          </w:p>
        </w:tc>
        <w:tc>
          <w:tcPr>
            <w:tcW w:w="9843" w:type="dxa"/>
            <w:tcBorders>
              <w:top w:val="single" w:sz="2" w:space="0" w:color="auto"/>
              <w:bottom w:val="single" w:sz="2" w:space="0" w:color="auto"/>
            </w:tcBorders>
            <w:shd w:val="clear" w:color="auto" w:fill="auto"/>
            <w:vAlign w:val="center"/>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Indarrik gabe uzten du 9/2020 Jarraibidearen zati bat</w:t>
            </w:r>
          </w:p>
        </w:tc>
      </w:tr>
      <w:tr w:rsidR="00811A5F" w:rsidRPr="00D85F54" w:rsidTr="007C5DE1">
        <w:trPr>
          <w:trHeight w:val="51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4/2020 FLD</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Apirilaren 29a</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Zergak (jokoaren gaineko tributuak, saltoki handien gaineko zerga, oinordetza eta dohaintzen gaineko zergaren eta ondare-eskualdaketen eta egintza juridiko dokumentatuen gaineko zergaren epeak eta sarrera, ohiko etxebizitzan egindako berrinbertsioag</w:t>
            </w:r>
            <w:r>
              <w:rPr>
                <w:rFonts w:ascii="Arial Narrow" w:hAnsi="Arial Narrow"/>
                <w:color w:val="000000"/>
              </w:rPr>
              <w:t>a</w:t>
            </w:r>
            <w:r>
              <w:rPr>
                <w:rFonts w:ascii="Arial Narrow" w:hAnsi="Arial Narrow"/>
                <w:color w:val="000000"/>
              </w:rPr>
              <w:t>tiko salbuespenaren epea, enplegua sortzeagatiko kenkaria, etab.)</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Kooperatiben hezkuntza- eta sustapen-funtsaren erabilera aldi baterako malgutzea COVID-19aren eragina arintzeko</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5/2020 FLD</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Maiatzaren 20a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Etxebizitza (bizigarritasun-zedulen indarraldia, etxebizitzarako eskubide subjektiboa eta etxebizitza babestuetako maizterrentzako dirulaguntzak)</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Kontratazio publikoa (neurri osagarriak, interpretazio artistikoko eta ikuskizunetako kontratu publiko etenak edo suntsiaraziak)</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22/2020 ELD</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Ekainaren 16a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COVID-19 funtsaren sorrera eta haren banaketari eta igorpenari buruzko arauak</w:t>
            </w:r>
          </w:p>
        </w:tc>
      </w:tr>
      <w:tr w:rsidR="00811A5F" w:rsidRPr="00D85F54" w:rsidTr="007C5DE1">
        <w:trPr>
          <w:trHeight w:val="356"/>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6/2020 FLD</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Ekainaren 17a</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sz w:val="19"/>
                <w:szCs w:val="19"/>
              </w:rPr>
            </w:pPr>
            <w:r>
              <w:rPr>
                <w:rFonts w:ascii="Arial Narrow" w:hAnsi="Arial Narrow"/>
                <w:color w:val="000000"/>
                <w:sz w:val="19"/>
                <w:szCs w:val="19"/>
              </w:rPr>
              <w:t>Errepideko hiriarteko garraio publiko erregularreko zerbitzuak esleitzeko kontratuak (ohiz kanpoko konpentsazio ekonomikoaren kalkulua eta prozedura)</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Gizarte zerbitzuak (errenta bermatuaren ordainketa etetea kasu jakin batzuetan)</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Lurraldearen antolamendua (salbuespenezko baimena, energia eolikoa sortzeko sistemak eta husteko linea elektrikoak instalatzeko)</w:t>
            </w:r>
          </w:p>
        </w:tc>
      </w:tr>
      <w:tr w:rsidR="00811A5F" w:rsidRPr="00D85F54" w:rsidTr="007C5DE1">
        <w:trPr>
          <w:trHeight w:val="51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sz w:val="19"/>
                <w:szCs w:val="19"/>
              </w:rPr>
            </w:pPr>
            <w:r>
              <w:rPr>
                <w:rFonts w:ascii="Arial Narrow" w:hAnsi="Arial Narrow"/>
                <w:color w:val="000000"/>
                <w:sz w:val="19"/>
                <w:szCs w:val="19"/>
              </w:rPr>
              <w:t>Tributuak (sozietateen gaineko zergaren aurkezpena, fundazioen kontuak aurkezteko epea, argindarraren, gasaren eta petroliotik eratorr</w:t>
            </w:r>
            <w:r>
              <w:rPr>
                <w:rFonts w:ascii="Arial Narrow" w:hAnsi="Arial Narrow"/>
                <w:color w:val="000000"/>
                <w:sz w:val="19"/>
                <w:szCs w:val="19"/>
              </w:rPr>
              <w:t>i</w:t>
            </w:r>
            <w:r>
              <w:rPr>
                <w:rFonts w:ascii="Arial Narrow" w:hAnsi="Arial Narrow"/>
                <w:color w:val="000000"/>
                <w:sz w:val="19"/>
                <w:szCs w:val="19"/>
              </w:rPr>
              <w:t>tako produktuen fakturak etetea, doako aseguru kolektiboa osasun-langileentzat, zenbait pertsona zaintzeagatik Gizarte Segurantzari o</w:t>
            </w:r>
            <w:r>
              <w:rPr>
                <w:rFonts w:ascii="Arial Narrow" w:hAnsi="Arial Narrow"/>
                <w:color w:val="000000"/>
                <w:sz w:val="19"/>
                <w:szCs w:val="19"/>
              </w:rPr>
              <w:t>r</w:t>
            </w:r>
            <w:r>
              <w:rPr>
                <w:rFonts w:ascii="Arial Narrow" w:hAnsi="Arial Narrow"/>
                <w:color w:val="000000"/>
                <w:sz w:val="19"/>
                <w:szCs w:val="19"/>
              </w:rPr>
              <w:t>daindutako kuoten kenkaria, etab.)</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13/2020 FL</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Uztailaren 1a</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25 milioiko aparteko kreditua, toki ogasunen parte-hartzearen funtsaren kargura, COVID-19aren ondorioz toki entitateek dituzten beharretarako</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7/2020 FLD</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Uztailaren 22a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Gaueko aisialdia (ordutegi mugak, jarduerak, ospakizunak, mahai bakoitzeko edo mahai multzo bakoitzeko gehieneko okupazioak)</w:t>
            </w:r>
          </w:p>
        </w:tc>
      </w:tr>
    </w:tbl>
    <w:p w:rsidR="002B0800" w:rsidRDefault="002B0800">
      <w:r>
        <w:br w:type="page"/>
      </w:r>
    </w:p>
    <w:p w:rsidR="007A0000" w:rsidRDefault="007A0000"/>
    <w:tbl>
      <w:tblPr>
        <w:tblW w:w="1318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40"/>
        <w:gridCol w:w="1200"/>
        <w:gridCol w:w="9843"/>
      </w:tblGrid>
      <w:tr w:rsidR="0010329E" w:rsidRPr="00D85F54" w:rsidTr="00B46545">
        <w:trPr>
          <w:trHeight w:val="300"/>
        </w:trPr>
        <w:tc>
          <w:tcPr>
            <w:tcW w:w="2140" w:type="dxa"/>
            <w:shd w:val="clear" w:color="auto" w:fill="8DB3E2" w:themeFill="text2" w:themeFillTint="66"/>
            <w:noWrap/>
            <w:vAlign w:val="center"/>
            <w:hideMark/>
          </w:tcPr>
          <w:p w:rsidR="0010329E" w:rsidRPr="00D85F54" w:rsidRDefault="0010329E" w:rsidP="00B46545">
            <w:pPr>
              <w:pStyle w:val="cuadroCabe"/>
            </w:pPr>
            <w:r>
              <w:t>Araua</w:t>
            </w:r>
          </w:p>
        </w:tc>
        <w:tc>
          <w:tcPr>
            <w:tcW w:w="1200" w:type="dxa"/>
            <w:shd w:val="clear" w:color="auto" w:fill="8DB3E2" w:themeFill="text2" w:themeFillTint="66"/>
            <w:noWrap/>
            <w:vAlign w:val="center"/>
            <w:hideMark/>
          </w:tcPr>
          <w:p w:rsidR="0010329E" w:rsidRPr="00D85F54" w:rsidRDefault="0010329E" w:rsidP="00B46545">
            <w:pPr>
              <w:pStyle w:val="cuadroCabe"/>
            </w:pPr>
            <w:r>
              <w:t>Data</w:t>
            </w:r>
          </w:p>
        </w:tc>
        <w:tc>
          <w:tcPr>
            <w:tcW w:w="9843" w:type="dxa"/>
            <w:shd w:val="clear" w:color="auto" w:fill="8DB3E2" w:themeFill="text2" w:themeFillTint="66"/>
            <w:noWrap/>
            <w:vAlign w:val="center"/>
            <w:hideMark/>
          </w:tcPr>
          <w:p w:rsidR="0010329E" w:rsidRPr="00D85F54" w:rsidRDefault="0010329E" w:rsidP="00B46545">
            <w:pPr>
              <w:pStyle w:val="cuadroCabe"/>
              <w:jc w:val="left"/>
            </w:pPr>
            <w:r>
              <w:t>COVID-19aren ondorioak arintzeko ohiz kanpoko neurriekin lotura duten alderdiak</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8/2020 FLD</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Abuztuaren 17a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Gaueko aisialdia, ostalaritza eta jatetxeak, alkohol kontsumoa eta elkarte gastronomikoen eta peñen jarduera</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Egoitzak diren zentro soziosanitarioak (PCR probak egitea, bisitak eta egoiliarren irteerak)</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 xml:space="preserve">Jendetza biltzen duten ekitaldi eta jarduerak </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Osasun arloa (PCR bidezko baheketak berariazko taldeetan, eta tabakoaren eta parekoen kontsumoa)</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Langileria (aparteko orduak)</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477D89" w:rsidP="003810F9">
            <w:pPr>
              <w:spacing w:after="0"/>
              <w:ind w:firstLine="0"/>
              <w:jc w:val="left"/>
              <w:rPr>
                <w:rFonts w:ascii="Arial Narrow" w:hAnsi="Arial Narrow" w:cs="Calibri"/>
                <w:color w:val="000000"/>
              </w:rPr>
            </w:pPr>
            <w:r>
              <w:rPr>
                <w:rFonts w:ascii="Arial Narrow" w:hAnsi="Arial Narrow"/>
                <w:color w:val="000000"/>
              </w:rPr>
              <w:t>35/2020 FA</w:t>
            </w:r>
          </w:p>
        </w:tc>
        <w:tc>
          <w:tcPr>
            <w:tcW w:w="1200" w:type="dxa"/>
            <w:tcBorders>
              <w:top w:val="single" w:sz="2" w:space="0" w:color="auto"/>
              <w:bottom w:val="single" w:sz="2" w:space="0" w:color="auto"/>
            </w:tcBorders>
            <w:shd w:val="clear" w:color="auto" w:fill="auto"/>
            <w:noWrap/>
            <w:vAlign w:val="center"/>
            <w:hideMark/>
          </w:tcPr>
          <w:p w:rsidR="00811A5F" w:rsidRPr="00D85F54" w:rsidRDefault="00477D89" w:rsidP="00477D89">
            <w:pPr>
              <w:spacing w:after="0"/>
              <w:ind w:firstLine="0"/>
              <w:jc w:val="left"/>
              <w:rPr>
                <w:rFonts w:ascii="Arial Narrow" w:hAnsi="Arial Narrow" w:cs="Calibri"/>
                <w:color w:val="000000"/>
              </w:rPr>
            </w:pPr>
            <w:r>
              <w:rPr>
                <w:rFonts w:ascii="Arial Narrow" w:hAnsi="Arial Narrow"/>
                <w:color w:val="000000"/>
              </w:rPr>
              <w:t>Abuztuaren 31</w:t>
            </w:r>
          </w:p>
        </w:tc>
        <w:tc>
          <w:tcPr>
            <w:tcW w:w="9843" w:type="dxa"/>
            <w:tcBorders>
              <w:top w:val="single" w:sz="2" w:space="0" w:color="auto"/>
              <w:bottom w:val="single" w:sz="2" w:space="0" w:color="auto"/>
            </w:tcBorders>
            <w:shd w:val="clear" w:color="auto" w:fill="auto"/>
            <w:noWrap/>
            <w:vAlign w:val="center"/>
            <w:hideMark/>
          </w:tcPr>
          <w:p w:rsidR="00811A5F" w:rsidRPr="00D85F54" w:rsidRDefault="00477D89" w:rsidP="002B0800">
            <w:pPr>
              <w:spacing w:after="0"/>
              <w:ind w:firstLine="0"/>
              <w:jc w:val="left"/>
              <w:rPr>
                <w:rFonts w:ascii="Arial Narrow" w:hAnsi="Arial Narrow" w:cs="Calibri"/>
                <w:color w:val="000000"/>
              </w:rPr>
            </w:pPr>
            <w:r>
              <w:rPr>
                <w:rFonts w:ascii="Arial Narrow" w:hAnsi="Arial Narrow"/>
                <w:color w:val="000000"/>
              </w:rPr>
              <w:t>Jarduketa-protokoloa 2020-2021 ikasturterako</w:t>
            </w:r>
          </w:p>
        </w:tc>
      </w:tr>
      <w:tr w:rsidR="00477D89"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477D89" w:rsidRPr="00D85F54" w:rsidRDefault="00477D89" w:rsidP="00D94FF9">
            <w:pPr>
              <w:spacing w:after="0"/>
              <w:ind w:firstLine="0"/>
              <w:jc w:val="left"/>
              <w:rPr>
                <w:rFonts w:ascii="Arial Narrow" w:hAnsi="Arial Narrow" w:cs="Calibri"/>
                <w:color w:val="000000"/>
              </w:rPr>
            </w:pPr>
            <w:r>
              <w:rPr>
                <w:rFonts w:ascii="Arial Narrow" w:hAnsi="Arial Narrow"/>
                <w:color w:val="000000"/>
              </w:rPr>
              <w:t>14/2020 FL</w:t>
            </w:r>
          </w:p>
        </w:tc>
        <w:tc>
          <w:tcPr>
            <w:tcW w:w="1200" w:type="dxa"/>
            <w:tcBorders>
              <w:top w:val="single" w:sz="2" w:space="0" w:color="auto"/>
              <w:bottom w:val="single" w:sz="2" w:space="0" w:color="auto"/>
            </w:tcBorders>
            <w:shd w:val="clear" w:color="auto" w:fill="auto"/>
            <w:noWrap/>
            <w:vAlign w:val="center"/>
            <w:hideMark/>
          </w:tcPr>
          <w:p w:rsidR="00477D89" w:rsidRPr="00D85F54" w:rsidRDefault="00477D89" w:rsidP="00D94FF9">
            <w:pPr>
              <w:spacing w:after="0"/>
              <w:ind w:firstLine="0"/>
              <w:jc w:val="left"/>
              <w:rPr>
                <w:rFonts w:ascii="Arial Narrow" w:hAnsi="Arial Narrow" w:cs="Calibri"/>
                <w:color w:val="000000"/>
              </w:rPr>
            </w:pPr>
            <w:r>
              <w:rPr>
                <w:rFonts w:ascii="Arial Narrow" w:hAnsi="Arial Narrow"/>
                <w:color w:val="000000"/>
              </w:rPr>
              <w:t>Irailaren 1a</w:t>
            </w:r>
          </w:p>
        </w:tc>
        <w:tc>
          <w:tcPr>
            <w:tcW w:w="9843" w:type="dxa"/>
            <w:tcBorders>
              <w:top w:val="single" w:sz="2" w:space="0" w:color="auto"/>
              <w:bottom w:val="single" w:sz="2" w:space="0" w:color="auto"/>
            </w:tcBorders>
            <w:shd w:val="clear" w:color="auto" w:fill="auto"/>
            <w:noWrap/>
            <w:vAlign w:val="center"/>
            <w:hideMark/>
          </w:tcPr>
          <w:p w:rsidR="00477D89" w:rsidRPr="00D85F54" w:rsidRDefault="00477D89" w:rsidP="002B0800">
            <w:pPr>
              <w:spacing w:after="0"/>
              <w:ind w:firstLine="0"/>
              <w:jc w:val="left"/>
              <w:rPr>
                <w:rFonts w:ascii="Arial Narrow" w:hAnsi="Arial Narrow" w:cs="Calibri"/>
                <w:color w:val="000000"/>
              </w:rPr>
            </w:pPr>
            <w:r>
              <w:rPr>
                <w:rFonts w:ascii="Arial Narrow" w:hAnsi="Arial Narrow"/>
                <w:color w:val="000000"/>
              </w:rPr>
              <w:t>Nafarroako irakaskuntza publikoko eta itunduko irakasleen oinarrizko lan baldintzak</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9/2020 FLD</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rPr>
            </w:pPr>
            <w:r>
              <w:rPr>
                <w:rFonts w:ascii="Arial Narrow" w:hAnsi="Arial Narrow"/>
                <w:color w:val="000000"/>
              </w:rPr>
              <w:t>Irailaren 16a</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rPr>
            </w:pPr>
            <w:r>
              <w:rPr>
                <w:rFonts w:ascii="Arial Narrow" w:hAnsi="Arial Narrow"/>
                <w:color w:val="000000"/>
              </w:rPr>
              <w:t>COVID-19 neurriak ez betetzeagatiko arau-hauste eta zehapenen araubidea, zehapen prozedura</w:t>
            </w:r>
          </w:p>
        </w:tc>
      </w:tr>
      <w:tr w:rsidR="00811A5F" w:rsidRPr="00D85F54" w:rsidTr="007C5DE1">
        <w:trPr>
          <w:trHeight w:val="300"/>
        </w:trPr>
        <w:tc>
          <w:tcPr>
            <w:tcW w:w="2140" w:type="dxa"/>
            <w:tcBorders>
              <w:top w:val="single" w:sz="2" w:space="0" w:color="auto"/>
            </w:tcBorders>
            <w:shd w:val="clear" w:color="auto" w:fill="auto"/>
            <w:noWrap/>
            <w:vAlign w:val="center"/>
          </w:tcPr>
          <w:p w:rsidR="00811A5F" w:rsidRDefault="00811A5F" w:rsidP="003810F9">
            <w:pPr>
              <w:spacing w:after="0"/>
              <w:ind w:firstLine="0"/>
              <w:jc w:val="left"/>
              <w:rPr>
                <w:rFonts w:ascii="Arial Narrow" w:hAnsi="Arial Narrow" w:cs="Calibri"/>
                <w:color w:val="000000"/>
              </w:rPr>
            </w:pPr>
            <w:r>
              <w:rPr>
                <w:rFonts w:ascii="Arial Narrow" w:hAnsi="Arial Narrow"/>
                <w:color w:val="000000"/>
              </w:rPr>
              <w:t>29/2020 ELD</w:t>
            </w:r>
          </w:p>
        </w:tc>
        <w:tc>
          <w:tcPr>
            <w:tcW w:w="1200" w:type="dxa"/>
            <w:tcBorders>
              <w:top w:val="single" w:sz="2" w:space="0" w:color="auto"/>
            </w:tcBorders>
            <w:shd w:val="clear" w:color="auto" w:fill="auto"/>
            <w:noWrap/>
            <w:vAlign w:val="center"/>
          </w:tcPr>
          <w:p w:rsidR="00811A5F" w:rsidRDefault="00811A5F" w:rsidP="003810F9">
            <w:pPr>
              <w:spacing w:after="0"/>
              <w:ind w:firstLine="0"/>
              <w:jc w:val="left"/>
              <w:rPr>
                <w:rFonts w:ascii="Arial Narrow" w:hAnsi="Arial Narrow" w:cs="Calibri"/>
                <w:color w:val="000000"/>
              </w:rPr>
            </w:pPr>
            <w:r>
              <w:rPr>
                <w:rFonts w:ascii="Arial Narrow" w:hAnsi="Arial Narrow"/>
                <w:color w:val="000000"/>
              </w:rPr>
              <w:t>Irailaren 29a</w:t>
            </w:r>
          </w:p>
        </w:tc>
        <w:tc>
          <w:tcPr>
            <w:tcW w:w="9843" w:type="dxa"/>
            <w:tcBorders>
              <w:top w:val="single" w:sz="2" w:space="0" w:color="auto"/>
            </w:tcBorders>
            <w:shd w:val="clear" w:color="auto" w:fill="auto"/>
            <w:noWrap/>
            <w:vAlign w:val="center"/>
          </w:tcPr>
          <w:p w:rsidR="00811A5F" w:rsidRDefault="00811A5F" w:rsidP="002B0800">
            <w:pPr>
              <w:spacing w:after="0"/>
              <w:ind w:firstLine="0"/>
              <w:jc w:val="left"/>
              <w:rPr>
                <w:rFonts w:ascii="Arial Narrow" w:hAnsi="Arial Narrow" w:cs="Calibri"/>
                <w:color w:val="000000"/>
              </w:rPr>
            </w:pPr>
            <w:r>
              <w:rPr>
                <w:rFonts w:ascii="Arial Narrow" w:hAnsi="Arial Narrow"/>
                <w:color w:val="000000"/>
              </w:rPr>
              <w:t>Telelanaren eta giza baliabideen arloetako presako neurriak Osasun Sistema Nazionalean</w:t>
            </w:r>
          </w:p>
        </w:tc>
      </w:tr>
      <w:bookmarkEnd w:id="44"/>
    </w:tbl>
    <w:p w:rsidR="00811A5F" w:rsidRPr="004B2F01" w:rsidRDefault="00811A5F" w:rsidP="00811A5F">
      <w:pPr>
        <w:pStyle w:val="texto"/>
        <w:ind w:firstLine="0"/>
      </w:pPr>
    </w:p>
    <w:p w:rsidR="006B548F" w:rsidRPr="004B2F01" w:rsidRDefault="006B548F" w:rsidP="007A0000">
      <w:pPr>
        <w:pStyle w:val="texto"/>
        <w:ind w:firstLine="0"/>
      </w:pPr>
    </w:p>
    <w:sectPr w:rsidR="006B548F" w:rsidRPr="004B2F01" w:rsidSect="003810F9">
      <w:footerReference w:type="default" r:id="rId18"/>
      <w:pgSz w:w="16840" w:h="11907" w:orient="landscape" w:code="9"/>
      <w:pgMar w:top="1559" w:right="2109" w:bottom="1559" w:left="1644"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C6B" w:rsidRDefault="00392C6B">
      <w:r>
        <w:separator/>
      </w:r>
    </w:p>
    <w:p w:rsidR="00392C6B" w:rsidRDefault="00392C6B"/>
    <w:p w:rsidR="00392C6B" w:rsidRDefault="00392C6B"/>
    <w:p w:rsidR="00392C6B" w:rsidRDefault="00392C6B"/>
  </w:endnote>
  <w:endnote w:type="continuationSeparator" w:id="0">
    <w:p w:rsidR="00392C6B" w:rsidRDefault="00392C6B">
      <w:r>
        <w:continuationSeparator/>
      </w:r>
    </w:p>
    <w:p w:rsidR="00392C6B" w:rsidRDefault="00392C6B"/>
    <w:p w:rsidR="00392C6B" w:rsidRDefault="00392C6B"/>
    <w:p w:rsidR="00392C6B" w:rsidRDefault="00392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463F3E">
      <w:rPr>
        <w:rStyle w:val="Nmerodepgina"/>
      </w:rPr>
      <w:fldChar w:fldCharType="separate"/>
    </w:r>
    <w:r w:rsidR="00463F3E">
      <w:rPr>
        <w:rStyle w:val="Nmerodepgina"/>
        <w:noProof/>
      </w:rPr>
      <w:t>38</w:t>
    </w:r>
    <w:r>
      <w:rPr>
        <w:rStyle w:val="Nmerodepgina"/>
      </w:rPr>
      <w:fldChar w:fldCharType="end"/>
    </w:r>
  </w:p>
  <w:p w:rsidR="00392C6B" w:rsidRDefault="00392C6B"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Pr="00F03814" w:rsidRDefault="00392C6B"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392C6B" w:rsidRPr="00F74E38" w:rsidRDefault="00392C6B"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Pr="00F03814" w:rsidRDefault="00392C6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1CE132DD" wp14:editId="06691A7C">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63F3E">
      <w:rPr>
        <w:rStyle w:val="Nmerodepgina"/>
        <w:noProof/>
        <w:szCs w:val="24"/>
      </w:rPr>
      <w:t>29</w:t>
    </w:r>
    <w:r w:rsidRPr="001D4F09">
      <w:rPr>
        <w:rStyle w:val="Nmerodepgina"/>
        <w:szCs w:val="24"/>
      </w:rPr>
      <w:fldChar w:fldCharType="end"/>
    </w:r>
    <w:r>
      <w:rPr>
        <w:rStyle w:val="Nmerodepgina"/>
        <w:szCs w:val="24"/>
      </w:rPr>
      <w:t xml:space="preserve"> -</w:t>
    </w:r>
  </w:p>
  <w:p w:rsidR="00392C6B" w:rsidRDefault="00392C6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Pr="007C5DE1" w:rsidRDefault="00392C6B" w:rsidP="007C5DE1">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Style w:val="Nmerodepgina"/>
        <w:szCs w:val="24"/>
      </w:rPr>
    </w:pPr>
    <w:r>
      <w:rPr>
        <w:rFonts w:ascii="GillSans" w:hAnsi="GillSans"/>
        <w:noProof/>
        <w:lang w:val="es-ES" w:eastAsia="es-ES"/>
      </w:rPr>
      <w:drawing>
        <wp:inline distT="0" distB="0" distL="0" distR="0" wp14:anchorId="1075FF40" wp14:editId="19CE0196">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63F3E">
      <w:rPr>
        <w:rStyle w:val="Nmerodepgina"/>
        <w:noProof/>
        <w:szCs w:val="24"/>
      </w:rPr>
      <w:t>32</w:t>
    </w:r>
    <w:r w:rsidRPr="001D4F09">
      <w:rPr>
        <w:rStyle w:val="Nmerodepgina"/>
        <w:szCs w:val="24"/>
      </w:rPr>
      <w:fldChar w:fldCharType="end"/>
    </w:r>
    <w:r>
      <w:rPr>
        <w:rStyle w:val="Nmerodepgina"/>
        <w:szCs w:val="24"/>
      </w:rPr>
      <w:t xml:space="preserve"> -</w:t>
    </w:r>
  </w:p>
  <w:p w:rsidR="00392C6B" w:rsidRDefault="00392C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Pr="007C5DE1" w:rsidRDefault="00392C6B" w:rsidP="00DA1151">
    <w:pPr>
      <w:pStyle w:val="Piedepgina"/>
      <w:tabs>
        <w:tab w:val="clear" w:pos="2835"/>
        <w:tab w:val="clear" w:pos="3969"/>
        <w:tab w:val="clear" w:pos="4252"/>
        <w:tab w:val="clear" w:pos="5103"/>
        <w:tab w:val="clear" w:pos="6237"/>
        <w:tab w:val="clear" w:pos="7371"/>
        <w:tab w:val="clear" w:pos="8504"/>
        <w:tab w:val="center" w:pos="6521"/>
      </w:tabs>
      <w:spacing w:after="0"/>
      <w:ind w:right="29"/>
      <w:jc w:val="left"/>
      <w:rPr>
        <w:rStyle w:val="Nmerodepgina"/>
        <w:szCs w:val="24"/>
      </w:rPr>
    </w:pPr>
    <w:r>
      <w:rPr>
        <w:rFonts w:ascii="GillSans" w:hAnsi="GillSans"/>
        <w:noProof/>
        <w:lang w:val="es-ES" w:eastAsia="es-ES"/>
      </w:rPr>
      <w:drawing>
        <wp:inline distT="0" distB="0" distL="0" distR="0" wp14:anchorId="095ADF2A" wp14:editId="7E300844">
          <wp:extent cx="219075" cy="371475"/>
          <wp:effectExtent l="0" t="0" r="9525" b="9525"/>
          <wp:docPr id="28" name="Imagen 2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63F3E">
      <w:rPr>
        <w:rStyle w:val="Nmerodepgina"/>
        <w:noProof/>
        <w:szCs w:val="24"/>
      </w:rPr>
      <w:t>38</w:t>
    </w:r>
    <w:r w:rsidRPr="001D4F09">
      <w:rPr>
        <w:rStyle w:val="Nmerodepgina"/>
        <w:szCs w:val="24"/>
      </w:rPr>
      <w:fldChar w:fldCharType="end"/>
    </w:r>
    <w:r>
      <w:rPr>
        <w:rStyle w:val="Nmerodepgina"/>
        <w:szCs w:val="24"/>
      </w:rPr>
      <w:t xml:space="preserve"> -</w:t>
    </w:r>
  </w:p>
  <w:p w:rsidR="00392C6B" w:rsidRDefault="00392C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C6B" w:rsidRDefault="00392C6B" w:rsidP="0049412A">
      <w:pPr>
        <w:ind w:firstLine="0"/>
      </w:pPr>
      <w:r>
        <w:separator/>
      </w:r>
    </w:p>
  </w:footnote>
  <w:footnote w:type="continuationSeparator" w:id="0">
    <w:p w:rsidR="00392C6B" w:rsidRDefault="00392C6B">
      <w:r>
        <w:continuationSeparator/>
      </w:r>
    </w:p>
    <w:p w:rsidR="00392C6B" w:rsidRDefault="00392C6B"/>
    <w:p w:rsidR="00392C6B" w:rsidRDefault="00392C6B"/>
    <w:p w:rsidR="00392C6B" w:rsidRDefault="00392C6B"/>
  </w:footnote>
  <w:footnote w:id="1">
    <w:p w:rsidR="00392C6B" w:rsidRDefault="00392C6B" w:rsidP="0049412A">
      <w:pPr>
        <w:pStyle w:val="Textonotapie"/>
        <w:ind w:firstLine="0"/>
      </w:pPr>
      <w:r>
        <w:rPr>
          <w:rStyle w:val="Refdenotaalpie"/>
        </w:rPr>
        <w:footnoteRef/>
      </w:r>
      <w:r>
        <w:t xml:space="preserve"> Aurrekontuko partida hau ez zen COVID partida gisa sailkatu, baina egiaztatu dugu inguruabar horrek er</w:t>
      </w:r>
      <w:r>
        <w:t>a</w:t>
      </w:r>
      <w:r>
        <w:t>gin zuela gastuaren zati bat; zehazki, 144.444 euro 2020ko abenduaren 31n.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rsidP="007C36BE">
    <w:pPr>
      <w:pStyle w:val="Encabezado"/>
      <w:pBdr>
        <w:bottom w:val="single" w:sz="4" w:space="1" w:color="auto"/>
      </w:pBdr>
      <w:spacing w:after="40"/>
      <w:ind w:firstLine="0"/>
      <w:jc w:val="left"/>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392C6B" w:rsidRPr="0059650E" w:rsidRDefault="00392C6B" w:rsidP="00891D73">
    <w:pPr>
      <w:pStyle w:val="Encabezado"/>
      <w:pBdr>
        <w:bottom w:val="single" w:sz="4" w:space="1" w:color="auto"/>
      </w:pBdr>
      <w:ind w:firstLine="0"/>
    </w:pPr>
    <w:r>
      <w:t>fiskalizazio-txostena: nola kudeatu duen covid-19a nafarroako foru komunitateko administrazioak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p w:rsidR="00392C6B" w:rsidRDefault="00392C6B"/>
  <w:p w:rsidR="00392C6B" w:rsidRDefault="00392C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nsid w:val="038A6561"/>
    <w:multiLevelType w:val="hybridMultilevel"/>
    <w:tmpl w:val="5DA62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74228E"/>
    <w:multiLevelType w:val="hybridMultilevel"/>
    <w:tmpl w:val="AC5A68DA"/>
    <w:lvl w:ilvl="0" w:tplc="0C0A0001">
      <w:start w:val="1"/>
      <w:numFmt w:val="bullet"/>
      <w:lvlText w:val=""/>
      <w:lvlJc w:val="left"/>
      <w:pPr>
        <w:ind w:left="1004" w:hanging="360"/>
      </w:pPr>
      <w:rPr>
        <w:rFonts w:ascii="Symbol" w:hAnsi="Symbol" w:hint="default"/>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99117F5"/>
    <w:multiLevelType w:val="hybridMultilevel"/>
    <w:tmpl w:val="9DBA5B6E"/>
    <w:lvl w:ilvl="0" w:tplc="0C0A0001">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C341D8A"/>
    <w:multiLevelType w:val="hybridMultilevel"/>
    <w:tmpl w:val="C7BCF734"/>
    <w:lvl w:ilvl="0" w:tplc="0C0A0017">
      <w:start w:val="1"/>
      <w:numFmt w:val="lowerLetter"/>
      <w:lvlText w:val="%1)"/>
      <w:lvlJc w:val="left"/>
      <w:pPr>
        <w:ind w:left="1004" w:hanging="360"/>
      </w:pPr>
      <w:rPr>
        <w:rFonts w:hint="default"/>
      </w:rPr>
    </w:lvl>
    <w:lvl w:ilvl="1" w:tplc="0C0A0017">
      <w:start w:val="1"/>
      <w:numFmt w:val="lowerLetter"/>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1E403E93"/>
    <w:multiLevelType w:val="hybridMultilevel"/>
    <w:tmpl w:val="996AE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F6353A"/>
    <w:multiLevelType w:val="hybridMultilevel"/>
    <w:tmpl w:val="E89682B4"/>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68B6F22"/>
    <w:multiLevelType w:val="hybridMultilevel"/>
    <w:tmpl w:val="83AE38DA"/>
    <w:lvl w:ilvl="0" w:tplc="89B45918">
      <w:start w:val="1"/>
      <w:numFmt w:val="bullet"/>
      <w:lvlText w:val=""/>
      <w:lvlJc w:val="left"/>
      <w:pPr>
        <w:ind w:left="1004" w:hanging="360"/>
      </w:pPr>
      <w:rPr>
        <w:rFonts w:ascii="Symbol" w:hAnsi="Symbol" w:hint="default"/>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3357516C"/>
    <w:multiLevelType w:val="hybridMultilevel"/>
    <w:tmpl w:val="41BA0B38"/>
    <w:lvl w:ilvl="0" w:tplc="424A8CB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645C11"/>
    <w:multiLevelType w:val="hybridMultilevel"/>
    <w:tmpl w:val="98F46C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43E56E2C"/>
    <w:multiLevelType w:val="hybridMultilevel"/>
    <w:tmpl w:val="B882E752"/>
    <w:lvl w:ilvl="0" w:tplc="0C0A0017">
      <w:start w:val="1"/>
      <w:numFmt w:val="lowerLetter"/>
      <w:lvlText w:val="%1)"/>
      <w:lvlJc w:val="left"/>
      <w:pPr>
        <w:ind w:left="1004" w:hanging="360"/>
      </w:pPr>
      <w:rPr>
        <w:rFonts w:hint="default"/>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47BB12E1"/>
    <w:multiLevelType w:val="hybridMultilevel"/>
    <w:tmpl w:val="7ECA962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AB0003"/>
    <w:multiLevelType w:val="hybridMultilevel"/>
    <w:tmpl w:val="7ECA962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EAB4891"/>
    <w:multiLevelType w:val="hybridMultilevel"/>
    <w:tmpl w:val="280CE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19C66C4"/>
    <w:multiLevelType w:val="hybridMultilevel"/>
    <w:tmpl w:val="72E2D60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9">
    <w:nsid w:val="6ADE110F"/>
    <w:multiLevelType w:val="hybridMultilevel"/>
    <w:tmpl w:val="3E0A98CA"/>
    <w:lvl w:ilvl="0" w:tplc="0C0A0017">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6E6E3B02"/>
    <w:multiLevelType w:val="hybridMultilevel"/>
    <w:tmpl w:val="A09AD3BE"/>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2">
    <w:nsid w:val="6FFF4D88"/>
    <w:multiLevelType w:val="hybridMultilevel"/>
    <w:tmpl w:val="55FE667A"/>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4">
    <w:nsid w:val="7F3E3184"/>
    <w:multiLevelType w:val="hybridMultilevel"/>
    <w:tmpl w:val="280CE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18"/>
  </w:num>
  <w:num w:numId="3">
    <w:abstractNumId w:val="4"/>
  </w:num>
  <w:num w:numId="4">
    <w:abstractNumId w:val="13"/>
  </w:num>
  <w:num w:numId="5">
    <w:abstractNumId w:val="20"/>
  </w:num>
  <w:num w:numId="6">
    <w:abstractNumId w:val="4"/>
  </w:num>
  <w:num w:numId="7">
    <w:abstractNumId w:val="4"/>
  </w:num>
  <w:num w:numId="8">
    <w:abstractNumId w:val="4"/>
  </w:num>
  <w:num w:numId="9">
    <w:abstractNumId w:val="1"/>
  </w:num>
  <w:num w:numId="10">
    <w:abstractNumId w:val="5"/>
  </w:num>
  <w:num w:numId="11">
    <w:abstractNumId w:val="3"/>
  </w:num>
  <w:num w:numId="12">
    <w:abstractNumId w:val="6"/>
  </w:num>
  <w:num w:numId="13">
    <w:abstractNumId w:val="10"/>
  </w:num>
  <w:num w:numId="14">
    <w:abstractNumId w:val="9"/>
  </w:num>
  <w:num w:numId="15">
    <w:abstractNumId w:val="21"/>
  </w:num>
  <w:num w:numId="16">
    <w:abstractNumId w:val="16"/>
  </w:num>
  <w:num w:numId="17">
    <w:abstractNumId w:val="15"/>
  </w:num>
  <w:num w:numId="18">
    <w:abstractNumId w:val="19"/>
  </w:num>
  <w:num w:numId="19">
    <w:abstractNumId w:val="12"/>
  </w:num>
  <w:num w:numId="20">
    <w:abstractNumId w:val="17"/>
  </w:num>
  <w:num w:numId="21">
    <w:abstractNumId w:val="2"/>
  </w:num>
  <w:num w:numId="22">
    <w:abstractNumId w:val="7"/>
  </w:num>
  <w:num w:numId="23">
    <w:abstractNumId w:val="24"/>
  </w:num>
  <w:num w:numId="24">
    <w:abstractNumId w:val="14"/>
  </w:num>
  <w:num w:numId="25">
    <w:abstractNumId w:val="11"/>
  </w:num>
  <w:num w:numId="26">
    <w:abstractNumId w:val="8"/>
  </w:num>
  <w:num w:numId="27">
    <w:abstractNumId w:val="22"/>
  </w:num>
  <w:num w:numId="28">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2E"/>
    <w:rsid w:val="000019D8"/>
    <w:rsid w:val="00006736"/>
    <w:rsid w:val="00006A97"/>
    <w:rsid w:val="0001123B"/>
    <w:rsid w:val="00012A7F"/>
    <w:rsid w:val="000170C1"/>
    <w:rsid w:val="00017A3A"/>
    <w:rsid w:val="0003572F"/>
    <w:rsid w:val="00036E42"/>
    <w:rsid w:val="0004373B"/>
    <w:rsid w:val="000448FA"/>
    <w:rsid w:val="00053A42"/>
    <w:rsid w:val="0005517D"/>
    <w:rsid w:val="0006133D"/>
    <w:rsid w:val="00063585"/>
    <w:rsid w:val="00071CD0"/>
    <w:rsid w:val="000746EA"/>
    <w:rsid w:val="00075327"/>
    <w:rsid w:val="00075692"/>
    <w:rsid w:val="00087B8D"/>
    <w:rsid w:val="00093D67"/>
    <w:rsid w:val="00093E60"/>
    <w:rsid w:val="000A18B7"/>
    <w:rsid w:val="000A2C1E"/>
    <w:rsid w:val="000A4697"/>
    <w:rsid w:val="000B2728"/>
    <w:rsid w:val="000B3943"/>
    <w:rsid w:val="000B4477"/>
    <w:rsid w:val="000C0704"/>
    <w:rsid w:val="000C2B07"/>
    <w:rsid w:val="000C39CC"/>
    <w:rsid w:val="000C7566"/>
    <w:rsid w:val="000D13D5"/>
    <w:rsid w:val="000D188E"/>
    <w:rsid w:val="000D5335"/>
    <w:rsid w:val="000E7B86"/>
    <w:rsid w:val="000F13D3"/>
    <w:rsid w:val="000F2B66"/>
    <w:rsid w:val="000F3D83"/>
    <w:rsid w:val="00100F12"/>
    <w:rsid w:val="0010329E"/>
    <w:rsid w:val="00103589"/>
    <w:rsid w:val="001045C9"/>
    <w:rsid w:val="00107CC1"/>
    <w:rsid w:val="0011162B"/>
    <w:rsid w:val="00111A92"/>
    <w:rsid w:val="001145C3"/>
    <w:rsid w:val="00115431"/>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4FEC"/>
    <w:rsid w:val="00166A6C"/>
    <w:rsid w:val="001728D0"/>
    <w:rsid w:val="00173EDD"/>
    <w:rsid w:val="0017402B"/>
    <w:rsid w:val="00181D37"/>
    <w:rsid w:val="001835B7"/>
    <w:rsid w:val="0018426B"/>
    <w:rsid w:val="00185A37"/>
    <w:rsid w:val="00194309"/>
    <w:rsid w:val="0019660E"/>
    <w:rsid w:val="001B39E2"/>
    <w:rsid w:val="001C06FE"/>
    <w:rsid w:val="001C2B26"/>
    <w:rsid w:val="001C3A32"/>
    <w:rsid w:val="001D4F09"/>
    <w:rsid w:val="001D6078"/>
    <w:rsid w:val="001D7C08"/>
    <w:rsid w:val="001F1482"/>
    <w:rsid w:val="001F20D7"/>
    <w:rsid w:val="001F4C31"/>
    <w:rsid w:val="001F7744"/>
    <w:rsid w:val="002014EB"/>
    <w:rsid w:val="00202B1A"/>
    <w:rsid w:val="00202BCF"/>
    <w:rsid w:val="002032B0"/>
    <w:rsid w:val="00204979"/>
    <w:rsid w:val="00211D69"/>
    <w:rsid w:val="002179DB"/>
    <w:rsid w:val="00227E48"/>
    <w:rsid w:val="00230577"/>
    <w:rsid w:val="0023159D"/>
    <w:rsid w:val="0023209D"/>
    <w:rsid w:val="002333F8"/>
    <w:rsid w:val="00233D79"/>
    <w:rsid w:val="00237657"/>
    <w:rsid w:val="002408EB"/>
    <w:rsid w:val="00242BA7"/>
    <w:rsid w:val="002437B5"/>
    <w:rsid w:val="00244EF1"/>
    <w:rsid w:val="00246F21"/>
    <w:rsid w:val="00253E78"/>
    <w:rsid w:val="00255780"/>
    <w:rsid w:val="00255A30"/>
    <w:rsid w:val="00262C3C"/>
    <w:rsid w:val="00264C88"/>
    <w:rsid w:val="0026532C"/>
    <w:rsid w:val="0026575D"/>
    <w:rsid w:val="002705B0"/>
    <w:rsid w:val="002717A6"/>
    <w:rsid w:val="00272015"/>
    <w:rsid w:val="00273C10"/>
    <w:rsid w:val="00274B4C"/>
    <w:rsid w:val="00276264"/>
    <w:rsid w:val="00281DCA"/>
    <w:rsid w:val="00297B04"/>
    <w:rsid w:val="002A056C"/>
    <w:rsid w:val="002A66A5"/>
    <w:rsid w:val="002A6EBB"/>
    <w:rsid w:val="002A78B6"/>
    <w:rsid w:val="002B0800"/>
    <w:rsid w:val="002B21E9"/>
    <w:rsid w:val="002B2B87"/>
    <w:rsid w:val="002B4E0F"/>
    <w:rsid w:val="002B5754"/>
    <w:rsid w:val="002C7026"/>
    <w:rsid w:val="002C7E08"/>
    <w:rsid w:val="002D089F"/>
    <w:rsid w:val="002D5635"/>
    <w:rsid w:val="002D65E8"/>
    <w:rsid w:val="002D68BD"/>
    <w:rsid w:val="002D7D32"/>
    <w:rsid w:val="002E02E5"/>
    <w:rsid w:val="002E0478"/>
    <w:rsid w:val="002E0791"/>
    <w:rsid w:val="002E118B"/>
    <w:rsid w:val="002E1B92"/>
    <w:rsid w:val="002E7B81"/>
    <w:rsid w:val="002F09FB"/>
    <w:rsid w:val="002F0FE3"/>
    <w:rsid w:val="002F1AF0"/>
    <w:rsid w:val="002F1F6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3EFB"/>
    <w:rsid w:val="00354458"/>
    <w:rsid w:val="00363653"/>
    <w:rsid w:val="0036509D"/>
    <w:rsid w:val="00366A59"/>
    <w:rsid w:val="0037228C"/>
    <w:rsid w:val="003738FD"/>
    <w:rsid w:val="00374505"/>
    <w:rsid w:val="003810BE"/>
    <w:rsid w:val="003810F9"/>
    <w:rsid w:val="00386F6C"/>
    <w:rsid w:val="00387709"/>
    <w:rsid w:val="00387794"/>
    <w:rsid w:val="00392C6B"/>
    <w:rsid w:val="00397162"/>
    <w:rsid w:val="003A335E"/>
    <w:rsid w:val="003A3C8E"/>
    <w:rsid w:val="003A3DD2"/>
    <w:rsid w:val="003A4853"/>
    <w:rsid w:val="003B3573"/>
    <w:rsid w:val="003B5813"/>
    <w:rsid w:val="003C03EA"/>
    <w:rsid w:val="003C196B"/>
    <w:rsid w:val="003C4C39"/>
    <w:rsid w:val="003C6E1D"/>
    <w:rsid w:val="003D058C"/>
    <w:rsid w:val="003D76B1"/>
    <w:rsid w:val="003E17A6"/>
    <w:rsid w:val="003E4AA5"/>
    <w:rsid w:val="003F14A4"/>
    <w:rsid w:val="003F1CEC"/>
    <w:rsid w:val="003F43BF"/>
    <w:rsid w:val="003F6BE4"/>
    <w:rsid w:val="00403CF8"/>
    <w:rsid w:val="00407459"/>
    <w:rsid w:val="00414D01"/>
    <w:rsid w:val="004170FE"/>
    <w:rsid w:val="004209E6"/>
    <w:rsid w:val="0042324B"/>
    <w:rsid w:val="004234E8"/>
    <w:rsid w:val="00426805"/>
    <w:rsid w:val="00430150"/>
    <w:rsid w:val="004302F9"/>
    <w:rsid w:val="0043229B"/>
    <w:rsid w:val="00435287"/>
    <w:rsid w:val="00440A22"/>
    <w:rsid w:val="0045550E"/>
    <w:rsid w:val="00456456"/>
    <w:rsid w:val="00462367"/>
    <w:rsid w:val="00463954"/>
    <w:rsid w:val="00463F3E"/>
    <w:rsid w:val="0046490C"/>
    <w:rsid w:val="00470287"/>
    <w:rsid w:val="00470733"/>
    <w:rsid w:val="004768F5"/>
    <w:rsid w:val="00477C53"/>
    <w:rsid w:val="00477D89"/>
    <w:rsid w:val="00485380"/>
    <w:rsid w:val="00493D87"/>
    <w:rsid w:val="0049412A"/>
    <w:rsid w:val="004950D4"/>
    <w:rsid w:val="0049629A"/>
    <w:rsid w:val="004A0506"/>
    <w:rsid w:val="004A2342"/>
    <w:rsid w:val="004A2F62"/>
    <w:rsid w:val="004A49A4"/>
    <w:rsid w:val="004B1DB8"/>
    <w:rsid w:val="004B2F01"/>
    <w:rsid w:val="004B4182"/>
    <w:rsid w:val="004B4538"/>
    <w:rsid w:val="004B6FB6"/>
    <w:rsid w:val="004C3423"/>
    <w:rsid w:val="004C571D"/>
    <w:rsid w:val="004D35A2"/>
    <w:rsid w:val="004D384F"/>
    <w:rsid w:val="004D5FD1"/>
    <w:rsid w:val="004F7C93"/>
    <w:rsid w:val="00506105"/>
    <w:rsid w:val="00513162"/>
    <w:rsid w:val="00521C3D"/>
    <w:rsid w:val="00525809"/>
    <w:rsid w:val="00535130"/>
    <w:rsid w:val="00537302"/>
    <w:rsid w:val="00555509"/>
    <w:rsid w:val="00560890"/>
    <w:rsid w:val="00561C5B"/>
    <w:rsid w:val="00564F2D"/>
    <w:rsid w:val="00566CDA"/>
    <w:rsid w:val="0056727E"/>
    <w:rsid w:val="00567BA6"/>
    <w:rsid w:val="00570033"/>
    <w:rsid w:val="00570147"/>
    <w:rsid w:val="0057307E"/>
    <w:rsid w:val="00573A4C"/>
    <w:rsid w:val="00574B79"/>
    <w:rsid w:val="00574D12"/>
    <w:rsid w:val="005778B4"/>
    <w:rsid w:val="005800B4"/>
    <w:rsid w:val="0058070B"/>
    <w:rsid w:val="0058296F"/>
    <w:rsid w:val="0059551D"/>
    <w:rsid w:val="00595E80"/>
    <w:rsid w:val="0059650E"/>
    <w:rsid w:val="00596953"/>
    <w:rsid w:val="005A518C"/>
    <w:rsid w:val="005A6030"/>
    <w:rsid w:val="005B57AD"/>
    <w:rsid w:val="005B722E"/>
    <w:rsid w:val="005C02FE"/>
    <w:rsid w:val="005C50AC"/>
    <w:rsid w:val="005C6406"/>
    <w:rsid w:val="005D69D1"/>
    <w:rsid w:val="005E210D"/>
    <w:rsid w:val="005F0440"/>
    <w:rsid w:val="005F2425"/>
    <w:rsid w:val="005F5EC7"/>
    <w:rsid w:val="005F7207"/>
    <w:rsid w:val="005F7FCF"/>
    <w:rsid w:val="00600EF7"/>
    <w:rsid w:val="00607691"/>
    <w:rsid w:val="0061062C"/>
    <w:rsid w:val="00613183"/>
    <w:rsid w:val="006133F0"/>
    <w:rsid w:val="00616888"/>
    <w:rsid w:val="006176BE"/>
    <w:rsid w:val="006212CB"/>
    <w:rsid w:val="006279F9"/>
    <w:rsid w:val="006369EE"/>
    <w:rsid w:val="0064332E"/>
    <w:rsid w:val="0064700E"/>
    <w:rsid w:val="00650183"/>
    <w:rsid w:val="00650677"/>
    <w:rsid w:val="006532FD"/>
    <w:rsid w:val="006538A3"/>
    <w:rsid w:val="006736A9"/>
    <w:rsid w:val="00673BC7"/>
    <w:rsid w:val="00674975"/>
    <w:rsid w:val="00675D39"/>
    <w:rsid w:val="00676CA2"/>
    <w:rsid w:val="006825F8"/>
    <w:rsid w:val="0068560B"/>
    <w:rsid w:val="006A1277"/>
    <w:rsid w:val="006A2602"/>
    <w:rsid w:val="006A2D41"/>
    <w:rsid w:val="006A67E1"/>
    <w:rsid w:val="006B548F"/>
    <w:rsid w:val="006C36FB"/>
    <w:rsid w:val="006C4DAC"/>
    <w:rsid w:val="006C7D62"/>
    <w:rsid w:val="006D0B23"/>
    <w:rsid w:val="006D2ED6"/>
    <w:rsid w:val="006D5685"/>
    <w:rsid w:val="006E1987"/>
    <w:rsid w:val="006E23B2"/>
    <w:rsid w:val="006E5207"/>
    <w:rsid w:val="006E625A"/>
    <w:rsid w:val="006F5C70"/>
    <w:rsid w:val="006F6A20"/>
    <w:rsid w:val="007047B2"/>
    <w:rsid w:val="00704DE7"/>
    <w:rsid w:val="00706868"/>
    <w:rsid w:val="007078B8"/>
    <w:rsid w:val="00715E32"/>
    <w:rsid w:val="007162D1"/>
    <w:rsid w:val="00716463"/>
    <w:rsid w:val="0071706E"/>
    <w:rsid w:val="00727292"/>
    <w:rsid w:val="00742F6A"/>
    <w:rsid w:val="007446E8"/>
    <w:rsid w:val="00751553"/>
    <w:rsid w:val="0075165E"/>
    <w:rsid w:val="0075167B"/>
    <w:rsid w:val="00754E10"/>
    <w:rsid w:val="00762A29"/>
    <w:rsid w:val="0076327D"/>
    <w:rsid w:val="00767745"/>
    <w:rsid w:val="007707FC"/>
    <w:rsid w:val="00770BE3"/>
    <w:rsid w:val="0077177A"/>
    <w:rsid w:val="007728A8"/>
    <w:rsid w:val="00780AC7"/>
    <w:rsid w:val="0078595C"/>
    <w:rsid w:val="00785A76"/>
    <w:rsid w:val="00787852"/>
    <w:rsid w:val="007915BC"/>
    <w:rsid w:val="007967FA"/>
    <w:rsid w:val="00797E7A"/>
    <w:rsid w:val="007A0000"/>
    <w:rsid w:val="007A0EA6"/>
    <w:rsid w:val="007A2D9E"/>
    <w:rsid w:val="007A361A"/>
    <w:rsid w:val="007A72D9"/>
    <w:rsid w:val="007B0381"/>
    <w:rsid w:val="007B0F3D"/>
    <w:rsid w:val="007B148D"/>
    <w:rsid w:val="007B18C8"/>
    <w:rsid w:val="007B28DE"/>
    <w:rsid w:val="007B47F2"/>
    <w:rsid w:val="007B7A5F"/>
    <w:rsid w:val="007C36BE"/>
    <w:rsid w:val="007C5DE1"/>
    <w:rsid w:val="007D4CA5"/>
    <w:rsid w:val="007D53ED"/>
    <w:rsid w:val="007D6001"/>
    <w:rsid w:val="007D7F94"/>
    <w:rsid w:val="007E1B76"/>
    <w:rsid w:val="007E219A"/>
    <w:rsid w:val="007E37BF"/>
    <w:rsid w:val="007E6593"/>
    <w:rsid w:val="007F1101"/>
    <w:rsid w:val="007F2CB1"/>
    <w:rsid w:val="008039BF"/>
    <w:rsid w:val="00803D20"/>
    <w:rsid w:val="008112A0"/>
    <w:rsid w:val="00811A5F"/>
    <w:rsid w:val="00811E5E"/>
    <w:rsid w:val="0081696D"/>
    <w:rsid w:val="00816E01"/>
    <w:rsid w:val="008173D0"/>
    <w:rsid w:val="008217D1"/>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5FF6"/>
    <w:rsid w:val="00846382"/>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0500"/>
    <w:rsid w:val="008A2DE8"/>
    <w:rsid w:val="008A312D"/>
    <w:rsid w:val="008A3E09"/>
    <w:rsid w:val="008A3E57"/>
    <w:rsid w:val="008A77A7"/>
    <w:rsid w:val="008B090B"/>
    <w:rsid w:val="008B3F34"/>
    <w:rsid w:val="008C56B9"/>
    <w:rsid w:val="008D05E0"/>
    <w:rsid w:val="008D2600"/>
    <w:rsid w:val="008E0AC0"/>
    <w:rsid w:val="008E221A"/>
    <w:rsid w:val="008E3FFE"/>
    <w:rsid w:val="008E60BE"/>
    <w:rsid w:val="008E6B74"/>
    <w:rsid w:val="008F0FAF"/>
    <w:rsid w:val="008F4354"/>
    <w:rsid w:val="008F46CD"/>
    <w:rsid w:val="008F6480"/>
    <w:rsid w:val="008F7740"/>
    <w:rsid w:val="00900CA2"/>
    <w:rsid w:val="00903653"/>
    <w:rsid w:val="00910A52"/>
    <w:rsid w:val="00911479"/>
    <w:rsid w:val="0091484D"/>
    <w:rsid w:val="00925E71"/>
    <w:rsid w:val="0093329F"/>
    <w:rsid w:val="00937043"/>
    <w:rsid w:val="009445D3"/>
    <w:rsid w:val="00955A8A"/>
    <w:rsid w:val="009573C3"/>
    <w:rsid w:val="0096400D"/>
    <w:rsid w:val="00966600"/>
    <w:rsid w:val="009671D9"/>
    <w:rsid w:val="00971352"/>
    <w:rsid w:val="00975E5B"/>
    <w:rsid w:val="00977C8F"/>
    <w:rsid w:val="00977F94"/>
    <w:rsid w:val="009863E9"/>
    <w:rsid w:val="009868A1"/>
    <w:rsid w:val="00992E20"/>
    <w:rsid w:val="009936FC"/>
    <w:rsid w:val="00993925"/>
    <w:rsid w:val="00993977"/>
    <w:rsid w:val="009A05D1"/>
    <w:rsid w:val="009A28AC"/>
    <w:rsid w:val="009A3A5B"/>
    <w:rsid w:val="009A3F2A"/>
    <w:rsid w:val="009B2AAC"/>
    <w:rsid w:val="009B3521"/>
    <w:rsid w:val="009B541C"/>
    <w:rsid w:val="009B70E7"/>
    <w:rsid w:val="009C08AC"/>
    <w:rsid w:val="009C4460"/>
    <w:rsid w:val="009D7192"/>
    <w:rsid w:val="009E0E38"/>
    <w:rsid w:val="009E1A35"/>
    <w:rsid w:val="009F09AA"/>
    <w:rsid w:val="009F2C16"/>
    <w:rsid w:val="009F2C1B"/>
    <w:rsid w:val="009F335C"/>
    <w:rsid w:val="009F4BED"/>
    <w:rsid w:val="00A002B5"/>
    <w:rsid w:val="00A0260C"/>
    <w:rsid w:val="00A041B5"/>
    <w:rsid w:val="00A04F8C"/>
    <w:rsid w:val="00A05158"/>
    <w:rsid w:val="00A13BF5"/>
    <w:rsid w:val="00A14837"/>
    <w:rsid w:val="00A225E3"/>
    <w:rsid w:val="00A23A26"/>
    <w:rsid w:val="00A24A8F"/>
    <w:rsid w:val="00A25708"/>
    <w:rsid w:val="00A25BF0"/>
    <w:rsid w:val="00A3026E"/>
    <w:rsid w:val="00A4576A"/>
    <w:rsid w:val="00A45AD0"/>
    <w:rsid w:val="00A45EE9"/>
    <w:rsid w:val="00A53C14"/>
    <w:rsid w:val="00A61410"/>
    <w:rsid w:val="00A6198A"/>
    <w:rsid w:val="00A65108"/>
    <w:rsid w:val="00A7067F"/>
    <w:rsid w:val="00A707A7"/>
    <w:rsid w:val="00A718FD"/>
    <w:rsid w:val="00A72341"/>
    <w:rsid w:val="00A76D1C"/>
    <w:rsid w:val="00A776ED"/>
    <w:rsid w:val="00A80E50"/>
    <w:rsid w:val="00A8137F"/>
    <w:rsid w:val="00A83663"/>
    <w:rsid w:val="00A83B0F"/>
    <w:rsid w:val="00A84216"/>
    <w:rsid w:val="00A90BFA"/>
    <w:rsid w:val="00A92BF3"/>
    <w:rsid w:val="00A943C8"/>
    <w:rsid w:val="00A950A4"/>
    <w:rsid w:val="00A9520D"/>
    <w:rsid w:val="00A95F86"/>
    <w:rsid w:val="00A9747D"/>
    <w:rsid w:val="00AA00A6"/>
    <w:rsid w:val="00AA6BA8"/>
    <w:rsid w:val="00AA7F5A"/>
    <w:rsid w:val="00AB2340"/>
    <w:rsid w:val="00AB5FE4"/>
    <w:rsid w:val="00AB659D"/>
    <w:rsid w:val="00AC02D7"/>
    <w:rsid w:val="00AC229F"/>
    <w:rsid w:val="00AD7671"/>
    <w:rsid w:val="00AE53E8"/>
    <w:rsid w:val="00AE6FE4"/>
    <w:rsid w:val="00AF2059"/>
    <w:rsid w:val="00AF3D84"/>
    <w:rsid w:val="00AF4161"/>
    <w:rsid w:val="00AF580B"/>
    <w:rsid w:val="00B007C8"/>
    <w:rsid w:val="00B12809"/>
    <w:rsid w:val="00B14410"/>
    <w:rsid w:val="00B15E61"/>
    <w:rsid w:val="00B16412"/>
    <w:rsid w:val="00B24F35"/>
    <w:rsid w:val="00B32C88"/>
    <w:rsid w:val="00B34747"/>
    <w:rsid w:val="00B42E49"/>
    <w:rsid w:val="00B46545"/>
    <w:rsid w:val="00B47D7C"/>
    <w:rsid w:val="00B50903"/>
    <w:rsid w:val="00B62FFE"/>
    <w:rsid w:val="00B65013"/>
    <w:rsid w:val="00B7123A"/>
    <w:rsid w:val="00B72BF4"/>
    <w:rsid w:val="00B7435C"/>
    <w:rsid w:val="00B75895"/>
    <w:rsid w:val="00B76F38"/>
    <w:rsid w:val="00B8085D"/>
    <w:rsid w:val="00B81EFF"/>
    <w:rsid w:val="00B82496"/>
    <w:rsid w:val="00B836BB"/>
    <w:rsid w:val="00B84122"/>
    <w:rsid w:val="00B862B0"/>
    <w:rsid w:val="00B9066C"/>
    <w:rsid w:val="00BA2B7C"/>
    <w:rsid w:val="00BA3EBC"/>
    <w:rsid w:val="00BB142A"/>
    <w:rsid w:val="00BB34B9"/>
    <w:rsid w:val="00BB35C2"/>
    <w:rsid w:val="00BB3B9E"/>
    <w:rsid w:val="00BB553B"/>
    <w:rsid w:val="00BC28D7"/>
    <w:rsid w:val="00BC376C"/>
    <w:rsid w:val="00BC6321"/>
    <w:rsid w:val="00BC7817"/>
    <w:rsid w:val="00BD3819"/>
    <w:rsid w:val="00BD642D"/>
    <w:rsid w:val="00BD6988"/>
    <w:rsid w:val="00BE1904"/>
    <w:rsid w:val="00BE1A77"/>
    <w:rsid w:val="00BE4742"/>
    <w:rsid w:val="00BE7383"/>
    <w:rsid w:val="00BE754D"/>
    <w:rsid w:val="00BF1DB9"/>
    <w:rsid w:val="00BF44E3"/>
    <w:rsid w:val="00BF6D10"/>
    <w:rsid w:val="00BF6E79"/>
    <w:rsid w:val="00C03F6C"/>
    <w:rsid w:val="00C05E95"/>
    <w:rsid w:val="00C12108"/>
    <w:rsid w:val="00C121D9"/>
    <w:rsid w:val="00C13453"/>
    <w:rsid w:val="00C16593"/>
    <w:rsid w:val="00C220F9"/>
    <w:rsid w:val="00C2541C"/>
    <w:rsid w:val="00C26862"/>
    <w:rsid w:val="00C30458"/>
    <w:rsid w:val="00C31DA6"/>
    <w:rsid w:val="00C33260"/>
    <w:rsid w:val="00C4598F"/>
    <w:rsid w:val="00C46D0D"/>
    <w:rsid w:val="00C50360"/>
    <w:rsid w:val="00C54E12"/>
    <w:rsid w:val="00C55468"/>
    <w:rsid w:val="00C6078F"/>
    <w:rsid w:val="00C622C3"/>
    <w:rsid w:val="00C63BD5"/>
    <w:rsid w:val="00C74906"/>
    <w:rsid w:val="00C81B40"/>
    <w:rsid w:val="00C81FEA"/>
    <w:rsid w:val="00C83969"/>
    <w:rsid w:val="00C86C95"/>
    <w:rsid w:val="00CA05EB"/>
    <w:rsid w:val="00CA3515"/>
    <w:rsid w:val="00CA3A05"/>
    <w:rsid w:val="00CB14E9"/>
    <w:rsid w:val="00CB6D90"/>
    <w:rsid w:val="00CB72C3"/>
    <w:rsid w:val="00CC15C0"/>
    <w:rsid w:val="00CC45E4"/>
    <w:rsid w:val="00CD019F"/>
    <w:rsid w:val="00CD27C5"/>
    <w:rsid w:val="00CE4169"/>
    <w:rsid w:val="00CE7894"/>
    <w:rsid w:val="00CF06A1"/>
    <w:rsid w:val="00CF1467"/>
    <w:rsid w:val="00CF48D6"/>
    <w:rsid w:val="00CF57D6"/>
    <w:rsid w:val="00CF6C1B"/>
    <w:rsid w:val="00D019D5"/>
    <w:rsid w:val="00D040FE"/>
    <w:rsid w:val="00D168FD"/>
    <w:rsid w:val="00D16F64"/>
    <w:rsid w:val="00D2472C"/>
    <w:rsid w:val="00D279BA"/>
    <w:rsid w:val="00D404B5"/>
    <w:rsid w:val="00D42621"/>
    <w:rsid w:val="00D4406D"/>
    <w:rsid w:val="00D447CB"/>
    <w:rsid w:val="00D47D16"/>
    <w:rsid w:val="00D505F4"/>
    <w:rsid w:val="00D51CE1"/>
    <w:rsid w:val="00D562F2"/>
    <w:rsid w:val="00D61B93"/>
    <w:rsid w:val="00D67E4A"/>
    <w:rsid w:val="00D7181A"/>
    <w:rsid w:val="00D7219A"/>
    <w:rsid w:val="00D75D86"/>
    <w:rsid w:val="00D763FD"/>
    <w:rsid w:val="00D90AD1"/>
    <w:rsid w:val="00D941F7"/>
    <w:rsid w:val="00D94FF9"/>
    <w:rsid w:val="00DA1151"/>
    <w:rsid w:val="00DA4DDF"/>
    <w:rsid w:val="00DB0804"/>
    <w:rsid w:val="00DB2D91"/>
    <w:rsid w:val="00DB2FC4"/>
    <w:rsid w:val="00DB4241"/>
    <w:rsid w:val="00DC382A"/>
    <w:rsid w:val="00DC7281"/>
    <w:rsid w:val="00DE1923"/>
    <w:rsid w:val="00DE2B33"/>
    <w:rsid w:val="00DE638B"/>
    <w:rsid w:val="00DE72EE"/>
    <w:rsid w:val="00DF3538"/>
    <w:rsid w:val="00DF37E5"/>
    <w:rsid w:val="00E034FE"/>
    <w:rsid w:val="00E041E5"/>
    <w:rsid w:val="00E04888"/>
    <w:rsid w:val="00E0763B"/>
    <w:rsid w:val="00E10302"/>
    <w:rsid w:val="00E12CFE"/>
    <w:rsid w:val="00E17EC5"/>
    <w:rsid w:val="00E26BFD"/>
    <w:rsid w:val="00E27E90"/>
    <w:rsid w:val="00E33D02"/>
    <w:rsid w:val="00E34F2C"/>
    <w:rsid w:val="00E35D79"/>
    <w:rsid w:val="00E36872"/>
    <w:rsid w:val="00E417F4"/>
    <w:rsid w:val="00E4641E"/>
    <w:rsid w:val="00E51697"/>
    <w:rsid w:val="00E519AE"/>
    <w:rsid w:val="00E52D81"/>
    <w:rsid w:val="00E57AF7"/>
    <w:rsid w:val="00E6241B"/>
    <w:rsid w:val="00E64FCC"/>
    <w:rsid w:val="00E70168"/>
    <w:rsid w:val="00E703B6"/>
    <w:rsid w:val="00E72200"/>
    <w:rsid w:val="00E72B1B"/>
    <w:rsid w:val="00E75D47"/>
    <w:rsid w:val="00E766F5"/>
    <w:rsid w:val="00E77652"/>
    <w:rsid w:val="00E77D71"/>
    <w:rsid w:val="00E82948"/>
    <w:rsid w:val="00E90218"/>
    <w:rsid w:val="00E913BB"/>
    <w:rsid w:val="00E95F2E"/>
    <w:rsid w:val="00EA1508"/>
    <w:rsid w:val="00EA1541"/>
    <w:rsid w:val="00EA32E4"/>
    <w:rsid w:val="00EA45FC"/>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2512"/>
    <w:rsid w:val="00F1390C"/>
    <w:rsid w:val="00F14D98"/>
    <w:rsid w:val="00F158AE"/>
    <w:rsid w:val="00F17591"/>
    <w:rsid w:val="00F20C5E"/>
    <w:rsid w:val="00F36A1D"/>
    <w:rsid w:val="00F44278"/>
    <w:rsid w:val="00F51B65"/>
    <w:rsid w:val="00F52AAB"/>
    <w:rsid w:val="00F52EB6"/>
    <w:rsid w:val="00F55260"/>
    <w:rsid w:val="00F6316B"/>
    <w:rsid w:val="00F65AE0"/>
    <w:rsid w:val="00F74E38"/>
    <w:rsid w:val="00F76D6F"/>
    <w:rsid w:val="00F778B0"/>
    <w:rsid w:val="00F83BC2"/>
    <w:rsid w:val="00F92EC1"/>
    <w:rsid w:val="00F94C47"/>
    <w:rsid w:val="00FA0421"/>
    <w:rsid w:val="00FA3389"/>
    <w:rsid w:val="00FA3476"/>
    <w:rsid w:val="00FA495F"/>
    <w:rsid w:val="00FB0C10"/>
    <w:rsid w:val="00FB2599"/>
    <w:rsid w:val="00FB3C36"/>
    <w:rsid w:val="00FB4280"/>
    <w:rsid w:val="00FB7CCE"/>
    <w:rsid w:val="00FC01C8"/>
    <w:rsid w:val="00FC5027"/>
    <w:rsid w:val="00FC50C7"/>
    <w:rsid w:val="00FC511D"/>
    <w:rsid w:val="00FC68BC"/>
    <w:rsid w:val="00FD11D4"/>
    <w:rsid w:val="00FD225D"/>
    <w:rsid w:val="00FD2384"/>
    <w:rsid w:val="00FE452E"/>
    <w:rsid w:val="00FF3111"/>
    <w:rsid w:val="00FF3E46"/>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6C4DAC"/>
    <w:rPr>
      <w:rFonts w:ascii="Arial" w:hAnsi="Arial"/>
      <w:b/>
      <w:color w:val="000000"/>
      <w:kern w:val="28"/>
      <w:sz w:val="25"/>
      <w:szCs w:val="26"/>
      <w:lang w:val="eu-ES" w:eastAsia="en-US"/>
    </w:rPr>
  </w:style>
  <w:style w:type="character" w:customStyle="1" w:styleId="atitulo2Car">
    <w:name w:val="atitulo2 Car"/>
    <w:link w:val="atitulo2"/>
    <w:locked/>
    <w:rsid w:val="006C4DAC"/>
    <w:rPr>
      <w:rFonts w:ascii="Arial" w:hAnsi="Arial"/>
      <w:bCs/>
      <w:iCs/>
      <w:color w:val="000000"/>
      <w:spacing w:val="10"/>
      <w:kern w:val="28"/>
      <w:sz w:val="25"/>
      <w:szCs w:val="26"/>
      <w:lang w:val="eu-ES" w:eastAsia="en-US"/>
    </w:rPr>
  </w:style>
  <w:style w:type="paragraph" w:styleId="Textonotapie">
    <w:name w:val="footnote text"/>
    <w:basedOn w:val="Normal"/>
    <w:link w:val="TextonotapieCar"/>
    <w:unhideWhenUsed/>
    <w:rsid w:val="0049412A"/>
    <w:pPr>
      <w:spacing w:after="0"/>
    </w:pPr>
  </w:style>
  <w:style w:type="character" w:customStyle="1" w:styleId="TextonotapieCar">
    <w:name w:val="Texto nota pie Car"/>
    <w:basedOn w:val="Fuentedeprrafopredeter"/>
    <w:link w:val="Textonotapie"/>
    <w:rsid w:val="0049412A"/>
    <w:rPr>
      <w:lang w:val="eu-ES" w:eastAsia="en-US"/>
    </w:rPr>
  </w:style>
  <w:style w:type="character" w:styleId="Refdenotaalpie">
    <w:name w:val="footnote reference"/>
    <w:basedOn w:val="Fuentedeprrafopredeter"/>
    <w:unhideWhenUsed/>
    <w:rsid w:val="0049412A"/>
    <w:rPr>
      <w:vertAlign w:val="superscript"/>
    </w:rPr>
  </w:style>
  <w:style w:type="paragraph" w:styleId="NormalWeb">
    <w:name w:val="Normal (Web)"/>
    <w:basedOn w:val="Normal"/>
    <w:uiPriority w:val="99"/>
    <w:unhideWhenUsed/>
    <w:rsid w:val="00676CA2"/>
    <w:pPr>
      <w:spacing w:before="100" w:beforeAutospacing="1" w:after="100" w:afterAutospacing="1"/>
      <w:ind w:firstLine="0"/>
      <w:jc w:val="left"/>
    </w:pPr>
    <w:rPr>
      <w:rFonts w:eastAsiaTheme="minorEastAsia"/>
      <w:sz w:val="24"/>
      <w:szCs w:val="24"/>
      <w:lang w:eastAsia="es-ES"/>
    </w:rPr>
  </w:style>
  <w:style w:type="paragraph" w:styleId="Prrafodelista">
    <w:name w:val="List Paragraph"/>
    <w:basedOn w:val="Normal"/>
    <w:uiPriority w:val="34"/>
    <w:qFormat/>
    <w:rsid w:val="00676CA2"/>
    <w:pPr>
      <w:ind w:left="720"/>
      <w:contextualSpacing/>
    </w:pPr>
  </w:style>
  <w:style w:type="character" w:customStyle="1" w:styleId="PiedepginaCar">
    <w:name w:val="Pie de página Car"/>
    <w:basedOn w:val="Fuentedeprrafopredeter"/>
    <w:link w:val="Piedepgina"/>
    <w:uiPriority w:val="99"/>
    <w:rsid w:val="00676CA2"/>
    <w:rPr>
      <w:spacing w:val="6"/>
      <w:lang w:val="eu-ES" w:eastAsia="en-US"/>
    </w:rPr>
  </w:style>
  <w:style w:type="numbering" w:customStyle="1" w:styleId="Sinlista1">
    <w:name w:val="Sin lista1"/>
    <w:next w:val="Sinlista"/>
    <w:uiPriority w:val="99"/>
    <w:semiHidden/>
    <w:unhideWhenUsed/>
    <w:rsid w:val="00676CA2"/>
  </w:style>
  <w:style w:type="character" w:customStyle="1" w:styleId="TextodegloboCar">
    <w:name w:val="Texto de globo Car"/>
    <w:basedOn w:val="Fuentedeprrafopredeter"/>
    <w:link w:val="Textodeglobo"/>
    <w:uiPriority w:val="99"/>
    <w:semiHidden/>
    <w:rsid w:val="00676CA2"/>
    <w:rPr>
      <w:rFonts w:ascii="Tahoma" w:hAnsi="Tahoma" w:cs="Tahoma"/>
      <w:sz w:val="16"/>
      <w:szCs w:val="16"/>
      <w:lang w:val="eu-ES" w:eastAsia="en-US"/>
    </w:rPr>
  </w:style>
  <w:style w:type="character" w:customStyle="1" w:styleId="atitulo3Car">
    <w:name w:val="atitulo3 Car"/>
    <w:link w:val="atitulo3"/>
    <w:rsid w:val="00676CA2"/>
    <w:rPr>
      <w:rFonts w:ascii="Arial" w:hAnsi="Arial"/>
      <w:i/>
      <w:iCs/>
      <w:color w:val="000000"/>
      <w:spacing w:val="10"/>
      <w:kern w:val="28"/>
      <w:sz w:val="25"/>
      <w:szCs w:val="26"/>
      <w:lang w:val="eu-ES" w:eastAsia="en-US"/>
    </w:rPr>
  </w:style>
  <w:style w:type="paragraph" w:customStyle="1" w:styleId="xl1">
    <w:name w:val="xl1"/>
    <w:basedOn w:val="Normal"/>
    <w:rsid w:val="00676CA2"/>
    <w:pPr>
      <w:spacing w:before="100" w:beforeAutospacing="1" w:after="100" w:afterAutospacing="1"/>
      <w:ind w:firstLine="0"/>
      <w:jc w:val="left"/>
    </w:pPr>
    <w:rPr>
      <w:sz w:val="24"/>
      <w:szCs w:val="24"/>
      <w:lang w:eastAsia="es-ES"/>
    </w:rPr>
  </w:style>
  <w:style w:type="paragraph" w:customStyle="1" w:styleId="xl2">
    <w:name w:val="xl2"/>
    <w:basedOn w:val="Normal"/>
    <w:rsid w:val="00676CA2"/>
    <w:pPr>
      <w:spacing w:before="100" w:beforeAutospacing="1" w:after="100" w:afterAutospacing="1"/>
      <w:ind w:firstLine="0"/>
      <w:jc w:val="left"/>
    </w:pPr>
    <w:rPr>
      <w:sz w:val="24"/>
      <w:szCs w:val="24"/>
      <w:lang w:eastAsia="es-ES"/>
    </w:rPr>
  </w:style>
  <w:style w:type="paragraph" w:styleId="Revisin">
    <w:name w:val="Revision"/>
    <w:hidden/>
    <w:uiPriority w:val="99"/>
    <w:semiHidden/>
    <w:rsid w:val="00676CA2"/>
    <w:rPr>
      <w:lang w:eastAsia="en-US"/>
    </w:rPr>
  </w:style>
  <w:style w:type="character" w:styleId="Textoennegrita">
    <w:name w:val="Strong"/>
    <w:basedOn w:val="Fuentedeprrafopredeter"/>
    <w:uiPriority w:val="22"/>
    <w:qFormat/>
    <w:rsid w:val="00676CA2"/>
    <w:rPr>
      <w:b/>
      <w:bCs/>
    </w:rPr>
  </w:style>
  <w:style w:type="paragraph" w:customStyle="1" w:styleId="Default">
    <w:name w:val="Default"/>
    <w:rsid w:val="00676CA2"/>
    <w:pPr>
      <w:autoSpaceDE w:val="0"/>
      <w:autoSpaceDN w:val="0"/>
      <w:adjustRightInd w:val="0"/>
    </w:pPr>
    <w:rPr>
      <w:rFonts w:ascii="Arial" w:hAnsi="Arial" w:cs="Arial"/>
      <w:color w:val="000000"/>
      <w:sz w:val="24"/>
      <w:szCs w:val="24"/>
    </w:rPr>
  </w:style>
  <w:style w:type="paragraph" w:styleId="TtulodeTDC">
    <w:name w:val="TOC Heading"/>
    <w:basedOn w:val="Ttulo1"/>
    <w:next w:val="Normal"/>
    <w:uiPriority w:val="39"/>
    <w:unhideWhenUsed/>
    <w:qFormat/>
    <w:rsid w:val="00D4406D"/>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6C4DAC"/>
    <w:rPr>
      <w:rFonts w:ascii="Arial" w:hAnsi="Arial"/>
      <w:b/>
      <w:color w:val="000000"/>
      <w:kern w:val="28"/>
      <w:sz w:val="25"/>
      <w:szCs w:val="26"/>
      <w:lang w:val="eu-ES" w:eastAsia="en-US"/>
    </w:rPr>
  </w:style>
  <w:style w:type="character" w:customStyle="1" w:styleId="atitulo2Car">
    <w:name w:val="atitulo2 Car"/>
    <w:link w:val="atitulo2"/>
    <w:locked/>
    <w:rsid w:val="006C4DAC"/>
    <w:rPr>
      <w:rFonts w:ascii="Arial" w:hAnsi="Arial"/>
      <w:bCs/>
      <w:iCs/>
      <w:color w:val="000000"/>
      <w:spacing w:val="10"/>
      <w:kern w:val="28"/>
      <w:sz w:val="25"/>
      <w:szCs w:val="26"/>
      <w:lang w:val="eu-ES" w:eastAsia="en-US"/>
    </w:rPr>
  </w:style>
  <w:style w:type="paragraph" w:styleId="Textonotapie">
    <w:name w:val="footnote text"/>
    <w:basedOn w:val="Normal"/>
    <w:link w:val="TextonotapieCar"/>
    <w:unhideWhenUsed/>
    <w:rsid w:val="0049412A"/>
    <w:pPr>
      <w:spacing w:after="0"/>
    </w:pPr>
  </w:style>
  <w:style w:type="character" w:customStyle="1" w:styleId="TextonotapieCar">
    <w:name w:val="Texto nota pie Car"/>
    <w:basedOn w:val="Fuentedeprrafopredeter"/>
    <w:link w:val="Textonotapie"/>
    <w:rsid w:val="0049412A"/>
    <w:rPr>
      <w:lang w:val="eu-ES" w:eastAsia="en-US"/>
    </w:rPr>
  </w:style>
  <w:style w:type="character" w:styleId="Refdenotaalpie">
    <w:name w:val="footnote reference"/>
    <w:basedOn w:val="Fuentedeprrafopredeter"/>
    <w:unhideWhenUsed/>
    <w:rsid w:val="0049412A"/>
    <w:rPr>
      <w:vertAlign w:val="superscript"/>
    </w:rPr>
  </w:style>
  <w:style w:type="paragraph" w:styleId="NormalWeb">
    <w:name w:val="Normal (Web)"/>
    <w:basedOn w:val="Normal"/>
    <w:uiPriority w:val="99"/>
    <w:unhideWhenUsed/>
    <w:rsid w:val="00676CA2"/>
    <w:pPr>
      <w:spacing w:before="100" w:beforeAutospacing="1" w:after="100" w:afterAutospacing="1"/>
      <w:ind w:firstLine="0"/>
      <w:jc w:val="left"/>
    </w:pPr>
    <w:rPr>
      <w:rFonts w:eastAsiaTheme="minorEastAsia"/>
      <w:sz w:val="24"/>
      <w:szCs w:val="24"/>
      <w:lang w:eastAsia="es-ES"/>
    </w:rPr>
  </w:style>
  <w:style w:type="paragraph" w:styleId="Prrafodelista">
    <w:name w:val="List Paragraph"/>
    <w:basedOn w:val="Normal"/>
    <w:uiPriority w:val="34"/>
    <w:qFormat/>
    <w:rsid w:val="00676CA2"/>
    <w:pPr>
      <w:ind w:left="720"/>
      <w:contextualSpacing/>
    </w:pPr>
  </w:style>
  <w:style w:type="character" w:customStyle="1" w:styleId="PiedepginaCar">
    <w:name w:val="Pie de página Car"/>
    <w:basedOn w:val="Fuentedeprrafopredeter"/>
    <w:link w:val="Piedepgina"/>
    <w:uiPriority w:val="99"/>
    <w:rsid w:val="00676CA2"/>
    <w:rPr>
      <w:spacing w:val="6"/>
      <w:lang w:val="eu-ES" w:eastAsia="en-US"/>
    </w:rPr>
  </w:style>
  <w:style w:type="numbering" w:customStyle="1" w:styleId="Sinlista1">
    <w:name w:val="Sin lista1"/>
    <w:next w:val="Sinlista"/>
    <w:uiPriority w:val="99"/>
    <w:semiHidden/>
    <w:unhideWhenUsed/>
    <w:rsid w:val="00676CA2"/>
  </w:style>
  <w:style w:type="character" w:customStyle="1" w:styleId="TextodegloboCar">
    <w:name w:val="Texto de globo Car"/>
    <w:basedOn w:val="Fuentedeprrafopredeter"/>
    <w:link w:val="Textodeglobo"/>
    <w:uiPriority w:val="99"/>
    <w:semiHidden/>
    <w:rsid w:val="00676CA2"/>
    <w:rPr>
      <w:rFonts w:ascii="Tahoma" w:hAnsi="Tahoma" w:cs="Tahoma"/>
      <w:sz w:val="16"/>
      <w:szCs w:val="16"/>
      <w:lang w:val="eu-ES" w:eastAsia="en-US"/>
    </w:rPr>
  </w:style>
  <w:style w:type="character" w:customStyle="1" w:styleId="atitulo3Car">
    <w:name w:val="atitulo3 Car"/>
    <w:link w:val="atitulo3"/>
    <w:rsid w:val="00676CA2"/>
    <w:rPr>
      <w:rFonts w:ascii="Arial" w:hAnsi="Arial"/>
      <w:i/>
      <w:iCs/>
      <w:color w:val="000000"/>
      <w:spacing w:val="10"/>
      <w:kern w:val="28"/>
      <w:sz w:val="25"/>
      <w:szCs w:val="26"/>
      <w:lang w:val="eu-ES" w:eastAsia="en-US"/>
    </w:rPr>
  </w:style>
  <w:style w:type="paragraph" w:customStyle="1" w:styleId="xl1">
    <w:name w:val="xl1"/>
    <w:basedOn w:val="Normal"/>
    <w:rsid w:val="00676CA2"/>
    <w:pPr>
      <w:spacing w:before="100" w:beforeAutospacing="1" w:after="100" w:afterAutospacing="1"/>
      <w:ind w:firstLine="0"/>
      <w:jc w:val="left"/>
    </w:pPr>
    <w:rPr>
      <w:sz w:val="24"/>
      <w:szCs w:val="24"/>
      <w:lang w:eastAsia="es-ES"/>
    </w:rPr>
  </w:style>
  <w:style w:type="paragraph" w:customStyle="1" w:styleId="xl2">
    <w:name w:val="xl2"/>
    <w:basedOn w:val="Normal"/>
    <w:rsid w:val="00676CA2"/>
    <w:pPr>
      <w:spacing w:before="100" w:beforeAutospacing="1" w:after="100" w:afterAutospacing="1"/>
      <w:ind w:firstLine="0"/>
      <w:jc w:val="left"/>
    </w:pPr>
    <w:rPr>
      <w:sz w:val="24"/>
      <w:szCs w:val="24"/>
      <w:lang w:eastAsia="es-ES"/>
    </w:rPr>
  </w:style>
  <w:style w:type="paragraph" w:styleId="Revisin">
    <w:name w:val="Revision"/>
    <w:hidden/>
    <w:uiPriority w:val="99"/>
    <w:semiHidden/>
    <w:rsid w:val="00676CA2"/>
    <w:rPr>
      <w:lang w:eastAsia="en-US"/>
    </w:rPr>
  </w:style>
  <w:style w:type="character" w:styleId="Textoennegrita">
    <w:name w:val="Strong"/>
    <w:basedOn w:val="Fuentedeprrafopredeter"/>
    <w:uiPriority w:val="22"/>
    <w:qFormat/>
    <w:rsid w:val="00676CA2"/>
    <w:rPr>
      <w:b/>
      <w:bCs/>
    </w:rPr>
  </w:style>
  <w:style w:type="paragraph" w:customStyle="1" w:styleId="Default">
    <w:name w:val="Default"/>
    <w:rsid w:val="00676CA2"/>
    <w:pPr>
      <w:autoSpaceDE w:val="0"/>
      <w:autoSpaceDN w:val="0"/>
      <w:adjustRightInd w:val="0"/>
    </w:pPr>
    <w:rPr>
      <w:rFonts w:ascii="Arial" w:hAnsi="Arial" w:cs="Arial"/>
      <w:color w:val="000000"/>
      <w:sz w:val="24"/>
      <w:szCs w:val="24"/>
    </w:rPr>
  </w:style>
  <w:style w:type="paragraph" w:styleId="TtulodeTDC">
    <w:name w:val="TOC Heading"/>
    <w:basedOn w:val="Ttulo1"/>
    <w:next w:val="Normal"/>
    <w:uiPriority w:val="39"/>
    <w:unhideWhenUsed/>
    <w:qFormat/>
    <w:rsid w:val="00D4406D"/>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845-445D-9F86-28882527BA8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845-445D-9F86-28882527BA8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845-445D-9F86-28882527BA8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845-445D-9F86-28882527BA8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845-445D-9F86-28882527BA8F}"/>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845-445D-9F86-28882527BA8F}"/>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845-445D-9F86-28882527BA8F}"/>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845-445D-9F86-28882527BA8F}"/>
              </c:ext>
            </c:extLst>
          </c:dPt>
          <c:dLbls>
            <c:dLbl>
              <c:idx val="0"/>
              <c:layout>
                <c:manualLayout>
                  <c:x val="0.34261105466655378"/>
                  <c:y val="8.5729677585051275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5845-445D-9F86-28882527BA8F}"/>
                </c:ext>
              </c:extLst>
            </c:dLbl>
            <c:dLbl>
              <c:idx val="1"/>
              <c:layout>
                <c:manualLayout>
                  <c:x val="0.12834910253153839"/>
                  <c:y val="0.16143830768170681"/>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5845-445D-9F86-28882527BA8F}"/>
                </c:ext>
              </c:extLst>
            </c:dLbl>
            <c:dLbl>
              <c:idx val="2"/>
              <c:layout>
                <c:manualLayout>
                  <c:x val="4.7933727034120736E-2"/>
                  <c:y val="7.9670660433500864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r>
                      <a:rPr lang="en-US" baseline="0"/>
                      <a:t>Educación; </a:t>
                    </a:r>
                    <a:fld id="{2F095451-1021-4BC0-AAC2-3133F3D15691}" type="VALUE">
                      <a:rPr lang="en-US" baseline="0"/>
                      <a:pPr>
                        <a:defRPr sz="1200" b="0" i="0" u="none" strike="noStrike" kern="1200" baseline="0">
                          <a:solidFill>
                            <a:schemeClr val="tx1">
                              <a:lumMod val="75000"/>
                              <a:lumOff val="25000"/>
                            </a:schemeClr>
                          </a:solidFill>
                          <a:latin typeface="+mn-lt"/>
                          <a:ea typeface="+mn-ea"/>
                          <a:cs typeface="+mn-cs"/>
                        </a:defRPr>
                      </a:pPr>
                      <a:t>[VALOR]</a:t>
                    </a:fld>
                    <a:endParaRPr lang="en-US" baseline="0"/>
                  </a:p>
                </c:rich>
              </c:tx>
              <c:spPr>
                <a:noFill/>
                <a:ln>
                  <a:noFill/>
                </a:ln>
                <a:effectLst/>
              </c:spPr>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5845-445D-9F86-28882527BA8F}"/>
                </c:ext>
              </c:extLst>
            </c:dLbl>
            <c:dLbl>
              <c:idx val="3"/>
              <c:layout>
                <c:manualLayout>
                  <c:x val="0.14698885925549629"/>
                  <c:y val="-0.22073021003639462"/>
                </c:manualLayout>
              </c:layout>
              <c:tx>
                <c:rich>
                  <a:bodyPr/>
                  <a:lstStyle/>
                  <a:p>
                    <a:fld id="{44658877-112A-4866-BECE-0623628BFA38}" type="CATEGORYNAME">
                      <a:rPr lang="en-US" sz="1200"/>
                      <a:pPr/>
                      <a:t>[NOMBRE DE CATEGORÍA]</a:t>
                    </a:fld>
                    <a:r>
                      <a:rPr lang="en-US" baseline="0"/>
                      <a:t>; </a:t>
                    </a:r>
                    <a:fld id="{1E0BDF25-38D4-438A-80E6-D531466817B5}" type="VALUE">
                      <a:rPr lang="en-US" sz="1200" baseline="0"/>
                      <a:pPr/>
                      <a:t>[VALOR]</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5845-445D-9F86-28882527BA8F}"/>
                </c:ext>
              </c:extLst>
            </c:dLbl>
            <c:dLbl>
              <c:idx val="4"/>
              <c:layout>
                <c:manualLayout>
                  <c:x val="9.0988626421697281E-3"/>
                  <c:y val="0.15534047827354913"/>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5845-445D-9F86-28882527BA8F}"/>
                </c:ext>
              </c:extLst>
            </c:dLbl>
            <c:dLbl>
              <c:idx val="5"/>
              <c:layout>
                <c:manualLayout>
                  <c:x val="-4.6269730900572917E-2"/>
                  <c:y val="2.6882108486439196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4891361866057066"/>
                      <c:h val="0.11877486077963405"/>
                    </c:manualLayout>
                  </c15:layout>
                </c:ext>
                <c:ext xmlns:c16="http://schemas.microsoft.com/office/drawing/2014/chart" uri="{C3380CC4-5D6E-409C-BE32-E72D297353CC}">
                  <c16:uniqueId val="{0000000B-5845-445D-9F86-28882527BA8F}"/>
                </c:ext>
              </c:extLst>
            </c:dLbl>
            <c:dLbl>
              <c:idx val="6"/>
              <c:layout>
                <c:manualLayout>
                  <c:x val="3.5658573928258969E-2"/>
                  <c:y val="-2.3163823272090989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fld id="{3B576016-6350-4219-B247-26CA029D8016}" type="CATEGORYNAME">
                      <a:rPr lang="en-US" sz="1100"/>
                      <a:pPr>
                        <a:defRPr sz="1100" b="0" i="0" u="none" strike="noStrike" kern="1200" baseline="0">
                          <a:solidFill>
                            <a:schemeClr val="tx1">
                              <a:lumMod val="75000"/>
                              <a:lumOff val="25000"/>
                            </a:schemeClr>
                          </a:solidFill>
                          <a:latin typeface="+mn-lt"/>
                          <a:ea typeface="+mn-ea"/>
                          <a:cs typeface="+mn-cs"/>
                        </a:defRPr>
                      </a:pPr>
                      <a:t>[NOMBRE DE CATEGORÍA]</a:t>
                    </a:fld>
                    <a:r>
                      <a:rPr lang="en-US" sz="1100" baseline="0"/>
                      <a:t>; 2%</a:t>
                    </a:r>
                  </a:p>
                </c:rich>
              </c:tx>
              <c:spPr>
                <a:noFill/>
                <a:ln>
                  <a:noFill/>
                </a:ln>
                <a:effectLst/>
              </c:sp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D-5845-445D-9F86-28882527BA8F}"/>
                </c:ext>
              </c:extLst>
            </c:dLbl>
            <c:dLbl>
              <c:idx val="7"/>
              <c:layout>
                <c:manualLayout>
                  <c:x val="0.25557764654418197"/>
                  <c:y val="1.0921799912625601E-3"/>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5845-445D-9F86-28882527BA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Hoja1!$A$1:$A$8</c:f>
              <c:strCache>
                <c:ptCount val="8"/>
                <c:pt idx="0">
                  <c:v>Economía y Hacienda</c:v>
                </c:pt>
                <c:pt idx="1">
                  <c:v>Cohesión Territorial</c:v>
                </c:pt>
                <c:pt idx="2">
                  <c:v>Educación </c:v>
                </c:pt>
                <c:pt idx="3">
                  <c:v>Salud</c:v>
                </c:pt>
                <c:pt idx="4">
                  <c:v>Desarrollo Económico y Empresarial</c:v>
                </c:pt>
                <c:pt idx="5">
                  <c:v>Derechos Sociales</c:v>
                </c:pt>
                <c:pt idx="6">
                  <c:v>Otros</c:v>
                </c:pt>
                <c:pt idx="7">
                  <c:v>Univ., Innovación y Transf. Digital</c:v>
                </c:pt>
              </c:strCache>
            </c:strRef>
          </c:cat>
          <c:val>
            <c:numRef>
              <c:f>Hoja1!$B$1:$B$8</c:f>
              <c:numCache>
                <c:formatCode>0%</c:formatCode>
                <c:ptCount val="8"/>
                <c:pt idx="0">
                  <c:v>3.9954195236812748E-2</c:v>
                </c:pt>
                <c:pt idx="1">
                  <c:v>0.11727716801993142</c:v>
                </c:pt>
                <c:pt idx="2">
                  <c:v>8.1180340710363313E-2</c:v>
                </c:pt>
                <c:pt idx="3">
                  <c:v>0.44748351294160482</c:v>
                </c:pt>
                <c:pt idx="4">
                  <c:v>0.18909108415812434</c:v>
                </c:pt>
                <c:pt idx="5">
                  <c:v>7.6855785897876852E-2</c:v>
                </c:pt>
                <c:pt idx="6">
                  <c:v>0.03</c:v>
                </c:pt>
                <c:pt idx="7">
                  <c:v>1.9953166317374229E-2</c:v>
                </c:pt>
              </c:numCache>
            </c:numRef>
          </c:val>
          <c:extLst xmlns:c16r2="http://schemas.microsoft.com/office/drawing/2015/06/chart">
            <c:ext xmlns:c16="http://schemas.microsoft.com/office/drawing/2014/chart" uri="{C3380CC4-5D6E-409C-BE32-E72D297353CC}">
              <c16:uniqueId val="{00000010-5845-445D-9F86-28882527BA8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CF86-B145-434F-96E4-407DC27F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10351</Words>
  <Characters>56935</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Iñaki De Santiago</cp:lastModifiedBy>
  <cp:revision>2</cp:revision>
  <cp:lastPrinted>2021-04-15T09:48:00Z</cp:lastPrinted>
  <dcterms:created xsi:type="dcterms:W3CDTF">2021-04-29T09:43:00Z</dcterms:created>
  <dcterms:modified xsi:type="dcterms:W3CDTF">2021-04-29T09:43:00Z</dcterms:modified>
</cp:coreProperties>
</file>