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3D7" w:rsidRDefault="00F713D7" w:rsidP="00901293">
      <w:pPr>
        <w:pStyle w:val="Textoindependiente"/>
        <w:spacing w:after="0" w:line="360" w:lineRule="auto"/>
        <w:rPr>
          <w:rFonts w:cs="Arial"/>
          <w:sz w:val="16"/>
          <w:szCs w:val="16"/>
        </w:rPr>
      </w:pPr>
      <w:r>
        <w:rPr>
          <w:sz w:val="16"/>
          <w:szCs w:val="16"/>
        </w:rPr>
        <w:t>Maiatzak 21</w:t>
      </w:r>
    </w:p>
    <w:p w:rsidR="00F713D7" w:rsidRDefault="009573E3" w:rsidP="00E44044">
      <w:pPr>
        <w:pStyle w:val="Textoindependiente"/>
        <w:spacing w:after="0" w:line="360" w:lineRule="auto"/>
        <w:rPr>
          <w:rFonts w:cs="Arial"/>
          <w:sz w:val="22"/>
          <w:szCs w:val="22"/>
        </w:rPr>
      </w:pPr>
      <w:r>
        <w:t xml:space="preserve">EH Bildu Nafarroa talde parlamentarioari atxikitako foru parlamentari </w:t>
      </w:r>
      <w:bookmarkStart w:id="0" w:name="Listadesplegable5"/>
      <w:r>
        <w:t xml:space="preserve">Adolfo Araiz </w:t>
      </w:r>
      <w:proofErr w:type="spellStart"/>
      <w:r>
        <w:t>Flamarique</w:t>
      </w:r>
      <w:proofErr w:type="spellEnd"/>
      <w:r>
        <w:t xml:space="preserve"> jaunak</w:t>
      </w:r>
      <w:r>
        <w:rPr>
          <w:sz w:val="22"/>
          <w:szCs w:val="22"/>
        </w:rPr>
        <w:t xml:space="preserve"> </w:t>
      </w:r>
      <w:bookmarkEnd w:id="0"/>
      <w:r>
        <w:rPr>
          <w:sz w:val="22"/>
          <w:szCs w:val="22"/>
        </w:rPr>
        <w:t>idatziz erantzuteko galdera egin du “</w:t>
      </w:r>
      <w:proofErr w:type="spellStart"/>
      <w:r>
        <w:rPr>
          <w:sz w:val="22"/>
          <w:szCs w:val="22"/>
        </w:rPr>
        <w:t>Ega-Urederra</w:t>
      </w:r>
      <w:proofErr w:type="spellEnd"/>
      <w:r>
        <w:rPr>
          <w:sz w:val="22"/>
          <w:szCs w:val="22"/>
        </w:rPr>
        <w:t xml:space="preserve"> ibaiak” izeneko Batasunaren Garrantzizko Lekuko Kontserbazio Bereziko Eremuaren (KBE) kudeaketa-gastuei buruz</w:t>
      </w:r>
      <w:r>
        <w:t xml:space="preserve"> (10-21-PES-00158). Hori dela eta, hona hemen Landa Garapeneko eta Ingurumeneko kontseilariaren erantzuna:</w:t>
      </w:r>
    </w:p>
    <w:p w:rsidR="00F713D7" w:rsidRDefault="004D209E" w:rsidP="004D209E">
      <w:pPr>
        <w:pStyle w:val="Textoindependiente"/>
        <w:spacing w:after="0" w:line="360" w:lineRule="auto"/>
        <w:rPr>
          <w:rFonts w:cs="Arial"/>
          <w:b/>
          <w:sz w:val="22"/>
          <w:szCs w:val="22"/>
        </w:rPr>
      </w:pPr>
      <w:r>
        <w:rPr>
          <w:b/>
          <w:sz w:val="22"/>
          <w:szCs w:val="22"/>
        </w:rPr>
        <w:t>1. Martxoaren 8ko 16/2017 Foru Dekretua onetsi denetik zein dira Landa Garapeneko eta Ingurumeneko Departamentuak edo Gobernuaren gainerako departamentuek ekipamenduak eta kudeaketaren egitura mantentzera urtero bideratu dituzten zenbatekoak?</w:t>
      </w:r>
    </w:p>
    <w:p w:rsidR="00F713D7" w:rsidRDefault="004D209E" w:rsidP="004D209E">
      <w:pPr>
        <w:pStyle w:val="Textoindependiente"/>
        <w:spacing w:after="0" w:line="360" w:lineRule="auto"/>
        <w:rPr>
          <w:rFonts w:cs="Arial"/>
          <w:sz w:val="22"/>
          <w:szCs w:val="22"/>
        </w:rPr>
      </w:pPr>
      <w:r>
        <w:rPr>
          <w:sz w:val="22"/>
          <w:szCs w:val="22"/>
        </w:rPr>
        <w:t>Gaur egun, ez dago ekipamendu espezifikorik, eta kudeaketa-gastuak Landa Garapeneko eta Ingurumeneko Departamentuaren bitartekoekin eta Nafarroako Gobernuaren beste baliabide batzuekin ordaintzen dira.</w:t>
      </w:r>
    </w:p>
    <w:p w:rsidR="00F713D7" w:rsidRDefault="004D209E" w:rsidP="004D209E">
      <w:pPr>
        <w:pStyle w:val="Textoindependiente"/>
        <w:spacing w:after="0" w:line="360" w:lineRule="auto"/>
        <w:rPr>
          <w:rFonts w:cs="Arial"/>
          <w:b/>
          <w:sz w:val="22"/>
          <w:szCs w:val="22"/>
        </w:rPr>
      </w:pPr>
      <w:r>
        <w:rPr>
          <w:b/>
          <w:sz w:val="22"/>
          <w:szCs w:val="22"/>
        </w:rPr>
        <w:t>2. Martxoaren 8ko 16/2017 Foru Dekretua onetsi denetik zein kalte-ordaini egin behar izan die aurre Landa Garapeneko eta Ingurumeneko Departamentuak kudeaketa planean jasotako erabilerak eta jarduerak mugatzearen ondorioz?</w:t>
      </w:r>
    </w:p>
    <w:p w:rsidR="00F713D7" w:rsidRDefault="004D209E" w:rsidP="004D209E">
      <w:pPr>
        <w:pStyle w:val="Textoindependiente"/>
        <w:spacing w:after="0" w:line="360" w:lineRule="auto"/>
        <w:rPr>
          <w:rFonts w:cs="Arial"/>
          <w:sz w:val="22"/>
          <w:szCs w:val="22"/>
        </w:rPr>
      </w:pPr>
      <w:r>
        <w:rPr>
          <w:sz w:val="22"/>
          <w:szCs w:val="22"/>
        </w:rPr>
        <w:t>Orain arte ez da mugarik egon erabilerei eta jarduerei dagokienez, eta, beraz, ez da kalte-ordainik ordaindu.</w:t>
      </w:r>
    </w:p>
    <w:p w:rsidR="00F713D7" w:rsidRDefault="004D209E" w:rsidP="004D209E">
      <w:pPr>
        <w:pStyle w:val="Textoindependiente"/>
        <w:spacing w:after="0" w:line="360" w:lineRule="auto"/>
        <w:rPr>
          <w:rFonts w:cs="Arial"/>
          <w:b/>
          <w:sz w:val="22"/>
          <w:szCs w:val="22"/>
        </w:rPr>
      </w:pPr>
      <w:r>
        <w:rPr>
          <w:b/>
          <w:sz w:val="22"/>
          <w:szCs w:val="22"/>
        </w:rPr>
        <w:t>3. Martxoaren 8ko 16/2017 Foru Dekretua onetsi denetik zein dira Landa Garapeneko eta Ingurumeneko Departamentuak edo Gobernuaren gainerako departamentuek gunearen kontserbazio egoera ona bermatzen duten mantentze eta lehengoratze proiektuak gauzatzera urtero bideratu dituzten zenbatekoak?</w:t>
      </w:r>
    </w:p>
    <w:p w:rsidR="00F713D7" w:rsidRDefault="004D209E" w:rsidP="004D209E">
      <w:pPr>
        <w:pStyle w:val="Textoindependiente"/>
        <w:spacing w:after="0" w:line="360" w:lineRule="auto"/>
        <w:rPr>
          <w:rFonts w:cs="Arial"/>
          <w:b/>
          <w:sz w:val="22"/>
          <w:szCs w:val="22"/>
        </w:rPr>
      </w:pPr>
      <w:r>
        <w:rPr>
          <w:b/>
          <w:sz w:val="22"/>
          <w:szCs w:val="22"/>
        </w:rPr>
        <w:t>4. Martxoaren 8ko 16/2017 Foru Dekretua onetsi denetik zein dira Landa Garapeneko eta Ingurumeneko Departamentuak edo Gobernuaren gainerako departamentuek KBE horren kudeaketa plana gauzatzera eta haren helburuak betetzera urtero bideratu dituzten zenbatekoak, aurrekontuko partidez gain?</w:t>
      </w:r>
    </w:p>
    <w:p w:rsidR="00F713D7" w:rsidRDefault="004D209E" w:rsidP="004D209E">
      <w:pPr>
        <w:pStyle w:val="Textoindependiente"/>
        <w:spacing w:after="0" w:line="360" w:lineRule="auto"/>
        <w:rPr>
          <w:rFonts w:cs="Arial"/>
          <w:sz w:val="22"/>
          <w:szCs w:val="22"/>
        </w:rPr>
      </w:pPr>
      <w:r>
        <w:rPr>
          <w:sz w:val="22"/>
          <w:szCs w:val="22"/>
        </w:rPr>
        <w:t>Jarraian, 3. eta 4. galderei batera erantzunen diegu:</w:t>
      </w:r>
    </w:p>
    <w:p w:rsidR="00F713D7" w:rsidRDefault="004D209E" w:rsidP="004D209E">
      <w:pPr>
        <w:pStyle w:val="Textoindependiente"/>
        <w:spacing w:after="0" w:line="360" w:lineRule="auto"/>
        <w:rPr>
          <w:rFonts w:cs="Arial"/>
          <w:sz w:val="22"/>
          <w:szCs w:val="22"/>
        </w:rPr>
      </w:pPr>
      <w:r>
        <w:rPr>
          <w:sz w:val="22"/>
          <w:szCs w:val="22"/>
        </w:rPr>
        <w:t xml:space="preserve">Landa Garapeneko eta Ingurumeneko Departamentuak eta Nafarroako Gobernuko beste departamentu batzuek, </w:t>
      </w:r>
      <w:proofErr w:type="spellStart"/>
      <w:r>
        <w:rPr>
          <w:sz w:val="22"/>
          <w:szCs w:val="22"/>
        </w:rPr>
        <w:t>Ega-Urederra</w:t>
      </w:r>
      <w:proofErr w:type="spellEnd"/>
      <w:r>
        <w:rPr>
          <w:sz w:val="22"/>
          <w:szCs w:val="22"/>
        </w:rPr>
        <w:t xml:space="preserve"> ibaiak </w:t>
      </w:r>
      <w:proofErr w:type="spellStart"/>
      <w:r>
        <w:rPr>
          <w:sz w:val="22"/>
          <w:szCs w:val="22"/>
        </w:rPr>
        <w:t>KBEa</w:t>
      </w:r>
      <w:proofErr w:type="spellEnd"/>
      <w:r>
        <w:rPr>
          <w:sz w:val="22"/>
          <w:szCs w:val="22"/>
        </w:rPr>
        <w:t xml:space="preserve"> kudeatzeko planari dagokionez, guztira 35 neurri edo jarduketa gauzatu behar dituzte 12 urteko indarraldirako (2029an amaituko litzateke), arauetan epe hori ezarri baitzen. Jarraian, erabat edo partzialki gauzatu direnak azalduko ditugu.</w:t>
      </w:r>
    </w:p>
    <w:p w:rsidR="00F713D7" w:rsidRDefault="004D209E" w:rsidP="004D209E">
      <w:pPr>
        <w:pStyle w:val="Textoindependiente"/>
        <w:spacing w:after="0" w:line="360" w:lineRule="auto"/>
        <w:rPr>
          <w:rFonts w:cs="Arial"/>
          <w:sz w:val="22"/>
          <w:szCs w:val="22"/>
        </w:rPr>
      </w:pPr>
      <w:r>
        <w:rPr>
          <w:sz w:val="22"/>
          <w:szCs w:val="22"/>
        </w:rPr>
        <w:t>Toki horren kudeaketa-plana onetsi aurretik egindako ekintzak sartzen dira, kudeaketa-plana eragin zuten oinarri teknikoak prestatzean egindakoak, espazioaren funtsezko helburu eta elementuei dagozkienak.</w:t>
      </w:r>
    </w:p>
    <w:p w:rsidR="00F713D7" w:rsidRDefault="004D209E" w:rsidP="004D209E">
      <w:pPr>
        <w:pStyle w:val="Textoindependiente"/>
        <w:spacing w:after="0" w:line="360" w:lineRule="auto"/>
        <w:rPr>
          <w:rFonts w:cs="Arial"/>
          <w:sz w:val="22"/>
          <w:szCs w:val="22"/>
        </w:rPr>
      </w:pPr>
      <w:r>
        <w:rPr>
          <w:sz w:val="22"/>
          <w:szCs w:val="22"/>
        </w:rPr>
        <w:lastRenderedPageBreak/>
        <w:t>Jasotako kostuetan ez da zehazten jarduketak gauzatzera bideratutako baliabide propioen zenbatekoa. Nafarroa osorako horizontalki garatzen diren ekintza batzuetarako, ezin izan dugu bereizi leku horri dagokion zatia; beraz, guztizko kostuaren datuak emanen ditugu.</w:t>
      </w:r>
    </w:p>
    <w:p w:rsidR="004D209E" w:rsidRPr="004D209E" w:rsidRDefault="004D209E" w:rsidP="004D209E">
      <w:pPr>
        <w:jc w:val="both"/>
        <w:rPr>
          <w:rFonts w:ascii="Arial" w:hAnsi="Arial" w:cs="Arial"/>
          <w:sz w:val="24"/>
          <w:szCs w:val="24"/>
        </w:rPr>
      </w:pPr>
    </w:p>
    <w:tbl>
      <w:tblPr>
        <w:tblStyle w:val="Tablaconcuadrcula1"/>
        <w:tblW w:w="0" w:type="auto"/>
        <w:jc w:val="center"/>
        <w:tblInd w:w="-405" w:type="dxa"/>
        <w:tblLook w:val="04A0" w:firstRow="1" w:lastRow="0" w:firstColumn="1" w:lastColumn="0" w:noHBand="0" w:noVBand="1"/>
      </w:tblPr>
      <w:tblGrid>
        <w:gridCol w:w="1420"/>
        <w:gridCol w:w="2335"/>
        <w:gridCol w:w="1806"/>
        <w:gridCol w:w="1771"/>
        <w:gridCol w:w="1793"/>
      </w:tblGrid>
      <w:tr w:rsidR="004D209E" w:rsidRPr="00267B92" w:rsidTr="00267B92">
        <w:trPr>
          <w:trHeight w:val="20"/>
          <w:tblHeader/>
          <w:jc w:val="center"/>
        </w:trPr>
        <w:tc>
          <w:tcPr>
            <w:tcW w:w="1420"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b/>
                <w:sz w:val="18"/>
                <w:szCs w:val="18"/>
              </w:rPr>
            </w:pPr>
            <w:r w:rsidRPr="00267B92">
              <w:rPr>
                <w:rFonts w:asciiTheme="minorHAnsi" w:hAnsiTheme="minorHAnsi"/>
                <w:b/>
                <w:sz w:val="18"/>
                <w:szCs w:val="18"/>
              </w:rPr>
              <w:t>Foru Dekretuko neurriaren kodea</w:t>
            </w:r>
          </w:p>
        </w:tc>
        <w:tc>
          <w:tcPr>
            <w:tcW w:w="2335"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b/>
                <w:sz w:val="18"/>
                <w:szCs w:val="18"/>
              </w:rPr>
            </w:pPr>
            <w:r w:rsidRPr="00267B92">
              <w:rPr>
                <w:rFonts w:asciiTheme="minorHAnsi" w:hAnsiTheme="minorHAnsi"/>
                <w:b/>
                <w:sz w:val="18"/>
                <w:szCs w:val="18"/>
              </w:rPr>
              <w:t>EKINTZAREN AZALPENA</w:t>
            </w: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b/>
                <w:sz w:val="18"/>
                <w:szCs w:val="18"/>
              </w:rPr>
            </w:pPr>
            <w:r w:rsidRPr="00267B92">
              <w:rPr>
                <w:rFonts w:asciiTheme="minorHAnsi" w:hAnsiTheme="minorHAnsi"/>
                <w:b/>
                <w:sz w:val="18"/>
                <w:szCs w:val="18"/>
              </w:rPr>
              <w:t>GAUZATZE-ALDIA</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b/>
                <w:sz w:val="18"/>
                <w:szCs w:val="18"/>
              </w:rPr>
            </w:pPr>
            <w:r w:rsidRPr="00267B92">
              <w:rPr>
                <w:rFonts w:asciiTheme="minorHAnsi" w:hAnsiTheme="minorHAnsi"/>
                <w:b/>
                <w:sz w:val="18"/>
                <w:szCs w:val="18"/>
              </w:rPr>
              <w:t>GAUZATZEAREN GASTUA (euroak, BEZa barne)</w:t>
            </w:r>
          </w:p>
        </w:tc>
        <w:tc>
          <w:tcPr>
            <w:tcW w:w="1793"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b/>
                <w:sz w:val="18"/>
                <w:szCs w:val="18"/>
              </w:rPr>
            </w:pPr>
            <w:r w:rsidRPr="00267B92">
              <w:rPr>
                <w:rFonts w:asciiTheme="minorHAnsi" w:hAnsiTheme="minorHAnsi"/>
                <w:b/>
                <w:sz w:val="18"/>
                <w:szCs w:val="18"/>
              </w:rPr>
              <w:t>FINANTZAKETA-ITURRIA</w:t>
            </w:r>
          </w:p>
        </w:tc>
      </w:tr>
      <w:tr w:rsidR="004D209E" w:rsidRPr="00267B92" w:rsidTr="00267B92">
        <w:trPr>
          <w:trHeight w:val="20"/>
          <w:jc w:val="center"/>
        </w:trPr>
        <w:tc>
          <w:tcPr>
            <w:tcW w:w="1420"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1.1.</w:t>
            </w:r>
          </w:p>
        </w:tc>
        <w:tc>
          <w:tcPr>
            <w:tcW w:w="2335" w:type="dxa"/>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rPr>
            </w:pPr>
            <w:r w:rsidRPr="00267B92">
              <w:rPr>
                <w:rFonts w:asciiTheme="minorHAnsi" w:hAnsiTheme="minorHAnsi"/>
                <w:sz w:val="18"/>
                <w:szCs w:val="18"/>
              </w:rPr>
              <w:t>Landaredi naturaleko zerrendarik gabeko eremuetan edo eremu andeatuetan dauden ibai bazterrak lehengoratzeko proiektuak erredaktatu eta gauzatzea.</w:t>
            </w: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2009</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150.000,00 €</w:t>
            </w:r>
          </w:p>
        </w:tc>
        <w:tc>
          <w:tcPr>
            <w:tcW w:w="1793"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 xml:space="preserve">Nafarroako Gobernua eta “La </w:t>
            </w:r>
            <w:proofErr w:type="spellStart"/>
            <w:r w:rsidRPr="00267B92">
              <w:rPr>
                <w:rFonts w:asciiTheme="minorHAnsi" w:hAnsiTheme="minorHAnsi"/>
                <w:sz w:val="18"/>
                <w:szCs w:val="18"/>
              </w:rPr>
              <w:t>Caixa</w:t>
            </w:r>
            <w:proofErr w:type="spellEnd"/>
            <w:r w:rsidRPr="00267B92">
              <w:rPr>
                <w:rFonts w:asciiTheme="minorHAnsi" w:hAnsiTheme="minorHAnsi"/>
                <w:sz w:val="18"/>
                <w:szCs w:val="18"/>
              </w:rPr>
              <w:t>” GIZARTE EKINTZA</w:t>
            </w:r>
          </w:p>
        </w:tc>
      </w:tr>
      <w:tr w:rsidR="004D209E" w:rsidRPr="00267B92" w:rsidTr="00267B92">
        <w:trPr>
          <w:trHeight w:val="20"/>
          <w:jc w:val="center"/>
        </w:trPr>
        <w:tc>
          <w:tcPr>
            <w:tcW w:w="1420" w:type="dxa"/>
            <w:vMerge w:val="restart"/>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1.4.-1.5</w:t>
            </w:r>
          </w:p>
        </w:tc>
        <w:tc>
          <w:tcPr>
            <w:tcW w:w="2335" w:type="dxa"/>
            <w:vMerge w:val="restart"/>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rPr>
            </w:pPr>
            <w:r w:rsidRPr="00267B92">
              <w:rPr>
                <w:rFonts w:asciiTheme="minorHAnsi" w:hAnsiTheme="minorHAnsi"/>
                <w:sz w:val="18"/>
                <w:szCs w:val="18"/>
              </w:rPr>
              <w:t xml:space="preserve">Defentsa azpiegiturak (lubetak eta harri-lubetak) kendu </w:t>
            </w:r>
            <w:proofErr w:type="spellStart"/>
            <w:r w:rsidRPr="00267B92">
              <w:rPr>
                <w:rFonts w:asciiTheme="minorHAnsi" w:hAnsiTheme="minorHAnsi"/>
                <w:sz w:val="18"/>
                <w:szCs w:val="18"/>
              </w:rPr>
              <w:t>eta/edo</w:t>
            </w:r>
            <w:proofErr w:type="spellEnd"/>
            <w:r w:rsidRPr="00267B92">
              <w:rPr>
                <w:rFonts w:asciiTheme="minorHAnsi" w:hAnsiTheme="minorHAnsi"/>
                <w:sz w:val="18"/>
                <w:szCs w:val="18"/>
              </w:rPr>
              <w:t xml:space="preserve"> atzeratzeko proiektuak prestatu eta gauzatzea. </w:t>
            </w:r>
          </w:p>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rPr>
            </w:pPr>
            <w:r w:rsidRPr="00267B92">
              <w:rPr>
                <w:rFonts w:asciiTheme="minorHAnsi" w:hAnsiTheme="minorHAnsi"/>
                <w:sz w:val="18"/>
                <w:szCs w:val="18"/>
              </w:rPr>
              <w:t xml:space="preserve">Dauden presa guztien kontzesioen egoera ebaluatzea, gainditu ezineko oztopoak </w:t>
            </w:r>
            <w:proofErr w:type="spellStart"/>
            <w:r w:rsidRPr="00267B92">
              <w:rPr>
                <w:rFonts w:asciiTheme="minorHAnsi" w:hAnsiTheme="minorHAnsi"/>
                <w:sz w:val="18"/>
                <w:szCs w:val="18"/>
              </w:rPr>
              <w:t>iragazkortzea</w:t>
            </w:r>
            <w:proofErr w:type="spellEnd"/>
            <w:r w:rsidRPr="00267B92">
              <w:rPr>
                <w:rFonts w:asciiTheme="minorHAnsi" w:hAnsiTheme="minorHAnsi"/>
                <w:sz w:val="18"/>
                <w:szCs w:val="18"/>
              </w:rPr>
              <w:t xml:space="preserve"> eta eraisteko aukera ebaluatzea.</w:t>
            </w: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2008</w:t>
            </w:r>
          </w:p>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117.000,00 €</w:t>
            </w:r>
          </w:p>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c>
          <w:tcPr>
            <w:tcW w:w="1793"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 xml:space="preserve">“La </w:t>
            </w:r>
            <w:proofErr w:type="spellStart"/>
            <w:r w:rsidRPr="00267B92">
              <w:rPr>
                <w:rFonts w:asciiTheme="minorHAnsi" w:hAnsiTheme="minorHAnsi"/>
                <w:sz w:val="18"/>
                <w:szCs w:val="18"/>
              </w:rPr>
              <w:t>Caixa</w:t>
            </w:r>
            <w:proofErr w:type="spellEnd"/>
            <w:r w:rsidRPr="00267B92">
              <w:rPr>
                <w:rFonts w:asciiTheme="minorHAnsi" w:hAnsiTheme="minorHAnsi"/>
                <w:sz w:val="18"/>
                <w:szCs w:val="18"/>
              </w:rPr>
              <w:t>” GIZARTE EKINTZA</w:t>
            </w:r>
          </w:p>
        </w:tc>
      </w:tr>
      <w:tr w:rsidR="004D209E" w:rsidRPr="00267B92" w:rsidTr="00267B92">
        <w:trPr>
          <w:trHeight w:val="20"/>
          <w:jc w:val="center"/>
        </w:trPr>
        <w:tc>
          <w:tcPr>
            <w:tcW w:w="1420"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c>
          <w:tcPr>
            <w:tcW w:w="2335" w:type="dxa"/>
            <w:vMerge/>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lang w:val="es-ES_tradnl"/>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highlight w:val="yellow"/>
              </w:rPr>
            </w:pPr>
            <w:r w:rsidRPr="00267B92">
              <w:rPr>
                <w:rFonts w:asciiTheme="minorHAnsi" w:hAnsiTheme="minorHAnsi"/>
                <w:sz w:val="18"/>
                <w:szCs w:val="18"/>
              </w:rPr>
              <w:t>2010</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highlight w:val="yellow"/>
              </w:rPr>
            </w:pPr>
            <w:r w:rsidRPr="00267B92">
              <w:rPr>
                <w:rFonts w:asciiTheme="minorHAnsi" w:hAnsiTheme="minorHAnsi"/>
                <w:sz w:val="18"/>
                <w:szCs w:val="18"/>
              </w:rPr>
              <w:t>30.259,37 €</w:t>
            </w:r>
          </w:p>
        </w:tc>
        <w:tc>
          <w:tcPr>
            <w:tcW w:w="1793" w:type="dxa"/>
            <w:vMerge w:val="restart"/>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Nafarroako Gobernua</w:t>
            </w:r>
          </w:p>
        </w:tc>
      </w:tr>
      <w:tr w:rsidR="004D209E" w:rsidRPr="00267B92" w:rsidTr="00267B92">
        <w:trPr>
          <w:trHeight w:val="20"/>
          <w:jc w:val="center"/>
        </w:trPr>
        <w:tc>
          <w:tcPr>
            <w:tcW w:w="1420"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highlight w:val="cyan"/>
                <w:lang w:val="es-ES_tradnl"/>
              </w:rPr>
            </w:pPr>
          </w:p>
        </w:tc>
        <w:tc>
          <w:tcPr>
            <w:tcW w:w="2335" w:type="dxa"/>
            <w:vMerge/>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lang w:val="es-ES_tradnl"/>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2013</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64.750,37 €</w:t>
            </w:r>
          </w:p>
        </w:tc>
        <w:tc>
          <w:tcPr>
            <w:tcW w:w="1793"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r>
      <w:tr w:rsidR="004D209E" w:rsidRPr="00267B92" w:rsidTr="00267B92">
        <w:trPr>
          <w:trHeight w:val="20"/>
          <w:jc w:val="center"/>
        </w:trPr>
        <w:tc>
          <w:tcPr>
            <w:tcW w:w="1420"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highlight w:val="cyan"/>
                <w:lang w:val="es-ES_tradnl"/>
              </w:rPr>
            </w:pPr>
          </w:p>
        </w:tc>
        <w:tc>
          <w:tcPr>
            <w:tcW w:w="2335" w:type="dxa"/>
            <w:vMerge/>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lang w:val="es-ES_tradnl"/>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2015</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110.943,59 €</w:t>
            </w:r>
          </w:p>
        </w:tc>
        <w:tc>
          <w:tcPr>
            <w:tcW w:w="1793"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r>
      <w:tr w:rsidR="004D209E" w:rsidRPr="00267B92" w:rsidTr="00267B92">
        <w:trPr>
          <w:trHeight w:val="20"/>
          <w:jc w:val="center"/>
        </w:trPr>
        <w:tc>
          <w:tcPr>
            <w:tcW w:w="1420"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highlight w:val="cyan"/>
                <w:lang w:val="es-ES_tradnl"/>
              </w:rPr>
            </w:pPr>
          </w:p>
        </w:tc>
        <w:tc>
          <w:tcPr>
            <w:tcW w:w="2335" w:type="dxa"/>
            <w:vMerge/>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lang w:val="es-ES_tradnl"/>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2016</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7.260,00 €</w:t>
            </w:r>
          </w:p>
        </w:tc>
        <w:tc>
          <w:tcPr>
            <w:tcW w:w="1793"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r>
      <w:tr w:rsidR="004D209E" w:rsidRPr="00267B92" w:rsidTr="00267B92">
        <w:trPr>
          <w:trHeight w:val="20"/>
          <w:jc w:val="center"/>
        </w:trPr>
        <w:tc>
          <w:tcPr>
            <w:tcW w:w="1420"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1.7.</w:t>
            </w:r>
          </w:p>
        </w:tc>
        <w:tc>
          <w:tcPr>
            <w:tcW w:w="2335" w:type="dxa"/>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rPr>
            </w:pPr>
            <w:r w:rsidRPr="00267B92">
              <w:rPr>
                <w:rFonts w:asciiTheme="minorHAnsi" w:hAnsiTheme="minorHAnsi"/>
                <w:sz w:val="18"/>
                <w:szCs w:val="18"/>
              </w:rPr>
              <w:t xml:space="preserve">Ebroko Ur Konfederazioari jakinaraztea </w:t>
            </w:r>
            <w:proofErr w:type="spellStart"/>
            <w:r w:rsidRPr="00267B92">
              <w:rPr>
                <w:rFonts w:asciiTheme="minorHAnsi" w:hAnsiTheme="minorHAnsi"/>
                <w:sz w:val="18"/>
                <w:szCs w:val="18"/>
              </w:rPr>
              <w:t>iktiofaunaren</w:t>
            </w:r>
            <w:proofErr w:type="spellEnd"/>
            <w:r w:rsidRPr="00267B92">
              <w:rPr>
                <w:rFonts w:asciiTheme="minorHAnsi" w:hAnsiTheme="minorHAnsi"/>
                <w:sz w:val="18"/>
                <w:szCs w:val="18"/>
              </w:rPr>
              <w:t xml:space="preserve"> eskakizunez gain, ibaietako habitaten eskakizunak ere kontuan har ditzan emari ekologikoak edo ingurumenekoak zehazterakoan, haien kontserbazioa bermatzeko. </w:t>
            </w: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2020</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Baliabide propioak</w:t>
            </w:r>
          </w:p>
        </w:tc>
        <w:tc>
          <w:tcPr>
            <w:tcW w:w="1793"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Nafarroako Gobernua</w:t>
            </w:r>
          </w:p>
        </w:tc>
      </w:tr>
      <w:tr w:rsidR="004D209E" w:rsidRPr="00267B92" w:rsidTr="00267B92">
        <w:trPr>
          <w:trHeight w:val="20"/>
          <w:jc w:val="center"/>
        </w:trPr>
        <w:tc>
          <w:tcPr>
            <w:tcW w:w="1420"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2.1.</w:t>
            </w:r>
          </w:p>
        </w:tc>
        <w:tc>
          <w:tcPr>
            <w:tcW w:w="2335" w:type="dxa"/>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rPr>
            </w:pPr>
            <w:r w:rsidRPr="00267B92">
              <w:rPr>
                <w:rFonts w:asciiTheme="minorHAnsi" w:hAnsiTheme="minorHAnsi"/>
                <w:sz w:val="18"/>
                <w:szCs w:val="18"/>
              </w:rPr>
              <w:t xml:space="preserve">Lekuaren mugaketa berrian sartutako habitaten eremu berrien inbentarioa eta kartografia egitea. </w:t>
            </w: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2017-2018</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3.454,55 €</w:t>
            </w:r>
          </w:p>
        </w:tc>
        <w:tc>
          <w:tcPr>
            <w:tcW w:w="1793"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Nafarroako Gobernua</w:t>
            </w:r>
          </w:p>
        </w:tc>
      </w:tr>
      <w:tr w:rsidR="004D209E" w:rsidRPr="00267B92" w:rsidTr="00267B92">
        <w:trPr>
          <w:trHeight w:val="20"/>
          <w:jc w:val="center"/>
        </w:trPr>
        <w:tc>
          <w:tcPr>
            <w:tcW w:w="1420"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lastRenderedPageBreak/>
              <w:t>3.5.</w:t>
            </w:r>
          </w:p>
        </w:tc>
        <w:tc>
          <w:tcPr>
            <w:tcW w:w="2335" w:type="dxa"/>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rPr>
            </w:pPr>
            <w:r w:rsidRPr="00267B92">
              <w:rPr>
                <w:rFonts w:asciiTheme="minorHAnsi" w:hAnsiTheme="minorHAnsi"/>
                <w:sz w:val="18"/>
                <w:szCs w:val="18"/>
              </w:rPr>
              <w:t>Nafarroako Gobernuak ugatzari buruz urtero egiten dituen monitorizazio lanekin segitzea.</w:t>
            </w: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Urtero.</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Baliabide propioak.</w:t>
            </w:r>
          </w:p>
        </w:tc>
        <w:tc>
          <w:tcPr>
            <w:tcW w:w="1793"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Nafarroako Gobernua</w:t>
            </w:r>
          </w:p>
        </w:tc>
      </w:tr>
      <w:tr w:rsidR="004D209E" w:rsidRPr="00267B92" w:rsidTr="00267B92">
        <w:trPr>
          <w:trHeight w:val="20"/>
          <w:jc w:val="center"/>
        </w:trPr>
        <w:tc>
          <w:tcPr>
            <w:tcW w:w="1420" w:type="dxa"/>
            <w:vMerge w:val="restart"/>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3.6.</w:t>
            </w:r>
          </w:p>
        </w:tc>
        <w:tc>
          <w:tcPr>
            <w:tcW w:w="2335" w:type="dxa"/>
            <w:vMerge w:val="restart"/>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rPr>
            </w:pPr>
            <w:r w:rsidRPr="00267B92">
              <w:rPr>
                <w:rFonts w:asciiTheme="minorHAnsi" w:hAnsiTheme="minorHAnsi"/>
                <w:sz w:val="18"/>
                <w:szCs w:val="18"/>
              </w:rPr>
              <w:t xml:space="preserve">Nafarroako Gobernuak sai arrearen, sai zuriaren eta belatz handiaren populazioei buruz egiten duen jarraipenarekin segitzea. </w:t>
            </w: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2014</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18.150,00 €</w:t>
            </w:r>
          </w:p>
        </w:tc>
        <w:tc>
          <w:tcPr>
            <w:tcW w:w="1793"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Nafarroako Gobernua</w:t>
            </w:r>
          </w:p>
        </w:tc>
      </w:tr>
      <w:tr w:rsidR="004D209E" w:rsidRPr="00267B92" w:rsidTr="00267B92">
        <w:trPr>
          <w:trHeight w:val="20"/>
          <w:jc w:val="center"/>
        </w:trPr>
        <w:tc>
          <w:tcPr>
            <w:tcW w:w="1420"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c>
          <w:tcPr>
            <w:tcW w:w="2335" w:type="dxa"/>
            <w:vMerge/>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lang w:val="es-ES_tradnl"/>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2018</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 xml:space="preserve">Baliabide propioak + 8.726,40 euro (Europak </w:t>
            </w:r>
            <w:proofErr w:type="spellStart"/>
            <w:r w:rsidRPr="00267B92">
              <w:rPr>
                <w:rFonts w:asciiTheme="minorHAnsi" w:hAnsiTheme="minorHAnsi"/>
                <w:sz w:val="18"/>
                <w:szCs w:val="18"/>
              </w:rPr>
              <w:t>kofinantzatua</w:t>
            </w:r>
            <w:proofErr w:type="spellEnd"/>
            <w:r w:rsidRPr="00267B92">
              <w:rPr>
                <w:rFonts w:asciiTheme="minorHAnsi" w:hAnsiTheme="minorHAnsi"/>
                <w:sz w:val="18"/>
                <w:szCs w:val="18"/>
              </w:rPr>
              <w:t>)</w:t>
            </w:r>
          </w:p>
        </w:tc>
        <w:tc>
          <w:tcPr>
            <w:tcW w:w="1793" w:type="dxa"/>
            <w:vMerge w:val="restart"/>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Nafarroako Gobernua / POCTEFA ECOGYP</w:t>
            </w:r>
          </w:p>
        </w:tc>
      </w:tr>
      <w:tr w:rsidR="004D209E" w:rsidRPr="00267B92" w:rsidTr="00267B92">
        <w:trPr>
          <w:trHeight w:val="20"/>
          <w:jc w:val="center"/>
        </w:trPr>
        <w:tc>
          <w:tcPr>
            <w:tcW w:w="1420"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c>
          <w:tcPr>
            <w:tcW w:w="2335" w:type="dxa"/>
            <w:vMerge/>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lang w:val="es-ES_tradnl"/>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2019</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 xml:space="preserve">Baliabide propioak + 24.432,60 euro (Europak </w:t>
            </w:r>
            <w:proofErr w:type="spellStart"/>
            <w:r w:rsidRPr="00267B92">
              <w:rPr>
                <w:rFonts w:asciiTheme="minorHAnsi" w:hAnsiTheme="minorHAnsi"/>
                <w:sz w:val="18"/>
                <w:szCs w:val="18"/>
              </w:rPr>
              <w:t>kofinantzatua</w:t>
            </w:r>
            <w:proofErr w:type="spellEnd"/>
            <w:r w:rsidRPr="00267B92">
              <w:rPr>
                <w:rFonts w:asciiTheme="minorHAnsi" w:hAnsiTheme="minorHAnsi"/>
                <w:sz w:val="18"/>
                <w:szCs w:val="18"/>
              </w:rPr>
              <w:t>)</w:t>
            </w:r>
          </w:p>
        </w:tc>
        <w:tc>
          <w:tcPr>
            <w:tcW w:w="1793"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r>
      <w:tr w:rsidR="004D209E" w:rsidRPr="00267B92" w:rsidTr="00267B92">
        <w:trPr>
          <w:trHeight w:val="20"/>
          <w:jc w:val="center"/>
        </w:trPr>
        <w:tc>
          <w:tcPr>
            <w:tcW w:w="1420"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3.8.</w:t>
            </w:r>
          </w:p>
        </w:tc>
        <w:tc>
          <w:tcPr>
            <w:tcW w:w="2335" w:type="dxa"/>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rPr>
            </w:pPr>
            <w:r w:rsidRPr="00267B92">
              <w:rPr>
                <w:rFonts w:asciiTheme="minorHAnsi" w:hAnsiTheme="minorHAnsi"/>
                <w:sz w:val="18"/>
                <w:szCs w:val="18"/>
              </w:rPr>
              <w:t xml:space="preserve">Harkaiztietan eta inguruetan egindako kirol jarduerek Lekuaren kontserbazio helburuetan duten eraginari buruzko azterlan bat egitea, eta, kasua bada, “Urederraren iturburua” natura-erreserban dagoen kirol ekipamendua kentzea. </w:t>
            </w: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2013</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12.500,00 euro.</w:t>
            </w:r>
          </w:p>
        </w:tc>
        <w:tc>
          <w:tcPr>
            <w:tcW w:w="1793"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Nafarroako Gobernua</w:t>
            </w:r>
          </w:p>
        </w:tc>
      </w:tr>
      <w:tr w:rsidR="004D209E" w:rsidRPr="00267B92" w:rsidTr="00267B92">
        <w:trPr>
          <w:trHeight w:val="20"/>
          <w:jc w:val="center"/>
        </w:trPr>
        <w:tc>
          <w:tcPr>
            <w:tcW w:w="1420"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3.12.</w:t>
            </w:r>
          </w:p>
        </w:tc>
        <w:tc>
          <w:tcPr>
            <w:tcW w:w="2335" w:type="dxa"/>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rPr>
            </w:pPr>
            <w:r w:rsidRPr="00267B92">
              <w:rPr>
                <w:rFonts w:asciiTheme="minorHAnsi" w:hAnsiTheme="minorHAnsi"/>
                <w:sz w:val="18"/>
                <w:szCs w:val="18"/>
              </w:rPr>
              <w:t xml:space="preserve">Nafarroako Gobernuak egiten dituen igaraba arruntaren laginketak mantentzea. </w:t>
            </w: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2020</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742,71 €</w:t>
            </w:r>
          </w:p>
        </w:tc>
        <w:tc>
          <w:tcPr>
            <w:tcW w:w="1793"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Nafarroako Gobernua</w:t>
            </w:r>
          </w:p>
        </w:tc>
      </w:tr>
      <w:tr w:rsidR="004D209E" w:rsidRPr="00267B92" w:rsidTr="00267B92">
        <w:trPr>
          <w:trHeight w:val="20"/>
          <w:jc w:val="center"/>
        </w:trPr>
        <w:tc>
          <w:tcPr>
            <w:tcW w:w="1420" w:type="dxa"/>
            <w:vMerge w:val="restart"/>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3.16.</w:t>
            </w:r>
          </w:p>
        </w:tc>
        <w:tc>
          <w:tcPr>
            <w:tcW w:w="2335" w:type="dxa"/>
            <w:vMerge w:val="restart"/>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rPr>
            </w:pPr>
            <w:r w:rsidRPr="00267B92">
              <w:rPr>
                <w:rFonts w:asciiTheme="minorHAnsi" w:hAnsiTheme="minorHAnsi"/>
                <w:sz w:val="18"/>
                <w:szCs w:val="18"/>
              </w:rPr>
              <w:t xml:space="preserve">Bisoi amerikarraren eta fauna exotiko inbaditzailearen beste espezie batzuen segimendua eta kontrola egin eta desagerrarazteko neurriak mantentzea. </w:t>
            </w: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Urtero.</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 xml:space="preserve">Baliabide propioak / Trantsizio Ekologikorako eta Erronka Demografikorako Ministerioa, </w:t>
            </w:r>
            <w:proofErr w:type="spellStart"/>
            <w:r w:rsidRPr="00267B92">
              <w:rPr>
                <w:rFonts w:asciiTheme="minorHAnsi" w:hAnsiTheme="minorHAnsi"/>
                <w:sz w:val="18"/>
                <w:szCs w:val="18"/>
              </w:rPr>
              <w:t>Tragsatec</w:t>
            </w:r>
            <w:proofErr w:type="spellEnd"/>
            <w:r w:rsidRPr="00267B92">
              <w:rPr>
                <w:rFonts w:asciiTheme="minorHAnsi" w:hAnsiTheme="minorHAnsi"/>
                <w:sz w:val="18"/>
                <w:szCs w:val="18"/>
              </w:rPr>
              <w:t xml:space="preserve"> enpresaren bitartez.</w:t>
            </w:r>
          </w:p>
        </w:tc>
        <w:tc>
          <w:tcPr>
            <w:tcW w:w="1793"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Nafarroako Gobernua / Trantsizio Ekologikorako eta Erronka Demografikorako Ministerioa</w:t>
            </w:r>
          </w:p>
        </w:tc>
      </w:tr>
      <w:tr w:rsidR="004D209E" w:rsidRPr="00267B92" w:rsidTr="00267B92">
        <w:trPr>
          <w:trHeight w:val="20"/>
          <w:jc w:val="center"/>
        </w:trPr>
        <w:tc>
          <w:tcPr>
            <w:tcW w:w="1420"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c>
          <w:tcPr>
            <w:tcW w:w="2335" w:type="dxa"/>
            <w:vMerge/>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lang w:val="es-ES_tradnl"/>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2015 (Nafarroa osorako)</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19.260,78 euro</w:t>
            </w:r>
          </w:p>
        </w:tc>
        <w:tc>
          <w:tcPr>
            <w:tcW w:w="1793" w:type="dxa"/>
            <w:vMerge w:val="restart"/>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 xml:space="preserve">Nafarroako Gobernua / LIFE IREKIBAI proiektua eta </w:t>
            </w:r>
            <w:proofErr w:type="spellStart"/>
            <w:r w:rsidRPr="00267B92">
              <w:rPr>
                <w:rFonts w:asciiTheme="minorHAnsi" w:hAnsiTheme="minorHAnsi"/>
                <w:sz w:val="18"/>
                <w:szCs w:val="18"/>
              </w:rPr>
              <w:t>Interreg</w:t>
            </w:r>
            <w:proofErr w:type="spellEnd"/>
            <w:r w:rsidRPr="00267B92">
              <w:rPr>
                <w:rFonts w:asciiTheme="minorHAnsi" w:hAnsiTheme="minorHAnsi"/>
                <w:sz w:val="18"/>
                <w:szCs w:val="18"/>
              </w:rPr>
              <w:t xml:space="preserve"> </w:t>
            </w:r>
            <w:proofErr w:type="spellStart"/>
            <w:r w:rsidRPr="00267B92">
              <w:rPr>
                <w:rFonts w:asciiTheme="minorHAnsi" w:hAnsiTheme="minorHAnsi"/>
                <w:sz w:val="18"/>
                <w:szCs w:val="18"/>
              </w:rPr>
              <w:t>Poctefa</w:t>
            </w:r>
            <w:proofErr w:type="spellEnd"/>
            <w:r w:rsidRPr="00267B92">
              <w:rPr>
                <w:rFonts w:asciiTheme="minorHAnsi" w:hAnsiTheme="minorHAnsi"/>
                <w:sz w:val="18"/>
                <w:szCs w:val="18"/>
              </w:rPr>
              <w:t xml:space="preserve"> H2O Gurea.</w:t>
            </w:r>
          </w:p>
        </w:tc>
      </w:tr>
      <w:tr w:rsidR="004D209E" w:rsidRPr="00267B92" w:rsidTr="00267B92">
        <w:trPr>
          <w:trHeight w:val="20"/>
          <w:jc w:val="center"/>
        </w:trPr>
        <w:tc>
          <w:tcPr>
            <w:tcW w:w="1420"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c>
          <w:tcPr>
            <w:tcW w:w="2335" w:type="dxa"/>
            <w:vMerge/>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lang w:val="es-ES_tradnl"/>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2016 (Nafarroa osorako)</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14.284,65 euro</w:t>
            </w:r>
          </w:p>
        </w:tc>
        <w:tc>
          <w:tcPr>
            <w:tcW w:w="1793"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r>
      <w:tr w:rsidR="004D209E" w:rsidRPr="00267B92" w:rsidTr="00267B92">
        <w:trPr>
          <w:trHeight w:val="20"/>
          <w:jc w:val="center"/>
        </w:trPr>
        <w:tc>
          <w:tcPr>
            <w:tcW w:w="1420"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c>
          <w:tcPr>
            <w:tcW w:w="2335" w:type="dxa"/>
            <w:vMerge/>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lang w:val="es-ES_tradnl"/>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2017 (Nafarroa osorako)</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26.280,93 euro</w:t>
            </w:r>
          </w:p>
        </w:tc>
        <w:tc>
          <w:tcPr>
            <w:tcW w:w="1793"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r>
      <w:tr w:rsidR="004D209E" w:rsidRPr="00267B92" w:rsidTr="00267B92">
        <w:trPr>
          <w:trHeight w:val="20"/>
          <w:jc w:val="center"/>
        </w:trPr>
        <w:tc>
          <w:tcPr>
            <w:tcW w:w="1420"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c>
          <w:tcPr>
            <w:tcW w:w="2335" w:type="dxa"/>
            <w:vMerge/>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lang w:val="es-ES_tradnl"/>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2018 (Nafarroa osorako)</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26.280,93 euro</w:t>
            </w:r>
          </w:p>
        </w:tc>
        <w:tc>
          <w:tcPr>
            <w:tcW w:w="1793"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r>
      <w:tr w:rsidR="004D209E" w:rsidRPr="00267B92" w:rsidTr="00267B92">
        <w:trPr>
          <w:trHeight w:val="20"/>
          <w:jc w:val="center"/>
        </w:trPr>
        <w:tc>
          <w:tcPr>
            <w:tcW w:w="1420"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c>
          <w:tcPr>
            <w:tcW w:w="2335" w:type="dxa"/>
            <w:vMerge/>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lang w:val="es-ES_tradnl"/>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2019 (Nafarroa osorako)</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686,51 euro</w:t>
            </w:r>
          </w:p>
        </w:tc>
        <w:tc>
          <w:tcPr>
            <w:tcW w:w="1793"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r>
      <w:tr w:rsidR="004D209E" w:rsidRPr="00267B92" w:rsidTr="00267B92">
        <w:trPr>
          <w:trHeight w:val="20"/>
          <w:jc w:val="center"/>
        </w:trPr>
        <w:tc>
          <w:tcPr>
            <w:tcW w:w="1420"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c>
          <w:tcPr>
            <w:tcW w:w="2335" w:type="dxa"/>
            <w:vMerge/>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lang w:val="es-ES_tradnl"/>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2020 (Nafarroa osorako)</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26.280,93 euro</w:t>
            </w:r>
          </w:p>
        </w:tc>
        <w:tc>
          <w:tcPr>
            <w:tcW w:w="1793"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r>
      <w:tr w:rsidR="004D209E" w:rsidRPr="00267B92" w:rsidTr="00267B92">
        <w:trPr>
          <w:trHeight w:val="20"/>
          <w:jc w:val="center"/>
        </w:trPr>
        <w:tc>
          <w:tcPr>
            <w:tcW w:w="1420"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3.17.</w:t>
            </w:r>
          </w:p>
        </w:tc>
        <w:tc>
          <w:tcPr>
            <w:tcW w:w="2335" w:type="dxa"/>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rPr>
            </w:pPr>
            <w:r w:rsidRPr="00267B92">
              <w:rPr>
                <w:rFonts w:asciiTheme="minorHAnsi" w:hAnsiTheme="minorHAnsi"/>
                <w:sz w:val="18"/>
                <w:szCs w:val="18"/>
              </w:rPr>
              <w:t xml:space="preserve">Saguzarrek tokian eta ingurunean negurako eta hazierarako dituzten kolonien zentsuak egitea aldian-aldian. </w:t>
            </w: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2006;</w:t>
            </w:r>
          </w:p>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2019-2020-2021 (gauzatzen ari da)</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Kontratuaren zenbatekoa honako hau izan da 2019an, 2020an eta 2021ean: 36.930,00 euro (BEZa barne). Nafarroa osorako. Gauzatzeko dago eta 2021ean ordainduko da.</w:t>
            </w:r>
          </w:p>
        </w:tc>
        <w:tc>
          <w:tcPr>
            <w:tcW w:w="1793"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Nafarroako Gobernua</w:t>
            </w:r>
          </w:p>
        </w:tc>
      </w:tr>
      <w:tr w:rsidR="004D209E" w:rsidRPr="00267B92" w:rsidTr="00267B92">
        <w:trPr>
          <w:trHeight w:val="20"/>
          <w:jc w:val="center"/>
        </w:trPr>
        <w:tc>
          <w:tcPr>
            <w:tcW w:w="1420" w:type="dxa"/>
            <w:vMerge w:val="restart"/>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3.19-3.20.</w:t>
            </w:r>
          </w:p>
        </w:tc>
        <w:tc>
          <w:tcPr>
            <w:tcW w:w="2335" w:type="dxa"/>
            <w:vMerge w:val="restart"/>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rPr>
            </w:pPr>
          </w:p>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rPr>
            </w:pPr>
            <w:r w:rsidRPr="00267B92">
              <w:rPr>
                <w:rFonts w:asciiTheme="minorHAnsi" w:hAnsiTheme="minorHAnsi"/>
                <w:sz w:val="18"/>
                <w:szCs w:val="18"/>
              </w:rPr>
              <w:t>Saguzarrentzako Acedoko aterpe kolonialetan egokitzapen neurriak egitea, gehiago hartzeko tokia izan dezaten.</w:t>
            </w:r>
          </w:p>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2014</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12.066,68 €</w:t>
            </w:r>
          </w:p>
        </w:tc>
        <w:tc>
          <w:tcPr>
            <w:tcW w:w="1793"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Nafarroako Gobernua</w:t>
            </w:r>
          </w:p>
        </w:tc>
      </w:tr>
      <w:tr w:rsidR="004D209E" w:rsidRPr="00267B92" w:rsidTr="00267B92">
        <w:trPr>
          <w:trHeight w:val="20"/>
          <w:jc w:val="center"/>
        </w:trPr>
        <w:tc>
          <w:tcPr>
            <w:tcW w:w="1420"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c>
          <w:tcPr>
            <w:tcW w:w="2335" w:type="dxa"/>
            <w:vMerge/>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lang w:val="es-ES_tradnl"/>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2015</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1.815,76 €</w:t>
            </w:r>
          </w:p>
        </w:tc>
        <w:tc>
          <w:tcPr>
            <w:tcW w:w="1793"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Ingurumeneko boluntarioekin gauzatzea / Nafarroako Gobernua</w:t>
            </w:r>
          </w:p>
        </w:tc>
      </w:tr>
      <w:tr w:rsidR="004D209E" w:rsidRPr="00267B92" w:rsidTr="00267B92">
        <w:trPr>
          <w:trHeight w:val="20"/>
          <w:jc w:val="center"/>
        </w:trPr>
        <w:tc>
          <w:tcPr>
            <w:tcW w:w="1420"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4.1.</w:t>
            </w:r>
          </w:p>
        </w:tc>
        <w:tc>
          <w:tcPr>
            <w:tcW w:w="2335" w:type="dxa"/>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rPr>
            </w:pPr>
            <w:r w:rsidRPr="00267B92">
              <w:rPr>
                <w:rFonts w:asciiTheme="minorHAnsi" w:hAnsiTheme="minorHAnsi"/>
                <w:sz w:val="18"/>
                <w:szCs w:val="18"/>
              </w:rPr>
              <w:t xml:space="preserve">Mehatxatutako flora populazioen presentzia eta kontserbazio egoera zehazteko prospekzioak egitea. </w:t>
            </w: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Urtero.</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Baliabide propioak.</w:t>
            </w:r>
          </w:p>
        </w:tc>
        <w:tc>
          <w:tcPr>
            <w:tcW w:w="1793"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Nafarroako Gobernua</w:t>
            </w:r>
          </w:p>
        </w:tc>
      </w:tr>
      <w:tr w:rsidR="004D209E" w:rsidRPr="00267B92" w:rsidTr="00267B92">
        <w:trPr>
          <w:trHeight w:val="20"/>
          <w:jc w:val="center"/>
        </w:trPr>
        <w:tc>
          <w:tcPr>
            <w:tcW w:w="1420" w:type="dxa"/>
            <w:vMerge w:val="restart"/>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5.1.</w:t>
            </w:r>
          </w:p>
        </w:tc>
        <w:tc>
          <w:tcPr>
            <w:tcW w:w="2335" w:type="dxa"/>
            <w:vMerge w:val="restart"/>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rPr>
            </w:pPr>
            <w:proofErr w:type="spellStart"/>
            <w:r w:rsidRPr="00267B92">
              <w:rPr>
                <w:rFonts w:asciiTheme="minorHAnsi" w:hAnsiTheme="minorHAnsi"/>
                <w:sz w:val="18"/>
                <w:szCs w:val="18"/>
              </w:rPr>
              <w:t>Urbasa-Andia</w:t>
            </w:r>
            <w:proofErr w:type="spellEnd"/>
            <w:r w:rsidRPr="00267B92">
              <w:rPr>
                <w:rFonts w:asciiTheme="minorHAnsi" w:hAnsiTheme="minorHAnsi"/>
                <w:sz w:val="18"/>
                <w:szCs w:val="18"/>
              </w:rPr>
              <w:t xml:space="preserve"> natura parkearen planifikazioan eta kudeaketan jarraibideak aplikatzen eta erabilera publikoko neurriak garatzen segitzea. (RN-14 Urederraren iturburua)</w:t>
            </w:r>
          </w:p>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lang w:val="es-ES_tradnl"/>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2008</w:t>
            </w:r>
          </w:p>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73.900,00 €</w:t>
            </w:r>
          </w:p>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c>
          <w:tcPr>
            <w:tcW w:w="1793"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 xml:space="preserve">“La </w:t>
            </w:r>
            <w:proofErr w:type="spellStart"/>
            <w:r w:rsidRPr="00267B92">
              <w:rPr>
                <w:rFonts w:asciiTheme="minorHAnsi" w:hAnsiTheme="minorHAnsi"/>
                <w:sz w:val="18"/>
                <w:szCs w:val="18"/>
              </w:rPr>
              <w:t>Caixa</w:t>
            </w:r>
            <w:proofErr w:type="spellEnd"/>
            <w:r w:rsidRPr="00267B92">
              <w:rPr>
                <w:rFonts w:asciiTheme="minorHAnsi" w:hAnsiTheme="minorHAnsi"/>
                <w:sz w:val="18"/>
                <w:szCs w:val="18"/>
              </w:rPr>
              <w:t>” GIZARTE EKINTZA</w:t>
            </w:r>
          </w:p>
        </w:tc>
      </w:tr>
      <w:tr w:rsidR="004D209E" w:rsidRPr="00267B92" w:rsidTr="00267B92">
        <w:trPr>
          <w:trHeight w:val="20"/>
          <w:jc w:val="center"/>
        </w:trPr>
        <w:tc>
          <w:tcPr>
            <w:tcW w:w="1420"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c>
          <w:tcPr>
            <w:tcW w:w="2335" w:type="dxa"/>
            <w:vMerge/>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lang w:val="es-ES_tradnl"/>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highlight w:val="yellow"/>
              </w:rPr>
            </w:pPr>
            <w:r w:rsidRPr="00267B92">
              <w:rPr>
                <w:rFonts w:asciiTheme="minorHAnsi" w:hAnsiTheme="minorHAnsi"/>
                <w:sz w:val="18"/>
                <w:szCs w:val="18"/>
              </w:rPr>
              <w:t>2008</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highlight w:val="yellow"/>
              </w:rPr>
            </w:pPr>
            <w:r w:rsidRPr="00267B92">
              <w:rPr>
                <w:rFonts w:asciiTheme="minorHAnsi" w:hAnsiTheme="minorHAnsi"/>
                <w:sz w:val="18"/>
                <w:szCs w:val="18"/>
              </w:rPr>
              <w:t>120.090,00 €</w:t>
            </w:r>
          </w:p>
        </w:tc>
        <w:tc>
          <w:tcPr>
            <w:tcW w:w="1793" w:type="dxa"/>
            <w:vMerge w:val="restart"/>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 xml:space="preserve">Nafarroako Gobernua (Garapen Ekonomiko eta </w:t>
            </w:r>
            <w:proofErr w:type="spellStart"/>
            <w:r w:rsidRPr="00267B92">
              <w:rPr>
                <w:rFonts w:asciiTheme="minorHAnsi" w:hAnsiTheme="minorHAnsi"/>
                <w:sz w:val="18"/>
                <w:szCs w:val="18"/>
              </w:rPr>
              <w:t>Enpresarialeko</w:t>
            </w:r>
            <w:proofErr w:type="spellEnd"/>
            <w:r w:rsidRPr="00267B92">
              <w:rPr>
                <w:rFonts w:asciiTheme="minorHAnsi" w:hAnsiTheme="minorHAnsi"/>
                <w:sz w:val="18"/>
                <w:szCs w:val="18"/>
              </w:rPr>
              <w:t xml:space="preserve"> Departamentua)</w:t>
            </w:r>
          </w:p>
        </w:tc>
      </w:tr>
      <w:tr w:rsidR="004D209E" w:rsidRPr="00267B92" w:rsidTr="00267B92">
        <w:trPr>
          <w:trHeight w:val="20"/>
          <w:jc w:val="center"/>
        </w:trPr>
        <w:tc>
          <w:tcPr>
            <w:tcW w:w="1420"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c>
          <w:tcPr>
            <w:tcW w:w="2335" w:type="dxa"/>
            <w:vMerge/>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lang w:val="es-ES_tradnl"/>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2014</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98.195,00 €</w:t>
            </w:r>
          </w:p>
        </w:tc>
        <w:tc>
          <w:tcPr>
            <w:tcW w:w="1793"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r>
      <w:tr w:rsidR="004D209E" w:rsidRPr="00267B92" w:rsidTr="00267B92">
        <w:trPr>
          <w:trHeight w:val="20"/>
          <w:jc w:val="center"/>
        </w:trPr>
        <w:tc>
          <w:tcPr>
            <w:tcW w:w="1420"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c>
          <w:tcPr>
            <w:tcW w:w="2335" w:type="dxa"/>
            <w:vMerge/>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lang w:val="es-ES_tradnl"/>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2017-2019</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42.387,32 €</w:t>
            </w:r>
          </w:p>
        </w:tc>
        <w:tc>
          <w:tcPr>
            <w:tcW w:w="1793"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r>
      <w:tr w:rsidR="004D209E" w:rsidRPr="00267B92" w:rsidTr="00267B92">
        <w:trPr>
          <w:trHeight w:val="20"/>
          <w:jc w:val="center"/>
        </w:trPr>
        <w:tc>
          <w:tcPr>
            <w:tcW w:w="1420"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c>
          <w:tcPr>
            <w:tcW w:w="2335" w:type="dxa"/>
            <w:vMerge/>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lang w:val="es-ES_tradnl"/>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2017</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29.222,00 €</w:t>
            </w:r>
          </w:p>
        </w:tc>
        <w:tc>
          <w:tcPr>
            <w:tcW w:w="1793" w:type="dxa"/>
            <w:vMerge w:val="restart"/>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Nafarroako Gobernua (Landa Garapeneko eta Ingurumeneko Departamentua)</w:t>
            </w:r>
          </w:p>
        </w:tc>
      </w:tr>
      <w:tr w:rsidR="004D209E" w:rsidRPr="00267B92" w:rsidTr="00267B92">
        <w:trPr>
          <w:trHeight w:val="20"/>
          <w:jc w:val="center"/>
        </w:trPr>
        <w:tc>
          <w:tcPr>
            <w:tcW w:w="1420"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c>
          <w:tcPr>
            <w:tcW w:w="2335" w:type="dxa"/>
            <w:vMerge/>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lang w:val="es-ES_tradnl"/>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2018</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59.074,50 €</w:t>
            </w:r>
          </w:p>
        </w:tc>
        <w:tc>
          <w:tcPr>
            <w:tcW w:w="1793"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r>
      <w:tr w:rsidR="004D209E" w:rsidRPr="00267B92" w:rsidTr="00267B92">
        <w:trPr>
          <w:trHeight w:val="20"/>
          <w:jc w:val="center"/>
        </w:trPr>
        <w:tc>
          <w:tcPr>
            <w:tcW w:w="1420"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c>
          <w:tcPr>
            <w:tcW w:w="2335" w:type="dxa"/>
            <w:vMerge/>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lang w:val="es-ES_tradnl"/>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2019</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55.074,13 €</w:t>
            </w:r>
          </w:p>
        </w:tc>
        <w:tc>
          <w:tcPr>
            <w:tcW w:w="1793"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r>
      <w:tr w:rsidR="004D209E" w:rsidRPr="00267B92" w:rsidTr="00267B92">
        <w:trPr>
          <w:trHeight w:val="20"/>
          <w:jc w:val="center"/>
        </w:trPr>
        <w:tc>
          <w:tcPr>
            <w:tcW w:w="1420"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c>
          <w:tcPr>
            <w:tcW w:w="2335" w:type="dxa"/>
            <w:vMerge/>
            <w:vAlign w:val="center"/>
          </w:tcPr>
          <w:p w:rsidR="004D209E" w:rsidRPr="00267B92" w:rsidRDefault="004D209E" w:rsidP="00267B92">
            <w:pPr>
              <w:widowControl w:val="0"/>
              <w:autoSpaceDE w:val="0"/>
              <w:autoSpaceDN w:val="0"/>
              <w:adjustRightInd w:val="0"/>
              <w:spacing w:before="20" w:after="20"/>
              <w:jc w:val="both"/>
              <w:rPr>
                <w:rFonts w:asciiTheme="minorHAnsi" w:hAnsiTheme="minorHAnsi" w:cs="Arial"/>
                <w:sz w:val="18"/>
                <w:szCs w:val="18"/>
                <w:lang w:val="es-ES_tradnl"/>
              </w:rPr>
            </w:pPr>
          </w:p>
        </w:tc>
        <w:tc>
          <w:tcPr>
            <w:tcW w:w="1806"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2020</w:t>
            </w:r>
          </w:p>
        </w:tc>
        <w:tc>
          <w:tcPr>
            <w:tcW w:w="1771" w:type="dxa"/>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rPr>
            </w:pPr>
            <w:r w:rsidRPr="00267B92">
              <w:rPr>
                <w:rFonts w:asciiTheme="minorHAnsi" w:hAnsiTheme="minorHAnsi"/>
                <w:sz w:val="18"/>
                <w:szCs w:val="18"/>
              </w:rPr>
              <w:t>58.918,97 €</w:t>
            </w:r>
          </w:p>
        </w:tc>
        <w:tc>
          <w:tcPr>
            <w:tcW w:w="1793" w:type="dxa"/>
            <w:vMerge/>
            <w:vAlign w:val="center"/>
          </w:tcPr>
          <w:p w:rsidR="004D209E" w:rsidRPr="00267B92" w:rsidRDefault="004D209E" w:rsidP="00267B92">
            <w:pPr>
              <w:widowControl w:val="0"/>
              <w:autoSpaceDE w:val="0"/>
              <w:autoSpaceDN w:val="0"/>
              <w:adjustRightInd w:val="0"/>
              <w:spacing w:before="20" w:after="20"/>
              <w:jc w:val="center"/>
              <w:rPr>
                <w:rFonts w:asciiTheme="minorHAnsi" w:hAnsiTheme="minorHAnsi" w:cs="Arial"/>
                <w:sz w:val="18"/>
                <w:szCs w:val="18"/>
                <w:lang w:val="es-ES_tradnl"/>
              </w:rPr>
            </w:pPr>
          </w:p>
        </w:tc>
      </w:tr>
    </w:tbl>
    <w:p w:rsidR="004D209E" w:rsidRPr="00267B92" w:rsidRDefault="004D209E" w:rsidP="004D209E">
      <w:pPr>
        <w:spacing w:after="200"/>
        <w:rPr>
          <w:rFonts w:asciiTheme="minorHAnsi" w:hAnsiTheme="minorHAnsi" w:cs="Arial"/>
          <w:i/>
          <w:iCs/>
          <w:color w:val="44546A"/>
          <w:sz w:val="16"/>
          <w:szCs w:val="16"/>
        </w:rPr>
      </w:pPr>
      <w:r w:rsidRPr="00267B92">
        <w:rPr>
          <w:rFonts w:asciiTheme="minorHAnsi" w:hAnsiTheme="minorHAnsi"/>
          <w:i/>
          <w:iCs/>
          <w:color w:val="44546A"/>
          <w:sz w:val="16"/>
          <w:szCs w:val="16"/>
        </w:rPr>
        <w:t>1. taula "</w:t>
      </w:r>
      <w:proofErr w:type="spellStart"/>
      <w:r w:rsidRPr="00267B92">
        <w:rPr>
          <w:rFonts w:asciiTheme="minorHAnsi" w:hAnsiTheme="minorHAnsi"/>
          <w:i/>
          <w:iCs/>
          <w:color w:val="44546A"/>
          <w:sz w:val="16"/>
          <w:szCs w:val="16"/>
        </w:rPr>
        <w:t>Ega-Urederra</w:t>
      </w:r>
      <w:proofErr w:type="spellEnd"/>
      <w:r w:rsidRPr="00267B92">
        <w:rPr>
          <w:rFonts w:asciiTheme="minorHAnsi" w:hAnsiTheme="minorHAnsi"/>
          <w:i/>
          <w:iCs/>
          <w:color w:val="44546A"/>
          <w:sz w:val="16"/>
          <w:szCs w:val="16"/>
        </w:rPr>
        <w:t xml:space="preserve"> ibaiak" Kontserbazio Bereziko Eremuan egindako jarduketen neurrien banakapena</w:t>
      </w:r>
    </w:p>
    <w:p w:rsidR="004D209E" w:rsidRPr="004D209E" w:rsidRDefault="004D209E" w:rsidP="004D209E">
      <w:pPr>
        <w:pStyle w:val="Textoindependiente"/>
        <w:spacing w:after="0" w:line="360" w:lineRule="auto"/>
        <w:rPr>
          <w:rFonts w:cs="Arial"/>
          <w:sz w:val="22"/>
          <w:szCs w:val="22"/>
        </w:rPr>
      </w:pPr>
      <w:r>
        <w:rPr>
          <w:sz w:val="22"/>
          <w:szCs w:val="22"/>
        </w:rPr>
        <w:t>Aurreko taulan jasotakoaren osagarri, eta “</w:t>
      </w:r>
      <w:proofErr w:type="spellStart"/>
      <w:r>
        <w:rPr>
          <w:sz w:val="22"/>
          <w:szCs w:val="22"/>
        </w:rPr>
        <w:t>Ega-Urederra</w:t>
      </w:r>
      <w:proofErr w:type="spellEnd"/>
      <w:r>
        <w:rPr>
          <w:sz w:val="22"/>
          <w:szCs w:val="22"/>
        </w:rPr>
        <w:t xml:space="preserve"> ibaiak” </w:t>
      </w:r>
      <w:proofErr w:type="spellStart"/>
      <w:r>
        <w:rPr>
          <w:sz w:val="22"/>
          <w:szCs w:val="22"/>
        </w:rPr>
        <w:t>KBEari</w:t>
      </w:r>
      <w:proofErr w:type="spellEnd"/>
      <w:r>
        <w:rPr>
          <w:sz w:val="22"/>
          <w:szCs w:val="22"/>
        </w:rPr>
        <w:t xml:space="preserve"> buruzko 16/2017 Foru Dekretuko IV. puntuan (“Kudeaketarako jarraibide edo </w:t>
      </w:r>
      <w:proofErr w:type="spellStart"/>
      <w:r>
        <w:rPr>
          <w:sz w:val="22"/>
          <w:szCs w:val="22"/>
        </w:rPr>
        <w:t>orientazioak”)</w:t>
      </w:r>
      <w:proofErr w:type="spellEnd"/>
      <w:r>
        <w:rPr>
          <w:sz w:val="22"/>
          <w:szCs w:val="22"/>
        </w:rPr>
        <w:t xml:space="preserve"> jasotako IV.5 jarraibideari jarraituz, 2017an iraupen luzeko punpatze-entsegu bat egin zen, eta eredu </w:t>
      </w:r>
      <w:proofErr w:type="spellStart"/>
      <w:r>
        <w:rPr>
          <w:sz w:val="22"/>
          <w:szCs w:val="22"/>
        </w:rPr>
        <w:t>hidrogeologiko</w:t>
      </w:r>
      <w:proofErr w:type="spellEnd"/>
      <w:r>
        <w:rPr>
          <w:sz w:val="22"/>
          <w:szCs w:val="22"/>
        </w:rPr>
        <w:t xml:space="preserve"> bat landu zen, Antzingo sektoreko (Ega Ibarra) akuiferoaren ustiaketa arrazionalari euskarria emateko. Horren zenbatekoa 65.502,14 eurokoa (BEZa barne) izan da, Nafarroako Gobernuak finantzatua. </w:t>
      </w:r>
    </w:p>
    <w:p w:rsidR="004D209E" w:rsidRPr="004D209E" w:rsidRDefault="004D209E" w:rsidP="004D209E">
      <w:pPr>
        <w:pStyle w:val="Textoindependiente"/>
        <w:spacing w:after="0" w:line="360" w:lineRule="auto"/>
        <w:rPr>
          <w:rFonts w:cs="Arial"/>
          <w:sz w:val="22"/>
          <w:szCs w:val="22"/>
        </w:rPr>
      </w:pPr>
      <w:r>
        <w:rPr>
          <w:sz w:val="22"/>
          <w:szCs w:val="22"/>
        </w:rPr>
        <w:t xml:space="preserve">Hona hemen taula bat, </w:t>
      </w:r>
      <w:proofErr w:type="spellStart"/>
      <w:r>
        <w:rPr>
          <w:sz w:val="22"/>
          <w:szCs w:val="22"/>
        </w:rPr>
        <w:t>KBEaren</w:t>
      </w:r>
      <w:proofErr w:type="spellEnd"/>
      <w:r>
        <w:rPr>
          <w:sz w:val="22"/>
          <w:szCs w:val="22"/>
        </w:rPr>
        <w:t xml:space="preserve"> foru-dekretua onartu zenetik 2017a baino lehen eta urtero gauzatutako neurrien kodeak jasotzen dituena:</w:t>
      </w:r>
    </w:p>
    <w:p w:rsidR="004D209E" w:rsidRPr="00267B92" w:rsidRDefault="004D209E" w:rsidP="00267B92">
      <w:pPr>
        <w:jc w:val="center"/>
        <w:rPr>
          <w:rFonts w:ascii="Arial" w:hAnsi="Arial" w:cs="Arial"/>
          <w:sz w:val="22"/>
          <w:szCs w:val="22"/>
        </w:rPr>
      </w:pPr>
    </w:p>
    <w:tbl>
      <w:tblPr>
        <w:tblW w:w="9160" w:type="dxa"/>
        <w:tblCellMar>
          <w:left w:w="70" w:type="dxa"/>
          <w:right w:w="70" w:type="dxa"/>
        </w:tblCellMar>
        <w:tblLook w:val="04A0" w:firstRow="1" w:lastRow="0" w:firstColumn="1" w:lastColumn="0" w:noHBand="0" w:noVBand="1"/>
      </w:tblPr>
      <w:tblGrid>
        <w:gridCol w:w="1960"/>
        <w:gridCol w:w="441"/>
        <w:gridCol w:w="441"/>
        <w:gridCol w:w="441"/>
        <w:gridCol w:w="441"/>
        <w:gridCol w:w="441"/>
        <w:gridCol w:w="441"/>
        <w:gridCol w:w="491"/>
        <w:gridCol w:w="441"/>
        <w:gridCol w:w="561"/>
        <w:gridCol w:w="496"/>
        <w:gridCol w:w="561"/>
        <w:gridCol w:w="561"/>
        <w:gridCol w:w="561"/>
        <w:gridCol w:w="441"/>
        <w:gridCol w:w="441"/>
      </w:tblGrid>
      <w:tr w:rsidR="004D209E" w:rsidRPr="00267B92" w:rsidTr="00267B92">
        <w:trPr>
          <w:trHeight w:val="20"/>
          <w:tblHead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b/>
                <w:color w:val="000000"/>
                <w:sz w:val="18"/>
                <w:szCs w:val="18"/>
              </w:rPr>
            </w:pPr>
            <w:bookmarkStart w:id="1" w:name="_GoBack"/>
            <w:r w:rsidRPr="00267B92">
              <w:rPr>
                <w:rFonts w:asciiTheme="minorHAnsi" w:hAnsiTheme="minorHAnsi"/>
                <w:b/>
                <w:color w:val="000000"/>
                <w:sz w:val="18"/>
                <w:szCs w:val="18"/>
              </w:rPr>
              <w:t>URTEAK</w:t>
            </w:r>
          </w:p>
        </w:tc>
        <w:tc>
          <w:tcPr>
            <w:tcW w:w="7200"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4D209E" w:rsidRPr="00267B92" w:rsidRDefault="004D209E" w:rsidP="00267B92">
            <w:pPr>
              <w:spacing w:before="20" w:after="20"/>
              <w:jc w:val="center"/>
              <w:rPr>
                <w:rFonts w:asciiTheme="minorHAnsi" w:hAnsiTheme="minorHAnsi" w:cs="Arial"/>
                <w:b/>
                <w:color w:val="000000"/>
                <w:sz w:val="18"/>
                <w:szCs w:val="18"/>
              </w:rPr>
            </w:pPr>
            <w:r w:rsidRPr="00267B92">
              <w:rPr>
                <w:rFonts w:asciiTheme="minorHAnsi" w:hAnsiTheme="minorHAnsi"/>
                <w:b/>
                <w:color w:val="000000"/>
                <w:sz w:val="18"/>
                <w:szCs w:val="18"/>
              </w:rPr>
              <w:t>16/2017 FORU DEKRETUKO NEURRIAK</w:t>
            </w:r>
          </w:p>
        </w:tc>
      </w:tr>
      <w:tr w:rsidR="004D209E" w:rsidRPr="00267B92" w:rsidTr="00267B92">
        <w:trPr>
          <w:trHeight w:val="2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2017a baino lehen</w:t>
            </w: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1.1.</w:t>
            </w: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1.4.</w:t>
            </w: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1.5.</w:t>
            </w: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3.5.</w:t>
            </w:r>
          </w:p>
        </w:tc>
        <w:tc>
          <w:tcPr>
            <w:tcW w:w="49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3.6.</w:t>
            </w: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3.8.</w:t>
            </w: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3.12.</w:t>
            </w:r>
          </w:p>
        </w:tc>
        <w:tc>
          <w:tcPr>
            <w:tcW w:w="496"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3.16</w:t>
            </w: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3.17.</w:t>
            </w: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3.19.</w:t>
            </w: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3.20.</w:t>
            </w: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4.1.</w:t>
            </w: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5.1.</w:t>
            </w:r>
          </w:p>
        </w:tc>
      </w:tr>
      <w:tr w:rsidR="004D209E" w:rsidRPr="00267B92" w:rsidTr="00267B92">
        <w:trPr>
          <w:trHeight w:val="2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2017</w:t>
            </w: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2.1.</w:t>
            </w: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3.5.</w:t>
            </w:r>
          </w:p>
        </w:tc>
        <w:tc>
          <w:tcPr>
            <w:tcW w:w="49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3.12.</w:t>
            </w:r>
          </w:p>
        </w:tc>
        <w:tc>
          <w:tcPr>
            <w:tcW w:w="496"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3.16</w:t>
            </w: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5.1.</w:t>
            </w:r>
          </w:p>
        </w:tc>
      </w:tr>
      <w:tr w:rsidR="004D209E" w:rsidRPr="00267B92" w:rsidTr="00267B92">
        <w:trPr>
          <w:trHeight w:val="2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2018</w:t>
            </w: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2.1.</w:t>
            </w: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3.5.</w:t>
            </w:r>
          </w:p>
        </w:tc>
        <w:tc>
          <w:tcPr>
            <w:tcW w:w="49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3.6.</w:t>
            </w: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3.12.</w:t>
            </w:r>
          </w:p>
        </w:tc>
        <w:tc>
          <w:tcPr>
            <w:tcW w:w="496"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3.16</w:t>
            </w: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5.1.</w:t>
            </w:r>
          </w:p>
        </w:tc>
      </w:tr>
      <w:tr w:rsidR="004D209E" w:rsidRPr="00267B92" w:rsidTr="00267B92">
        <w:trPr>
          <w:trHeight w:val="2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2019</w:t>
            </w: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3.5.</w:t>
            </w:r>
          </w:p>
        </w:tc>
        <w:tc>
          <w:tcPr>
            <w:tcW w:w="49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3.6.</w:t>
            </w: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3.12.</w:t>
            </w:r>
          </w:p>
        </w:tc>
        <w:tc>
          <w:tcPr>
            <w:tcW w:w="496"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3.16</w:t>
            </w: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3.17.</w:t>
            </w: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4.1.</w:t>
            </w: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5.1.</w:t>
            </w:r>
          </w:p>
        </w:tc>
      </w:tr>
      <w:tr w:rsidR="004D209E" w:rsidRPr="00267B92" w:rsidTr="00267B92">
        <w:trPr>
          <w:trHeight w:val="2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2020</w:t>
            </w: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1.7.</w:t>
            </w: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3.5.</w:t>
            </w:r>
          </w:p>
        </w:tc>
        <w:tc>
          <w:tcPr>
            <w:tcW w:w="49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3.12.</w:t>
            </w:r>
          </w:p>
        </w:tc>
        <w:tc>
          <w:tcPr>
            <w:tcW w:w="496"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3.16</w:t>
            </w: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3.17.</w:t>
            </w: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4.1.</w:t>
            </w: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5.1.</w:t>
            </w:r>
          </w:p>
        </w:tc>
      </w:tr>
      <w:tr w:rsidR="004D209E" w:rsidRPr="00267B92" w:rsidTr="00267B92">
        <w:trPr>
          <w:trHeight w:val="2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2021</w:t>
            </w: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3.5.</w:t>
            </w:r>
          </w:p>
        </w:tc>
        <w:tc>
          <w:tcPr>
            <w:tcW w:w="49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3.12.</w:t>
            </w:r>
          </w:p>
        </w:tc>
        <w:tc>
          <w:tcPr>
            <w:tcW w:w="496"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3.16</w:t>
            </w: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3.17.</w:t>
            </w: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56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spacing w:before="20" w:after="20"/>
              <w:jc w:val="center"/>
              <w:rPr>
                <w:rFonts w:asciiTheme="minorHAnsi" w:hAnsiTheme="minorHAnsi" w:cs="Arial"/>
                <w:color w:val="000000"/>
                <w:sz w:val="18"/>
                <w:szCs w:val="18"/>
              </w:rPr>
            </w:pPr>
          </w:p>
        </w:tc>
        <w:tc>
          <w:tcPr>
            <w:tcW w:w="441" w:type="dxa"/>
            <w:tcBorders>
              <w:top w:val="nil"/>
              <w:left w:val="nil"/>
              <w:bottom w:val="single" w:sz="4" w:space="0" w:color="auto"/>
              <w:right w:val="single" w:sz="4" w:space="0" w:color="auto"/>
            </w:tcBorders>
            <w:shd w:val="clear" w:color="auto" w:fill="auto"/>
            <w:noWrap/>
            <w:vAlign w:val="bottom"/>
            <w:hideMark/>
          </w:tcPr>
          <w:p w:rsidR="004D209E" w:rsidRPr="00267B92" w:rsidRDefault="004D209E" w:rsidP="00267B92">
            <w:pPr>
              <w:keepNext/>
              <w:spacing w:before="20" w:after="20"/>
              <w:jc w:val="center"/>
              <w:rPr>
                <w:rFonts w:asciiTheme="minorHAnsi" w:hAnsiTheme="minorHAnsi" w:cs="Arial"/>
                <w:color w:val="000000"/>
                <w:sz w:val="18"/>
                <w:szCs w:val="18"/>
              </w:rPr>
            </w:pPr>
            <w:r w:rsidRPr="00267B92">
              <w:rPr>
                <w:rFonts w:asciiTheme="minorHAnsi" w:hAnsiTheme="minorHAnsi"/>
                <w:color w:val="000000"/>
                <w:sz w:val="18"/>
                <w:szCs w:val="18"/>
              </w:rPr>
              <w:t>5.1.</w:t>
            </w:r>
          </w:p>
        </w:tc>
      </w:tr>
    </w:tbl>
    <w:p w:rsidR="004D209E" w:rsidRPr="00267B92" w:rsidRDefault="004D209E" w:rsidP="004D209E">
      <w:pPr>
        <w:spacing w:after="200"/>
        <w:rPr>
          <w:rFonts w:asciiTheme="minorHAnsi" w:hAnsiTheme="minorHAnsi" w:cs="Arial"/>
          <w:i/>
          <w:iCs/>
          <w:color w:val="44546A"/>
          <w:sz w:val="16"/>
          <w:szCs w:val="16"/>
        </w:rPr>
      </w:pPr>
      <w:r w:rsidRPr="00267B92">
        <w:rPr>
          <w:rFonts w:asciiTheme="minorHAnsi" w:hAnsiTheme="minorHAnsi"/>
          <w:i/>
          <w:iCs/>
          <w:color w:val="44546A"/>
          <w:sz w:val="16"/>
          <w:szCs w:val="16"/>
        </w:rPr>
        <w:t>2. taula Neurrien eta jarduketen zerrenda, gauzatze-urteen arabera</w:t>
      </w:r>
    </w:p>
    <w:p w:rsidR="00F713D7" w:rsidRPr="00267B92" w:rsidRDefault="004D209E" w:rsidP="004D209E">
      <w:pPr>
        <w:jc w:val="both"/>
        <w:rPr>
          <w:rFonts w:asciiTheme="minorHAnsi" w:hAnsiTheme="minorHAnsi" w:cs="Arial"/>
          <w:sz w:val="16"/>
          <w:szCs w:val="16"/>
        </w:rPr>
      </w:pPr>
      <w:r w:rsidRPr="00267B92">
        <w:rPr>
          <w:rFonts w:asciiTheme="minorHAnsi" w:hAnsiTheme="minorHAnsi"/>
          <w:sz w:val="16"/>
          <w:szCs w:val="16"/>
        </w:rPr>
        <w:t>* Martxoaren 8ko 16/2017 FORU DEKRETUA “</w:t>
      </w:r>
      <w:proofErr w:type="spellStart"/>
      <w:r w:rsidRPr="00267B92">
        <w:rPr>
          <w:rFonts w:asciiTheme="minorHAnsi" w:hAnsiTheme="minorHAnsi"/>
          <w:sz w:val="16"/>
          <w:szCs w:val="16"/>
        </w:rPr>
        <w:t>Ega-Urederra</w:t>
      </w:r>
      <w:proofErr w:type="spellEnd"/>
      <w:r w:rsidRPr="00267B92">
        <w:rPr>
          <w:rFonts w:asciiTheme="minorHAnsi" w:hAnsiTheme="minorHAnsi"/>
          <w:sz w:val="16"/>
          <w:szCs w:val="16"/>
        </w:rPr>
        <w:t xml:space="preserve"> ibaiak” izeneko Batasunaren Garrantzizko Lekua Kontserbazio Bereziko Eremu izendatu, haren kudeaketa plana onetsi, eta “Urederraren iturburua” (RN-14) eta “</w:t>
      </w:r>
      <w:proofErr w:type="spellStart"/>
      <w:r w:rsidRPr="00267B92">
        <w:rPr>
          <w:rFonts w:asciiTheme="minorHAnsi" w:hAnsiTheme="minorHAnsi"/>
          <w:sz w:val="16"/>
          <w:szCs w:val="16"/>
        </w:rPr>
        <w:t>Lasiako</w:t>
      </w:r>
      <w:proofErr w:type="spellEnd"/>
      <w:r w:rsidRPr="00267B92">
        <w:rPr>
          <w:rFonts w:asciiTheme="minorHAnsi" w:hAnsiTheme="minorHAnsi"/>
          <w:sz w:val="16"/>
          <w:szCs w:val="16"/>
        </w:rPr>
        <w:t xml:space="preserve"> erreka-zuloa” (RN- 13) natura-erreserbak erabili eta kudeatzeko plan zuzentzaileak eguneratzen ditu.</w:t>
      </w:r>
    </w:p>
    <w:bookmarkEnd w:id="1"/>
    <w:p w:rsidR="00F713D7" w:rsidRDefault="00E44044" w:rsidP="00E44044">
      <w:pPr>
        <w:spacing w:line="360" w:lineRule="auto"/>
        <w:jc w:val="center"/>
        <w:rPr>
          <w:rFonts w:ascii="Arial" w:hAnsi="Arial" w:cs="Arial"/>
          <w:sz w:val="22"/>
          <w:szCs w:val="22"/>
        </w:rPr>
      </w:pPr>
      <w:r>
        <w:rPr>
          <w:rFonts w:ascii="Arial" w:hAnsi="Arial"/>
          <w:sz w:val="22"/>
          <w:szCs w:val="22"/>
        </w:rPr>
        <w:t>Iruñean, 2021eko maiatzaren13an</w:t>
      </w:r>
    </w:p>
    <w:p w:rsidR="00F713D7" w:rsidRDefault="00F713D7" w:rsidP="00E44044">
      <w:pPr>
        <w:spacing w:line="360" w:lineRule="auto"/>
        <w:jc w:val="center"/>
        <w:rPr>
          <w:rFonts w:ascii="Arial" w:hAnsi="Arial" w:cs="Arial"/>
          <w:sz w:val="22"/>
          <w:szCs w:val="22"/>
        </w:rPr>
      </w:pPr>
      <w:r>
        <w:rPr>
          <w:sz w:val="22"/>
          <w:szCs w:val="22"/>
        </w:rPr>
        <w:t>Landa Garapeneko eta Ingurumeneko kontseilaria:</w:t>
      </w:r>
      <w:r>
        <w:rPr>
          <w:rFonts w:ascii="Arial" w:hAnsi="Arial"/>
          <w:sz w:val="22"/>
          <w:szCs w:val="22"/>
        </w:rPr>
        <w:t xml:space="preserve"> Itziar </w:t>
      </w:r>
      <w:proofErr w:type="spellStart"/>
      <w:r>
        <w:rPr>
          <w:rFonts w:ascii="Arial" w:hAnsi="Arial"/>
          <w:sz w:val="22"/>
          <w:szCs w:val="22"/>
        </w:rPr>
        <w:t>Gómez</w:t>
      </w:r>
      <w:proofErr w:type="spellEnd"/>
      <w:r>
        <w:rPr>
          <w:rFonts w:ascii="Arial" w:hAnsi="Arial"/>
          <w:sz w:val="22"/>
          <w:szCs w:val="22"/>
        </w:rPr>
        <w:t xml:space="preserve"> </w:t>
      </w:r>
      <w:proofErr w:type="spellStart"/>
      <w:r>
        <w:rPr>
          <w:rFonts w:ascii="Arial" w:hAnsi="Arial"/>
          <w:sz w:val="22"/>
          <w:szCs w:val="22"/>
        </w:rPr>
        <w:t>López</w:t>
      </w:r>
      <w:proofErr w:type="spellEnd"/>
    </w:p>
    <w:sectPr w:rsidR="00F713D7" w:rsidSect="00F008A3">
      <w:headerReference w:type="default" r:id="rId9"/>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BEB" w:rsidRDefault="00330BEB">
      <w:r>
        <w:separator/>
      </w:r>
    </w:p>
  </w:endnote>
  <w:endnote w:type="continuationSeparator" w:id="0">
    <w:p w:rsidR="00330BEB" w:rsidRDefault="0033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BEB" w:rsidRDefault="00330BEB">
      <w:r>
        <w:separator/>
      </w:r>
    </w:p>
  </w:footnote>
  <w:footnote w:type="continuationSeparator" w:id="0">
    <w:p w:rsidR="00330BEB" w:rsidRDefault="00330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BAF393A"/>
    <w:multiLevelType w:val="hybridMultilevel"/>
    <w:tmpl w:val="E6840712"/>
    <w:lvl w:ilvl="0" w:tplc="D646D4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74220335"/>
    <w:multiLevelType w:val="hybridMultilevel"/>
    <w:tmpl w:val="8A348544"/>
    <w:lvl w:ilvl="0" w:tplc="0C0A0003">
      <w:start w:val="1"/>
      <w:numFmt w:val="bullet"/>
      <w:lvlText w:val="o"/>
      <w:lvlJc w:val="left"/>
      <w:pPr>
        <w:ind w:left="1429" w:hanging="360"/>
      </w:pPr>
      <w:rPr>
        <w:rFonts w:ascii="Courier New" w:hAnsi="Courier New" w:cs="Courier New"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nsid w:val="79DC3975"/>
    <w:multiLevelType w:val="hybridMultilevel"/>
    <w:tmpl w:val="F5BCEC66"/>
    <w:lvl w:ilvl="0" w:tplc="64F2F27C">
      <w:start w:val="1"/>
      <w:numFmt w:val="bullet"/>
      <w:lvlText w:val="‒"/>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1"/>
  </w:num>
  <w:num w:numId="5">
    <w:abstractNumId w:val="9"/>
  </w:num>
  <w:num w:numId="6">
    <w:abstractNumId w:val="3"/>
  </w:num>
  <w:num w:numId="7">
    <w:abstractNumId w:val="10"/>
  </w:num>
  <w:num w:numId="8">
    <w:abstractNumId w:val="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 w:numId="13">
    <w:abstractNumId w:val="14"/>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06609"/>
    <w:rsid w:val="000429E0"/>
    <w:rsid w:val="000608A6"/>
    <w:rsid w:val="00072C4F"/>
    <w:rsid w:val="0008313F"/>
    <w:rsid w:val="000C4EA8"/>
    <w:rsid w:val="00162111"/>
    <w:rsid w:val="001D3AA7"/>
    <w:rsid w:val="001E2EDF"/>
    <w:rsid w:val="00224D93"/>
    <w:rsid w:val="002364F6"/>
    <w:rsid w:val="0026616C"/>
    <w:rsid w:val="00267B92"/>
    <w:rsid w:val="002A0B82"/>
    <w:rsid w:val="002A0F33"/>
    <w:rsid w:val="002A528F"/>
    <w:rsid w:val="002A7F52"/>
    <w:rsid w:val="002B0435"/>
    <w:rsid w:val="002C487D"/>
    <w:rsid w:val="002D0335"/>
    <w:rsid w:val="002D7F3F"/>
    <w:rsid w:val="002F09BF"/>
    <w:rsid w:val="0030333F"/>
    <w:rsid w:val="00313027"/>
    <w:rsid w:val="00330BEB"/>
    <w:rsid w:val="00335D98"/>
    <w:rsid w:val="00354E75"/>
    <w:rsid w:val="0037010A"/>
    <w:rsid w:val="003B78C2"/>
    <w:rsid w:val="003F202A"/>
    <w:rsid w:val="004036F1"/>
    <w:rsid w:val="0041058C"/>
    <w:rsid w:val="00440B04"/>
    <w:rsid w:val="00453C47"/>
    <w:rsid w:val="0046104F"/>
    <w:rsid w:val="004D209E"/>
    <w:rsid w:val="004E12F7"/>
    <w:rsid w:val="004F4DAA"/>
    <w:rsid w:val="00506F4C"/>
    <w:rsid w:val="0051364C"/>
    <w:rsid w:val="00592A62"/>
    <w:rsid w:val="005D18F1"/>
    <w:rsid w:val="005D420C"/>
    <w:rsid w:val="00612F2B"/>
    <w:rsid w:val="006309E1"/>
    <w:rsid w:val="006415DD"/>
    <w:rsid w:val="006620EA"/>
    <w:rsid w:val="00662C9C"/>
    <w:rsid w:val="006C3F95"/>
    <w:rsid w:val="006D7A7E"/>
    <w:rsid w:val="006E3228"/>
    <w:rsid w:val="0070568E"/>
    <w:rsid w:val="00710131"/>
    <w:rsid w:val="0073583F"/>
    <w:rsid w:val="00752DAD"/>
    <w:rsid w:val="007751A2"/>
    <w:rsid w:val="0079597F"/>
    <w:rsid w:val="007B6AB3"/>
    <w:rsid w:val="007D3B60"/>
    <w:rsid w:val="007D7E38"/>
    <w:rsid w:val="00807388"/>
    <w:rsid w:val="00842199"/>
    <w:rsid w:val="008501A8"/>
    <w:rsid w:val="00862504"/>
    <w:rsid w:val="00886558"/>
    <w:rsid w:val="008932F8"/>
    <w:rsid w:val="008E7325"/>
    <w:rsid w:val="00901293"/>
    <w:rsid w:val="009222E1"/>
    <w:rsid w:val="009573E3"/>
    <w:rsid w:val="00966998"/>
    <w:rsid w:val="0099134F"/>
    <w:rsid w:val="009F7AE0"/>
    <w:rsid w:val="00A526BF"/>
    <w:rsid w:val="00A52CE4"/>
    <w:rsid w:val="00A572B9"/>
    <w:rsid w:val="00AA4C9C"/>
    <w:rsid w:val="00AE2D76"/>
    <w:rsid w:val="00B8751E"/>
    <w:rsid w:val="00BA2B0D"/>
    <w:rsid w:val="00BA3258"/>
    <w:rsid w:val="00BB0277"/>
    <w:rsid w:val="00BD7FDC"/>
    <w:rsid w:val="00BE0C7D"/>
    <w:rsid w:val="00BE0E56"/>
    <w:rsid w:val="00BF26FD"/>
    <w:rsid w:val="00BF58BB"/>
    <w:rsid w:val="00C0086A"/>
    <w:rsid w:val="00C14281"/>
    <w:rsid w:val="00C75BB9"/>
    <w:rsid w:val="00C8136E"/>
    <w:rsid w:val="00CE2258"/>
    <w:rsid w:val="00CE3A5E"/>
    <w:rsid w:val="00D32628"/>
    <w:rsid w:val="00D33F89"/>
    <w:rsid w:val="00D56BC4"/>
    <w:rsid w:val="00D81ABA"/>
    <w:rsid w:val="00D81E4B"/>
    <w:rsid w:val="00D92403"/>
    <w:rsid w:val="00DA210E"/>
    <w:rsid w:val="00DC4813"/>
    <w:rsid w:val="00DC4FB9"/>
    <w:rsid w:val="00E16985"/>
    <w:rsid w:val="00E26C65"/>
    <w:rsid w:val="00E320CB"/>
    <w:rsid w:val="00E44044"/>
    <w:rsid w:val="00E638E1"/>
    <w:rsid w:val="00E76CF6"/>
    <w:rsid w:val="00E85304"/>
    <w:rsid w:val="00E9767F"/>
    <w:rsid w:val="00EB02C9"/>
    <w:rsid w:val="00EC19B2"/>
    <w:rsid w:val="00EC430E"/>
    <w:rsid w:val="00EF6384"/>
    <w:rsid w:val="00F008A3"/>
    <w:rsid w:val="00F0596D"/>
    <w:rsid w:val="00F57AC4"/>
    <w:rsid w:val="00F63EC9"/>
    <w:rsid w:val="00F713D7"/>
    <w:rsid w:val="00F72A37"/>
    <w:rsid w:val="00F76EE5"/>
    <w:rsid w:val="00FA100F"/>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paragraph" w:styleId="Sangra2detindependiente">
    <w:name w:val="Body Text Indent 2"/>
    <w:basedOn w:val="Normal"/>
    <w:link w:val="Sangra2detindependienteCar"/>
    <w:semiHidden/>
    <w:unhideWhenUsed/>
    <w:rsid w:val="004D209E"/>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4D209E"/>
  </w:style>
  <w:style w:type="table" w:customStyle="1" w:styleId="Tablaconcuadrcula1">
    <w:name w:val="Tabla con cuadrícula1"/>
    <w:basedOn w:val="Tablanormal"/>
    <w:next w:val="Tablaconcuadrcula"/>
    <w:rsid w:val="004D2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paragraph" w:styleId="Sangra2detindependiente">
    <w:name w:val="Body Text Indent 2"/>
    <w:basedOn w:val="Normal"/>
    <w:link w:val="Sangra2detindependienteCar"/>
    <w:semiHidden/>
    <w:unhideWhenUsed/>
    <w:rsid w:val="004D209E"/>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4D209E"/>
  </w:style>
  <w:style w:type="table" w:customStyle="1" w:styleId="Tablaconcuadrcula1">
    <w:name w:val="Tabla con cuadrícula1"/>
    <w:basedOn w:val="Tablanormal"/>
    <w:next w:val="Tablaconcuadrcula"/>
    <w:rsid w:val="004D2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DB64C-0587-411A-B616-C2EC535E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0</TotalTime>
  <Pages>4</Pages>
  <Words>970</Words>
  <Characters>7189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Iñaki De Santiago</cp:lastModifiedBy>
  <cp:revision>2</cp:revision>
  <cp:lastPrinted>2018-10-04T09:14:00Z</cp:lastPrinted>
  <dcterms:created xsi:type="dcterms:W3CDTF">2021-05-28T09:29:00Z</dcterms:created>
  <dcterms:modified xsi:type="dcterms:W3CDTF">2021-05-28T09:29:00Z</dcterms:modified>
</cp:coreProperties>
</file>