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Tuterako Osasun Barrutiko pazienteei osasun-laguntza bermatzearren osasun arloko profesionalak fidelizatzeari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Osasun Batzordearen 2021eko ekainaren 29ko bilkuran ahoz erantzun dezan:</w:t>
      </w:r>
    </w:p>
    <w:p>
      <w:pPr>
        <w:pStyle w:val="0"/>
        <w:suppressAutoHyphens w:val="false"/>
        <w:rPr>
          <w:rStyle w:val="1"/>
        </w:rPr>
      </w:pPr>
      <w:r>
        <w:rPr>
          <w:rStyle w:val="1"/>
        </w:rPr>
        <w:t xml:space="preserve">Tuterako Osasun Barrutiak arazoak dauzka medikuntzako langileak eta osasun arloko beste estamentu batzuetakoak fidelizatzeko. Arazo hori aspaldi pairatzen ari gara, eta ez da konpontzea lortu pediatrian, familiako medikuntzan, erizaintzan edo Oinarrizko Osasun Laguntzako administrazio-langileen arloan. Tuterako Reina Sofia ospitalean, arazoa medikuntzako zenbait espezialitatetan ematen da: dermatologiako osasun-laguntzaren parte bat kanpoan kontratatuta dago, eta profesionalak falta dira beste espezialitate batzuetan, esate baterako nefrologian, non hemodialisiko unitate berriko obrak egiten hasi baitira.</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Plantillak fidelizatzeko gai ez bagara, nola bermatuko zaie osasun-laguntza nefrologia/hemodialisiko, dermatologiako eta bestelako espezialitateetako gaixoei?</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