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octubre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coste del cambio de denominación del Complejo Hospitalario de Navarra,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18 de octubre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al amparo de lo dispuesto en el Reglamento de la Cámara, realiza la siguiente pregunta escrita: </w:t>
      </w:r>
    </w:p>
    <w:p>
      <w:pPr>
        <w:pStyle w:val="0"/>
        <w:suppressAutoHyphens w:val="false"/>
        <w:rPr>
          <w:rStyle w:val="1"/>
        </w:rPr>
      </w:pPr>
      <w:r>
        <w:rPr>
          <w:rStyle w:val="1"/>
        </w:rPr>
        <w:t xml:space="preserve">¿Qué coste va a tener el cambio de denominación del Complejo Hospitalario de Navarra a Hospital Universitario de Navarra en señalización, rotulación, papelería u otros posibles costes añadidos? </w:t>
      </w:r>
    </w:p>
    <w:p>
      <w:pPr>
        <w:pStyle w:val="0"/>
        <w:suppressAutoHyphens w:val="false"/>
        <w:rPr>
          <w:rStyle w:val="1"/>
        </w:rPr>
      </w:pPr>
      <w:r>
        <w:rPr>
          <w:rStyle w:val="1"/>
        </w:rPr>
        <w:t xml:space="preserve">Pamplona, a 13 de octubre de 2021 </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