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176E3" w14:textId="77777777" w:rsidR="001C3A32" w:rsidRPr="00204979" w:rsidRDefault="00FA495F" w:rsidP="00075677">
      <w:pPr>
        <w:pStyle w:val="cuadroCabe"/>
      </w:pPr>
      <w:r>
        <w:rPr>
          <w:noProof/>
        </w:rPr>
        <mc:AlternateContent>
          <mc:Choice Requires="wps">
            <w:drawing>
              <wp:anchor distT="0" distB="0" distL="114300" distR="114300" simplePos="0" relativeHeight="251657728" behindDoc="0" locked="0" layoutInCell="1" allowOverlap="1" wp14:anchorId="1090F6E8" wp14:editId="245CD6E2">
                <wp:simplePos x="0" y="0"/>
                <wp:positionH relativeFrom="column">
                  <wp:posOffset>-151765</wp:posOffset>
                </wp:positionH>
                <wp:positionV relativeFrom="paragraph">
                  <wp:posOffset>-819150</wp:posOffset>
                </wp:positionV>
                <wp:extent cx="1105535" cy="9144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144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3E7AFD2" w14:textId="77777777" w:rsidR="00B3331A" w:rsidRPr="003A7956" w:rsidRDefault="00B3331A" w:rsidP="004C3423">
                            <w:pPr>
                              <w:spacing w:after="0"/>
                              <w:ind w:firstLine="0"/>
                              <w:jc w:val="center"/>
                              <w:rPr>
                                <w:sz w:val="18"/>
                                <w:szCs w:val="18"/>
                              </w:rPr>
                            </w:pPr>
                            <w:r>
                              <w:rPr>
                                <w:sz w:val="18"/>
                                <w:szCs w:val="18"/>
                              </w:rPr>
                              <w:t>CAMARA DE</w:t>
                            </w:r>
                          </w:p>
                          <w:p w14:paraId="7A50F768" w14:textId="77777777" w:rsidR="00B3331A" w:rsidRPr="003A7956" w:rsidRDefault="00B3331A" w:rsidP="004C3423">
                            <w:pPr>
                              <w:spacing w:after="0"/>
                              <w:ind w:firstLine="0"/>
                              <w:jc w:val="center"/>
                              <w:rPr>
                                <w:sz w:val="18"/>
                                <w:szCs w:val="18"/>
                              </w:rPr>
                            </w:pPr>
                            <w:r>
                              <w:rPr>
                                <w:sz w:val="18"/>
                                <w:szCs w:val="18"/>
                              </w:rPr>
                              <w:t>COMPTOS</w:t>
                            </w:r>
                          </w:p>
                          <w:p w14:paraId="0F30551C" w14:textId="77777777" w:rsidR="00B3331A" w:rsidRPr="003A7956" w:rsidRDefault="00B3331A" w:rsidP="004C3423">
                            <w:pPr>
                              <w:spacing w:after="0"/>
                              <w:ind w:firstLine="0"/>
                              <w:jc w:val="center"/>
                              <w:rPr>
                                <w:sz w:val="18"/>
                                <w:szCs w:val="18"/>
                              </w:rPr>
                            </w:pPr>
                            <w:r>
                              <w:rPr>
                                <w:sz w:val="18"/>
                                <w:szCs w:val="18"/>
                              </w:rPr>
                              <w:t>DE NAVARRA</w:t>
                            </w:r>
                          </w:p>
                          <w:p w14:paraId="4C3DBE41" w14:textId="77777777" w:rsidR="00B3331A" w:rsidRPr="003A7956" w:rsidRDefault="00B3331A" w:rsidP="004C3423">
                            <w:pPr>
                              <w:spacing w:after="0"/>
                              <w:ind w:firstLine="0"/>
                              <w:jc w:val="center"/>
                              <w:rPr>
                                <w:color w:val="808080"/>
                                <w:sz w:val="18"/>
                                <w:szCs w:val="18"/>
                              </w:rPr>
                            </w:pPr>
                            <w:r>
                              <w:rPr>
                                <w:color w:val="808080"/>
                                <w:sz w:val="18"/>
                                <w:szCs w:val="18"/>
                              </w:rPr>
                              <w:t>NAFARROAKO</w:t>
                            </w:r>
                          </w:p>
                          <w:p w14:paraId="77B8AE75" w14:textId="77777777" w:rsidR="00B3331A" w:rsidRPr="003A7956" w:rsidRDefault="00B3331A" w:rsidP="004C3423">
                            <w:pPr>
                              <w:spacing w:after="0"/>
                              <w:ind w:firstLine="0"/>
                              <w:jc w:val="center"/>
                              <w:rPr>
                                <w:color w:val="808080"/>
                                <w:sz w:val="18"/>
                                <w:szCs w:val="18"/>
                              </w:rPr>
                            </w:pPr>
                            <w:r>
                              <w:rPr>
                                <w:color w:val="808080"/>
                                <w:sz w:val="18"/>
                                <w:szCs w:val="18"/>
                              </w:rPr>
                              <w:t>KONTUEN</w:t>
                            </w:r>
                          </w:p>
                          <w:p w14:paraId="0309BF76" w14:textId="77777777" w:rsidR="00B3331A" w:rsidRPr="002C7026" w:rsidRDefault="00B3331A" w:rsidP="002C7026">
                            <w:pPr>
                              <w:spacing w:after="0"/>
                              <w:ind w:firstLine="0"/>
                              <w:jc w:val="center"/>
                              <w:rPr>
                                <w:rFonts w:ascii="Trajan" w:hAnsi="Trajan"/>
                                <w:color w:val="808080"/>
                                <w:sz w:val="18"/>
                                <w:szCs w:val="18"/>
                              </w:rPr>
                            </w:pPr>
                            <w:r>
                              <w:rPr>
                                <w:color w:val="808080"/>
                                <w:sz w:val="18"/>
                                <w:szCs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0F6E8" id="_x0000_t202" coordsize="21600,21600" o:spt="202" path="m,l,21600r21600,l21600,xe">
                <v:stroke joinstyle="miter"/>
                <v:path gradientshapeok="t" o:connecttype="rect"/>
              </v:shapetype>
              <v:shape id="Text Box 7" o:spid="_x0000_s1026" type="#_x0000_t202" style="position:absolute;left:0;text-align:left;margin-left:-11.95pt;margin-top:-64.5pt;width:87.0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" stroked="f" strokecolor="white">
                <v:textbox>
                  <w:txbxContent>
                    <w:p w14:paraId="53E7AFD2" w14:textId="77777777" w:rsidR="00B3331A" w:rsidRPr="003A7956" w:rsidRDefault="00B3331A" w:rsidP="004C3423">
                      <w:pPr>
                        <w:spacing w:after="0"/>
                        <w:ind w:firstLine="0"/>
                        <w:jc w:val="center"/>
                        <w:rPr>
                          <w:sz w:val="18"/>
                          <w:szCs w:val="18"/>
                        </w:rPr>
                      </w:pPr>
                      <w:r>
                        <w:rPr>
                          <w:sz w:val="18"/>
                          <w:szCs w:val="18"/>
                        </w:rPr>
                        <w:t>CAMARA DE</w:t>
                      </w:r>
                    </w:p>
                    <w:p w14:paraId="7A50F768" w14:textId="77777777" w:rsidR="00B3331A" w:rsidRPr="003A7956" w:rsidRDefault="00B3331A" w:rsidP="004C3423">
                      <w:pPr>
                        <w:spacing w:after="0"/>
                        <w:ind w:firstLine="0"/>
                        <w:jc w:val="center"/>
                        <w:rPr>
                          <w:sz w:val="18"/>
                          <w:szCs w:val="18"/>
                        </w:rPr>
                      </w:pPr>
                      <w:r>
                        <w:rPr>
                          <w:sz w:val="18"/>
                          <w:szCs w:val="18"/>
                        </w:rPr>
                        <w:t>COMPTOS</w:t>
                      </w:r>
                    </w:p>
                    <w:p w14:paraId="0F30551C" w14:textId="77777777" w:rsidR="00B3331A" w:rsidRPr="003A7956" w:rsidRDefault="00B3331A" w:rsidP="004C3423">
                      <w:pPr>
                        <w:spacing w:after="0"/>
                        <w:ind w:firstLine="0"/>
                        <w:jc w:val="center"/>
                        <w:rPr>
                          <w:sz w:val="18"/>
                          <w:szCs w:val="18"/>
                        </w:rPr>
                      </w:pPr>
                      <w:r>
                        <w:rPr>
                          <w:sz w:val="18"/>
                          <w:szCs w:val="18"/>
                        </w:rPr>
                        <w:t>DE NAVARRA</w:t>
                      </w:r>
                    </w:p>
                    <w:p w14:paraId="4C3DBE41" w14:textId="77777777" w:rsidR="00B3331A" w:rsidRPr="003A7956" w:rsidRDefault="00B3331A" w:rsidP="004C3423">
                      <w:pPr>
                        <w:spacing w:after="0"/>
                        <w:ind w:firstLine="0"/>
                        <w:jc w:val="center"/>
                        <w:rPr>
                          <w:color w:val="808080"/>
                          <w:sz w:val="18"/>
                          <w:szCs w:val="18"/>
                        </w:rPr>
                      </w:pPr>
                      <w:r>
                        <w:rPr>
                          <w:color w:val="808080"/>
                          <w:sz w:val="18"/>
                          <w:szCs w:val="18"/>
                        </w:rPr>
                        <w:t>NAFARROAKO</w:t>
                      </w:r>
                    </w:p>
                    <w:p w14:paraId="77B8AE75" w14:textId="77777777" w:rsidR="00B3331A" w:rsidRPr="003A7956" w:rsidRDefault="00B3331A" w:rsidP="004C3423">
                      <w:pPr>
                        <w:spacing w:after="0"/>
                        <w:ind w:firstLine="0"/>
                        <w:jc w:val="center"/>
                        <w:rPr>
                          <w:color w:val="808080"/>
                          <w:sz w:val="18"/>
                          <w:szCs w:val="18"/>
                        </w:rPr>
                      </w:pPr>
                      <w:r>
                        <w:rPr>
                          <w:color w:val="808080"/>
                          <w:sz w:val="18"/>
                          <w:szCs w:val="18"/>
                        </w:rPr>
                        <w:t>KONTUEN</w:t>
                      </w:r>
                    </w:p>
                    <w:p w14:paraId="0309BF76" w14:textId="77777777" w:rsidR="00B3331A" w:rsidRPr="002C7026" w:rsidRDefault="00B3331A" w:rsidP="002C7026">
                      <w:pPr>
                        <w:spacing w:after="0"/>
                        <w:ind w:firstLine="0"/>
                        <w:jc w:val="center"/>
                        <w:rPr>
                          <w:rFonts w:ascii="Trajan" w:hAnsi="Trajan"/>
                          <w:color w:val="808080"/>
                          <w:sz w:val="18"/>
                          <w:szCs w:val="18"/>
                        </w:rPr>
                      </w:pPr>
                      <w:r>
                        <w:rPr>
                          <w:color w:val="808080"/>
                          <w:sz w:val="18"/>
                          <w:szCs w:val="18"/>
                        </w:rPr>
                        <w:t>GANBERA</w:t>
                      </w:r>
                    </w:p>
                  </w:txbxContent>
                </v:textbox>
              </v:shape>
            </w:pict>
          </mc:Fallback>
        </mc:AlternateContent>
      </w:r>
    </w:p>
    <w:p w14:paraId="043AC407" w14:textId="77777777" w:rsidR="00204F99" w:rsidRDefault="00204F99" w:rsidP="00204F99">
      <w:pPr>
        <w:pStyle w:val="EstiloPortada"/>
        <w:ind w:left="4253" w:right="-425"/>
        <w:rPr>
          <w:sz w:val="44"/>
          <w:szCs w:val="44"/>
        </w:rPr>
      </w:pPr>
    </w:p>
    <w:p w14:paraId="5D7EE0B0" w14:textId="77777777" w:rsidR="00EA408D" w:rsidRDefault="00EA408D" w:rsidP="00204F99">
      <w:pPr>
        <w:pStyle w:val="EstiloPortada"/>
        <w:ind w:left="4253" w:right="-425"/>
        <w:rPr>
          <w:sz w:val="44"/>
          <w:szCs w:val="44"/>
        </w:rPr>
      </w:pPr>
    </w:p>
    <w:p w14:paraId="677E96DA" w14:textId="7AA5B69E" w:rsidR="00204F99" w:rsidRPr="00204F99" w:rsidRDefault="00204F99" w:rsidP="00D746D1">
      <w:pPr>
        <w:pStyle w:val="EstiloPortada"/>
        <w:ind w:left="2268" w:right="-425"/>
        <w:rPr>
          <w:sz w:val="44"/>
          <w:szCs w:val="44"/>
        </w:rPr>
      </w:pPr>
      <w:r>
        <w:rPr>
          <w:sz w:val="44"/>
          <w:szCs w:val="44"/>
        </w:rPr>
        <w:t>Nafarroako Foru Komunitateko</w:t>
      </w:r>
      <w:r w:rsidR="00EA1666">
        <w:rPr>
          <w:sz w:val="44"/>
          <w:szCs w:val="44"/>
        </w:rPr>
        <w:br/>
      </w:r>
      <w:r>
        <w:rPr>
          <w:sz w:val="44"/>
          <w:szCs w:val="44"/>
        </w:rPr>
        <w:t>Administrazioak enpresa pribatuei emandako dirulaguntzak, 2020</w:t>
      </w:r>
    </w:p>
    <w:p w14:paraId="7E6E1E01" w14:textId="77777777" w:rsidR="001C3A32" w:rsidRPr="00204979" w:rsidRDefault="001C3A32" w:rsidP="00891D73">
      <w:pPr>
        <w:pStyle w:val="texto"/>
      </w:pPr>
    </w:p>
    <w:p w14:paraId="61821362" w14:textId="77777777" w:rsidR="001C3A32" w:rsidRPr="00204979" w:rsidRDefault="001C3A32" w:rsidP="00891D73">
      <w:pPr>
        <w:pStyle w:val="texto"/>
      </w:pPr>
    </w:p>
    <w:p w14:paraId="562E7CBA" w14:textId="77777777" w:rsidR="002F2530" w:rsidRPr="00204979" w:rsidRDefault="002F2530" w:rsidP="00891D73">
      <w:pPr>
        <w:pStyle w:val="texto"/>
      </w:pPr>
    </w:p>
    <w:p w14:paraId="5073DB83" w14:textId="77777777" w:rsidR="002F2530" w:rsidRPr="00204979" w:rsidRDefault="002F2530" w:rsidP="00891D73">
      <w:pPr>
        <w:pStyle w:val="texto"/>
      </w:pPr>
    </w:p>
    <w:p w14:paraId="07B918AB" w14:textId="77777777" w:rsidR="001C3A32" w:rsidRPr="00204979" w:rsidRDefault="001C3A32" w:rsidP="00891D73">
      <w:pPr>
        <w:pStyle w:val="texto"/>
      </w:pPr>
    </w:p>
    <w:p w14:paraId="62F4170F" w14:textId="77777777" w:rsidR="001C3A32" w:rsidRPr="00204979" w:rsidRDefault="001C3A32" w:rsidP="00891D73">
      <w:pPr>
        <w:pStyle w:val="texto"/>
      </w:pPr>
    </w:p>
    <w:p w14:paraId="49258A77" w14:textId="77777777" w:rsidR="001C3A32" w:rsidRPr="00204979" w:rsidRDefault="001C3A32" w:rsidP="00891D73">
      <w:pPr>
        <w:pStyle w:val="texto"/>
      </w:pPr>
    </w:p>
    <w:p w14:paraId="403DE646" w14:textId="77777777" w:rsidR="001C3A32" w:rsidRPr="00204979" w:rsidRDefault="001C3A32" w:rsidP="00891D73">
      <w:pPr>
        <w:pStyle w:val="texto"/>
      </w:pPr>
    </w:p>
    <w:p w14:paraId="21B7EC9D" w14:textId="77777777" w:rsidR="001C3A32" w:rsidRPr="00204979" w:rsidRDefault="001C3A32" w:rsidP="00891D73">
      <w:pPr>
        <w:pStyle w:val="texto"/>
      </w:pPr>
    </w:p>
    <w:p w14:paraId="27FD0D11" w14:textId="77777777" w:rsidR="001C3A32" w:rsidRPr="00204979" w:rsidRDefault="001C3A32" w:rsidP="00891D73">
      <w:pPr>
        <w:pStyle w:val="texto"/>
      </w:pPr>
    </w:p>
    <w:p w14:paraId="31EB0A56" w14:textId="77777777" w:rsidR="001C3A32" w:rsidRPr="00204979" w:rsidRDefault="001C3A32" w:rsidP="00891D73">
      <w:pPr>
        <w:pStyle w:val="texto"/>
      </w:pPr>
    </w:p>
    <w:p w14:paraId="20F851D2" w14:textId="77777777" w:rsidR="001C3A32" w:rsidRPr="00204979" w:rsidRDefault="001C3A32" w:rsidP="00891D73">
      <w:pPr>
        <w:pStyle w:val="texto"/>
      </w:pPr>
    </w:p>
    <w:p w14:paraId="7167B130" w14:textId="77777777" w:rsidR="00844F74" w:rsidRPr="00204979" w:rsidRDefault="00844F74" w:rsidP="00891D73">
      <w:pPr>
        <w:pStyle w:val="texto"/>
      </w:pPr>
    </w:p>
    <w:p w14:paraId="32057EB7" w14:textId="77777777" w:rsidR="00844F74" w:rsidRPr="00204979" w:rsidRDefault="00844F74" w:rsidP="00891D73">
      <w:pPr>
        <w:pStyle w:val="texto"/>
      </w:pPr>
    </w:p>
    <w:p w14:paraId="17DB0B20" w14:textId="77777777" w:rsidR="00716463" w:rsidRPr="001D4F09" w:rsidRDefault="005D3454" w:rsidP="009936FC">
      <w:pPr>
        <w:pStyle w:val="Fechaportada"/>
      </w:pPr>
      <w:r>
        <w:t>2021eko iraila</w:t>
      </w:r>
    </w:p>
    <w:p w14:paraId="49467988"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2FB12502" w14:textId="77777777" w:rsidR="001C3A32" w:rsidRDefault="00891D73" w:rsidP="00891D73">
      <w:pPr>
        <w:pStyle w:val="ndice"/>
      </w:pPr>
      <w:r>
        <w:lastRenderedPageBreak/>
        <w:t>Aurkibidea</w:t>
      </w:r>
    </w:p>
    <w:p w14:paraId="39E585F5" w14:textId="77777777" w:rsidR="002A1BED"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86129293" w:history="1">
        <w:r w:rsidR="002A1BED" w:rsidRPr="000634EC">
          <w:rPr>
            <w:rStyle w:val="Hipervnculo"/>
            <w:noProof/>
          </w:rPr>
          <w:t>I. Sarrera</w:t>
        </w:r>
        <w:r w:rsidR="002A1BED">
          <w:rPr>
            <w:noProof/>
            <w:webHidden/>
          </w:rPr>
          <w:tab/>
        </w:r>
        <w:r w:rsidR="002A1BED">
          <w:rPr>
            <w:noProof/>
            <w:webHidden/>
          </w:rPr>
          <w:fldChar w:fldCharType="begin"/>
        </w:r>
        <w:r w:rsidR="002A1BED">
          <w:rPr>
            <w:noProof/>
            <w:webHidden/>
          </w:rPr>
          <w:instrText xml:space="preserve"> PAGEREF _Toc86129293 \h </w:instrText>
        </w:r>
        <w:r w:rsidR="002A1BED">
          <w:rPr>
            <w:noProof/>
            <w:webHidden/>
          </w:rPr>
        </w:r>
        <w:r w:rsidR="002A1BED">
          <w:rPr>
            <w:noProof/>
            <w:webHidden/>
          </w:rPr>
          <w:fldChar w:fldCharType="separate"/>
        </w:r>
        <w:r w:rsidR="002A1BED">
          <w:rPr>
            <w:noProof/>
            <w:webHidden/>
          </w:rPr>
          <w:t>3</w:t>
        </w:r>
        <w:r w:rsidR="002A1BED">
          <w:rPr>
            <w:noProof/>
            <w:webHidden/>
          </w:rPr>
          <w:fldChar w:fldCharType="end"/>
        </w:r>
      </w:hyperlink>
    </w:p>
    <w:p w14:paraId="3550E5BD" w14:textId="77777777" w:rsidR="002A1BED" w:rsidRDefault="00EA1666">
      <w:pPr>
        <w:pStyle w:val="TDC1"/>
        <w:rPr>
          <w:rFonts w:asciiTheme="minorHAnsi" w:eastAsiaTheme="minorEastAsia" w:hAnsiTheme="minorHAnsi" w:cstheme="minorBidi"/>
          <w:smallCaps w:val="0"/>
          <w:noProof/>
          <w:szCs w:val="22"/>
          <w:lang w:val="es-ES" w:eastAsia="es-ES"/>
        </w:rPr>
      </w:pPr>
      <w:hyperlink w:anchor="_Toc86129294" w:history="1">
        <w:r w:rsidR="002A1BED" w:rsidRPr="000634EC">
          <w:rPr>
            <w:rStyle w:val="Hipervnculo"/>
            <w:noProof/>
          </w:rPr>
          <w:t>II. Nafarroako Foru Komunitateko Administrazioak enpresa pribatuei emandako dirulaguntzak</w:t>
        </w:r>
        <w:r w:rsidR="002A1BED">
          <w:rPr>
            <w:noProof/>
            <w:webHidden/>
          </w:rPr>
          <w:tab/>
        </w:r>
        <w:r w:rsidR="002A1BED">
          <w:rPr>
            <w:noProof/>
            <w:webHidden/>
          </w:rPr>
          <w:fldChar w:fldCharType="begin"/>
        </w:r>
        <w:r w:rsidR="002A1BED">
          <w:rPr>
            <w:noProof/>
            <w:webHidden/>
          </w:rPr>
          <w:instrText xml:space="preserve"> PAGEREF _Toc86129294 \h </w:instrText>
        </w:r>
        <w:r w:rsidR="002A1BED">
          <w:rPr>
            <w:noProof/>
            <w:webHidden/>
          </w:rPr>
        </w:r>
        <w:r w:rsidR="002A1BED">
          <w:rPr>
            <w:noProof/>
            <w:webHidden/>
          </w:rPr>
          <w:fldChar w:fldCharType="separate"/>
        </w:r>
        <w:r w:rsidR="002A1BED">
          <w:rPr>
            <w:noProof/>
            <w:webHidden/>
          </w:rPr>
          <w:t>4</w:t>
        </w:r>
        <w:r w:rsidR="002A1BED">
          <w:rPr>
            <w:noProof/>
            <w:webHidden/>
          </w:rPr>
          <w:fldChar w:fldCharType="end"/>
        </w:r>
      </w:hyperlink>
    </w:p>
    <w:p w14:paraId="7B8A666A" w14:textId="77777777" w:rsidR="002A1BED" w:rsidRDefault="00EA1666">
      <w:pPr>
        <w:pStyle w:val="TDC2"/>
        <w:rPr>
          <w:rFonts w:asciiTheme="minorHAnsi" w:eastAsiaTheme="minorEastAsia" w:hAnsiTheme="minorHAnsi" w:cstheme="minorBidi"/>
          <w:noProof/>
          <w:szCs w:val="22"/>
          <w:lang w:val="es-ES" w:eastAsia="es-ES"/>
        </w:rPr>
      </w:pPr>
      <w:hyperlink w:anchor="_Toc86129295" w:history="1">
        <w:r w:rsidR="002A1BED" w:rsidRPr="000634EC">
          <w:rPr>
            <w:rStyle w:val="Hipervnculo"/>
            <w:noProof/>
          </w:rPr>
          <w:t>II.1. Enpresa pribatuentzako transferentziengatiko gastua</w:t>
        </w:r>
        <w:r w:rsidR="002A1BED">
          <w:rPr>
            <w:noProof/>
            <w:webHidden/>
          </w:rPr>
          <w:tab/>
        </w:r>
        <w:r w:rsidR="002A1BED">
          <w:rPr>
            <w:noProof/>
            <w:webHidden/>
          </w:rPr>
          <w:fldChar w:fldCharType="begin"/>
        </w:r>
        <w:r w:rsidR="002A1BED">
          <w:rPr>
            <w:noProof/>
            <w:webHidden/>
          </w:rPr>
          <w:instrText xml:space="preserve"> PAGEREF _Toc86129295 \h </w:instrText>
        </w:r>
        <w:r w:rsidR="002A1BED">
          <w:rPr>
            <w:noProof/>
            <w:webHidden/>
          </w:rPr>
        </w:r>
        <w:r w:rsidR="002A1BED">
          <w:rPr>
            <w:noProof/>
            <w:webHidden/>
          </w:rPr>
          <w:fldChar w:fldCharType="separate"/>
        </w:r>
        <w:r w:rsidR="002A1BED">
          <w:rPr>
            <w:noProof/>
            <w:webHidden/>
          </w:rPr>
          <w:t>4</w:t>
        </w:r>
        <w:r w:rsidR="002A1BED">
          <w:rPr>
            <w:noProof/>
            <w:webHidden/>
          </w:rPr>
          <w:fldChar w:fldCharType="end"/>
        </w:r>
      </w:hyperlink>
    </w:p>
    <w:p w14:paraId="0787D9C9" w14:textId="77777777" w:rsidR="002A1BED" w:rsidRDefault="00EA1666">
      <w:pPr>
        <w:pStyle w:val="TDC2"/>
        <w:rPr>
          <w:rFonts w:asciiTheme="minorHAnsi" w:eastAsiaTheme="minorEastAsia" w:hAnsiTheme="minorHAnsi" w:cstheme="minorBidi"/>
          <w:noProof/>
          <w:szCs w:val="22"/>
          <w:lang w:val="es-ES" w:eastAsia="es-ES"/>
        </w:rPr>
      </w:pPr>
      <w:hyperlink w:anchor="_Toc86129296" w:history="1">
        <w:r w:rsidR="002A1BED" w:rsidRPr="000634EC">
          <w:rPr>
            <w:rStyle w:val="Hipervnculo"/>
            <w:noProof/>
          </w:rPr>
          <w:t>II.2. Dirulaguntzen plan estrategikoa</w:t>
        </w:r>
        <w:r w:rsidR="002A1BED">
          <w:rPr>
            <w:noProof/>
            <w:webHidden/>
          </w:rPr>
          <w:tab/>
        </w:r>
        <w:r w:rsidR="002A1BED">
          <w:rPr>
            <w:noProof/>
            <w:webHidden/>
          </w:rPr>
          <w:fldChar w:fldCharType="begin"/>
        </w:r>
        <w:r w:rsidR="002A1BED">
          <w:rPr>
            <w:noProof/>
            <w:webHidden/>
          </w:rPr>
          <w:instrText xml:space="preserve"> PAGEREF _Toc86129296 \h </w:instrText>
        </w:r>
        <w:r w:rsidR="002A1BED">
          <w:rPr>
            <w:noProof/>
            <w:webHidden/>
          </w:rPr>
        </w:r>
        <w:r w:rsidR="002A1BED">
          <w:rPr>
            <w:noProof/>
            <w:webHidden/>
          </w:rPr>
          <w:fldChar w:fldCharType="separate"/>
        </w:r>
        <w:r w:rsidR="002A1BED">
          <w:rPr>
            <w:noProof/>
            <w:webHidden/>
          </w:rPr>
          <w:t>8</w:t>
        </w:r>
        <w:r w:rsidR="002A1BED">
          <w:rPr>
            <w:noProof/>
            <w:webHidden/>
          </w:rPr>
          <w:fldChar w:fldCharType="end"/>
        </w:r>
      </w:hyperlink>
    </w:p>
    <w:p w14:paraId="01BAAF71" w14:textId="77777777" w:rsidR="002A1BED" w:rsidRDefault="00EA1666">
      <w:pPr>
        <w:pStyle w:val="TDC2"/>
        <w:rPr>
          <w:rFonts w:asciiTheme="minorHAnsi" w:eastAsiaTheme="minorEastAsia" w:hAnsiTheme="minorHAnsi" w:cstheme="minorBidi"/>
          <w:noProof/>
          <w:szCs w:val="22"/>
          <w:lang w:val="es-ES" w:eastAsia="es-ES"/>
        </w:rPr>
      </w:pPr>
      <w:hyperlink w:anchor="_Toc86129297" w:history="1">
        <w:r w:rsidR="002A1BED" w:rsidRPr="000634EC">
          <w:rPr>
            <w:rStyle w:val="Hipervnculo"/>
            <w:noProof/>
          </w:rPr>
          <w:t>II.3. Aplikatzekoa den esparru juridikoa</w:t>
        </w:r>
        <w:r w:rsidR="002A1BED">
          <w:rPr>
            <w:noProof/>
            <w:webHidden/>
          </w:rPr>
          <w:tab/>
        </w:r>
        <w:r w:rsidR="002A1BED">
          <w:rPr>
            <w:noProof/>
            <w:webHidden/>
          </w:rPr>
          <w:fldChar w:fldCharType="begin"/>
        </w:r>
        <w:r w:rsidR="002A1BED">
          <w:rPr>
            <w:noProof/>
            <w:webHidden/>
          </w:rPr>
          <w:instrText xml:space="preserve"> PAGEREF _Toc86129297 \h </w:instrText>
        </w:r>
        <w:r w:rsidR="002A1BED">
          <w:rPr>
            <w:noProof/>
            <w:webHidden/>
          </w:rPr>
        </w:r>
        <w:r w:rsidR="002A1BED">
          <w:rPr>
            <w:noProof/>
            <w:webHidden/>
          </w:rPr>
          <w:fldChar w:fldCharType="separate"/>
        </w:r>
        <w:r w:rsidR="002A1BED">
          <w:rPr>
            <w:noProof/>
            <w:webHidden/>
          </w:rPr>
          <w:t>10</w:t>
        </w:r>
        <w:r w:rsidR="002A1BED">
          <w:rPr>
            <w:noProof/>
            <w:webHidden/>
          </w:rPr>
          <w:fldChar w:fldCharType="end"/>
        </w:r>
      </w:hyperlink>
    </w:p>
    <w:p w14:paraId="71E93719" w14:textId="77777777" w:rsidR="002A1BED" w:rsidRDefault="00EA1666">
      <w:pPr>
        <w:pStyle w:val="TDC1"/>
        <w:rPr>
          <w:rFonts w:asciiTheme="minorHAnsi" w:eastAsiaTheme="minorEastAsia" w:hAnsiTheme="minorHAnsi" w:cstheme="minorBidi"/>
          <w:smallCaps w:val="0"/>
          <w:noProof/>
          <w:szCs w:val="22"/>
          <w:lang w:val="es-ES" w:eastAsia="es-ES"/>
        </w:rPr>
      </w:pPr>
      <w:hyperlink w:anchor="_Toc86129298" w:history="1">
        <w:r w:rsidR="002A1BED" w:rsidRPr="000634EC">
          <w:rPr>
            <w:rStyle w:val="Hipervnculo"/>
            <w:noProof/>
          </w:rPr>
          <w:t>III. Helburuak eta norainokoa</w:t>
        </w:r>
        <w:r w:rsidR="002A1BED">
          <w:rPr>
            <w:noProof/>
            <w:webHidden/>
          </w:rPr>
          <w:tab/>
        </w:r>
        <w:r w:rsidR="002A1BED">
          <w:rPr>
            <w:noProof/>
            <w:webHidden/>
          </w:rPr>
          <w:fldChar w:fldCharType="begin"/>
        </w:r>
        <w:r w:rsidR="002A1BED">
          <w:rPr>
            <w:noProof/>
            <w:webHidden/>
          </w:rPr>
          <w:instrText xml:space="preserve"> PAGEREF _Toc86129298 \h </w:instrText>
        </w:r>
        <w:r w:rsidR="002A1BED">
          <w:rPr>
            <w:noProof/>
            <w:webHidden/>
          </w:rPr>
        </w:r>
        <w:r w:rsidR="002A1BED">
          <w:rPr>
            <w:noProof/>
            <w:webHidden/>
          </w:rPr>
          <w:fldChar w:fldCharType="separate"/>
        </w:r>
        <w:r w:rsidR="002A1BED">
          <w:rPr>
            <w:noProof/>
            <w:webHidden/>
          </w:rPr>
          <w:t>12</w:t>
        </w:r>
        <w:r w:rsidR="002A1BED">
          <w:rPr>
            <w:noProof/>
            <w:webHidden/>
          </w:rPr>
          <w:fldChar w:fldCharType="end"/>
        </w:r>
      </w:hyperlink>
    </w:p>
    <w:p w14:paraId="1AF3AB01" w14:textId="77777777" w:rsidR="002A1BED" w:rsidRDefault="00EA1666">
      <w:pPr>
        <w:pStyle w:val="TDC1"/>
        <w:rPr>
          <w:rFonts w:asciiTheme="minorHAnsi" w:eastAsiaTheme="minorEastAsia" w:hAnsiTheme="minorHAnsi" w:cstheme="minorBidi"/>
          <w:smallCaps w:val="0"/>
          <w:noProof/>
          <w:szCs w:val="22"/>
          <w:lang w:val="es-ES" w:eastAsia="es-ES"/>
        </w:rPr>
      </w:pPr>
      <w:hyperlink w:anchor="_Toc86129299" w:history="1">
        <w:r w:rsidR="002A1BED" w:rsidRPr="000634EC">
          <w:rPr>
            <w:rStyle w:val="Hipervnculo"/>
            <w:noProof/>
          </w:rPr>
          <w:t>IV. Konklusioak eta gomendioak</w:t>
        </w:r>
        <w:r w:rsidR="002A1BED">
          <w:rPr>
            <w:noProof/>
            <w:webHidden/>
          </w:rPr>
          <w:tab/>
        </w:r>
        <w:r w:rsidR="002A1BED">
          <w:rPr>
            <w:noProof/>
            <w:webHidden/>
          </w:rPr>
          <w:fldChar w:fldCharType="begin"/>
        </w:r>
        <w:r w:rsidR="002A1BED">
          <w:rPr>
            <w:noProof/>
            <w:webHidden/>
          </w:rPr>
          <w:instrText xml:space="preserve"> PAGEREF _Toc86129299 \h </w:instrText>
        </w:r>
        <w:r w:rsidR="002A1BED">
          <w:rPr>
            <w:noProof/>
            <w:webHidden/>
          </w:rPr>
        </w:r>
        <w:r w:rsidR="002A1BED">
          <w:rPr>
            <w:noProof/>
            <w:webHidden/>
          </w:rPr>
          <w:fldChar w:fldCharType="separate"/>
        </w:r>
        <w:r w:rsidR="002A1BED">
          <w:rPr>
            <w:noProof/>
            <w:webHidden/>
          </w:rPr>
          <w:t>15</w:t>
        </w:r>
        <w:r w:rsidR="002A1BED">
          <w:rPr>
            <w:noProof/>
            <w:webHidden/>
          </w:rPr>
          <w:fldChar w:fldCharType="end"/>
        </w:r>
      </w:hyperlink>
    </w:p>
    <w:p w14:paraId="10F40594" w14:textId="77777777" w:rsidR="002A1BED" w:rsidRDefault="00EA1666">
      <w:pPr>
        <w:pStyle w:val="TDC2"/>
        <w:rPr>
          <w:rFonts w:asciiTheme="minorHAnsi" w:eastAsiaTheme="minorEastAsia" w:hAnsiTheme="minorHAnsi" w:cstheme="minorBidi"/>
          <w:noProof/>
          <w:szCs w:val="22"/>
          <w:lang w:val="es-ES" w:eastAsia="es-ES"/>
        </w:rPr>
      </w:pPr>
      <w:hyperlink w:anchor="_Toc86129300" w:history="1">
        <w:r w:rsidR="002A1BED" w:rsidRPr="000634EC">
          <w:rPr>
            <w:rStyle w:val="Hipervnculo"/>
            <w:noProof/>
          </w:rPr>
          <w:t>IV.1. Legediaren betetzearen fiskalizazio-iritzia</w:t>
        </w:r>
        <w:r w:rsidR="002A1BED">
          <w:rPr>
            <w:noProof/>
            <w:webHidden/>
          </w:rPr>
          <w:tab/>
        </w:r>
        <w:r w:rsidR="002A1BED">
          <w:rPr>
            <w:noProof/>
            <w:webHidden/>
          </w:rPr>
          <w:fldChar w:fldCharType="begin"/>
        </w:r>
        <w:r w:rsidR="002A1BED">
          <w:rPr>
            <w:noProof/>
            <w:webHidden/>
          </w:rPr>
          <w:instrText xml:space="preserve"> PAGEREF _Toc86129300 \h </w:instrText>
        </w:r>
        <w:r w:rsidR="002A1BED">
          <w:rPr>
            <w:noProof/>
            <w:webHidden/>
          </w:rPr>
        </w:r>
        <w:r w:rsidR="002A1BED">
          <w:rPr>
            <w:noProof/>
            <w:webHidden/>
          </w:rPr>
          <w:fldChar w:fldCharType="separate"/>
        </w:r>
        <w:r w:rsidR="002A1BED">
          <w:rPr>
            <w:noProof/>
            <w:webHidden/>
          </w:rPr>
          <w:t>16</w:t>
        </w:r>
        <w:r w:rsidR="002A1BED">
          <w:rPr>
            <w:noProof/>
            <w:webHidden/>
          </w:rPr>
          <w:fldChar w:fldCharType="end"/>
        </w:r>
      </w:hyperlink>
    </w:p>
    <w:p w14:paraId="7C86CBCA" w14:textId="77777777" w:rsidR="002A1BED" w:rsidRDefault="00EA1666">
      <w:pPr>
        <w:pStyle w:val="TDC2"/>
        <w:rPr>
          <w:rFonts w:asciiTheme="minorHAnsi" w:eastAsiaTheme="minorEastAsia" w:hAnsiTheme="minorHAnsi" w:cstheme="minorBidi"/>
          <w:noProof/>
          <w:szCs w:val="22"/>
          <w:lang w:val="es-ES" w:eastAsia="es-ES"/>
        </w:rPr>
      </w:pPr>
      <w:hyperlink w:anchor="_Toc86129301" w:history="1">
        <w:r w:rsidR="002A1BED" w:rsidRPr="000634EC">
          <w:rPr>
            <w:rStyle w:val="Hipervnculo"/>
            <w:noProof/>
          </w:rPr>
          <w:t>IV.2. Fiskalizazio finantzarioko iritzia</w:t>
        </w:r>
        <w:r w:rsidR="002A1BED">
          <w:rPr>
            <w:noProof/>
            <w:webHidden/>
          </w:rPr>
          <w:tab/>
        </w:r>
        <w:r w:rsidR="002A1BED">
          <w:rPr>
            <w:noProof/>
            <w:webHidden/>
          </w:rPr>
          <w:fldChar w:fldCharType="begin"/>
        </w:r>
        <w:r w:rsidR="002A1BED">
          <w:rPr>
            <w:noProof/>
            <w:webHidden/>
          </w:rPr>
          <w:instrText xml:space="preserve"> PAGEREF _Toc86129301 \h </w:instrText>
        </w:r>
        <w:r w:rsidR="002A1BED">
          <w:rPr>
            <w:noProof/>
            <w:webHidden/>
          </w:rPr>
        </w:r>
        <w:r w:rsidR="002A1BED">
          <w:rPr>
            <w:noProof/>
            <w:webHidden/>
          </w:rPr>
          <w:fldChar w:fldCharType="separate"/>
        </w:r>
        <w:r w:rsidR="002A1BED">
          <w:rPr>
            <w:noProof/>
            <w:webHidden/>
          </w:rPr>
          <w:t>19</w:t>
        </w:r>
        <w:r w:rsidR="002A1BED">
          <w:rPr>
            <w:noProof/>
            <w:webHidden/>
          </w:rPr>
          <w:fldChar w:fldCharType="end"/>
        </w:r>
      </w:hyperlink>
    </w:p>
    <w:p w14:paraId="5A44FA18" w14:textId="77777777" w:rsidR="002A1BED" w:rsidRDefault="00EA1666">
      <w:pPr>
        <w:pStyle w:val="TDC2"/>
        <w:rPr>
          <w:rFonts w:asciiTheme="minorHAnsi" w:eastAsiaTheme="minorEastAsia" w:hAnsiTheme="minorHAnsi" w:cstheme="minorBidi"/>
          <w:noProof/>
          <w:szCs w:val="22"/>
          <w:lang w:val="es-ES" w:eastAsia="es-ES"/>
        </w:rPr>
      </w:pPr>
      <w:hyperlink w:anchor="_Toc86129302" w:history="1">
        <w:r w:rsidR="002A1BED" w:rsidRPr="000634EC">
          <w:rPr>
            <w:rStyle w:val="Hipervnculo"/>
            <w:noProof/>
          </w:rPr>
          <w:t>IV.3. Dirulaguntzei buruzko plan estrategikoaren analisia.</w:t>
        </w:r>
        <w:r w:rsidR="002A1BED">
          <w:rPr>
            <w:noProof/>
            <w:webHidden/>
          </w:rPr>
          <w:tab/>
        </w:r>
        <w:r w:rsidR="002A1BED">
          <w:rPr>
            <w:noProof/>
            <w:webHidden/>
          </w:rPr>
          <w:fldChar w:fldCharType="begin"/>
        </w:r>
        <w:r w:rsidR="002A1BED">
          <w:rPr>
            <w:noProof/>
            <w:webHidden/>
          </w:rPr>
          <w:instrText xml:space="preserve"> PAGEREF _Toc86129302 \h </w:instrText>
        </w:r>
        <w:r w:rsidR="002A1BED">
          <w:rPr>
            <w:noProof/>
            <w:webHidden/>
          </w:rPr>
        </w:r>
        <w:r w:rsidR="002A1BED">
          <w:rPr>
            <w:noProof/>
            <w:webHidden/>
          </w:rPr>
          <w:fldChar w:fldCharType="separate"/>
        </w:r>
        <w:r w:rsidR="002A1BED">
          <w:rPr>
            <w:noProof/>
            <w:webHidden/>
          </w:rPr>
          <w:t>19</w:t>
        </w:r>
        <w:r w:rsidR="002A1BED">
          <w:rPr>
            <w:noProof/>
            <w:webHidden/>
          </w:rPr>
          <w:fldChar w:fldCharType="end"/>
        </w:r>
      </w:hyperlink>
    </w:p>
    <w:p w14:paraId="233B5259" w14:textId="77777777" w:rsidR="002A1BED" w:rsidRDefault="00EA1666">
      <w:pPr>
        <w:pStyle w:val="TDC2"/>
        <w:rPr>
          <w:rFonts w:asciiTheme="minorHAnsi" w:eastAsiaTheme="minorEastAsia" w:hAnsiTheme="minorHAnsi" w:cstheme="minorBidi"/>
          <w:noProof/>
          <w:szCs w:val="22"/>
          <w:lang w:val="es-ES" w:eastAsia="es-ES"/>
        </w:rPr>
      </w:pPr>
      <w:hyperlink w:anchor="_Toc86129303" w:history="1">
        <w:r w:rsidR="002A1BED" w:rsidRPr="000634EC">
          <w:rPr>
            <w:rStyle w:val="Hipervnculo"/>
            <w:noProof/>
          </w:rPr>
          <w:t>IV.4. Amaierako konklusioa eta gomendioak</w:t>
        </w:r>
        <w:r w:rsidR="002A1BED">
          <w:rPr>
            <w:noProof/>
            <w:webHidden/>
          </w:rPr>
          <w:tab/>
        </w:r>
        <w:r w:rsidR="002A1BED">
          <w:rPr>
            <w:noProof/>
            <w:webHidden/>
          </w:rPr>
          <w:fldChar w:fldCharType="begin"/>
        </w:r>
        <w:r w:rsidR="002A1BED">
          <w:rPr>
            <w:noProof/>
            <w:webHidden/>
          </w:rPr>
          <w:instrText xml:space="preserve"> PAGEREF _Toc86129303 \h </w:instrText>
        </w:r>
        <w:r w:rsidR="002A1BED">
          <w:rPr>
            <w:noProof/>
            <w:webHidden/>
          </w:rPr>
        </w:r>
        <w:r w:rsidR="002A1BED">
          <w:rPr>
            <w:noProof/>
            <w:webHidden/>
          </w:rPr>
          <w:fldChar w:fldCharType="separate"/>
        </w:r>
        <w:r w:rsidR="002A1BED">
          <w:rPr>
            <w:noProof/>
            <w:webHidden/>
          </w:rPr>
          <w:t>21</w:t>
        </w:r>
        <w:r w:rsidR="002A1BED">
          <w:rPr>
            <w:noProof/>
            <w:webHidden/>
          </w:rPr>
          <w:fldChar w:fldCharType="end"/>
        </w:r>
      </w:hyperlink>
    </w:p>
    <w:p w14:paraId="35D2DBD3" w14:textId="77777777" w:rsidR="002A1BED" w:rsidRDefault="00EA1666">
      <w:pPr>
        <w:pStyle w:val="TDC1"/>
        <w:rPr>
          <w:rFonts w:asciiTheme="minorHAnsi" w:eastAsiaTheme="minorEastAsia" w:hAnsiTheme="minorHAnsi" w:cstheme="minorBidi"/>
          <w:smallCaps w:val="0"/>
          <w:noProof/>
          <w:szCs w:val="22"/>
          <w:lang w:val="es-ES" w:eastAsia="es-ES"/>
        </w:rPr>
      </w:pPr>
      <w:hyperlink w:anchor="_Toc86129304" w:history="1">
        <w:r w:rsidR="002A1BED" w:rsidRPr="000634EC">
          <w:rPr>
            <w:rStyle w:val="Hipervnculo"/>
            <w:noProof/>
          </w:rPr>
          <w:t>1. eranskina.- Berrikusitako deialdien xehakapena</w:t>
        </w:r>
        <w:r w:rsidR="002A1BED">
          <w:rPr>
            <w:noProof/>
            <w:webHidden/>
          </w:rPr>
          <w:tab/>
        </w:r>
        <w:r w:rsidR="002A1BED">
          <w:rPr>
            <w:noProof/>
            <w:webHidden/>
          </w:rPr>
          <w:fldChar w:fldCharType="begin"/>
        </w:r>
        <w:r w:rsidR="002A1BED">
          <w:rPr>
            <w:noProof/>
            <w:webHidden/>
          </w:rPr>
          <w:instrText xml:space="preserve"> PAGEREF _Toc86129304 \h </w:instrText>
        </w:r>
        <w:r w:rsidR="002A1BED">
          <w:rPr>
            <w:noProof/>
            <w:webHidden/>
          </w:rPr>
        </w:r>
        <w:r w:rsidR="002A1BED">
          <w:rPr>
            <w:noProof/>
            <w:webHidden/>
          </w:rPr>
          <w:fldChar w:fldCharType="separate"/>
        </w:r>
        <w:r w:rsidR="002A1BED">
          <w:rPr>
            <w:noProof/>
            <w:webHidden/>
          </w:rPr>
          <w:t>24</w:t>
        </w:r>
        <w:r w:rsidR="002A1BED">
          <w:rPr>
            <w:noProof/>
            <w:webHidden/>
          </w:rPr>
          <w:fldChar w:fldCharType="end"/>
        </w:r>
      </w:hyperlink>
    </w:p>
    <w:p w14:paraId="75481008" w14:textId="77777777" w:rsidR="00891D73" w:rsidRPr="00E703B6" w:rsidRDefault="0014728F" w:rsidP="00C76158">
      <w:pPr>
        <w:pStyle w:val="texto"/>
      </w:pPr>
      <w:r>
        <w:fldChar w:fldCharType="end"/>
      </w:r>
    </w:p>
    <w:p w14:paraId="689BEFB3"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41479C57" w14:textId="77777777" w:rsidR="00204F99" w:rsidRPr="00204F99" w:rsidRDefault="00204F99" w:rsidP="00204F99">
      <w:pPr>
        <w:pStyle w:val="atitulo1"/>
      </w:pPr>
      <w:bookmarkStart w:id="0" w:name="_Toc303592528"/>
      <w:bookmarkStart w:id="1" w:name="_Toc309383711"/>
      <w:bookmarkStart w:id="2" w:name="_Toc339016600"/>
      <w:bookmarkStart w:id="3" w:name="_Toc75857465"/>
      <w:bookmarkStart w:id="4" w:name="_Toc86129293"/>
      <w:r>
        <w:lastRenderedPageBreak/>
        <w:t>I. Sarrera</w:t>
      </w:r>
      <w:bookmarkEnd w:id="0"/>
      <w:bookmarkEnd w:id="1"/>
      <w:bookmarkEnd w:id="2"/>
      <w:bookmarkEnd w:id="3"/>
      <w:bookmarkEnd w:id="4"/>
      <w:r>
        <w:t xml:space="preserve"> </w:t>
      </w:r>
    </w:p>
    <w:p w14:paraId="7345882C" w14:textId="77777777" w:rsidR="00204F99" w:rsidRDefault="00CA6580" w:rsidP="00204F99">
      <w:pPr>
        <w:pStyle w:val="texto"/>
        <w:rPr>
          <w:szCs w:val="26"/>
        </w:rPr>
      </w:pPr>
      <w:r>
        <w:t>2020. urterako onetsitako fiskalizazio-programan, Kontuen Ganberak legeriaren betetzeari buruzko fiskalizazio bat egitea jaso zuen “enpresa pribatuentzako dirulaguntza arruntei eta kapitalekoei buruz”.</w:t>
      </w:r>
    </w:p>
    <w:p w14:paraId="4D8606A1" w14:textId="77777777" w:rsidR="00204F99" w:rsidRPr="008D1EB9" w:rsidRDefault="00204F99" w:rsidP="00204F99">
      <w:pPr>
        <w:pStyle w:val="texto"/>
        <w:tabs>
          <w:tab w:val="clear" w:pos="2835"/>
          <w:tab w:val="clear" w:pos="3969"/>
          <w:tab w:val="clear" w:pos="5103"/>
          <w:tab w:val="clear" w:pos="6237"/>
          <w:tab w:val="clear" w:pos="7371"/>
        </w:tabs>
        <w:rPr>
          <w:szCs w:val="26"/>
        </w:rPr>
      </w:pPr>
      <w:r>
        <w:t>Txostenak lau epigrafe ditu, sarrera hau barne; bigarrenean, Nafarroako Foru Komunitateko Administrazioaren (NFKA, aurrerantzean) transferentzien alderdi orokorrak deskribatzen dira; hirugarrenak txosten honen helburuak eta norainokoa deskribatzen ditu, eta azkena den laugarrenean biltzen dira egindako lanean oinarrituriko konklusioak eta gomendioak. Halaber, eranskin bat badu, berrikusitako deialdien xehetasunekin.</w:t>
      </w:r>
    </w:p>
    <w:p w14:paraId="29B93810" w14:textId="77777777" w:rsidR="00204F99" w:rsidRDefault="00204F99" w:rsidP="00204F99">
      <w:pPr>
        <w:pStyle w:val="texto"/>
        <w:tabs>
          <w:tab w:val="clear" w:pos="2835"/>
          <w:tab w:val="clear" w:pos="3969"/>
          <w:tab w:val="clear" w:pos="5103"/>
          <w:tab w:val="clear" w:pos="6237"/>
          <w:tab w:val="clear" w:pos="7371"/>
        </w:tabs>
        <w:rPr>
          <w:szCs w:val="26"/>
        </w:rPr>
      </w:pPr>
      <w:r>
        <w:t xml:space="preserve">Lana 2021eko apiriletik ekainera bitartean egin zuen auditoretzako bi teknikarik eta sistema informatikoetako erdi mailako teknikari batek eta auditore batek osatutako lantaldeak, Kontuen Ganberaren zerbitzu juridiko eta administratiboen laguntzarekin. </w:t>
      </w:r>
    </w:p>
    <w:p w14:paraId="41A89507" w14:textId="77777777" w:rsidR="009C039F" w:rsidRDefault="00EA408D" w:rsidP="009C039F">
      <w:pPr>
        <w:pStyle w:val="texto"/>
      </w:pPr>
      <w:r>
        <w:t>Nafarroako Kontuen Ganbera arautzen duen 19/1984 Foru Legearen 11. artikuluan jasotakoaren arabera, lan honen emaitzak Ekonomia eta Ogasuneko eta Eskubide Sozialetako kontseilariei jakinarazi zitzaizkien, bai eta Lurraldeko Kohesioko, Unibertsitate, Berrikuntza eta Eraldaketa Digitaleko eta Garapen Ekonomiko eta Enpresarialeko kontseilariei ere, alegazioak aurkez zitzaten. Jarritako epea iraganda, ez da alegaziorik aurkeztu.</w:t>
      </w:r>
    </w:p>
    <w:p w14:paraId="7B6A17DD" w14:textId="77777777" w:rsidR="00204F99" w:rsidRDefault="00204F99" w:rsidP="009C039F">
      <w:pPr>
        <w:pStyle w:val="texto"/>
        <w:rPr>
          <w:szCs w:val="26"/>
        </w:rPr>
      </w:pPr>
      <w:r>
        <w:t>Eskerrak eman nahi dizkiegu NFKAko departamentu eta erakunde autonomoetako langileei lan hau egiterako eman diguten laguntzagatik.</w:t>
      </w:r>
    </w:p>
    <w:p w14:paraId="30226FD3" w14:textId="77777777" w:rsidR="00204F99" w:rsidRPr="00FE73E6" w:rsidRDefault="00204F99" w:rsidP="00204F99">
      <w:pPr>
        <w:pStyle w:val="atitulo1"/>
        <w:rPr>
          <w:b w:val="0"/>
        </w:rPr>
      </w:pPr>
      <w:r>
        <w:br w:type="page"/>
      </w:r>
      <w:bookmarkStart w:id="5" w:name="_Toc188167194"/>
      <w:bookmarkStart w:id="6" w:name="_Toc303592531"/>
      <w:bookmarkStart w:id="7" w:name="_Toc309383714"/>
      <w:bookmarkStart w:id="8" w:name="_Toc339016603"/>
    </w:p>
    <w:p w14:paraId="3428B2EA" w14:textId="77777777" w:rsidR="00204F99" w:rsidRDefault="00204F99" w:rsidP="00204F99">
      <w:pPr>
        <w:pStyle w:val="atitulo1"/>
      </w:pPr>
      <w:bookmarkStart w:id="9" w:name="_Toc75857466"/>
      <w:bookmarkStart w:id="10" w:name="_Toc86129294"/>
      <w:r>
        <w:lastRenderedPageBreak/>
        <w:t>II. Nafarroako Foru Komunitateko Administrazioak enpresa pribatuei emandako dirulaguntzak</w:t>
      </w:r>
      <w:bookmarkEnd w:id="9"/>
      <w:bookmarkEnd w:id="10"/>
      <w:r>
        <w:t xml:space="preserve"> </w:t>
      </w:r>
    </w:p>
    <w:p w14:paraId="18649CDE" w14:textId="77777777" w:rsidR="00B84A46" w:rsidRPr="00204F99" w:rsidRDefault="00125787" w:rsidP="00125787">
      <w:pPr>
        <w:pStyle w:val="texto"/>
        <w:spacing w:after="360"/>
      </w:pPr>
      <w:r>
        <w:t xml:space="preserve">“Transferentzia” terminoak funts publikoak kontraprestaziorik gabe erabiltzea adierazten du, dirulaguntzaren berezko ezaugarriak izan nahiz ez izan. Bestalde, Dirulaguntzei buruzko azaroaren 9ko 11/2005 Foru Legeak (DFL, aurrerantzean), honela definitzen du dirulaguntza: pertsona publiko edo pribatuen alde egindako diruzko xedapen oro da dirulaguntza, baldintza hauek betetzen dituena: onuradunen kontraprestazio zuzenik ez izatea; xede jakin bat betetzeari, proiektu bat egiteari edo jarduera bat burutzeari lotuta egotea; xede gisa jarduera publiko bat edo interes sozial bat sustatzea izatea, edo xede publikoa bultzatzea. </w:t>
      </w:r>
    </w:p>
    <w:p w14:paraId="66E2ACAA" w14:textId="77777777" w:rsidR="00204F99" w:rsidRPr="00204F99" w:rsidRDefault="00204F99" w:rsidP="00204F99">
      <w:pPr>
        <w:pStyle w:val="atitulo2"/>
      </w:pPr>
      <w:bookmarkStart w:id="11" w:name="_Toc75857467"/>
      <w:bookmarkStart w:id="12" w:name="_Toc86129295"/>
      <w:r>
        <w:t>II.1. Enpresa pribatuentzako transferentziengatiko gastua</w:t>
      </w:r>
      <w:bookmarkEnd w:id="11"/>
      <w:bookmarkEnd w:id="12"/>
    </w:p>
    <w:p w14:paraId="2106E28E" w14:textId="77777777" w:rsidR="00204F99" w:rsidRDefault="00204F99" w:rsidP="00204F99">
      <w:pPr>
        <w:pStyle w:val="texto"/>
      </w:pPr>
      <w:r>
        <w:t>2020an, transferentzia arruntei eta kapitalekoei dagokien gastua NFKAren gastuaren ehuneko 40 da.</w:t>
      </w:r>
    </w:p>
    <w:p w14:paraId="202E3189" w14:textId="77777777" w:rsidR="00204F99" w:rsidRDefault="005B3C7C" w:rsidP="00204F99">
      <w:pPr>
        <w:pStyle w:val="texto"/>
      </w:pPr>
      <w:r>
        <w:t xml:space="preserve">Gastu horiek enpresa pribatuei emandako transferentzia arruntak eta kapitalekoak jasotzen dituzte; haien aurrekontu-betetzea, izan ere, honako taula honetan ageri da: </w:t>
      </w:r>
    </w:p>
    <w:p w14:paraId="272F2758" w14:textId="77777777" w:rsidR="00204F99" w:rsidRPr="00482FDF" w:rsidRDefault="00204F99" w:rsidP="00204F99">
      <w:pPr>
        <w:spacing w:after="0"/>
        <w:ind w:firstLine="0"/>
        <w:rPr>
          <w:sz w:val="26"/>
          <w:szCs w:val="26"/>
        </w:rPr>
      </w:pPr>
    </w:p>
    <w:tbl>
      <w:tblPr>
        <w:tblW w:w="8836" w:type="dxa"/>
        <w:jc w:val="center"/>
        <w:tblCellMar>
          <w:left w:w="70" w:type="dxa"/>
          <w:right w:w="70" w:type="dxa"/>
        </w:tblCellMar>
        <w:tblLook w:val="04A0" w:firstRow="1" w:lastRow="0" w:firstColumn="1" w:lastColumn="0" w:noHBand="0" w:noVBand="1"/>
      </w:tblPr>
      <w:tblGrid>
        <w:gridCol w:w="2977"/>
        <w:gridCol w:w="1559"/>
        <w:gridCol w:w="2552"/>
        <w:gridCol w:w="1748"/>
      </w:tblGrid>
      <w:tr w:rsidR="008E3610" w:rsidRPr="009A7648" w14:paraId="25903173" w14:textId="77777777" w:rsidTr="008867A2">
        <w:trPr>
          <w:trHeight w:val="255"/>
          <w:jc w:val="center"/>
        </w:trPr>
        <w:tc>
          <w:tcPr>
            <w:tcW w:w="2977" w:type="dxa"/>
            <w:tcBorders>
              <w:top w:val="single" w:sz="4" w:space="0" w:color="auto"/>
              <w:bottom w:val="single" w:sz="2" w:space="0" w:color="auto"/>
            </w:tcBorders>
            <w:shd w:val="clear" w:color="auto" w:fill="B8CCE4" w:themeFill="accent1" w:themeFillTint="66"/>
            <w:vAlign w:val="center"/>
            <w:hideMark/>
          </w:tcPr>
          <w:p w14:paraId="570514E3" w14:textId="77777777" w:rsidR="008E3610" w:rsidRPr="009A7648" w:rsidRDefault="008E3610" w:rsidP="00CB0BE8">
            <w:pPr>
              <w:pStyle w:val="cuadroCabe"/>
              <w:spacing w:line="240" w:lineRule="auto"/>
            </w:pPr>
            <w:r>
              <w:t xml:space="preserve">Artikuluak </w:t>
            </w:r>
          </w:p>
        </w:tc>
        <w:tc>
          <w:tcPr>
            <w:tcW w:w="1559" w:type="dxa"/>
            <w:tcBorders>
              <w:top w:val="single" w:sz="4" w:space="0" w:color="auto"/>
              <w:bottom w:val="single" w:sz="2" w:space="0" w:color="auto"/>
            </w:tcBorders>
            <w:shd w:val="clear" w:color="auto" w:fill="B8CCE4" w:themeFill="accent1" w:themeFillTint="66"/>
            <w:vAlign w:val="center"/>
            <w:hideMark/>
          </w:tcPr>
          <w:p w14:paraId="78FF31F6" w14:textId="77777777" w:rsidR="008E3610" w:rsidRPr="009A7648" w:rsidRDefault="008E3610" w:rsidP="008867A2">
            <w:pPr>
              <w:pStyle w:val="cuadroCabe"/>
              <w:spacing w:line="240" w:lineRule="auto"/>
              <w:jc w:val="right"/>
            </w:pPr>
            <w:r>
              <w:t>Amaierako kredituak</w:t>
            </w:r>
          </w:p>
        </w:tc>
        <w:tc>
          <w:tcPr>
            <w:tcW w:w="2552" w:type="dxa"/>
            <w:tcBorders>
              <w:top w:val="single" w:sz="4" w:space="0" w:color="auto"/>
              <w:bottom w:val="single" w:sz="2" w:space="0" w:color="auto"/>
            </w:tcBorders>
            <w:shd w:val="clear" w:color="auto" w:fill="B8CCE4" w:themeFill="accent1" w:themeFillTint="66"/>
            <w:vAlign w:val="center"/>
            <w:hideMark/>
          </w:tcPr>
          <w:p w14:paraId="712CA0FA" w14:textId="77777777" w:rsidR="008E3610" w:rsidRPr="009A7648" w:rsidRDefault="008E3610" w:rsidP="008867A2">
            <w:pPr>
              <w:pStyle w:val="cuadroCabe"/>
              <w:spacing w:line="240" w:lineRule="auto"/>
              <w:jc w:val="right"/>
            </w:pPr>
            <w:r>
              <w:t>Aitortutako betebehar garbiak</w:t>
            </w:r>
          </w:p>
        </w:tc>
        <w:tc>
          <w:tcPr>
            <w:tcW w:w="1748" w:type="dxa"/>
            <w:tcBorders>
              <w:top w:val="single" w:sz="4" w:space="0" w:color="auto"/>
              <w:bottom w:val="single" w:sz="2" w:space="0" w:color="auto"/>
            </w:tcBorders>
            <w:shd w:val="clear" w:color="auto" w:fill="B8CCE4" w:themeFill="accent1" w:themeFillTint="66"/>
            <w:vAlign w:val="center"/>
            <w:hideMark/>
          </w:tcPr>
          <w:p w14:paraId="58288557" w14:textId="77777777" w:rsidR="008E3610" w:rsidRPr="009A7648" w:rsidRDefault="008E3610" w:rsidP="008867A2">
            <w:pPr>
              <w:pStyle w:val="cuadroCabe"/>
              <w:spacing w:line="240" w:lineRule="auto"/>
              <w:jc w:val="right"/>
            </w:pPr>
            <w:r>
              <w:t>Egindako ordainketak</w:t>
            </w:r>
          </w:p>
        </w:tc>
      </w:tr>
      <w:tr w:rsidR="008E3610" w:rsidRPr="009A7648" w14:paraId="51E1C649" w14:textId="77777777" w:rsidTr="008867A2">
        <w:trPr>
          <w:trHeight w:val="255"/>
          <w:jc w:val="center"/>
        </w:trPr>
        <w:tc>
          <w:tcPr>
            <w:tcW w:w="2977" w:type="dxa"/>
            <w:tcBorders>
              <w:top w:val="single" w:sz="2" w:space="0" w:color="auto"/>
              <w:bottom w:val="single" w:sz="2" w:space="0" w:color="auto"/>
            </w:tcBorders>
            <w:shd w:val="clear" w:color="auto" w:fill="auto"/>
            <w:noWrap/>
            <w:vAlign w:val="center"/>
            <w:hideMark/>
          </w:tcPr>
          <w:p w14:paraId="27C5D043" w14:textId="77777777" w:rsidR="008E3610" w:rsidRPr="009A7648" w:rsidRDefault="008E3610" w:rsidP="00CB0BE8">
            <w:pPr>
              <w:pStyle w:val="cuatexto"/>
              <w:spacing w:line="240" w:lineRule="auto"/>
            </w:pPr>
            <w:r>
              <w:t>Enpresa pribatuentzako transferentzia arruntak</w:t>
            </w:r>
          </w:p>
        </w:tc>
        <w:tc>
          <w:tcPr>
            <w:tcW w:w="1559" w:type="dxa"/>
            <w:tcBorders>
              <w:top w:val="single" w:sz="2" w:space="0" w:color="auto"/>
              <w:bottom w:val="single" w:sz="2" w:space="0" w:color="auto"/>
            </w:tcBorders>
            <w:shd w:val="clear" w:color="auto" w:fill="auto"/>
            <w:noWrap/>
            <w:vAlign w:val="center"/>
            <w:hideMark/>
          </w:tcPr>
          <w:p w14:paraId="6AD358C1" w14:textId="77777777" w:rsidR="008E3610" w:rsidRPr="009A7648" w:rsidRDefault="008E3610" w:rsidP="008867A2">
            <w:pPr>
              <w:pStyle w:val="cuatexto"/>
              <w:spacing w:line="240" w:lineRule="auto"/>
              <w:jc w:val="right"/>
            </w:pPr>
            <w:r>
              <w:t>145.450.387</w:t>
            </w:r>
          </w:p>
        </w:tc>
        <w:tc>
          <w:tcPr>
            <w:tcW w:w="2552" w:type="dxa"/>
            <w:tcBorders>
              <w:top w:val="single" w:sz="2" w:space="0" w:color="auto"/>
              <w:bottom w:val="single" w:sz="2" w:space="0" w:color="auto"/>
            </w:tcBorders>
            <w:shd w:val="clear" w:color="auto" w:fill="auto"/>
            <w:noWrap/>
            <w:vAlign w:val="center"/>
            <w:hideMark/>
          </w:tcPr>
          <w:p w14:paraId="4900C9B7" w14:textId="77777777" w:rsidR="008E3610" w:rsidRPr="009A7648" w:rsidRDefault="008E3610" w:rsidP="008867A2">
            <w:pPr>
              <w:pStyle w:val="cuatexto"/>
              <w:spacing w:line="240" w:lineRule="auto"/>
              <w:jc w:val="right"/>
            </w:pPr>
            <w:r>
              <w:t>119.864.446</w:t>
            </w:r>
          </w:p>
        </w:tc>
        <w:tc>
          <w:tcPr>
            <w:tcW w:w="1748" w:type="dxa"/>
            <w:tcBorders>
              <w:top w:val="single" w:sz="2" w:space="0" w:color="auto"/>
              <w:bottom w:val="single" w:sz="2" w:space="0" w:color="auto"/>
            </w:tcBorders>
            <w:shd w:val="clear" w:color="auto" w:fill="auto"/>
            <w:noWrap/>
            <w:vAlign w:val="center"/>
            <w:hideMark/>
          </w:tcPr>
          <w:p w14:paraId="3E475702" w14:textId="77777777" w:rsidR="008E3610" w:rsidRPr="009A7648" w:rsidRDefault="008E3610" w:rsidP="008867A2">
            <w:pPr>
              <w:pStyle w:val="cuatexto"/>
              <w:spacing w:line="240" w:lineRule="auto"/>
              <w:jc w:val="right"/>
            </w:pPr>
            <w:r>
              <w:t>116.748.699</w:t>
            </w:r>
          </w:p>
        </w:tc>
      </w:tr>
      <w:tr w:rsidR="008E3610" w:rsidRPr="009A7648" w14:paraId="283B1B80" w14:textId="77777777" w:rsidTr="008867A2">
        <w:trPr>
          <w:trHeight w:val="255"/>
          <w:jc w:val="center"/>
        </w:trPr>
        <w:tc>
          <w:tcPr>
            <w:tcW w:w="2977" w:type="dxa"/>
            <w:tcBorders>
              <w:top w:val="single" w:sz="2" w:space="0" w:color="auto"/>
              <w:bottom w:val="single" w:sz="2" w:space="0" w:color="auto"/>
            </w:tcBorders>
            <w:shd w:val="clear" w:color="auto" w:fill="auto"/>
            <w:noWrap/>
            <w:vAlign w:val="center"/>
            <w:hideMark/>
          </w:tcPr>
          <w:p w14:paraId="5D80C133" w14:textId="77777777" w:rsidR="008E3610" w:rsidRPr="009A7648" w:rsidRDefault="008E3610" w:rsidP="00CB0BE8">
            <w:pPr>
              <w:pStyle w:val="cuatexto"/>
              <w:spacing w:line="240" w:lineRule="auto"/>
            </w:pPr>
            <w:r>
              <w:t>Enpresa pribatuentzako kapital-transferentziak</w:t>
            </w:r>
          </w:p>
        </w:tc>
        <w:tc>
          <w:tcPr>
            <w:tcW w:w="1559" w:type="dxa"/>
            <w:tcBorders>
              <w:top w:val="single" w:sz="2" w:space="0" w:color="auto"/>
              <w:bottom w:val="single" w:sz="2" w:space="0" w:color="auto"/>
            </w:tcBorders>
            <w:shd w:val="clear" w:color="auto" w:fill="auto"/>
            <w:noWrap/>
            <w:vAlign w:val="center"/>
            <w:hideMark/>
          </w:tcPr>
          <w:p w14:paraId="2F80A3D6" w14:textId="77777777" w:rsidR="008E3610" w:rsidRPr="009A7648" w:rsidRDefault="008E3610" w:rsidP="008867A2">
            <w:pPr>
              <w:pStyle w:val="cuatexto"/>
              <w:spacing w:line="240" w:lineRule="auto"/>
              <w:jc w:val="right"/>
            </w:pPr>
            <w:r>
              <w:t>91.073.215</w:t>
            </w:r>
          </w:p>
        </w:tc>
        <w:tc>
          <w:tcPr>
            <w:tcW w:w="2552" w:type="dxa"/>
            <w:tcBorders>
              <w:top w:val="single" w:sz="2" w:space="0" w:color="auto"/>
              <w:bottom w:val="single" w:sz="2" w:space="0" w:color="auto"/>
            </w:tcBorders>
            <w:shd w:val="clear" w:color="auto" w:fill="auto"/>
            <w:noWrap/>
            <w:vAlign w:val="center"/>
            <w:hideMark/>
          </w:tcPr>
          <w:p w14:paraId="751A0834" w14:textId="77777777" w:rsidR="008E3610" w:rsidRPr="009A7648" w:rsidRDefault="008E3610" w:rsidP="008867A2">
            <w:pPr>
              <w:pStyle w:val="cuatexto"/>
              <w:spacing w:line="240" w:lineRule="auto"/>
              <w:jc w:val="right"/>
            </w:pPr>
            <w:r>
              <w:t>60.267.455</w:t>
            </w:r>
          </w:p>
        </w:tc>
        <w:tc>
          <w:tcPr>
            <w:tcW w:w="1748" w:type="dxa"/>
            <w:tcBorders>
              <w:top w:val="single" w:sz="2" w:space="0" w:color="auto"/>
              <w:bottom w:val="single" w:sz="2" w:space="0" w:color="auto"/>
            </w:tcBorders>
            <w:shd w:val="clear" w:color="auto" w:fill="auto"/>
            <w:noWrap/>
            <w:vAlign w:val="center"/>
            <w:hideMark/>
          </w:tcPr>
          <w:p w14:paraId="02B9AD54" w14:textId="77777777" w:rsidR="008E3610" w:rsidRPr="009A7648" w:rsidRDefault="008E3610" w:rsidP="008867A2">
            <w:pPr>
              <w:pStyle w:val="cuatexto"/>
              <w:spacing w:line="240" w:lineRule="auto"/>
              <w:jc w:val="right"/>
            </w:pPr>
            <w:r>
              <w:t>41.838.688</w:t>
            </w:r>
          </w:p>
        </w:tc>
      </w:tr>
      <w:tr w:rsidR="008E3610" w:rsidRPr="009A7648" w14:paraId="7D03EDC1" w14:textId="77777777" w:rsidTr="008867A2">
        <w:trPr>
          <w:trHeight w:val="255"/>
          <w:jc w:val="center"/>
        </w:trPr>
        <w:tc>
          <w:tcPr>
            <w:tcW w:w="2977" w:type="dxa"/>
            <w:tcBorders>
              <w:top w:val="single" w:sz="2" w:space="0" w:color="auto"/>
              <w:bottom w:val="single" w:sz="2" w:space="0" w:color="auto"/>
            </w:tcBorders>
            <w:shd w:val="clear" w:color="auto" w:fill="auto"/>
            <w:noWrap/>
            <w:vAlign w:val="center"/>
            <w:hideMark/>
          </w:tcPr>
          <w:p w14:paraId="7E9AC8E0" w14:textId="77777777" w:rsidR="008E3610" w:rsidRPr="00A55718" w:rsidRDefault="008E3610" w:rsidP="00CB0BE8">
            <w:pPr>
              <w:pStyle w:val="cuatexto"/>
              <w:spacing w:line="240" w:lineRule="auto"/>
              <w:rPr>
                <w:b/>
                <w:bCs/>
              </w:rPr>
            </w:pPr>
            <w:r>
              <w:rPr>
                <w:b/>
                <w:bCs/>
              </w:rPr>
              <w:t xml:space="preserve"> Enpresa pribatuentzako transferentziak, guztira</w:t>
            </w:r>
          </w:p>
        </w:tc>
        <w:tc>
          <w:tcPr>
            <w:tcW w:w="1559" w:type="dxa"/>
            <w:tcBorders>
              <w:top w:val="single" w:sz="2" w:space="0" w:color="auto"/>
              <w:bottom w:val="single" w:sz="2" w:space="0" w:color="auto"/>
            </w:tcBorders>
            <w:shd w:val="clear" w:color="auto" w:fill="auto"/>
            <w:noWrap/>
            <w:vAlign w:val="center"/>
            <w:hideMark/>
          </w:tcPr>
          <w:p w14:paraId="1319463E" w14:textId="77777777" w:rsidR="008E3610" w:rsidRPr="00A55718" w:rsidRDefault="008E3610" w:rsidP="008867A2">
            <w:pPr>
              <w:pStyle w:val="cuatexto"/>
              <w:spacing w:line="240" w:lineRule="auto"/>
              <w:jc w:val="right"/>
              <w:rPr>
                <w:b/>
              </w:rPr>
            </w:pPr>
            <w:r>
              <w:rPr>
                <w:b/>
              </w:rPr>
              <w:t>236.523.602</w:t>
            </w:r>
          </w:p>
        </w:tc>
        <w:tc>
          <w:tcPr>
            <w:tcW w:w="2552" w:type="dxa"/>
            <w:tcBorders>
              <w:top w:val="single" w:sz="2" w:space="0" w:color="auto"/>
              <w:bottom w:val="single" w:sz="2" w:space="0" w:color="auto"/>
            </w:tcBorders>
            <w:shd w:val="clear" w:color="auto" w:fill="auto"/>
            <w:noWrap/>
            <w:vAlign w:val="center"/>
            <w:hideMark/>
          </w:tcPr>
          <w:p w14:paraId="4BA87E95" w14:textId="77777777" w:rsidR="008E3610" w:rsidRPr="00A55718" w:rsidRDefault="008E3610" w:rsidP="008867A2">
            <w:pPr>
              <w:pStyle w:val="cuatexto"/>
              <w:spacing w:line="240" w:lineRule="auto"/>
              <w:jc w:val="right"/>
              <w:rPr>
                <w:b/>
              </w:rPr>
            </w:pPr>
            <w:r>
              <w:rPr>
                <w:b/>
              </w:rPr>
              <w:t>180.131.902</w:t>
            </w:r>
          </w:p>
        </w:tc>
        <w:tc>
          <w:tcPr>
            <w:tcW w:w="1748" w:type="dxa"/>
            <w:tcBorders>
              <w:top w:val="single" w:sz="2" w:space="0" w:color="auto"/>
              <w:bottom w:val="single" w:sz="2" w:space="0" w:color="auto"/>
            </w:tcBorders>
            <w:shd w:val="clear" w:color="auto" w:fill="auto"/>
            <w:noWrap/>
            <w:vAlign w:val="center"/>
            <w:hideMark/>
          </w:tcPr>
          <w:p w14:paraId="1A0CED9A" w14:textId="77777777" w:rsidR="008E3610" w:rsidRPr="00A55718" w:rsidRDefault="008E3610" w:rsidP="008867A2">
            <w:pPr>
              <w:pStyle w:val="cuatexto"/>
              <w:spacing w:line="240" w:lineRule="auto"/>
              <w:jc w:val="right"/>
              <w:rPr>
                <w:b/>
              </w:rPr>
            </w:pPr>
            <w:r>
              <w:rPr>
                <w:b/>
              </w:rPr>
              <w:t>158.587.386</w:t>
            </w:r>
          </w:p>
        </w:tc>
      </w:tr>
      <w:tr w:rsidR="008E3610" w:rsidRPr="009A7648" w14:paraId="3F448E56" w14:textId="77777777" w:rsidTr="008867A2">
        <w:trPr>
          <w:trHeight w:val="255"/>
          <w:jc w:val="center"/>
        </w:trPr>
        <w:tc>
          <w:tcPr>
            <w:tcW w:w="2977" w:type="dxa"/>
            <w:tcBorders>
              <w:top w:val="single" w:sz="2" w:space="0" w:color="auto"/>
              <w:bottom w:val="single" w:sz="4" w:space="0" w:color="auto"/>
            </w:tcBorders>
            <w:shd w:val="clear" w:color="auto" w:fill="B8CCE4" w:themeFill="accent1" w:themeFillTint="66"/>
            <w:noWrap/>
            <w:vAlign w:val="center"/>
            <w:hideMark/>
          </w:tcPr>
          <w:p w14:paraId="1AC509E4" w14:textId="77777777" w:rsidR="008E3610" w:rsidRPr="009A7648" w:rsidRDefault="008E3610" w:rsidP="00CB0BE8">
            <w:pPr>
              <w:pStyle w:val="cuadroCabe"/>
              <w:spacing w:line="240" w:lineRule="auto"/>
            </w:pPr>
            <w:r>
              <w:t xml:space="preserve">4. eta 7. kapit. guztira </w:t>
            </w:r>
          </w:p>
        </w:tc>
        <w:tc>
          <w:tcPr>
            <w:tcW w:w="1559" w:type="dxa"/>
            <w:tcBorders>
              <w:top w:val="single" w:sz="2" w:space="0" w:color="auto"/>
              <w:bottom w:val="single" w:sz="4" w:space="0" w:color="auto"/>
            </w:tcBorders>
            <w:shd w:val="clear" w:color="auto" w:fill="B8CCE4" w:themeFill="accent1" w:themeFillTint="66"/>
            <w:noWrap/>
            <w:vAlign w:val="center"/>
            <w:hideMark/>
          </w:tcPr>
          <w:p w14:paraId="14191E36" w14:textId="77777777" w:rsidR="008E3610" w:rsidRPr="009A7648" w:rsidRDefault="008E3610" w:rsidP="008867A2">
            <w:pPr>
              <w:pStyle w:val="cuadroCabe"/>
              <w:spacing w:line="240" w:lineRule="auto"/>
              <w:jc w:val="right"/>
            </w:pPr>
            <w:r>
              <w:t>1.953.665.265</w:t>
            </w:r>
          </w:p>
        </w:tc>
        <w:tc>
          <w:tcPr>
            <w:tcW w:w="2552" w:type="dxa"/>
            <w:tcBorders>
              <w:top w:val="single" w:sz="2" w:space="0" w:color="auto"/>
              <w:bottom w:val="single" w:sz="4" w:space="0" w:color="auto"/>
            </w:tcBorders>
            <w:shd w:val="clear" w:color="auto" w:fill="B8CCE4" w:themeFill="accent1" w:themeFillTint="66"/>
            <w:noWrap/>
            <w:vAlign w:val="center"/>
            <w:hideMark/>
          </w:tcPr>
          <w:p w14:paraId="22A8C1CE" w14:textId="77777777" w:rsidR="008E3610" w:rsidRPr="009A7648" w:rsidRDefault="008E3610" w:rsidP="008867A2">
            <w:pPr>
              <w:pStyle w:val="cuadroCabe"/>
              <w:spacing w:line="240" w:lineRule="auto"/>
              <w:jc w:val="right"/>
            </w:pPr>
            <w:r>
              <w:t>1.848.740.675</w:t>
            </w:r>
          </w:p>
        </w:tc>
        <w:tc>
          <w:tcPr>
            <w:tcW w:w="1748" w:type="dxa"/>
            <w:tcBorders>
              <w:top w:val="single" w:sz="2" w:space="0" w:color="auto"/>
              <w:bottom w:val="single" w:sz="4" w:space="0" w:color="auto"/>
            </w:tcBorders>
            <w:shd w:val="clear" w:color="auto" w:fill="B8CCE4" w:themeFill="accent1" w:themeFillTint="66"/>
            <w:noWrap/>
            <w:vAlign w:val="center"/>
            <w:hideMark/>
          </w:tcPr>
          <w:p w14:paraId="3F1FBA8D" w14:textId="77777777" w:rsidR="008E3610" w:rsidRPr="009A7648" w:rsidRDefault="008E3610" w:rsidP="008867A2">
            <w:pPr>
              <w:pStyle w:val="cuadroCabe"/>
              <w:spacing w:line="240" w:lineRule="auto"/>
              <w:jc w:val="right"/>
            </w:pPr>
            <w:r>
              <w:t>1.817.041.642</w:t>
            </w:r>
          </w:p>
        </w:tc>
      </w:tr>
      <w:tr w:rsidR="008E3610" w:rsidRPr="009A7648" w14:paraId="0714CC9E" w14:textId="77777777" w:rsidTr="008867A2">
        <w:trPr>
          <w:trHeight w:val="255"/>
          <w:jc w:val="center"/>
        </w:trPr>
        <w:tc>
          <w:tcPr>
            <w:tcW w:w="2977" w:type="dxa"/>
            <w:tcBorders>
              <w:top w:val="single" w:sz="4" w:space="0" w:color="auto"/>
              <w:bottom w:val="single" w:sz="4" w:space="0" w:color="auto"/>
            </w:tcBorders>
            <w:shd w:val="clear" w:color="auto" w:fill="auto"/>
            <w:noWrap/>
            <w:vAlign w:val="center"/>
            <w:hideMark/>
          </w:tcPr>
          <w:p w14:paraId="44154E49" w14:textId="77777777" w:rsidR="008E3610" w:rsidRPr="009A7648" w:rsidRDefault="008E3610" w:rsidP="0087454C">
            <w:pPr>
              <w:spacing w:after="0"/>
              <w:ind w:firstLine="0"/>
              <w:jc w:val="left"/>
              <w:rPr>
                <w:rFonts w:ascii="Arial Narrow" w:hAnsi="Arial Narrow" w:cs="Calibri"/>
                <w:i/>
                <w:iCs/>
                <w:color w:val="000000"/>
              </w:rPr>
            </w:pPr>
            <w:r>
              <w:rPr>
                <w:rFonts w:ascii="Arial Narrow" w:hAnsi="Arial Narrow"/>
                <w:i/>
                <w:iCs/>
                <w:color w:val="000000"/>
              </w:rPr>
              <w:t xml:space="preserve">4. eta 7. kapit. guztira </w:t>
            </w:r>
          </w:p>
        </w:tc>
        <w:tc>
          <w:tcPr>
            <w:tcW w:w="1559" w:type="dxa"/>
            <w:tcBorders>
              <w:top w:val="single" w:sz="4" w:space="0" w:color="auto"/>
              <w:bottom w:val="single" w:sz="4" w:space="0" w:color="auto"/>
            </w:tcBorders>
            <w:shd w:val="clear" w:color="auto" w:fill="auto"/>
            <w:noWrap/>
            <w:vAlign w:val="center"/>
            <w:hideMark/>
          </w:tcPr>
          <w:p w14:paraId="00692695" w14:textId="77777777" w:rsidR="008E3610" w:rsidRPr="009A7648" w:rsidRDefault="008E3610" w:rsidP="008867A2">
            <w:pPr>
              <w:spacing w:after="0"/>
              <w:ind w:firstLine="0"/>
              <w:jc w:val="right"/>
              <w:rPr>
                <w:rFonts w:ascii="Arial Narrow" w:hAnsi="Arial Narrow" w:cs="Calibri"/>
                <w:i/>
                <w:iCs/>
                <w:color w:val="000000"/>
              </w:rPr>
            </w:pPr>
            <w:r>
              <w:rPr>
                <w:rFonts w:ascii="Arial Narrow" w:hAnsi="Arial Narrow"/>
                <w:i/>
                <w:iCs/>
                <w:color w:val="000000"/>
              </w:rPr>
              <w:t>12,11</w:t>
            </w:r>
          </w:p>
        </w:tc>
        <w:tc>
          <w:tcPr>
            <w:tcW w:w="2552" w:type="dxa"/>
            <w:tcBorders>
              <w:top w:val="single" w:sz="4" w:space="0" w:color="auto"/>
              <w:bottom w:val="single" w:sz="4" w:space="0" w:color="auto"/>
            </w:tcBorders>
            <w:shd w:val="clear" w:color="auto" w:fill="auto"/>
            <w:noWrap/>
            <w:vAlign w:val="center"/>
            <w:hideMark/>
          </w:tcPr>
          <w:p w14:paraId="5CF9D05C" w14:textId="77777777" w:rsidR="008E3610" w:rsidRPr="009A7648" w:rsidRDefault="008E3610" w:rsidP="008867A2">
            <w:pPr>
              <w:spacing w:after="0"/>
              <w:ind w:firstLine="0"/>
              <w:jc w:val="right"/>
              <w:rPr>
                <w:rFonts w:ascii="Arial Narrow" w:hAnsi="Arial Narrow" w:cs="Calibri"/>
                <w:i/>
                <w:iCs/>
                <w:color w:val="000000"/>
              </w:rPr>
            </w:pPr>
            <w:r>
              <w:rPr>
                <w:rFonts w:ascii="Arial Narrow" w:hAnsi="Arial Narrow"/>
                <w:i/>
                <w:iCs/>
                <w:color w:val="000000"/>
              </w:rPr>
              <w:t>9,74</w:t>
            </w:r>
          </w:p>
        </w:tc>
        <w:tc>
          <w:tcPr>
            <w:tcW w:w="1748" w:type="dxa"/>
            <w:tcBorders>
              <w:top w:val="single" w:sz="4" w:space="0" w:color="auto"/>
              <w:bottom w:val="single" w:sz="4" w:space="0" w:color="auto"/>
            </w:tcBorders>
            <w:shd w:val="clear" w:color="auto" w:fill="auto"/>
            <w:noWrap/>
            <w:vAlign w:val="center"/>
            <w:hideMark/>
          </w:tcPr>
          <w:p w14:paraId="76BB3608" w14:textId="77777777" w:rsidR="008E3610" w:rsidRPr="009A7648" w:rsidRDefault="008E3610" w:rsidP="008867A2">
            <w:pPr>
              <w:spacing w:after="0"/>
              <w:ind w:firstLine="0"/>
              <w:jc w:val="right"/>
              <w:rPr>
                <w:rFonts w:ascii="Arial Narrow" w:hAnsi="Arial Narrow" w:cs="Calibri"/>
                <w:i/>
                <w:iCs/>
                <w:color w:val="000000"/>
              </w:rPr>
            </w:pPr>
            <w:r>
              <w:rPr>
                <w:rFonts w:ascii="Arial Narrow" w:hAnsi="Arial Narrow"/>
                <w:i/>
                <w:iCs/>
                <w:color w:val="000000"/>
              </w:rPr>
              <w:t>8,73</w:t>
            </w:r>
          </w:p>
        </w:tc>
      </w:tr>
    </w:tbl>
    <w:p w14:paraId="43FA78AE" w14:textId="77777777" w:rsidR="00204F99" w:rsidRPr="00482FDF" w:rsidRDefault="00204F99" w:rsidP="00204F99">
      <w:pPr>
        <w:spacing w:after="0"/>
        <w:ind w:firstLine="284"/>
        <w:rPr>
          <w:sz w:val="26"/>
          <w:szCs w:val="26"/>
        </w:rPr>
      </w:pPr>
    </w:p>
    <w:p w14:paraId="7AF47649" w14:textId="77777777" w:rsidR="00204F99" w:rsidRPr="000D09C9" w:rsidRDefault="00204F99" w:rsidP="0087454C">
      <w:pPr>
        <w:ind w:firstLine="284"/>
        <w:rPr>
          <w:sz w:val="26"/>
          <w:szCs w:val="26"/>
        </w:rPr>
      </w:pPr>
      <w:r>
        <w:rPr>
          <w:sz w:val="26"/>
          <w:szCs w:val="26"/>
        </w:rPr>
        <w:t>2020an enpresa pribatuei egindako transferentziek, arruntek zein kapitalekoek, 180 milioi egin zuten. Aitortutako betebeharren guztizkoaren ehuneko 9,7 dira.</w:t>
      </w:r>
    </w:p>
    <w:p w14:paraId="0F6ACEE0" w14:textId="77777777" w:rsidR="00204F99" w:rsidRDefault="00204F99" w:rsidP="0087454C">
      <w:pPr>
        <w:ind w:firstLine="284"/>
        <w:rPr>
          <w:sz w:val="26"/>
          <w:szCs w:val="26"/>
        </w:rPr>
      </w:pPr>
      <w:r>
        <w:rPr>
          <w:sz w:val="26"/>
          <w:szCs w:val="26"/>
        </w:rPr>
        <w:t xml:space="preserve">Honako hau izan da gastu horren azken bost urteetako bilakaera: </w:t>
      </w:r>
    </w:p>
    <w:tbl>
      <w:tblPr>
        <w:tblW w:w="9113" w:type="dxa"/>
        <w:tblCellMar>
          <w:left w:w="70" w:type="dxa"/>
          <w:right w:w="70" w:type="dxa"/>
        </w:tblCellMar>
        <w:tblLook w:val="04A0" w:firstRow="1" w:lastRow="0" w:firstColumn="1" w:lastColumn="0" w:noHBand="0" w:noVBand="1"/>
      </w:tblPr>
      <w:tblGrid>
        <w:gridCol w:w="1276"/>
        <w:gridCol w:w="1101"/>
        <w:gridCol w:w="1207"/>
        <w:gridCol w:w="1207"/>
        <w:gridCol w:w="1207"/>
        <w:gridCol w:w="1207"/>
        <w:gridCol w:w="951"/>
        <w:gridCol w:w="993"/>
      </w:tblGrid>
      <w:tr w:rsidR="00204F99" w:rsidRPr="0087454C" w14:paraId="6D67B819" w14:textId="77777777" w:rsidTr="008867A2">
        <w:trPr>
          <w:trHeight w:val="495"/>
        </w:trPr>
        <w:tc>
          <w:tcPr>
            <w:tcW w:w="1276" w:type="dxa"/>
            <w:tcBorders>
              <w:top w:val="single" w:sz="4" w:space="0" w:color="auto"/>
              <w:left w:val="nil"/>
              <w:bottom w:val="single" w:sz="4" w:space="0" w:color="auto"/>
              <w:right w:val="nil"/>
            </w:tcBorders>
            <w:shd w:val="clear" w:color="auto" w:fill="B8CCE4" w:themeFill="accent1" w:themeFillTint="66"/>
            <w:noWrap/>
            <w:vAlign w:val="center"/>
            <w:hideMark/>
          </w:tcPr>
          <w:p w14:paraId="0F8F20B3" w14:textId="77777777" w:rsidR="0087454C" w:rsidRPr="0087454C" w:rsidRDefault="00204F99" w:rsidP="0087454C">
            <w:pPr>
              <w:pStyle w:val="cuadroCabe"/>
              <w:rPr>
                <w:sz w:val="16"/>
                <w:szCs w:val="16"/>
              </w:rPr>
            </w:pPr>
            <w:r>
              <w:rPr>
                <w:sz w:val="16"/>
                <w:szCs w:val="16"/>
              </w:rPr>
              <w:t xml:space="preserve">Transferentzia-mota </w:t>
            </w:r>
          </w:p>
          <w:p w14:paraId="00E624C9" w14:textId="77777777" w:rsidR="00204F99" w:rsidRPr="0087454C" w:rsidRDefault="00204F99" w:rsidP="0087454C">
            <w:pPr>
              <w:pStyle w:val="cuadroCabe"/>
              <w:rPr>
                <w:sz w:val="16"/>
                <w:szCs w:val="16"/>
              </w:rPr>
            </w:pPr>
          </w:p>
        </w:tc>
        <w:tc>
          <w:tcPr>
            <w:tcW w:w="1101" w:type="dxa"/>
            <w:tcBorders>
              <w:top w:val="single" w:sz="4" w:space="0" w:color="auto"/>
              <w:left w:val="nil"/>
              <w:bottom w:val="single" w:sz="4" w:space="0" w:color="auto"/>
              <w:right w:val="nil"/>
            </w:tcBorders>
            <w:shd w:val="clear" w:color="auto" w:fill="B8CCE4" w:themeFill="accent1" w:themeFillTint="66"/>
            <w:noWrap/>
            <w:vAlign w:val="center"/>
            <w:hideMark/>
          </w:tcPr>
          <w:p w14:paraId="181DD783" w14:textId="77777777" w:rsidR="00204F99" w:rsidRPr="0087454C" w:rsidRDefault="00204F99" w:rsidP="0087454C">
            <w:pPr>
              <w:pStyle w:val="cuadroCabe"/>
              <w:jc w:val="right"/>
              <w:rPr>
                <w:sz w:val="16"/>
                <w:szCs w:val="16"/>
              </w:rPr>
            </w:pPr>
            <w:r>
              <w:rPr>
                <w:sz w:val="16"/>
                <w:szCs w:val="16"/>
              </w:rPr>
              <w:t>2016</w:t>
            </w:r>
          </w:p>
        </w:tc>
        <w:tc>
          <w:tcPr>
            <w:tcW w:w="1207" w:type="dxa"/>
            <w:tcBorders>
              <w:top w:val="single" w:sz="4" w:space="0" w:color="auto"/>
              <w:left w:val="nil"/>
              <w:bottom w:val="single" w:sz="4" w:space="0" w:color="auto"/>
              <w:right w:val="nil"/>
            </w:tcBorders>
            <w:shd w:val="clear" w:color="auto" w:fill="B8CCE4" w:themeFill="accent1" w:themeFillTint="66"/>
            <w:noWrap/>
            <w:vAlign w:val="center"/>
            <w:hideMark/>
          </w:tcPr>
          <w:p w14:paraId="4BE181AD" w14:textId="77777777" w:rsidR="00204F99" w:rsidRPr="0087454C" w:rsidRDefault="00204F99" w:rsidP="0087454C">
            <w:pPr>
              <w:pStyle w:val="cuadroCabe"/>
              <w:jc w:val="right"/>
              <w:rPr>
                <w:sz w:val="16"/>
                <w:szCs w:val="16"/>
              </w:rPr>
            </w:pPr>
            <w:r>
              <w:rPr>
                <w:sz w:val="16"/>
                <w:szCs w:val="16"/>
              </w:rPr>
              <w:t>2017</w:t>
            </w:r>
          </w:p>
        </w:tc>
        <w:tc>
          <w:tcPr>
            <w:tcW w:w="1207" w:type="dxa"/>
            <w:tcBorders>
              <w:top w:val="single" w:sz="4" w:space="0" w:color="auto"/>
              <w:left w:val="nil"/>
              <w:bottom w:val="single" w:sz="4" w:space="0" w:color="auto"/>
              <w:right w:val="nil"/>
            </w:tcBorders>
            <w:shd w:val="clear" w:color="auto" w:fill="B8CCE4" w:themeFill="accent1" w:themeFillTint="66"/>
            <w:noWrap/>
            <w:vAlign w:val="center"/>
            <w:hideMark/>
          </w:tcPr>
          <w:p w14:paraId="25389AF6" w14:textId="77777777" w:rsidR="00204F99" w:rsidRPr="0087454C" w:rsidRDefault="00204F99" w:rsidP="0087454C">
            <w:pPr>
              <w:pStyle w:val="cuadroCabe"/>
              <w:jc w:val="right"/>
              <w:rPr>
                <w:sz w:val="16"/>
                <w:szCs w:val="16"/>
              </w:rPr>
            </w:pPr>
            <w:r>
              <w:rPr>
                <w:sz w:val="16"/>
                <w:szCs w:val="16"/>
              </w:rPr>
              <w:t>2018</w:t>
            </w:r>
          </w:p>
        </w:tc>
        <w:tc>
          <w:tcPr>
            <w:tcW w:w="1207" w:type="dxa"/>
            <w:tcBorders>
              <w:top w:val="single" w:sz="4" w:space="0" w:color="auto"/>
              <w:left w:val="nil"/>
              <w:bottom w:val="single" w:sz="4" w:space="0" w:color="auto"/>
              <w:right w:val="nil"/>
            </w:tcBorders>
            <w:shd w:val="clear" w:color="auto" w:fill="B8CCE4" w:themeFill="accent1" w:themeFillTint="66"/>
            <w:noWrap/>
            <w:vAlign w:val="center"/>
            <w:hideMark/>
          </w:tcPr>
          <w:p w14:paraId="079D87B8" w14:textId="77777777" w:rsidR="00204F99" w:rsidRPr="0087454C" w:rsidRDefault="00204F99" w:rsidP="0087454C">
            <w:pPr>
              <w:pStyle w:val="cuadroCabe"/>
              <w:jc w:val="right"/>
              <w:rPr>
                <w:sz w:val="16"/>
                <w:szCs w:val="16"/>
              </w:rPr>
            </w:pPr>
            <w:r>
              <w:rPr>
                <w:sz w:val="16"/>
                <w:szCs w:val="16"/>
              </w:rPr>
              <w:t>2019</w:t>
            </w:r>
          </w:p>
        </w:tc>
        <w:tc>
          <w:tcPr>
            <w:tcW w:w="1207" w:type="dxa"/>
            <w:tcBorders>
              <w:top w:val="single" w:sz="4" w:space="0" w:color="auto"/>
              <w:left w:val="nil"/>
              <w:bottom w:val="single" w:sz="4" w:space="0" w:color="auto"/>
              <w:right w:val="nil"/>
            </w:tcBorders>
            <w:shd w:val="clear" w:color="auto" w:fill="B8CCE4" w:themeFill="accent1" w:themeFillTint="66"/>
            <w:noWrap/>
            <w:vAlign w:val="center"/>
            <w:hideMark/>
          </w:tcPr>
          <w:p w14:paraId="416C41BC" w14:textId="77777777" w:rsidR="00204F99" w:rsidRPr="0087454C" w:rsidRDefault="00204F99" w:rsidP="0087454C">
            <w:pPr>
              <w:pStyle w:val="cuadroCabe"/>
              <w:jc w:val="right"/>
              <w:rPr>
                <w:sz w:val="16"/>
                <w:szCs w:val="16"/>
              </w:rPr>
            </w:pPr>
            <w:r>
              <w:rPr>
                <w:sz w:val="16"/>
                <w:szCs w:val="16"/>
              </w:rPr>
              <w:t>2020</w:t>
            </w:r>
          </w:p>
        </w:tc>
        <w:tc>
          <w:tcPr>
            <w:tcW w:w="915" w:type="dxa"/>
            <w:tcBorders>
              <w:top w:val="single" w:sz="4" w:space="0" w:color="auto"/>
              <w:left w:val="nil"/>
              <w:bottom w:val="single" w:sz="4" w:space="0" w:color="auto"/>
              <w:right w:val="nil"/>
            </w:tcBorders>
            <w:shd w:val="clear" w:color="auto" w:fill="B8CCE4" w:themeFill="accent1" w:themeFillTint="66"/>
            <w:vAlign w:val="center"/>
            <w:hideMark/>
          </w:tcPr>
          <w:p w14:paraId="7122A35C" w14:textId="77777777" w:rsidR="00204F99" w:rsidRPr="0087454C" w:rsidRDefault="00204F99" w:rsidP="0087454C">
            <w:pPr>
              <w:pStyle w:val="cuadroCabe"/>
              <w:jc w:val="right"/>
              <w:rPr>
                <w:sz w:val="16"/>
                <w:szCs w:val="16"/>
              </w:rPr>
            </w:pPr>
            <w:r>
              <w:rPr>
                <w:sz w:val="16"/>
                <w:szCs w:val="16"/>
              </w:rPr>
              <w:t>2020/2019 aldea (%)</w:t>
            </w:r>
          </w:p>
        </w:tc>
        <w:tc>
          <w:tcPr>
            <w:tcW w:w="993" w:type="dxa"/>
            <w:tcBorders>
              <w:top w:val="single" w:sz="4" w:space="0" w:color="auto"/>
              <w:left w:val="nil"/>
              <w:bottom w:val="single" w:sz="4" w:space="0" w:color="auto"/>
              <w:right w:val="nil"/>
            </w:tcBorders>
            <w:shd w:val="clear" w:color="auto" w:fill="B8CCE4" w:themeFill="accent1" w:themeFillTint="66"/>
            <w:vAlign w:val="center"/>
            <w:hideMark/>
          </w:tcPr>
          <w:p w14:paraId="58E1E6FF" w14:textId="77777777" w:rsidR="00204F99" w:rsidRPr="0087454C" w:rsidRDefault="00204F99" w:rsidP="0087454C">
            <w:pPr>
              <w:pStyle w:val="cuadroCabe"/>
              <w:jc w:val="right"/>
              <w:rPr>
                <w:sz w:val="16"/>
                <w:szCs w:val="16"/>
              </w:rPr>
            </w:pPr>
            <w:r>
              <w:rPr>
                <w:sz w:val="16"/>
                <w:szCs w:val="16"/>
              </w:rPr>
              <w:t>2020/2016 aldea</w:t>
            </w:r>
          </w:p>
        </w:tc>
      </w:tr>
      <w:tr w:rsidR="00CA6580" w:rsidRPr="00D1342D" w14:paraId="5C3050D6" w14:textId="77777777" w:rsidTr="005008EB">
        <w:trPr>
          <w:trHeight w:val="315"/>
        </w:trPr>
        <w:tc>
          <w:tcPr>
            <w:tcW w:w="1276" w:type="dxa"/>
            <w:tcBorders>
              <w:top w:val="single" w:sz="2" w:space="0" w:color="auto"/>
              <w:left w:val="nil"/>
              <w:bottom w:val="single" w:sz="2" w:space="0" w:color="auto"/>
              <w:right w:val="nil"/>
            </w:tcBorders>
            <w:shd w:val="clear" w:color="auto" w:fill="auto"/>
            <w:vAlign w:val="center"/>
            <w:hideMark/>
          </w:tcPr>
          <w:p w14:paraId="3F0E93C3" w14:textId="77777777" w:rsidR="00CA6580" w:rsidRPr="00D1342D" w:rsidRDefault="00CA6580" w:rsidP="00CA6580">
            <w:pPr>
              <w:pStyle w:val="cuatexto"/>
            </w:pPr>
            <w:r>
              <w:t>Arruntak</w:t>
            </w:r>
          </w:p>
        </w:tc>
        <w:tc>
          <w:tcPr>
            <w:tcW w:w="1101" w:type="dxa"/>
            <w:tcBorders>
              <w:top w:val="single" w:sz="2" w:space="0" w:color="auto"/>
              <w:left w:val="nil"/>
              <w:bottom w:val="single" w:sz="2" w:space="0" w:color="auto"/>
              <w:right w:val="nil"/>
            </w:tcBorders>
            <w:shd w:val="clear" w:color="auto" w:fill="auto"/>
            <w:noWrap/>
            <w:vAlign w:val="center"/>
            <w:hideMark/>
          </w:tcPr>
          <w:p w14:paraId="2D478345" w14:textId="77777777" w:rsidR="00CA6580" w:rsidRPr="00D1342D" w:rsidRDefault="00CA6580" w:rsidP="00CA6580">
            <w:pPr>
              <w:pStyle w:val="cuatexto"/>
              <w:jc w:val="right"/>
            </w:pPr>
            <w:r>
              <w:t>59.418.645</w:t>
            </w:r>
          </w:p>
        </w:tc>
        <w:tc>
          <w:tcPr>
            <w:tcW w:w="1207" w:type="dxa"/>
            <w:tcBorders>
              <w:top w:val="single" w:sz="2" w:space="0" w:color="auto"/>
              <w:left w:val="nil"/>
              <w:bottom w:val="single" w:sz="2" w:space="0" w:color="auto"/>
              <w:right w:val="nil"/>
            </w:tcBorders>
            <w:shd w:val="clear" w:color="auto" w:fill="auto"/>
            <w:noWrap/>
            <w:vAlign w:val="center"/>
            <w:hideMark/>
          </w:tcPr>
          <w:p w14:paraId="2B83C955" w14:textId="77777777" w:rsidR="00CA6580" w:rsidRPr="00D1342D" w:rsidRDefault="00CA6580" w:rsidP="00CA6580">
            <w:pPr>
              <w:pStyle w:val="cuatexto"/>
              <w:jc w:val="right"/>
            </w:pPr>
            <w:r>
              <w:t>64.341.492</w:t>
            </w:r>
          </w:p>
        </w:tc>
        <w:tc>
          <w:tcPr>
            <w:tcW w:w="1207" w:type="dxa"/>
            <w:tcBorders>
              <w:top w:val="single" w:sz="2" w:space="0" w:color="auto"/>
              <w:left w:val="nil"/>
              <w:bottom w:val="single" w:sz="2" w:space="0" w:color="auto"/>
              <w:right w:val="nil"/>
            </w:tcBorders>
            <w:shd w:val="clear" w:color="auto" w:fill="auto"/>
            <w:noWrap/>
            <w:vAlign w:val="center"/>
            <w:hideMark/>
          </w:tcPr>
          <w:p w14:paraId="79CF7E7E" w14:textId="77777777" w:rsidR="00CA6580" w:rsidRPr="00D1342D" w:rsidRDefault="00CA6580" w:rsidP="00CA6580">
            <w:pPr>
              <w:pStyle w:val="cuatexto"/>
              <w:jc w:val="right"/>
            </w:pPr>
            <w:r>
              <w:t>77.386.246</w:t>
            </w:r>
          </w:p>
        </w:tc>
        <w:tc>
          <w:tcPr>
            <w:tcW w:w="1207" w:type="dxa"/>
            <w:tcBorders>
              <w:top w:val="single" w:sz="2" w:space="0" w:color="auto"/>
              <w:left w:val="nil"/>
              <w:bottom w:val="single" w:sz="2" w:space="0" w:color="auto"/>
              <w:right w:val="nil"/>
            </w:tcBorders>
            <w:shd w:val="clear" w:color="auto" w:fill="auto"/>
            <w:noWrap/>
            <w:vAlign w:val="center"/>
            <w:hideMark/>
          </w:tcPr>
          <w:p w14:paraId="2834A5F4" w14:textId="77777777" w:rsidR="00CA6580" w:rsidRPr="00D1342D" w:rsidRDefault="00CA6580" w:rsidP="00CA6580">
            <w:pPr>
              <w:pStyle w:val="cuatexto"/>
              <w:jc w:val="right"/>
            </w:pPr>
            <w:r>
              <w:t>91.319.730</w:t>
            </w:r>
          </w:p>
        </w:tc>
        <w:tc>
          <w:tcPr>
            <w:tcW w:w="1207" w:type="dxa"/>
            <w:tcBorders>
              <w:top w:val="single" w:sz="2" w:space="0" w:color="auto"/>
              <w:left w:val="nil"/>
              <w:bottom w:val="single" w:sz="2" w:space="0" w:color="auto"/>
              <w:right w:val="nil"/>
            </w:tcBorders>
            <w:shd w:val="clear" w:color="auto" w:fill="auto"/>
            <w:noWrap/>
            <w:vAlign w:val="center"/>
            <w:hideMark/>
          </w:tcPr>
          <w:p w14:paraId="06CF56FD" w14:textId="77777777" w:rsidR="00CA6580" w:rsidRPr="00D1342D" w:rsidRDefault="00CA6580" w:rsidP="00CA6580">
            <w:pPr>
              <w:pStyle w:val="cuatexto"/>
              <w:jc w:val="right"/>
            </w:pPr>
            <w:r>
              <w:t>119.864.446</w:t>
            </w:r>
          </w:p>
        </w:tc>
        <w:tc>
          <w:tcPr>
            <w:tcW w:w="915" w:type="dxa"/>
            <w:tcBorders>
              <w:top w:val="single" w:sz="2" w:space="0" w:color="auto"/>
              <w:left w:val="nil"/>
              <w:bottom w:val="single" w:sz="2" w:space="0" w:color="auto"/>
              <w:right w:val="nil"/>
            </w:tcBorders>
            <w:shd w:val="clear" w:color="auto" w:fill="auto"/>
            <w:vAlign w:val="center"/>
            <w:hideMark/>
          </w:tcPr>
          <w:p w14:paraId="5B48D71D" w14:textId="77777777" w:rsidR="00CA6580" w:rsidRPr="00D1342D" w:rsidRDefault="00CA6580" w:rsidP="00CA6580">
            <w:pPr>
              <w:pStyle w:val="cuatexto"/>
              <w:jc w:val="right"/>
            </w:pPr>
            <w:r>
              <w:t>31,26</w:t>
            </w:r>
          </w:p>
        </w:tc>
        <w:tc>
          <w:tcPr>
            <w:tcW w:w="993" w:type="dxa"/>
            <w:tcBorders>
              <w:top w:val="single" w:sz="2" w:space="0" w:color="auto"/>
              <w:left w:val="nil"/>
              <w:bottom w:val="single" w:sz="2" w:space="0" w:color="auto"/>
              <w:right w:val="nil"/>
            </w:tcBorders>
            <w:shd w:val="clear" w:color="auto" w:fill="auto"/>
            <w:noWrap/>
            <w:vAlign w:val="center"/>
            <w:hideMark/>
          </w:tcPr>
          <w:p w14:paraId="14715E03" w14:textId="77777777" w:rsidR="00CA6580" w:rsidRPr="00D1342D" w:rsidRDefault="00CA6580" w:rsidP="00CA6580">
            <w:pPr>
              <w:pStyle w:val="cuatexto"/>
              <w:jc w:val="right"/>
            </w:pPr>
            <w:r>
              <w:t>101,73</w:t>
            </w:r>
          </w:p>
        </w:tc>
      </w:tr>
      <w:tr w:rsidR="00204F99" w:rsidRPr="00D1342D" w14:paraId="4F9984D3" w14:textId="77777777" w:rsidTr="005008EB">
        <w:trPr>
          <w:trHeight w:val="315"/>
        </w:trPr>
        <w:tc>
          <w:tcPr>
            <w:tcW w:w="1276" w:type="dxa"/>
            <w:tcBorders>
              <w:top w:val="single" w:sz="2" w:space="0" w:color="auto"/>
              <w:left w:val="nil"/>
              <w:bottom w:val="single" w:sz="2" w:space="0" w:color="auto"/>
              <w:right w:val="nil"/>
            </w:tcBorders>
            <w:shd w:val="clear" w:color="auto" w:fill="auto"/>
            <w:vAlign w:val="center"/>
            <w:hideMark/>
          </w:tcPr>
          <w:p w14:paraId="449A00FA" w14:textId="77777777" w:rsidR="00204F99" w:rsidRPr="00D1342D" w:rsidRDefault="00204F99" w:rsidP="0087454C">
            <w:pPr>
              <w:pStyle w:val="cuatexto"/>
            </w:pPr>
            <w:r>
              <w:t>Kapitala</w:t>
            </w:r>
          </w:p>
        </w:tc>
        <w:tc>
          <w:tcPr>
            <w:tcW w:w="1101" w:type="dxa"/>
            <w:tcBorders>
              <w:top w:val="single" w:sz="2" w:space="0" w:color="auto"/>
              <w:left w:val="nil"/>
              <w:bottom w:val="single" w:sz="2" w:space="0" w:color="auto"/>
              <w:right w:val="nil"/>
            </w:tcBorders>
            <w:shd w:val="clear" w:color="auto" w:fill="auto"/>
            <w:noWrap/>
            <w:vAlign w:val="center"/>
            <w:hideMark/>
          </w:tcPr>
          <w:p w14:paraId="63244B7D" w14:textId="77777777" w:rsidR="00204F99" w:rsidRPr="00D1342D" w:rsidRDefault="00204F99" w:rsidP="0087454C">
            <w:pPr>
              <w:pStyle w:val="cuatexto"/>
              <w:jc w:val="right"/>
            </w:pPr>
            <w:r>
              <w:t>38.946.853</w:t>
            </w:r>
          </w:p>
        </w:tc>
        <w:tc>
          <w:tcPr>
            <w:tcW w:w="1207" w:type="dxa"/>
            <w:tcBorders>
              <w:top w:val="single" w:sz="2" w:space="0" w:color="auto"/>
              <w:left w:val="nil"/>
              <w:bottom w:val="single" w:sz="2" w:space="0" w:color="auto"/>
              <w:right w:val="nil"/>
            </w:tcBorders>
            <w:shd w:val="clear" w:color="auto" w:fill="auto"/>
            <w:noWrap/>
            <w:vAlign w:val="center"/>
            <w:hideMark/>
          </w:tcPr>
          <w:p w14:paraId="0270DDFE" w14:textId="77777777" w:rsidR="00204F99" w:rsidRPr="00D1342D" w:rsidRDefault="00204F99" w:rsidP="0087454C">
            <w:pPr>
              <w:pStyle w:val="cuatexto"/>
              <w:jc w:val="right"/>
            </w:pPr>
            <w:r>
              <w:t>39.421.376</w:t>
            </w:r>
          </w:p>
        </w:tc>
        <w:tc>
          <w:tcPr>
            <w:tcW w:w="1207" w:type="dxa"/>
            <w:tcBorders>
              <w:top w:val="single" w:sz="2" w:space="0" w:color="auto"/>
              <w:left w:val="nil"/>
              <w:bottom w:val="single" w:sz="2" w:space="0" w:color="auto"/>
              <w:right w:val="nil"/>
            </w:tcBorders>
            <w:shd w:val="clear" w:color="auto" w:fill="auto"/>
            <w:noWrap/>
            <w:vAlign w:val="center"/>
            <w:hideMark/>
          </w:tcPr>
          <w:p w14:paraId="3F011C1C" w14:textId="77777777" w:rsidR="00204F99" w:rsidRPr="00D1342D" w:rsidRDefault="00204F99" w:rsidP="0087454C">
            <w:pPr>
              <w:pStyle w:val="cuatexto"/>
              <w:jc w:val="right"/>
            </w:pPr>
            <w:r>
              <w:t>41.280.301</w:t>
            </w:r>
          </w:p>
        </w:tc>
        <w:tc>
          <w:tcPr>
            <w:tcW w:w="1207" w:type="dxa"/>
            <w:tcBorders>
              <w:top w:val="single" w:sz="2" w:space="0" w:color="auto"/>
              <w:left w:val="nil"/>
              <w:bottom w:val="single" w:sz="2" w:space="0" w:color="auto"/>
              <w:right w:val="nil"/>
            </w:tcBorders>
            <w:shd w:val="clear" w:color="auto" w:fill="auto"/>
            <w:noWrap/>
            <w:vAlign w:val="center"/>
            <w:hideMark/>
          </w:tcPr>
          <w:p w14:paraId="28A038EA" w14:textId="77777777" w:rsidR="00204F99" w:rsidRPr="00D1342D" w:rsidRDefault="00204F99" w:rsidP="0087454C">
            <w:pPr>
              <w:pStyle w:val="cuatexto"/>
              <w:jc w:val="right"/>
            </w:pPr>
            <w:r>
              <w:t>36.452.333</w:t>
            </w:r>
          </w:p>
        </w:tc>
        <w:tc>
          <w:tcPr>
            <w:tcW w:w="1207" w:type="dxa"/>
            <w:tcBorders>
              <w:top w:val="single" w:sz="2" w:space="0" w:color="auto"/>
              <w:left w:val="nil"/>
              <w:bottom w:val="single" w:sz="2" w:space="0" w:color="auto"/>
              <w:right w:val="nil"/>
            </w:tcBorders>
            <w:shd w:val="clear" w:color="auto" w:fill="auto"/>
            <w:noWrap/>
            <w:vAlign w:val="center"/>
            <w:hideMark/>
          </w:tcPr>
          <w:p w14:paraId="25B43237" w14:textId="77777777" w:rsidR="00204F99" w:rsidRPr="00D1342D" w:rsidRDefault="00204F99" w:rsidP="0087454C">
            <w:pPr>
              <w:pStyle w:val="cuatexto"/>
              <w:jc w:val="right"/>
            </w:pPr>
            <w:r>
              <w:t>60.267.455</w:t>
            </w:r>
          </w:p>
        </w:tc>
        <w:tc>
          <w:tcPr>
            <w:tcW w:w="915" w:type="dxa"/>
            <w:tcBorders>
              <w:top w:val="single" w:sz="2" w:space="0" w:color="auto"/>
              <w:left w:val="nil"/>
              <w:bottom w:val="single" w:sz="2" w:space="0" w:color="auto"/>
              <w:right w:val="nil"/>
            </w:tcBorders>
            <w:shd w:val="clear" w:color="auto" w:fill="auto"/>
            <w:vAlign w:val="center"/>
            <w:hideMark/>
          </w:tcPr>
          <w:p w14:paraId="0CF72D38" w14:textId="77777777" w:rsidR="00204F99" w:rsidRPr="00D1342D" w:rsidRDefault="00204F99" w:rsidP="0087454C">
            <w:pPr>
              <w:pStyle w:val="cuatexto"/>
              <w:jc w:val="right"/>
            </w:pPr>
            <w:r>
              <w:t>65,33</w:t>
            </w:r>
          </w:p>
        </w:tc>
        <w:tc>
          <w:tcPr>
            <w:tcW w:w="993" w:type="dxa"/>
            <w:tcBorders>
              <w:top w:val="single" w:sz="2" w:space="0" w:color="auto"/>
              <w:left w:val="nil"/>
              <w:bottom w:val="single" w:sz="2" w:space="0" w:color="auto"/>
              <w:right w:val="nil"/>
            </w:tcBorders>
            <w:shd w:val="clear" w:color="auto" w:fill="auto"/>
            <w:noWrap/>
            <w:vAlign w:val="center"/>
            <w:hideMark/>
          </w:tcPr>
          <w:p w14:paraId="018E6A88" w14:textId="77777777" w:rsidR="00204F99" w:rsidRPr="00D1342D" w:rsidRDefault="00204F99" w:rsidP="0087454C">
            <w:pPr>
              <w:pStyle w:val="cuatexto"/>
              <w:jc w:val="right"/>
            </w:pPr>
            <w:r>
              <w:t>54,74</w:t>
            </w:r>
          </w:p>
        </w:tc>
      </w:tr>
      <w:tr w:rsidR="00204F99" w:rsidRPr="00D1342D" w14:paraId="4F5C0BB0" w14:textId="77777777" w:rsidTr="008867A2">
        <w:trPr>
          <w:trHeight w:val="315"/>
        </w:trPr>
        <w:tc>
          <w:tcPr>
            <w:tcW w:w="1276" w:type="dxa"/>
            <w:tcBorders>
              <w:top w:val="single" w:sz="2" w:space="0" w:color="auto"/>
              <w:left w:val="nil"/>
              <w:bottom w:val="single" w:sz="4" w:space="0" w:color="auto"/>
              <w:right w:val="nil"/>
            </w:tcBorders>
            <w:shd w:val="clear" w:color="auto" w:fill="B8CCE4" w:themeFill="accent1" w:themeFillTint="66"/>
            <w:noWrap/>
            <w:vAlign w:val="center"/>
            <w:hideMark/>
          </w:tcPr>
          <w:p w14:paraId="4F896CF1" w14:textId="77777777" w:rsidR="00204F99" w:rsidRPr="004504A3" w:rsidRDefault="00204F99" w:rsidP="0087454C">
            <w:pPr>
              <w:pStyle w:val="cuatexto"/>
              <w:rPr>
                <w:rFonts w:ascii="Arial" w:hAnsi="Arial" w:cs="Arial"/>
                <w:bCs/>
                <w:sz w:val="18"/>
                <w:szCs w:val="18"/>
              </w:rPr>
            </w:pPr>
            <w:r>
              <w:rPr>
                <w:rFonts w:ascii="Arial" w:hAnsi="Arial"/>
                <w:bCs/>
                <w:sz w:val="18"/>
                <w:szCs w:val="18"/>
              </w:rPr>
              <w:t>Guztizko orokorra</w:t>
            </w:r>
          </w:p>
        </w:tc>
        <w:tc>
          <w:tcPr>
            <w:tcW w:w="1101" w:type="dxa"/>
            <w:tcBorders>
              <w:top w:val="single" w:sz="2" w:space="0" w:color="auto"/>
              <w:left w:val="nil"/>
              <w:bottom w:val="single" w:sz="4" w:space="0" w:color="auto"/>
              <w:right w:val="nil"/>
            </w:tcBorders>
            <w:shd w:val="clear" w:color="auto" w:fill="B8CCE4" w:themeFill="accent1" w:themeFillTint="66"/>
            <w:noWrap/>
            <w:vAlign w:val="center"/>
            <w:hideMark/>
          </w:tcPr>
          <w:p w14:paraId="66253A22" w14:textId="77777777" w:rsidR="00204F99" w:rsidRPr="004504A3" w:rsidRDefault="00204F99" w:rsidP="0087454C">
            <w:pPr>
              <w:pStyle w:val="cuatexto"/>
              <w:jc w:val="right"/>
              <w:rPr>
                <w:rFonts w:ascii="Arial" w:hAnsi="Arial" w:cs="Arial"/>
                <w:bCs/>
                <w:sz w:val="18"/>
                <w:szCs w:val="18"/>
              </w:rPr>
            </w:pPr>
            <w:r>
              <w:rPr>
                <w:rFonts w:ascii="Arial" w:hAnsi="Arial"/>
                <w:bCs/>
                <w:sz w:val="18"/>
                <w:szCs w:val="18"/>
              </w:rPr>
              <w:t>98.365.498</w:t>
            </w:r>
          </w:p>
        </w:tc>
        <w:tc>
          <w:tcPr>
            <w:tcW w:w="1207" w:type="dxa"/>
            <w:tcBorders>
              <w:top w:val="single" w:sz="2" w:space="0" w:color="auto"/>
              <w:left w:val="nil"/>
              <w:bottom w:val="single" w:sz="4" w:space="0" w:color="auto"/>
              <w:right w:val="nil"/>
            </w:tcBorders>
            <w:shd w:val="clear" w:color="auto" w:fill="B8CCE4" w:themeFill="accent1" w:themeFillTint="66"/>
            <w:noWrap/>
            <w:vAlign w:val="center"/>
            <w:hideMark/>
          </w:tcPr>
          <w:p w14:paraId="3D34095C" w14:textId="77777777" w:rsidR="00204F99" w:rsidRPr="004504A3" w:rsidRDefault="00204F99" w:rsidP="0087454C">
            <w:pPr>
              <w:pStyle w:val="cuatexto"/>
              <w:jc w:val="right"/>
              <w:rPr>
                <w:rFonts w:ascii="Arial" w:hAnsi="Arial" w:cs="Arial"/>
                <w:bCs/>
                <w:sz w:val="18"/>
                <w:szCs w:val="18"/>
              </w:rPr>
            </w:pPr>
            <w:r>
              <w:rPr>
                <w:rFonts w:ascii="Arial" w:hAnsi="Arial"/>
                <w:bCs/>
                <w:sz w:val="18"/>
                <w:szCs w:val="18"/>
              </w:rPr>
              <w:t>103.762.868</w:t>
            </w:r>
          </w:p>
        </w:tc>
        <w:tc>
          <w:tcPr>
            <w:tcW w:w="1207" w:type="dxa"/>
            <w:tcBorders>
              <w:top w:val="single" w:sz="2" w:space="0" w:color="auto"/>
              <w:left w:val="nil"/>
              <w:bottom w:val="single" w:sz="4" w:space="0" w:color="auto"/>
              <w:right w:val="nil"/>
            </w:tcBorders>
            <w:shd w:val="clear" w:color="auto" w:fill="B8CCE4" w:themeFill="accent1" w:themeFillTint="66"/>
            <w:noWrap/>
            <w:vAlign w:val="center"/>
            <w:hideMark/>
          </w:tcPr>
          <w:p w14:paraId="1057F48D" w14:textId="77777777" w:rsidR="00204F99" w:rsidRPr="004504A3" w:rsidRDefault="00204F99" w:rsidP="0087454C">
            <w:pPr>
              <w:pStyle w:val="cuatexto"/>
              <w:jc w:val="right"/>
              <w:rPr>
                <w:rFonts w:ascii="Arial" w:hAnsi="Arial" w:cs="Arial"/>
                <w:bCs/>
                <w:sz w:val="18"/>
                <w:szCs w:val="18"/>
              </w:rPr>
            </w:pPr>
            <w:r>
              <w:rPr>
                <w:rFonts w:ascii="Arial" w:hAnsi="Arial"/>
                <w:bCs/>
                <w:sz w:val="18"/>
                <w:szCs w:val="18"/>
              </w:rPr>
              <w:t>118.666.547</w:t>
            </w:r>
          </w:p>
        </w:tc>
        <w:tc>
          <w:tcPr>
            <w:tcW w:w="1207" w:type="dxa"/>
            <w:tcBorders>
              <w:top w:val="single" w:sz="2" w:space="0" w:color="auto"/>
              <w:left w:val="nil"/>
              <w:bottom w:val="single" w:sz="4" w:space="0" w:color="auto"/>
              <w:right w:val="nil"/>
            </w:tcBorders>
            <w:shd w:val="clear" w:color="auto" w:fill="B8CCE4" w:themeFill="accent1" w:themeFillTint="66"/>
            <w:noWrap/>
            <w:vAlign w:val="center"/>
            <w:hideMark/>
          </w:tcPr>
          <w:p w14:paraId="194D8ECE" w14:textId="77777777" w:rsidR="00204F99" w:rsidRPr="004504A3" w:rsidRDefault="00204F99" w:rsidP="0087454C">
            <w:pPr>
              <w:pStyle w:val="cuatexto"/>
              <w:jc w:val="right"/>
              <w:rPr>
                <w:rFonts w:ascii="Arial" w:hAnsi="Arial" w:cs="Arial"/>
                <w:bCs/>
                <w:sz w:val="18"/>
                <w:szCs w:val="18"/>
              </w:rPr>
            </w:pPr>
            <w:r>
              <w:rPr>
                <w:rFonts w:ascii="Arial" w:hAnsi="Arial"/>
                <w:bCs/>
                <w:sz w:val="18"/>
                <w:szCs w:val="18"/>
              </w:rPr>
              <w:t>127.772.064</w:t>
            </w:r>
          </w:p>
        </w:tc>
        <w:tc>
          <w:tcPr>
            <w:tcW w:w="1207" w:type="dxa"/>
            <w:tcBorders>
              <w:top w:val="single" w:sz="2" w:space="0" w:color="auto"/>
              <w:left w:val="nil"/>
              <w:bottom w:val="single" w:sz="4" w:space="0" w:color="auto"/>
              <w:right w:val="nil"/>
            </w:tcBorders>
            <w:shd w:val="clear" w:color="auto" w:fill="B8CCE4" w:themeFill="accent1" w:themeFillTint="66"/>
            <w:noWrap/>
            <w:vAlign w:val="center"/>
            <w:hideMark/>
          </w:tcPr>
          <w:p w14:paraId="4F6C368C" w14:textId="77777777" w:rsidR="00204F99" w:rsidRPr="004504A3" w:rsidRDefault="00204F99" w:rsidP="0087454C">
            <w:pPr>
              <w:pStyle w:val="cuatexto"/>
              <w:jc w:val="right"/>
              <w:rPr>
                <w:rFonts w:ascii="Arial" w:hAnsi="Arial" w:cs="Arial"/>
                <w:bCs/>
                <w:sz w:val="18"/>
                <w:szCs w:val="18"/>
              </w:rPr>
            </w:pPr>
            <w:r>
              <w:rPr>
                <w:rFonts w:ascii="Arial" w:hAnsi="Arial"/>
                <w:bCs/>
                <w:sz w:val="18"/>
                <w:szCs w:val="18"/>
              </w:rPr>
              <w:t>180.131.902</w:t>
            </w:r>
          </w:p>
        </w:tc>
        <w:tc>
          <w:tcPr>
            <w:tcW w:w="915" w:type="dxa"/>
            <w:tcBorders>
              <w:top w:val="single" w:sz="2" w:space="0" w:color="auto"/>
              <w:left w:val="nil"/>
              <w:bottom w:val="single" w:sz="4" w:space="0" w:color="auto"/>
              <w:right w:val="nil"/>
            </w:tcBorders>
            <w:shd w:val="clear" w:color="auto" w:fill="B8CCE4" w:themeFill="accent1" w:themeFillTint="66"/>
            <w:noWrap/>
            <w:vAlign w:val="center"/>
            <w:hideMark/>
          </w:tcPr>
          <w:p w14:paraId="05757E2B" w14:textId="77777777" w:rsidR="00204F99" w:rsidRPr="004504A3" w:rsidRDefault="00204F99" w:rsidP="0087454C">
            <w:pPr>
              <w:pStyle w:val="cuatexto"/>
              <w:jc w:val="right"/>
              <w:rPr>
                <w:rFonts w:ascii="Arial" w:hAnsi="Arial" w:cs="Arial"/>
                <w:bCs/>
                <w:sz w:val="18"/>
                <w:szCs w:val="18"/>
              </w:rPr>
            </w:pPr>
            <w:r>
              <w:rPr>
                <w:rFonts w:ascii="Arial" w:hAnsi="Arial"/>
                <w:bCs/>
                <w:sz w:val="18"/>
                <w:szCs w:val="18"/>
              </w:rPr>
              <w:t>40,98</w:t>
            </w:r>
          </w:p>
        </w:tc>
        <w:tc>
          <w:tcPr>
            <w:tcW w:w="993" w:type="dxa"/>
            <w:tcBorders>
              <w:top w:val="single" w:sz="2" w:space="0" w:color="auto"/>
              <w:left w:val="nil"/>
              <w:bottom w:val="single" w:sz="4" w:space="0" w:color="auto"/>
              <w:right w:val="nil"/>
            </w:tcBorders>
            <w:shd w:val="clear" w:color="auto" w:fill="B8CCE4" w:themeFill="accent1" w:themeFillTint="66"/>
            <w:noWrap/>
            <w:vAlign w:val="center"/>
            <w:hideMark/>
          </w:tcPr>
          <w:p w14:paraId="0775DAEB" w14:textId="77777777" w:rsidR="00204F99" w:rsidRPr="004504A3" w:rsidRDefault="00204F99" w:rsidP="0087454C">
            <w:pPr>
              <w:pStyle w:val="cuatexto"/>
              <w:jc w:val="right"/>
              <w:rPr>
                <w:rFonts w:ascii="Arial" w:hAnsi="Arial" w:cs="Arial"/>
                <w:bCs/>
                <w:sz w:val="18"/>
                <w:szCs w:val="18"/>
              </w:rPr>
            </w:pPr>
            <w:r>
              <w:rPr>
                <w:rFonts w:ascii="Arial" w:hAnsi="Arial"/>
                <w:bCs/>
                <w:sz w:val="18"/>
                <w:szCs w:val="18"/>
              </w:rPr>
              <w:t>83,13</w:t>
            </w:r>
          </w:p>
        </w:tc>
      </w:tr>
    </w:tbl>
    <w:p w14:paraId="1939401F" w14:textId="77777777" w:rsidR="00204F99" w:rsidRDefault="00204F99" w:rsidP="0087454C">
      <w:pPr>
        <w:spacing w:after="0"/>
        <w:ind w:firstLine="0"/>
        <w:rPr>
          <w:sz w:val="26"/>
          <w:szCs w:val="26"/>
        </w:rPr>
      </w:pPr>
    </w:p>
    <w:p w14:paraId="445DAF4A" w14:textId="77777777" w:rsidR="00204F99" w:rsidRDefault="00204F99" w:rsidP="0087454C">
      <w:pPr>
        <w:ind w:firstLine="284"/>
        <w:rPr>
          <w:sz w:val="26"/>
          <w:szCs w:val="26"/>
        </w:rPr>
      </w:pPr>
      <w:r>
        <w:rPr>
          <w:sz w:val="26"/>
          <w:szCs w:val="26"/>
        </w:rPr>
        <w:t>Enpresa pribatuentzako transferentziengatiko gastu horiek ehuneko 41 egin zuten gora 2020an, 2019koekin alderatuta. Igoera nabarmen horren arrazoia dira, funtsean, COVID-19ak sortutako osasun krisiari aurre egiteko laguntza berezi eta urgenteak.</w:t>
      </w:r>
    </w:p>
    <w:p w14:paraId="591A9567" w14:textId="77777777" w:rsidR="00B6012E" w:rsidRDefault="000D53D1" w:rsidP="008867A2">
      <w:pPr>
        <w:spacing w:after="240"/>
        <w:ind w:firstLine="284"/>
        <w:rPr>
          <w:sz w:val="26"/>
          <w:szCs w:val="26"/>
        </w:rPr>
      </w:pPr>
      <w:r>
        <w:rPr>
          <w:sz w:val="26"/>
          <w:szCs w:val="26"/>
        </w:rPr>
        <w:lastRenderedPageBreak/>
        <w:t>Transferentzia arrunten eta kapitalekoen 2020ko gastua, COVID-19a tartean dela egindakoa, 42,8 milioi eurokoa izan da. Hona hemen xehetasunak:</w:t>
      </w:r>
    </w:p>
    <w:tbl>
      <w:tblPr>
        <w:tblW w:w="8789" w:type="dxa"/>
        <w:tblCellMar>
          <w:left w:w="70" w:type="dxa"/>
          <w:right w:w="70" w:type="dxa"/>
        </w:tblCellMar>
        <w:tblLook w:val="04A0" w:firstRow="1" w:lastRow="0" w:firstColumn="1" w:lastColumn="0" w:noHBand="0" w:noVBand="1"/>
      </w:tblPr>
      <w:tblGrid>
        <w:gridCol w:w="6946"/>
        <w:gridCol w:w="1843"/>
      </w:tblGrid>
      <w:tr w:rsidR="00204F99" w:rsidRPr="00881BE0" w14:paraId="126F4625" w14:textId="77777777" w:rsidTr="00A66583">
        <w:trPr>
          <w:trHeight w:val="284"/>
        </w:trPr>
        <w:tc>
          <w:tcPr>
            <w:tcW w:w="6946" w:type="dxa"/>
            <w:tcBorders>
              <w:top w:val="single" w:sz="4" w:space="0" w:color="auto"/>
              <w:left w:val="nil"/>
              <w:bottom w:val="single" w:sz="4" w:space="0" w:color="auto"/>
              <w:right w:val="nil"/>
            </w:tcBorders>
            <w:shd w:val="clear" w:color="auto" w:fill="B8CCE4" w:themeFill="accent1" w:themeFillTint="66"/>
            <w:noWrap/>
            <w:vAlign w:val="center"/>
            <w:hideMark/>
          </w:tcPr>
          <w:p w14:paraId="6BE2835B" w14:textId="77777777" w:rsidR="00204F99" w:rsidRPr="005C45DA" w:rsidRDefault="00204F99" w:rsidP="0087454C">
            <w:pPr>
              <w:pStyle w:val="cuadroCabe"/>
            </w:pPr>
            <w:r>
              <w:t>Izendapena</w:t>
            </w:r>
          </w:p>
        </w:tc>
        <w:tc>
          <w:tcPr>
            <w:tcW w:w="1843" w:type="dxa"/>
            <w:tcBorders>
              <w:top w:val="single" w:sz="4" w:space="0" w:color="auto"/>
              <w:left w:val="nil"/>
              <w:bottom w:val="single" w:sz="4" w:space="0" w:color="auto"/>
              <w:right w:val="nil"/>
            </w:tcBorders>
            <w:shd w:val="clear" w:color="auto" w:fill="B8CCE4" w:themeFill="accent1" w:themeFillTint="66"/>
            <w:noWrap/>
            <w:vAlign w:val="center"/>
            <w:hideMark/>
          </w:tcPr>
          <w:p w14:paraId="6BD62C52" w14:textId="77777777" w:rsidR="00204F99" w:rsidRPr="005C45DA" w:rsidRDefault="00204F99" w:rsidP="0087454C">
            <w:pPr>
              <w:pStyle w:val="cuadroCabe"/>
              <w:jc w:val="right"/>
            </w:pPr>
            <w:r>
              <w:t>2020</w:t>
            </w:r>
          </w:p>
        </w:tc>
      </w:tr>
      <w:tr w:rsidR="00204F99" w:rsidRPr="00881BE0" w14:paraId="2E4113DC" w14:textId="77777777" w:rsidTr="008867A2">
        <w:trPr>
          <w:trHeight w:val="284"/>
        </w:trPr>
        <w:tc>
          <w:tcPr>
            <w:tcW w:w="6946" w:type="dxa"/>
            <w:tcBorders>
              <w:top w:val="single" w:sz="4" w:space="0" w:color="auto"/>
              <w:left w:val="nil"/>
              <w:bottom w:val="single" w:sz="2" w:space="0" w:color="auto"/>
              <w:right w:val="nil"/>
            </w:tcBorders>
            <w:shd w:val="clear" w:color="auto" w:fill="auto"/>
            <w:noWrap/>
            <w:vAlign w:val="center"/>
            <w:hideMark/>
          </w:tcPr>
          <w:p w14:paraId="51E2B2C3" w14:textId="77777777" w:rsidR="00204F99" w:rsidRPr="005C45DA" w:rsidRDefault="00204F99" w:rsidP="0087454C">
            <w:pPr>
              <w:pStyle w:val="cuatexto"/>
            </w:pPr>
            <w:r>
              <w:t>Langile autonomoentzako laguntzak. 3/2020 Foru Lege-dekretua</w:t>
            </w:r>
          </w:p>
        </w:tc>
        <w:tc>
          <w:tcPr>
            <w:tcW w:w="1843" w:type="dxa"/>
            <w:tcBorders>
              <w:top w:val="single" w:sz="4" w:space="0" w:color="auto"/>
              <w:left w:val="nil"/>
              <w:bottom w:val="single" w:sz="2" w:space="0" w:color="auto"/>
              <w:right w:val="nil"/>
            </w:tcBorders>
            <w:shd w:val="clear" w:color="auto" w:fill="auto"/>
            <w:noWrap/>
            <w:vAlign w:val="center"/>
            <w:hideMark/>
          </w:tcPr>
          <w:p w14:paraId="00F0BAF6" w14:textId="77777777" w:rsidR="00204F99" w:rsidRPr="005C45DA" w:rsidRDefault="00204F99" w:rsidP="0087454C">
            <w:pPr>
              <w:pStyle w:val="cuatexto"/>
              <w:jc w:val="right"/>
            </w:pPr>
            <w:r>
              <w:t>24.029.700</w:t>
            </w:r>
          </w:p>
        </w:tc>
      </w:tr>
      <w:tr w:rsidR="00204F99" w:rsidRPr="00881BE0" w14:paraId="66CE3D69" w14:textId="77777777" w:rsidTr="008867A2">
        <w:trPr>
          <w:trHeight w:val="284"/>
        </w:trPr>
        <w:tc>
          <w:tcPr>
            <w:tcW w:w="6946" w:type="dxa"/>
            <w:tcBorders>
              <w:top w:val="single" w:sz="2" w:space="0" w:color="auto"/>
              <w:left w:val="nil"/>
              <w:bottom w:val="single" w:sz="2" w:space="0" w:color="auto"/>
              <w:right w:val="nil"/>
            </w:tcBorders>
            <w:shd w:val="clear" w:color="auto" w:fill="auto"/>
            <w:noWrap/>
            <w:vAlign w:val="center"/>
            <w:hideMark/>
          </w:tcPr>
          <w:p w14:paraId="11A3A403" w14:textId="77777777" w:rsidR="00204F99" w:rsidRPr="005C45DA" w:rsidRDefault="00F03664" w:rsidP="00F03664">
            <w:pPr>
              <w:pStyle w:val="cuatexto"/>
            </w:pPr>
            <w:r>
              <w:t>Turismoaren eta Ostalaritzaren arloko enpresa txiki eta ertainentzako dirulaguntzak</w:t>
            </w:r>
          </w:p>
        </w:tc>
        <w:tc>
          <w:tcPr>
            <w:tcW w:w="1843" w:type="dxa"/>
            <w:tcBorders>
              <w:top w:val="single" w:sz="2" w:space="0" w:color="auto"/>
              <w:left w:val="nil"/>
              <w:bottom w:val="single" w:sz="2" w:space="0" w:color="auto"/>
              <w:right w:val="nil"/>
            </w:tcBorders>
            <w:shd w:val="clear" w:color="auto" w:fill="auto"/>
            <w:noWrap/>
            <w:vAlign w:val="center"/>
            <w:hideMark/>
          </w:tcPr>
          <w:p w14:paraId="4DD7B1D6" w14:textId="77777777" w:rsidR="00204F99" w:rsidRPr="005C45DA" w:rsidRDefault="00204F99" w:rsidP="0087454C">
            <w:pPr>
              <w:pStyle w:val="cuatexto"/>
              <w:jc w:val="right"/>
            </w:pPr>
            <w:r>
              <w:t>13.541.412</w:t>
            </w:r>
          </w:p>
        </w:tc>
      </w:tr>
      <w:tr w:rsidR="00204F99" w:rsidRPr="00881BE0" w14:paraId="70CEBEA4" w14:textId="77777777" w:rsidTr="008867A2">
        <w:trPr>
          <w:trHeight w:val="284"/>
        </w:trPr>
        <w:tc>
          <w:tcPr>
            <w:tcW w:w="6946" w:type="dxa"/>
            <w:tcBorders>
              <w:top w:val="single" w:sz="2" w:space="0" w:color="auto"/>
              <w:left w:val="nil"/>
              <w:bottom w:val="single" w:sz="2" w:space="0" w:color="auto"/>
              <w:right w:val="nil"/>
            </w:tcBorders>
            <w:shd w:val="clear" w:color="000000" w:fill="FFFFFF"/>
            <w:noWrap/>
            <w:vAlign w:val="center"/>
            <w:hideMark/>
          </w:tcPr>
          <w:p w14:paraId="1116E56D" w14:textId="77777777" w:rsidR="00204F99" w:rsidRPr="005C45DA" w:rsidRDefault="00204F99" w:rsidP="0087454C">
            <w:pPr>
              <w:pStyle w:val="cuatexto"/>
              <w:rPr>
                <w:rFonts w:cs="Arial"/>
              </w:rPr>
            </w:pPr>
            <w:r>
              <w:t>Nekazaritza sektorearentzako laguntzak</w:t>
            </w:r>
          </w:p>
        </w:tc>
        <w:tc>
          <w:tcPr>
            <w:tcW w:w="1843" w:type="dxa"/>
            <w:tcBorders>
              <w:top w:val="single" w:sz="2" w:space="0" w:color="auto"/>
              <w:left w:val="nil"/>
              <w:bottom w:val="single" w:sz="2" w:space="0" w:color="auto"/>
              <w:right w:val="nil"/>
            </w:tcBorders>
            <w:shd w:val="clear" w:color="auto" w:fill="auto"/>
            <w:noWrap/>
            <w:vAlign w:val="center"/>
            <w:hideMark/>
          </w:tcPr>
          <w:p w14:paraId="366C38E0" w14:textId="77777777" w:rsidR="00204F99" w:rsidRPr="005C45DA" w:rsidRDefault="00204F99" w:rsidP="0087454C">
            <w:pPr>
              <w:pStyle w:val="cuatexto"/>
              <w:jc w:val="right"/>
            </w:pPr>
            <w:r>
              <w:t>2.935.943</w:t>
            </w:r>
          </w:p>
        </w:tc>
      </w:tr>
      <w:tr w:rsidR="00204F99" w:rsidRPr="00881BE0" w14:paraId="43E2C72D" w14:textId="77777777" w:rsidTr="008867A2">
        <w:trPr>
          <w:trHeight w:val="284"/>
        </w:trPr>
        <w:tc>
          <w:tcPr>
            <w:tcW w:w="6946" w:type="dxa"/>
            <w:tcBorders>
              <w:top w:val="single" w:sz="2" w:space="0" w:color="auto"/>
              <w:left w:val="nil"/>
              <w:bottom w:val="single" w:sz="2" w:space="0" w:color="auto"/>
              <w:right w:val="nil"/>
            </w:tcBorders>
            <w:shd w:val="clear" w:color="000000" w:fill="FFFFFF"/>
            <w:noWrap/>
            <w:vAlign w:val="center"/>
            <w:hideMark/>
          </w:tcPr>
          <w:p w14:paraId="46748E8B" w14:textId="77777777" w:rsidR="00204F99" w:rsidRPr="005C45DA" w:rsidRDefault="00204F99" w:rsidP="0087454C">
            <w:pPr>
              <w:pStyle w:val="cuatexto"/>
              <w:rPr>
                <w:rFonts w:cs="Arial"/>
              </w:rPr>
            </w:pPr>
            <w:r>
              <w:t>Bidaiarien garraio-zerbitzuak mantentzeko laguntza</w:t>
            </w:r>
          </w:p>
        </w:tc>
        <w:tc>
          <w:tcPr>
            <w:tcW w:w="1843" w:type="dxa"/>
            <w:tcBorders>
              <w:top w:val="single" w:sz="2" w:space="0" w:color="auto"/>
              <w:left w:val="nil"/>
              <w:bottom w:val="single" w:sz="2" w:space="0" w:color="auto"/>
              <w:right w:val="nil"/>
            </w:tcBorders>
            <w:shd w:val="clear" w:color="auto" w:fill="auto"/>
            <w:noWrap/>
            <w:vAlign w:val="center"/>
            <w:hideMark/>
          </w:tcPr>
          <w:p w14:paraId="008D32CE" w14:textId="77777777" w:rsidR="00204F99" w:rsidRPr="005C45DA" w:rsidRDefault="00204F99" w:rsidP="0087454C">
            <w:pPr>
              <w:pStyle w:val="cuatexto"/>
              <w:jc w:val="right"/>
            </w:pPr>
            <w:r>
              <w:t>1.363.969</w:t>
            </w:r>
          </w:p>
        </w:tc>
      </w:tr>
      <w:tr w:rsidR="00204F99" w:rsidRPr="00881BE0" w14:paraId="229AA2DB" w14:textId="77777777" w:rsidTr="008867A2">
        <w:trPr>
          <w:trHeight w:val="284"/>
        </w:trPr>
        <w:tc>
          <w:tcPr>
            <w:tcW w:w="6946" w:type="dxa"/>
            <w:tcBorders>
              <w:top w:val="single" w:sz="2" w:space="0" w:color="auto"/>
              <w:left w:val="nil"/>
              <w:bottom w:val="single" w:sz="2" w:space="0" w:color="auto"/>
              <w:right w:val="nil"/>
            </w:tcBorders>
            <w:shd w:val="clear" w:color="auto" w:fill="auto"/>
            <w:noWrap/>
            <w:vAlign w:val="center"/>
            <w:hideMark/>
          </w:tcPr>
          <w:p w14:paraId="6DFFE7FB" w14:textId="77777777" w:rsidR="00204F99" w:rsidRPr="005C45DA" w:rsidRDefault="00204F99" w:rsidP="0087454C">
            <w:pPr>
              <w:pStyle w:val="cuatexto"/>
            </w:pPr>
            <w:r>
              <w:t>Kalte eta galeren ordainak</w:t>
            </w:r>
          </w:p>
        </w:tc>
        <w:tc>
          <w:tcPr>
            <w:tcW w:w="1843" w:type="dxa"/>
            <w:tcBorders>
              <w:top w:val="single" w:sz="2" w:space="0" w:color="auto"/>
              <w:left w:val="nil"/>
              <w:bottom w:val="single" w:sz="2" w:space="0" w:color="auto"/>
              <w:right w:val="nil"/>
            </w:tcBorders>
            <w:shd w:val="clear" w:color="auto" w:fill="auto"/>
            <w:noWrap/>
            <w:vAlign w:val="center"/>
            <w:hideMark/>
          </w:tcPr>
          <w:p w14:paraId="0D737D4D" w14:textId="77777777" w:rsidR="00204F99" w:rsidRPr="005C45DA" w:rsidRDefault="00130C43" w:rsidP="0087454C">
            <w:pPr>
              <w:pStyle w:val="cuatexto"/>
              <w:jc w:val="right"/>
            </w:pPr>
            <w:r>
              <w:t>955.418</w:t>
            </w:r>
          </w:p>
        </w:tc>
      </w:tr>
      <w:tr w:rsidR="00204F99" w:rsidRPr="00881BE0" w14:paraId="4BB64A1D" w14:textId="77777777" w:rsidTr="008867A2">
        <w:trPr>
          <w:trHeight w:val="284"/>
        </w:trPr>
        <w:tc>
          <w:tcPr>
            <w:tcW w:w="6946" w:type="dxa"/>
            <w:tcBorders>
              <w:top w:val="single" w:sz="2" w:space="0" w:color="auto"/>
              <w:left w:val="nil"/>
              <w:bottom w:val="single" w:sz="2" w:space="0" w:color="auto"/>
              <w:right w:val="nil"/>
            </w:tcBorders>
            <w:shd w:val="clear" w:color="000000" w:fill="FFFFFF"/>
            <w:noWrap/>
            <w:vAlign w:val="center"/>
            <w:hideMark/>
          </w:tcPr>
          <w:p w14:paraId="216661A9" w14:textId="77777777" w:rsidR="00204F99" w:rsidRPr="005C45DA" w:rsidRDefault="00204F99" w:rsidP="0087454C">
            <w:pPr>
              <w:pStyle w:val="cuatexto"/>
              <w:rPr>
                <w:rFonts w:cs="Arial"/>
              </w:rPr>
            </w:pPr>
            <w:r>
              <w:t>Garbiketa-kontratuak eteteagatiko kalte-ordaina</w:t>
            </w:r>
          </w:p>
        </w:tc>
        <w:tc>
          <w:tcPr>
            <w:tcW w:w="1843" w:type="dxa"/>
            <w:tcBorders>
              <w:top w:val="single" w:sz="2" w:space="0" w:color="auto"/>
              <w:left w:val="nil"/>
              <w:bottom w:val="single" w:sz="2" w:space="0" w:color="auto"/>
              <w:right w:val="nil"/>
            </w:tcBorders>
            <w:shd w:val="clear" w:color="auto" w:fill="auto"/>
            <w:noWrap/>
            <w:vAlign w:val="center"/>
            <w:hideMark/>
          </w:tcPr>
          <w:p w14:paraId="6FBD496A" w14:textId="77777777" w:rsidR="00204F99" w:rsidRPr="005C45DA" w:rsidRDefault="00204F99" w:rsidP="0087454C">
            <w:pPr>
              <w:pStyle w:val="cuatexto"/>
              <w:jc w:val="right"/>
            </w:pPr>
            <w:r>
              <w:t>25.352</w:t>
            </w:r>
          </w:p>
        </w:tc>
      </w:tr>
      <w:tr w:rsidR="00204F99" w:rsidRPr="00881BE0" w14:paraId="3E05B210" w14:textId="77777777" w:rsidTr="008867A2">
        <w:trPr>
          <w:trHeight w:val="284"/>
        </w:trPr>
        <w:tc>
          <w:tcPr>
            <w:tcW w:w="6946" w:type="dxa"/>
            <w:tcBorders>
              <w:top w:val="single" w:sz="2" w:space="0" w:color="auto"/>
              <w:left w:val="nil"/>
              <w:bottom w:val="single" w:sz="4" w:space="0" w:color="auto"/>
              <w:right w:val="nil"/>
            </w:tcBorders>
            <w:shd w:val="clear" w:color="000000" w:fill="FFFFFF"/>
            <w:noWrap/>
            <w:vAlign w:val="center"/>
            <w:hideMark/>
          </w:tcPr>
          <w:p w14:paraId="2B4615E0" w14:textId="77777777" w:rsidR="00204F99" w:rsidRPr="005C45DA" w:rsidRDefault="00204F99" w:rsidP="0087454C">
            <w:pPr>
              <w:pStyle w:val="cuatexto"/>
              <w:rPr>
                <w:rFonts w:cs="Arial"/>
              </w:rPr>
            </w:pPr>
            <w:r>
              <w:t>Kontratuak eteteagatiko kalte-ordainak</w:t>
            </w:r>
          </w:p>
        </w:tc>
        <w:tc>
          <w:tcPr>
            <w:tcW w:w="1843" w:type="dxa"/>
            <w:tcBorders>
              <w:top w:val="single" w:sz="2" w:space="0" w:color="auto"/>
              <w:left w:val="nil"/>
              <w:bottom w:val="single" w:sz="4" w:space="0" w:color="auto"/>
              <w:right w:val="nil"/>
            </w:tcBorders>
            <w:shd w:val="clear" w:color="auto" w:fill="auto"/>
            <w:noWrap/>
            <w:vAlign w:val="center"/>
            <w:hideMark/>
          </w:tcPr>
          <w:p w14:paraId="3AC1F5F6" w14:textId="77777777" w:rsidR="00204F99" w:rsidRPr="005C45DA" w:rsidRDefault="00204F99" w:rsidP="0087454C">
            <w:pPr>
              <w:pStyle w:val="cuatexto"/>
              <w:jc w:val="right"/>
            </w:pPr>
            <w:r>
              <w:t>3.275</w:t>
            </w:r>
          </w:p>
        </w:tc>
      </w:tr>
      <w:tr w:rsidR="00204F99" w:rsidRPr="00881BE0" w14:paraId="45708C15" w14:textId="77777777" w:rsidTr="00A66583">
        <w:trPr>
          <w:trHeight w:val="284"/>
        </w:trPr>
        <w:tc>
          <w:tcPr>
            <w:tcW w:w="6946" w:type="dxa"/>
            <w:tcBorders>
              <w:top w:val="single" w:sz="4" w:space="0" w:color="auto"/>
              <w:left w:val="nil"/>
              <w:bottom w:val="single" w:sz="4" w:space="0" w:color="auto"/>
              <w:right w:val="nil"/>
            </w:tcBorders>
            <w:shd w:val="clear" w:color="auto" w:fill="B8CCE4" w:themeFill="accent1" w:themeFillTint="66"/>
            <w:noWrap/>
            <w:vAlign w:val="center"/>
            <w:hideMark/>
          </w:tcPr>
          <w:p w14:paraId="7B8CE587" w14:textId="77777777" w:rsidR="00204F99" w:rsidRPr="005C45DA" w:rsidRDefault="00AA0951" w:rsidP="0087454C">
            <w:pPr>
              <w:pStyle w:val="cuadroCabe"/>
            </w:pPr>
            <w:r>
              <w:t>Guztira</w:t>
            </w:r>
          </w:p>
        </w:tc>
        <w:tc>
          <w:tcPr>
            <w:tcW w:w="1843" w:type="dxa"/>
            <w:tcBorders>
              <w:top w:val="single" w:sz="4" w:space="0" w:color="auto"/>
              <w:left w:val="nil"/>
              <w:bottom w:val="single" w:sz="4" w:space="0" w:color="auto"/>
              <w:right w:val="nil"/>
            </w:tcBorders>
            <w:shd w:val="clear" w:color="auto" w:fill="B8CCE4" w:themeFill="accent1" w:themeFillTint="66"/>
            <w:noWrap/>
            <w:vAlign w:val="center"/>
            <w:hideMark/>
          </w:tcPr>
          <w:p w14:paraId="674E6473" w14:textId="77777777" w:rsidR="00204F99" w:rsidRPr="005C45DA" w:rsidRDefault="00204F99" w:rsidP="0087454C">
            <w:pPr>
              <w:pStyle w:val="cuadroCabe"/>
              <w:jc w:val="right"/>
              <w:rPr>
                <w:rFonts w:cs="Calibri"/>
              </w:rPr>
            </w:pPr>
            <w:r>
              <w:t>42.855.068</w:t>
            </w:r>
          </w:p>
        </w:tc>
      </w:tr>
    </w:tbl>
    <w:p w14:paraId="09BAE896" w14:textId="77777777" w:rsidR="00204F99" w:rsidRDefault="00204F99" w:rsidP="00204F99">
      <w:pPr>
        <w:spacing w:after="0"/>
        <w:ind w:firstLine="0"/>
        <w:jc w:val="left"/>
        <w:rPr>
          <w:sz w:val="26"/>
          <w:szCs w:val="26"/>
        </w:rPr>
      </w:pPr>
    </w:p>
    <w:p w14:paraId="627965A2" w14:textId="77777777" w:rsidR="00496B22" w:rsidRPr="00496B22" w:rsidRDefault="00496B22" w:rsidP="00306812">
      <w:pPr>
        <w:pStyle w:val="atitulo3"/>
        <w:spacing w:before="120"/>
      </w:pPr>
      <w:r>
        <w:t>Jasotzaileen taldearen araberako betetzea</w:t>
      </w:r>
    </w:p>
    <w:p w14:paraId="663CD8F5" w14:textId="77777777" w:rsidR="00204F99" w:rsidRDefault="00204F99" w:rsidP="00204F99">
      <w:pPr>
        <w:spacing w:after="0"/>
        <w:ind w:firstLine="284"/>
        <w:jc w:val="left"/>
        <w:rPr>
          <w:sz w:val="26"/>
          <w:szCs w:val="26"/>
        </w:rPr>
      </w:pPr>
      <w:r>
        <w:rPr>
          <w:sz w:val="26"/>
          <w:szCs w:val="26"/>
        </w:rPr>
        <w:t xml:space="preserve">Enpresa pribatuentzako 2020ko transferentzien guztizkoaren aurrekontu-betetzea, jasotzaileen taldearen arabera, honako taula honetan ageri da: </w:t>
      </w:r>
    </w:p>
    <w:p w14:paraId="475C186E" w14:textId="77777777" w:rsidR="00204F99" w:rsidRDefault="00204F99" w:rsidP="00204F99">
      <w:pPr>
        <w:spacing w:after="0"/>
        <w:ind w:firstLine="0"/>
        <w:jc w:val="left"/>
        <w:rPr>
          <w:sz w:val="26"/>
          <w:szCs w:val="26"/>
        </w:rPr>
      </w:pPr>
    </w:p>
    <w:tbl>
      <w:tblPr>
        <w:tblW w:w="8789" w:type="dxa"/>
        <w:tblCellMar>
          <w:left w:w="70" w:type="dxa"/>
          <w:right w:w="70" w:type="dxa"/>
        </w:tblCellMar>
        <w:tblLook w:val="04A0" w:firstRow="1" w:lastRow="0" w:firstColumn="1" w:lastColumn="0" w:noHBand="0" w:noVBand="1"/>
      </w:tblPr>
      <w:tblGrid>
        <w:gridCol w:w="3118"/>
        <w:gridCol w:w="1560"/>
        <w:gridCol w:w="1418"/>
        <w:gridCol w:w="1559"/>
        <w:gridCol w:w="1134"/>
      </w:tblGrid>
      <w:tr w:rsidR="00204F99" w:rsidRPr="00916911" w14:paraId="24138578" w14:textId="77777777" w:rsidTr="00A66583">
        <w:trPr>
          <w:trHeight w:val="284"/>
        </w:trPr>
        <w:tc>
          <w:tcPr>
            <w:tcW w:w="3118" w:type="dxa"/>
            <w:tcBorders>
              <w:top w:val="single" w:sz="4" w:space="0" w:color="auto"/>
              <w:left w:val="nil"/>
              <w:bottom w:val="single" w:sz="4" w:space="0" w:color="auto"/>
              <w:right w:val="nil"/>
            </w:tcBorders>
            <w:shd w:val="clear" w:color="auto" w:fill="B8CCE4" w:themeFill="accent1" w:themeFillTint="66"/>
            <w:noWrap/>
            <w:vAlign w:val="center"/>
            <w:hideMark/>
          </w:tcPr>
          <w:p w14:paraId="3321FD3E" w14:textId="77777777" w:rsidR="00204F99" w:rsidRPr="005C45DA" w:rsidRDefault="00204F99" w:rsidP="00204F99">
            <w:pPr>
              <w:spacing w:after="0"/>
              <w:ind w:firstLine="0"/>
              <w:jc w:val="left"/>
              <w:rPr>
                <w:rFonts w:ascii="Arial Narrow" w:hAnsi="Arial Narrow" w:cs="Arial"/>
                <w:color w:val="000000"/>
              </w:rPr>
            </w:pPr>
            <w:r>
              <w:rPr>
                <w:rFonts w:ascii="Arial Narrow" w:hAnsi="Arial Narrow"/>
                <w:color w:val="000000"/>
              </w:rPr>
              <w:t>Ekonomikoa</w:t>
            </w:r>
          </w:p>
        </w:tc>
        <w:tc>
          <w:tcPr>
            <w:tcW w:w="1560" w:type="dxa"/>
            <w:tcBorders>
              <w:top w:val="single" w:sz="4" w:space="0" w:color="auto"/>
              <w:left w:val="nil"/>
              <w:bottom w:val="single" w:sz="4" w:space="0" w:color="auto"/>
              <w:right w:val="nil"/>
            </w:tcBorders>
            <w:shd w:val="clear" w:color="auto" w:fill="B8CCE4" w:themeFill="accent1" w:themeFillTint="66"/>
            <w:noWrap/>
            <w:vAlign w:val="center"/>
            <w:hideMark/>
          </w:tcPr>
          <w:p w14:paraId="39FCFFBA" w14:textId="77777777" w:rsidR="00204F99" w:rsidRPr="005C45DA" w:rsidRDefault="00204F99" w:rsidP="005008EB">
            <w:pPr>
              <w:spacing w:after="0"/>
              <w:ind w:firstLine="0"/>
              <w:jc w:val="right"/>
              <w:rPr>
                <w:rFonts w:ascii="Arial Narrow" w:hAnsi="Arial Narrow" w:cs="Arial"/>
                <w:color w:val="000000"/>
              </w:rPr>
            </w:pPr>
            <w:r>
              <w:rPr>
                <w:rFonts w:ascii="Arial Narrow" w:hAnsi="Arial Narrow"/>
                <w:color w:val="000000"/>
              </w:rPr>
              <w:t>Arruntak</w:t>
            </w:r>
          </w:p>
        </w:tc>
        <w:tc>
          <w:tcPr>
            <w:tcW w:w="1418" w:type="dxa"/>
            <w:tcBorders>
              <w:top w:val="single" w:sz="4" w:space="0" w:color="auto"/>
              <w:left w:val="nil"/>
              <w:bottom w:val="single" w:sz="4" w:space="0" w:color="auto"/>
              <w:right w:val="nil"/>
            </w:tcBorders>
            <w:shd w:val="clear" w:color="auto" w:fill="B8CCE4" w:themeFill="accent1" w:themeFillTint="66"/>
            <w:noWrap/>
            <w:vAlign w:val="center"/>
            <w:hideMark/>
          </w:tcPr>
          <w:p w14:paraId="39EB51FF" w14:textId="77777777" w:rsidR="00204F99" w:rsidRPr="005C45DA" w:rsidRDefault="00204F99" w:rsidP="005008EB">
            <w:pPr>
              <w:spacing w:after="0"/>
              <w:ind w:firstLine="0"/>
              <w:jc w:val="right"/>
              <w:rPr>
                <w:rFonts w:ascii="Arial Narrow" w:hAnsi="Arial Narrow" w:cs="Arial"/>
                <w:color w:val="000000"/>
              </w:rPr>
            </w:pPr>
            <w:r>
              <w:rPr>
                <w:rFonts w:ascii="Arial Narrow" w:hAnsi="Arial Narrow"/>
                <w:color w:val="000000"/>
              </w:rPr>
              <w:t>Kapitala</w:t>
            </w:r>
          </w:p>
        </w:tc>
        <w:tc>
          <w:tcPr>
            <w:tcW w:w="1559" w:type="dxa"/>
            <w:tcBorders>
              <w:top w:val="single" w:sz="4" w:space="0" w:color="auto"/>
              <w:left w:val="nil"/>
              <w:bottom w:val="single" w:sz="4" w:space="0" w:color="auto"/>
              <w:right w:val="nil"/>
            </w:tcBorders>
            <w:shd w:val="clear" w:color="auto" w:fill="B8CCE4" w:themeFill="accent1" w:themeFillTint="66"/>
            <w:noWrap/>
            <w:vAlign w:val="center"/>
            <w:hideMark/>
          </w:tcPr>
          <w:p w14:paraId="13B56BCC" w14:textId="77777777" w:rsidR="00204F99" w:rsidRPr="005C45DA" w:rsidRDefault="00204F99" w:rsidP="005008EB">
            <w:pPr>
              <w:spacing w:after="0"/>
              <w:ind w:firstLine="0"/>
              <w:jc w:val="right"/>
              <w:rPr>
                <w:rFonts w:ascii="Arial Narrow" w:hAnsi="Arial Narrow" w:cs="Arial"/>
                <w:color w:val="000000"/>
              </w:rPr>
            </w:pPr>
            <w:r>
              <w:rPr>
                <w:rFonts w:ascii="Arial Narrow" w:hAnsi="Arial Narrow"/>
                <w:color w:val="000000"/>
              </w:rPr>
              <w:t>Guztira</w:t>
            </w:r>
          </w:p>
        </w:tc>
        <w:tc>
          <w:tcPr>
            <w:tcW w:w="1134" w:type="dxa"/>
            <w:tcBorders>
              <w:top w:val="single" w:sz="4" w:space="0" w:color="auto"/>
              <w:left w:val="nil"/>
              <w:bottom w:val="single" w:sz="4" w:space="0" w:color="auto"/>
              <w:right w:val="nil"/>
            </w:tcBorders>
            <w:shd w:val="clear" w:color="auto" w:fill="B8CCE4" w:themeFill="accent1" w:themeFillTint="66"/>
            <w:noWrap/>
            <w:vAlign w:val="center"/>
            <w:hideMark/>
          </w:tcPr>
          <w:p w14:paraId="31F52184" w14:textId="77777777" w:rsidR="00204F99" w:rsidRPr="005C45DA" w:rsidRDefault="00204F99" w:rsidP="005008EB">
            <w:pPr>
              <w:spacing w:after="0"/>
              <w:ind w:firstLine="0"/>
              <w:jc w:val="right"/>
              <w:rPr>
                <w:rFonts w:ascii="Arial Narrow" w:hAnsi="Arial Narrow" w:cs="Arial"/>
                <w:color w:val="000000"/>
              </w:rPr>
            </w:pPr>
            <w:r>
              <w:rPr>
                <w:rFonts w:ascii="Arial Narrow" w:hAnsi="Arial Narrow"/>
                <w:color w:val="000000"/>
              </w:rPr>
              <w:t>%, guztizkoaren gainean</w:t>
            </w:r>
          </w:p>
        </w:tc>
      </w:tr>
      <w:tr w:rsidR="00204F99" w:rsidRPr="00916911" w14:paraId="416099CB" w14:textId="77777777" w:rsidTr="008867A2">
        <w:trPr>
          <w:trHeight w:val="284"/>
        </w:trPr>
        <w:tc>
          <w:tcPr>
            <w:tcW w:w="3118" w:type="dxa"/>
            <w:tcBorders>
              <w:top w:val="single" w:sz="4" w:space="0" w:color="auto"/>
              <w:left w:val="nil"/>
              <w:bottom w:val="single" w:sz="2" w:space="0" w:color="auto"/>
              <w:right w:val="nil"/>
            </w:tcBorders>
            <w:shd w:val="clear" w:color="auto" w:fill="auto"/>
            <w:vAlign w:val="center"/>
            <w:hideMark/>
          </w:tcPr>
          <w:p w14:paraId="1BF40F22" w14:textId="77777777" w:rsidR="00204F99" w:rsidRPr="005C45DA" w:rsidRDefault="00204F99" w:rsidP="00204F99">
            <w:pPr>
              <w:spacing w:after="0"/>
              <w:ind w:firstLine="0"/>
              <w:jc w:val="left"/>
              <w:rPr>
                <w:rFonts w:ascii="Arial Narrow" w:hAnsi="Arial Narrow" w:cs="Calibri"/>
                <w:color w:val="000000"/>
              </w:rPr>
            </w:pPr>
            <w:r>
              <w:rPr>
                <w:rFonts w:ascii="Arial Narrow" w:hAnsi="Arial Narrow"/>
                <w:color w:val="000000"/>
              </w:rPr>
              <w:t>Nekazaritzako eta abere-hazkuntzako enpresei</w:t>
            </w:r>
          </w:p>
        </w:tc>
        <w:tc>
          <w:tcPr>
            <w:tcW w:w="1560" w:type="dxa"/>
            <w:tcBorders>
              <w:top w:val="single" w:sz="4" w:space="0" w:color="auto"/>
              <w:left w:val="nil"/>
              <w:bottom w:val="single" w:sz="2" w:space="0" w:color="auto"/>
              <w:right w:val="nil"/>
            </w:tcBorders>
            <w:shd w:val="clear" w:color="auto" w:fill="auto"/>
            <w:noWrap/>
            <w:vAlign w:val="center"/>
            <w:hideMark/>
          </w:tcPr>
          <w:p w14:paraId="7CF54A37" w14:textId="77777777" w:rsidR="00204F99" w:rsidRPr="005C45DA" w:rsidRDefault="00204F99" w:rsidP="005008EB">
            <w:pPr>
              <w:spacing w:after="0"/>
              <w:ind w:firstLine="0"/>
              <w:jc w:val="right"/>
              <w:rPr>
                <w:rFonts w:ascii="Arial Narrow" w:hAnsi="Arial Narrow" w:cs="Calibri"/>
                <w:color w:val="000000"/>
              </w:rPr>
            </w:pPr>
            <w:r>
              <w:rPr>
                <w:rFonts w:ascii="Arial Narrow" w:hAnsi="Arial Narrow"/>
                <w:color w:val="000000"/>
              </w:rPr>
              <w:t>39.463.841</w:t>
            </w:r>
          </w:p>
        </w:tc>
        <w:tc>
          <w:tcPr>
            <w:tcW w:w="1418" w:type="dxa"/>
            <w:tcBorders>
              <w:top w:val="single" w:sz="4" w:space="0" w:color="auto"/>
              <w:left w:val="nil"/>
              <w:bottom w:val="single" w:sz="2" w:space="0" w:color="auto"/>
              <w:right w:val="nil"/>
            </w:tcBorders>
            <w:shd w:val="clear" w:color="auto" w:fill="auto"/>
            <w:noWrap/>
            <w:vAlign w:val="center"/>
            <w:hideMark/>
          </w:tcPr>
          <w:p w14:paraId="692D0907" w14:textId="77777777" w:rsidR="00204F99" w:rsidRPr="005C45DA" w:rsidRDefault="00204F99" w:rsidP="005008EB">
            <w:pPr>
              <w:spacing w:after="0"/>
              <w:ind w:firstLine="0"/>
              <w:jc w:val="right"/>
              <w:rPr>
                <w:rFonts w:ascii="Arial Narrow" w:hAnsi="Arial Narrow" w:cs="Calibri"/>
                <w:color w:val="000000"/>
              </w:rPr>
            </w:pPr>
            <w:r>
              <w:rPr>
                <w:rFonts w:ascii="Arial Narrow" w:hAnsi="Arial Narrow"/>
                <w:color w:val="000000"/>
              </w:rPr>
              <w:t>10.701.492</w:t>
            </w:r>
          </w:p>
        </w:tc>
        <w:tc>
          <w:tcPr>
            <w:tcW w:w="1559" w:type="dxa"/>
            <w:tcBorders>
              <w:top w:val="single" w:sz="4" w:space="0" w:color="auto"/>
              <w:left w:val="nil"/>
              <w:bottom w:val="single" w:sz="2" w:space="0" w:color="auto"/>
              <w:right w:val="nil"/>
            </w:tcBorders>
            <w:shd w:val="clear" w:color="auto" w:fill="auto"/>
            <w:noWrap/>
            <w:vAlign w:val="center"/>
            <w:hideMark/>
          </w:tcPr>
          <w:p w14:paraId="7FC044DB" w14:textId="77777777" w:rsidR="00204F99" w:rsidRPr="005C45DA" w:rsidRDefault="00204F99" w:rsidP="005008EB">
            <w:pPr>
              <w:spacing w:after="0"/>
              <w:ind w:firstLine="0"/>
              <w:jc w:val="right"/>
              <w:rPr>
                <w:rFonts w:ascii="Arial Narrow" w:hAnsi="Arial Narrow" w:cs="Calibri"/>
                <w:color w:val="000000"/>
              </w:rPr>
            </w:pPr>
            <w:r>
              <w:rPr>
                <w:rFonts w:ascii="Arial Narrow" w:hAnsi="Arial Narrow"/>
                <w:color w:val="000000"/>
              </w:rPr>
              <w:t>50.165.333</w:t>
            </w:r>
          </w:p>
        </w:tc>
        <w:tc>
          <w:tcPr>
            <w:tcW w:w="1134" w:type="dxa"/>
            <w:tcBorders>
              <w:top w:val="single" w:sz="4" w:space="0" w:color="auto"/>
              <w:left w:val="nil"/>
              <w:bottom w:val="single" w:sz="2" w:space="0" w:color="auto"/>
              <w:right w:val="nil"/>
            </w:tcBorders>
            <w:shd w:val="clear" w:color="auto" w:fill="auto"/>
            <w:noWrap/>
            <w:vAlign w:val="center"/>
            <w:hideMark/>
          </w:tcPr>
          <w:p w14:paraId="0E1E744E" w14:textId="77777777" w:rsidR="00204F99" w:rsidRPr="005C45DA" w:rsidRDefault="00204F99" w:rsidP="005008EB">
            <w:pPr>
              <w:spacing w:after="0"/>
              <w:ind w:firstLine="0"/>
              <w:jc w:val="right"/>
              <w:rPr>
                <w:rFonts w:ascii="Arial Narrow" w:hAnsi="Arial Narrow" w:cs="Calibri"/>
                <w:color w:val="000000"/>
              </w:rPr>
            </w:pPr>
            <w:r>
              <w:rPr>
                <w:rFonts w:ascii="Arial Narrow" w:hAnsi="Arial Narrow"/>
                <w:color w:val="000000"/>
              </w:rPr>
              <w:t>27,85</w:t>
            </w:r>
          </w:p>
        </w:tc>
      </w:tr>
      <w:tr w:rsidR="00204F99" w:rsidRPr="00916911" w14:paraId="2F1D70C7" w14:textId="77777777" w:rsidTr="008867A2">
        <w:trPr>
          <w:trHeight w:val="284"/>
        </w:trPr>
        <w:tc>
          <w:tcPr>
            <w:tcW w:w="3118" w:type="dxa"/>
            <w:tcBorders>
              <w:top w:val="single" w:sz="2" w:space="0" w:color="auto"/>
              <w:left w:val="nil"/>
              <w:bottom w:val="single" w:sz="2" w:space="0" w:color="auto"/>
              <w:right w:val="nil"/>
            </w:tcBorders>
            <w:shd w:val="clear" w:color="auto" w:fill="auto"/>
            <w:vAlign w:val="center"/>
            <w:hideMark/>
          </w:tcPr>
          <w:p w14:paraId="31F8E933" w14:textId="77777777" w:rsidR="00204F99" w:rsidRPr="005C45DA" w:rsidRDefault="00204F99" w:rsidP="00204F99">
            <w:pPr>
              <w:spacing w:after="0"/>
              <w:ind w:firstLine="0"/>
              <w:jc w:val="left"/>
              <w:rPr>
                <w:rFonts w:ascii="Arial Narrow" w:hAnsi="Arial Narrow" w:cs="Calibri"/>
                <w:color w:val="000000"/>
              </w:rPr>
            </w:pPr>
            <w:r>
              <w:rPr>
                <w:rFonts w:ascii="Arial Narrow" w:hAnsi="Arial Narrow"/>
                <w:color w:val="000000"/>
              </w:rPr>
              <w:t>Merkataritza- eta industria-enpresei</w:t>
            </w:r>
          </w:p>
        </w:tc>
        <w:tc>
          <w:tcPr>
            <w:tcW w:w="1560" w:type="dxa"/>
            <w:tcBorders>
              <w:top w:val="single" w:sz="2" w:space="0" w:color="auto"/>
              <w:left w:val="nil"/>
              <w:bottom w:val="single" w:sz="2" w:space="0" w:color="auto"/>
              <w:right w:val="nil"/>
            </w:tcBorders>
            <w:shd w:val="clear" w:color="auto" w:fill="auto"/>
            <w:noWrap/>
            <w:vAlign w:val="center"/>
            <w:hideMark/>
          </w:tcPr>
          <w:p w14:paraId="351704F2" w14:textId="77777777" w:rsidR="00204F99" w:rsidRPr="005C45DA" w:rsidRDefault="00204F99" w:rsidP="005008EB">
            <w:pPr>
              <w:spacing w:after="0"/>
              <w:ind w:firstLine="0"/>
              <w:jc w:val="right"/>
              <w:rPr>
                <w:rFonts w:ascii="Arial Narrow" w:hAnsi="Arial Narrow" w:cs="Calibri"/>
                <w:color w:val="000000"/>
              </w:rPr>
            </w:pPr>
            <w:r>
              <w:rPr>
                <w:rFonts w:ascii="Arial Narrow" w:hAnsi="Arial Narrow"/>
                <w:color w:val="000000"/>
              </w:rPr>
              <w:t>1.690.589</w:t>
            </w:r>
          </w:p>
        </w:tc>
        <w:tc>
          <w:tcPr>
            <w:tcW w:w="1418" w:type="dxa"/>
            <w:tcBorders>
              <w:top w:val="single" w:sz="2" w:space="0" w:color="auto"/>
              <w:left w:val="nil"/>
              <w:bottom w:val="single" w:sz="2" w:space="0" w:color="auto"/>
              <w:right w:val="nil"/>
            </w:tcBorders>
            <w:shd w:val="clear" w:color="auto" w:fill="auto"/>
            <w:noWrap/>
            <w:vAlign w:val="center"/>
            <w:hideMark/>
          </w:tcPr>
          <w:p w14:paraId="4F259353" w14:textId="77777777" w:rsidR="00204F99" w:rsidRPr="005C45DA" w:rsidRDefault="00204F99" w:rsidP="005008EB">
            <w:pPr>
              <w:spacing w:after="0"/>
              <w:ind w:firstLine="0"/>
              <w:jc w:val="right"/>
              <w:rPr>
                <w:rFonts w:ascii="Arial Narrow" w:hAnsi="Arial Narrow" w:cs="Calibri"/>
                <w:color w:val="000000"/>
              </w:rPr>
            </w:pPr>
            <w:r>
              <w:rPr>
                <w:rFonts w:ascii="Arial Narrow" w:hAnsi="Arial Narrow"/>
                <w:color w:val="000000"/>
              </w:rPr>
              <w:t>45.956.571</w:t>
            </w:r>
          </w:p>
        </w:tc>
        <w:tc>
          <w:tcPr>
            <w:tcW w:w="1559" w:type="dxa"/>
            <w:tcBorders>
              <w:top w:val="single" w:sz="2" w:space="0" w:color="auto"/>
              <w:left w:val="nil"/>
              <w:bottom w:val="single" w:sz="2" w:space="0" w:color="auto"/>
              <w:right w:val="nil"/>
            </w:tcBorders>
            <w:shd w:val="clear" w:color="auto" w:fill="auto"/>
            <w:noWrap/>
            <w:vAlign w:val="center"/>
            <w:hideMark/>
          </w:tcPr>
          <w:p w14:paraId="6F91C811" w14:textId="77777777" w:rsidR="00204F99" w:rsidRPr="005C45DA" w:rsidRDefault="00204F99" w:rsidP="005008EB">
            <w:pPr>
              <w:spacing w:after="0"/>
              <w:ind w:firstLine="0"/>
              <w:jc w:val="right"/>
              <w:rPr>
                <w:rFonts w:ascii="Arial Narrow" w:hAnsi="Arial Narrow" w:cs="Calibri"/>
                <w:color w:val="000000"/>
              </w:rPr>
            </w:pPr>
            <w:r>
              <w:rPr>
                <w:rFonts w:ascii="Arial Narrow" w:hAnsi="Arial Narrow"/>
                <w:color w:val="000000"/>
              </w:rPr>
              <w:t>47.647.160</w:t>
            </w:r>
          </w:p>
        </w:tc>
        <w:tc>
          <w:tcPr>
            <w:tcW w:w="1134" w:type="dxa"/>
            <w:tcBorders>
              <w:top w:val="single" w:sz="2" w:space="0" w:color="auto"/>
              <w:left w:val="nil"/>
              <w:bottom w:val="single" w:sz="2" w:space="0" w:color="auto"/>
              <w:right w:val="nil"/>
            </w:tcBorders>
            <w:shd w:val="clear" w:color="auto" w:fill="auto"/>
            <w:noWrap/>
            <w:vAlign w:val="center"/>
            <w:hideMark/>
          </w:tcPr>
          <w:p w14:paraId="46B52A1D" w14:textId="77777777" w:rsidR="00204F99" w:rsidRPr="005C45DA" w:rsidRDefault="00204F99" w:rsidP="005008EB">
            <w:pPr>
              <w:spacing w:after="0"/>
              <w:ind w:firstLine="0"/>
              <w:jc w:val="right"/>
              <w:rPr>
                <w:rFonts w:ascii="Arial Narrow" w:hAnsi="Arial Narrow" w:cs="Calibri"/>
                <w:color w:val="000000"/>
              </w:rPr>
            </w:pPr>
            <w:r>
              <w:rPr>
                <w:rFonts w:ascii="Arial Narrow" w:hAnsi="Arial Narrow"/>
                <w:color w:val="000000"/>
              </w:rPr>
              <w:t>26,45</w:t>
            </w:r>
          </w:p>
        </w:tc>
      </w:tr>
      <w:tr w:rsidR="00204F99" w:rsidRPr="00916911" w14:paraId="163D5E5C" w14:textId="77777777" w:rsidTr="00A66583">
        <w:trPr>
          <w:trHeight w:val="284"/>
        </w:trPr>
        <w:tc>
          <w:tcPr>
            <w:tcW w:w="3118" w:type="dxa"/>
            <w:tcBorders>
              <w:top w:val="single" w:sz="2" w:space="0" w:color="auto"/>
              <w:left w:val="nil"/>
              <w:bottom w:val="single" w:sz="2" w:space="0" w:color="auto"/>
              <w:right w:val="nil"/>
            </w:tcBorders>
            <w:shd w:val="clear" w:color="auto" w:fill="auto"/>
            <w:vAlign w:val="center"/>
            <w:hideMark/>
          </w:tcPr>
          <w:p w14:paraId="177C5EC2" w14:textId="77777777" w:rsidR="00204F99" w:rsidRPr="005C45DA" w:rsidRDefault="00204F99" w:rsidP="00204F99">
            <w:pPr>
              <w:spacing w:after="0"/>
              <w:ind w:firstLine="0"/>
              <w:jc w:val="left"/>
              <w:rPr>
                <w:rFonts w:ascii="Arial Narrow" w:hAnsi="Arial Narrow" w:cs="Calibri"/>
                <w:color w:val="000000"/>
              </w:rPr>
            </w:pPr>
            <w:r>
              <w:rPr>
                <w:rFonts w:ascii="Arial Narrow" w:hAnsi="Arial Narrow"/>
                <w:color w:val="000000"/>
              </w:rPr>
              <w:t>Beste enpresa pribatu batzuei</w:t>
            </w:r>
          </w:p>
        </w:tc>
        <w:tc>
          <w:tcPr>
            <w:tcW w:w="1560" w:type="dxa"/>
            <w:tcBorders>
              <w:top w:val="single" w:sz="2" w:space="0" w:color="auto"/>
              <w:left w:val="nil"/>
              <w:bottom w:val="single" w:sz="2" w:space="0" w:color="auto"/>
              <w:right w:val="nil"/>
            </w:tcBorders>
            <w:shd w:val="clear" w:color="auto" w:fill="auto"/>
            <w:noWrap/>
            <w:vAlign w:val="center"/>
            <w:hideMark/>
          </w:tcPr>
          <w:p w14:paraId="194BF180" w14:textId="77777777" w:rsidR="00204F99" w:rsidRPr="005C45DA" w:rsidRDefault="00204F99" w:rsidP="005008EB">
            <w:pPr>
              <w:spacing w:after="0"/>
              <w:ind w:firstLine="0"/>
              <w:jc w:val="right"/>
              <w:rPr>
                <w:rFonts w:ascii="Arial Narrow" w:hAnsi="Arial Narrow" w:cs="Calibri"/>
                <w:color w:val="000000"/>
              </w:rPr>
            </w:pPr>
            <w:r>
              <w:rPr>
                <w:rFonts w:ascii="Arial Narrow" w:hAnsi="Arial Narrow"/>
                <w:color w:val="000000"/>
              </w:rPr>
              <w:t>78.710.016</w:t>
            </w:r>
          </w:p>
        </w:tc>
        <w:tc>
          <w:tcPr>
            <w:tcW w:w="1418" w:type="dxa"/>
            <w:tcBorders>
              <w:top w:val="single" w:sz="2" w:space="0" w:color="auto"/>
              <w:left w:val="nil"/>
              <w:bottom w:val="single" w:sz="2" w:space="0" w:color="auto"/>
              <w:right w:val="nil"/>
            </w:tcBorders>
            <w:shd w:val="clear" w:color="auto" w:fill="auto"/>
            <w:noWrap/>
            <w:vAlign w:val="center"/>
            <w:hideMark/>
          </w:tcPr>
          <w:p w14:paraId="117C77BF" w14:textId="77777777" w:rsidR="00204F99" w:rsidRPr="005C45DA" w:rsidRDefault="00204F99" w:rsidP="005008EB">
            <w:pPr>
              <w:spacing w:after="0"/>
              <w:ind w:firstLine="0"/>
              <w:jc w:val="right"/>
              <w:rPr>
                <w:rFonts w:ascii="Arial Narrow" w:hAnsi="Arial Narrow" w:cs="Calibri"/>
                <w:color w:val="000000"/>
              </w:rPr>
            </w:pPr>
            <w:r>
              <w:rPr>
                <w:rFonts w:ascii="Arial Narrow" w:hAnsi="Arial Narrow"/>
                <w:color w:val="000000"/>
              </w:rPr>
              <w:t>3.609.393</w:t>
            </w:r>
          </w:p>
        </w:tc>
        <w:tc>
          <w:tcPr>
            <w:tcW w:w="1559" w:type="dxa"/>
            <w:tcBorders>
              <w:top w:val="single" w:sz="2" w:space="0" w:color="auto"/>
              <w:left w:val="nil"/>
              <w:bottom w:val="single" w:sz="2" w:space="0" w:color="auto"/>
              <w:right w:val="nil"/>
            </w:tcBorders>
            <w:shd w:val="clear" w:color="auto" w:fill="auto"/>
            <w:noWrap/>
            <w:vAlign w:val="center"/>
            <w:hideMark/>
          </w:tcPr>
          <w:p w14:paraId="6F0A8F5C" w14:textId="77777777" w:rsidR="00204F99" w:rsidRPr="005C45DA" w:rsidRDefault="00204F99" w:rsidP="005008EB">
            <w:pPr>
              <w:spacing w:after="0"/>
              <w:ind w:firstLine="0"/>
              <w:jc w:val="right"/>
              <w:rPr>
                <w:rFonts w:ascii="Arial Narrow" w:hAnsi="Arial Narrow" w:cs="Calibri"/>
                <w:color w:val="000000"/>
              </w:rPr>
            </w:pPr>
            <w:r>
              <w:rPr>
                <w:rFonts w:ascii="Arial Narrow" w:hAnsi="Arial Narrow"/>
                <w:color w:val="000000"/>
              </w:rPr>
              <w:t>82.319.408</w:t>
            </w:r>
          </w:p>
        </w:tc>
        <w:tc>
          <w:tcPr>
            <w:tcW w:w="1134" w:type="dxa"/>
            <w:tcBorders>
              <w:top w:val="single" w:sz="2" w:space="0" w:color="auto"/>
              <w:left w:val="nil"/>
              <w:bottom w:val="single" w:sz="2" w:space="0" w:color="auto"/>
              <w:right w:val="nil"/>
            </w:tcBorders>
            <w:shd w:val="clear" w:color="auto" w:fill="auto"/>
            <w:noWrap/>
            <w:vAlign w:val="center"/>
            <w:hideMark/>
          </w:tcPr>
          <w:p w14:paraId="032AA660" w14:textId="77777777" w:rsidR="00204F99" w:rsidRPr="005C45DA" w:rsidRDefault="00204F99" w:rsidP="005008EB">
            <w:pPr>
              <w:spacing w:after="0"/>
              <w:ind w:firstLine="0"/>
              <w:jc w:val="right"/>
              <w:rPr>
                <w:rFonts w:ascii="Arial Narrow" w:hAnsi="Arial Narrow" w:cs="Calibri"/>
                <w:color w:val="000000"/>
              </w:rPr>
            </w:pPr>
            <w:r>
              <w:rPr>
                <w:rFonts w:ascii="Arial Narrow" w:hAnsi="Arial Narrow"/>
                <w:color w:val="000000"/>
              </w:rPr>
              <w:t>45,70</w:t>
            </w:r>
          </w:p>
        </w:tc>
      </w:tr>
      <w:tr w:rsidR="00204F99" w:rsidRPr="0087454C" w14:paraId="10832EF7" w14:textId="77777777" w:rsidTr="00A66583">
        <w:trPr>
          <w:trHeight w:val="284"/>
        </w:trPr>
        <w:tc>
          <w:tcPr>
            <w:tcW w:w="3118" w:type="dxa"/>
            <w:tcBorders>
              <w:top w:val="single" w:sz="2" w:space="0" w:color="auto"/>
              <w:left w:val="nil"/>
              <w:bottom w:val="single" w:sz="4" w:space="0" w:color="auto"/>
              <w:right w:val="nil"/>
            </w:tcBorders>
            <w:shd w:val="clear" w:color="auto" w:fill="B8CCE4" w:themeFill="accent1" w:themeFillTint="66"/>
            <w:noWrap/>
            <w:vAlign w:val="center"/>
            <w:hideMark/>
          </w:tcPr>
          <w:p w14:paraId="4B59ACB7" w14:textId="77777777" w:rsidR="00204F99" w:rsidRPr="0087454C" w:rsidRDefault="00204F99" w:rsidP="0087454C">
            <w:pPr>
              <w:pStyle w:val="cuadroCabe"/>
            </w:pPr>
            <w:r>
              <w:t>Guztizko orokorra</w:t>
            </w:r>
          </w:p>
        </w:tc>
        <w:tc>
          <w:tcPr>
            <w:tcW w:w="1560" w:type="dxa"/>
            <w:tcBorders>
              <w:top w:val="single" w:sz="2" w:space="0" w:color="auto"/>
              <w:left w:val="nil"/>
              <w:bottom w:val="single" w:sz="4" w:space="0" w:color="auto"/>
              <w:right w:val="nil"/>
            </w:tcBorders>
            <w:shd w:val="clear" w:color="auto" w:fill="B8CCE4" w:themeFill="accent1" w:themeFillTint="66"/>
            <w:noWrap/>
            <w:vAlign w:val="center"/>
            <w:hideMark/>
          </w:tcPr>
          <w:p w14:paraId="4A43C94A" w14:textId="77777777" w:rsidR="00204F99" w:rsidRPr="0087454C" w:rsidRDefault="00583E0E" w:rsidP="005008EB">
            <w:pPr>
              <w:pStyle w:val="cuadroCabe"/>
              <w:jc w:val="right"/>
            </w:pPr>
            <w:r>
              <w:t>119.864.446</w:t>
            </w:r>
          </w:p>
        </w:tc>
        <w:tc>
          <w:tcPr>
            <w:tcW w:w="1418" w:type="dxa"/>
            <w:tcBorders>
              <w:top w:val="single" w:sz="2" w:space="0" w:color="auto"/>
              <w:left w:val="nil"/>
              <w:bottom w:val="single" w:sz="4" w:space="0" w:color="auto"/>
              <w:right w:val="nil"/>
            </w:tcBorders>
            <w:shd w:val="clear" w:color="auto" w:fill="B8CCE4" w:themeFill="accent1" w:themeFillTint="66"/>
            <w:noWrap/>
            <w:vAlign w:val="center"/>
            <w:hideMark/>
          </w:tcPr>
          <w:p w14:paraId="258DE96F" w14:textId="77777777" w:rsidR="00204F99" w:rsidRPr="0087454C" w:rsidRDefault="00204F99" w:rsidP="005008EB">
            <w:pPr>
              <w:pStyle w:val="cuadroCabe"/>
              <w:jc w:val="right"/>
            </w:pPr>
            <w:r>
              <w:t>60.267.455</w:t>
            </w:r>
          </w:p>
        </w:tc>
        <w:tc>
          <w:tcPr>
            <w:tcW w:w="1559" w:type="dxa"/>
            <w:tcBorders>
              <w:top w:val="single" w:sz="2" w:space="0" w:color="auto"/>
              <w:left w:val="nil"/>
              <w:bottom w:val="single" w:sz="4" w:space="0" w:color="auto"/>
              <w:right w:val="nil"/>
            </w:tcBorders>
            <w:shd w:val="clear" w:color="auto" w:fill="B8CCE4" w:themeFill="accent1" w:themeFillTint="66"/>
            <w:noWrap/>
            <w:vAlign w:val="center"/>
            <w:hideMark/>
          </w:tcPr>
          <w:p w14:paraId="50412116" w14:textId="77777777" w:rsidR="00204F99" w:rsidRPr="0087454C" w:rsidRDefault="00204F99" w:rsidP="005008EB">
            <w:pPr>
              <w:pStyle w:val="cuadroCabe"/>
              <w:jc w:val="right"/>
            </w:pPr>
            <w:r>
              <w:t>180.131.902</w:t>
            </w:r>
          </w:p>
        </w:tc>
        <w:tc>
          <w:tcPr>
            <w:tcW w:w="1134" w:type="dxa"/>
            <w:tcBorders>
              <w:top w:val="single" w:sz="2" w:space="0" w:color="auto"/>
              <w:left w:val="nil"/>
              <w:bottom w:val="single" w:sz="4" w:space="0" w:color="auto"/>
              <w:right w:val="nil"/>
            </w:tcBorders>
            <w:shd w:val="clear" w:color="auto" w:fill="B8CCE4" w:themeFill="accent1" w:themeFillTint="66"/>
            <w:noWrap/>
            <w:vAlign w:val="center"/>
            <w:hideMark/>
          </w:tcPr>
          <w:p w14:paraId="6D9F3A0E" w14:textId="77777777" w:rsidR="00204F99" w:rsidRPr="0087454C" w:rsidRDefault="00204F99" w:rsidP="005008EB">
            <w:pPr>
              <w:pStyle w:val="cuadroCabe"/>
              <w:jc w:val="right"/>
              <w:rPr>
                <w:rFonts w:cs="Calibri"/>
              </w:rPr>
            </w:pPr>
            <w:r>
              <w:t>100,00</w:t>
            </w:r>
          </w:p>
        </w:tc>
      </w:tr>
    </w:tbl>
    <w:p w14:paraId="13AD6139" w14:textId="77777777" w:rsidR="00204F99" w:rsidRDefault="00204F99" w:rsidP="00204F99">
      <w:pPr>
        <w:spacing w:after="0"/>
        <w:ind w:firstLine="0"/>
        <w:jc w:val="left"/>
        <w:rPr>
          <w:sz w:val="26"/>
          <w:szCs w:val="26"/>
        </w:rPr>
      </w:pPr>
    </w:p>
    <w:p w14:paraId="7D77709D" w14:textId="77777777" w:rsidR="001E3807" w:rsidRPr="0011440E" w:rsidRDefault="00204F99" w:rsidP="0087454C">
      <w:pPr>
        <w:pStyle w:val="texto"/>
      </w:pPr>
      <w:r>
        <w:t>Nekazaritzako eta abeltzaintzako enpresek 50 euro jaso zituzten. Zenbateko horretatik, ehuneko 78 transferentzia arruntei dagokie. Nagusiki Landa Garapeneko Departamentuak emandako laguntzak dira. Nekazaritzako eta abeltzaintzako enpresentzako COVID laguntzek 2,9 milioi egiten dute.</w:t>
      </w:r>
    </w:p>
    <w:p w14:paraId="6A283DFB" w14:textId="77777777" w:rsidR="001E3807" w:rsidRDefault="001E3807" w:rsidP="008867A2">
      <w:pPr>
        <w:pStyle w:val="texto"/>
        <w:spacing w:after="240"/>
      </w:pPr>
      <w:r>
        <w:t>Honako hauek dira gastu horiek osatzen dituzten kontzeptu nagusiak:</w:t>
      </w:r>
    </w:p>
    <w:tbl>
      <w:tblPr>
        <w:tblW w:w="8788" w:type="dxa"/>
        <w:tblCellMar>
          <w:left w:w="70" w:type="dxa"/>
          <w:right w:w="70" w:type="dxa"/>
        </w:tblCellMar>
        <w:tblLook w:val="04A0" w:firstRow="1" w:lastRow="0" w:firstColumn="1" w:lastColumn="0" w:noHBand="0" w:noVBand="1"/>
      </w:tblPr>
      <w:tblGrid>
        <w:gridCol w:w="4819"/>
        <w:gridCol w:w="2977"/>
        <w:gridCol w:w="992"/>
      </w:tblGrid>
      <w:tr w:rsidR="001E3807" w:rsidRPr="001E3807" w14:paraId="0F5AF9EA" w14:textId="77777777" w:rsidTr="00A66583">
        <w:trPr>
          <w:trHeight w:val="284"/>
        </w:trPr>
        <w:tc>
          <w:tcPr>
            <w:tcW w:w="4819" w:type="dxa"/>
            <w:tcBorders>
              <w:top w:val="single" w:sz="4" w:space="0" w:color="auto"/>
              <w:left w:val="nil"/>
              <w:bottom w:val="single" w:sz="4" w:space="0" w:color="auto"/>
              <w:right w:val="nil"/>
            </w:tcBorders>
            <w:shd w:val="clear" w:color="auto" w:fill="B8CCE4" w:themeFill="accent1" w:themeFillTint="66"/>
            <w:vAlign w:val="center"/>
            <w:hideMark/>
          </w:tcPr>
          <w:p w14:paraId="24DEA545" w14:textId="77777777" w:rsidR="001E3807" w:rsidRPr="001E3807" w:rsidRDefault="001E3807" w:rsidP="001E3807">
            <w:pPr>
              <w:spacing w:after="0"/>
              <w:ind w:firstLine="0"/>
              <w:jc w:val="left"/>
              <w:rPr>
                <w:rFonts w:ascii="Arial Narrow" w:hAnsi="Arial Narrow" w:cs="Calibri"/>
              </w:rPr>
            </w:pPr>
            <w:r>
              <w:rPr>
                <w:rFonts w:ascii="Arial Narrow" w:hAnsi="Arial Narrow"/>
              </w:rPr>
              <w:t>Deskribapena</w:t>
            </w:r>
          </w:p>
        </w:tc>
        <w:tc>
          <w:tcPr>
            <w:tcW w:w="2977" w:type="dxa"/>
            <w:tcBorders>
              <w:top w:val="single" w:sz="4" w:space="0" w:color="auto"/>
              <w:left w:val="nil"/>
              <w:bottom w:val="single" w:sz="4" w:space="0" w:color="auto"/>
              <w:right w:val="nil"/>
            </w:tcBorders>
            <w:shd w:val="clear" w:color="auto" w:fill="B8CCE4" w:themeFill="accent1" w:themeFillTint="66"/>
            <w:vAlign w:val="center"/>
            <w:hideMark/>
          </w:tcPr>
          <w:p w14:paraId="0C770ECD" w14:textId="77777777" w:rsidR="001E3807" w:rsidRPr="001E3807" w:rsidRDefault="001E3807" w:rsidP="005008EB">
            <w:pPr>
              <w:spacing w:after="0"/>
              <w:ind w:firstLine="0"/>
              <w:jc w:val="right"/>
              <w:rPr>
                <w:rFonts w:ascii="Arial Narrow" w:hAnsi="Arial Narrow" w:cs="Calibri"/>
                <w:color w:val="000000"/>
              </w:rPr>
            </w:pPr>
            <w:r>
              <w:rPr>
                <w:rFonts w:ascii="Arial Narrow" w:hAnsi="Arial Narrow"/>
                <w:color w:val="000000"/>
              </w:rPr>
              <w:t>Aitortutako betebeharrak, 2020</w:t>
            </w:r>
          </w:p>
        </w:tc>
        <w:tc>
          <w:tcPr>
            <w:tcW w:w="992" w:type="dxa"/>
            <w:tcBorders>
              <w:top w:val="single" w:sz="4" w:space="0" w:color="auto"/>
              <w:left w:val="nil"/>
              <w:bottom w:val="single" w:sz="4" w:space="0" w:color="auto"/>
              <w:right w:val="nil"/>
            </w:tcBorders>
            <w:shd w:val="clear" w:color="auto" w:fill="B8CCE4" w:themeFill="accent1" w:themeFillTint="66"/>
            <w:vAlign w:val="center"/>
            <w:hideMark/>
          </w:tcPr>
          <w:p w14:paraId="4E7F93EE" w14:textId="77777777" w:rsidR="001E3807" w:rsidRPr="001E3807" w:rsidRDefault="001E3807" w:rsidP="001E3807">
            <w:pPr>
              <w:spacing w:after="0"/>
              <w:ind w:firstLine="0"/>
              <w:jc w:val="center"/>
              <w:rPr>
                <w:rFonts w:ascii="Arial Narrow" w:hAnsi="Arial Narrow" w:cs="Calibri"/>
                <w:color w:val="000000"/>
              </w:rPr>
            </w:pPr>
            <w:r>
              <w:rPr>
                <w:rFonts w:ascii="Arial Narrow" w:hAnsi="Arial Narrow"/>
                <w:color w:val="000000"/>
              </w:rPr>
              <w:t>%, guztizkoaren gainean</w:t>
            </w:r>
          </w:p>
        </w:tc>
      </w:tr>
      <w:tr w:rsidR="001E3807" w:rsidRPr="001E3807" w14:paraId="12DE7085" w14:textId="77777777" w:rsidTr="005008EB">
        <w:trPr>
          <w:trHeight w:val="284"/>
        </w:trPr>
        <w:tc>
          <w:tcPr>
            <w:tcW w:w="4819" w:type="dxa"/>
            <w:tcBorders>
              <w:top w:val="single" w:sz="4" w:space="0" w:color="auto"/>
              <w:left w:val="nil"/>
              <w:bottom w:val="single" w:sz="2" w:space="0" w:color="auto"/>
              <w:right w:val="nil"/>
            </w:tcBorders>
            <w:shd w:val="clear" w:color="000000" w:fill="FFFFFF"/>
            <w:noWrap/>
            <w:vAlign w:val="center"/>
            <w:hideMark/>
          </w:tcPr>
          <w:p w14:paraId="3032416D" w14:textId="77777777" w:rsidR="001E3807" w:rsidRPr="001E3807" w:rsidRDefault="001E3807" w:rsidP="001E3807">
            <w:pPr>
              <w:spacing w:after="0"/>
              <w:ind w:firstLine="0"/>
              <w:jc w:val="left"/>
              <w:rPr>
                <w:rFonts w:ascii="Arial Narrow" w:hAnsi="Arial Narrow" w:cs="Calibri"/>
                <w:color w:val="000000"/>
              </w:rPr>
            </w:pPr>
            <w:r>
              <w:rPr>
                <w:rFonts w:ascii="Arial Narrow" w:hAnsi="Arial Narrow"/>
                <w:color w:val="000000"/>
              </w:rPr>
              <w:t>Nafarroako Ubideko ureztatze-kanona</w:t>
            </w:r>
          </w:p>
        </w:tc>
        <w:tc>
          <w:tcPr>
            <w:tcW w:w="2977" w:type="dxa"/>
            <w:tcBorders>
              <w:top w:val="single" w:sz="4" w:space="0" w:color="auto"/>
              <w:left w:val="nil"/>
              <w:bottom w:val="single" w:sz="2" w:space="0" w:color="auto"/>
              <w:right w:val="nil"/>
            </w:tcBorders>
            <w:shd w:val="clear" w:color="000000" w:fill="FFFFFF"/>
            <w:noWrap/>
            <w:vAlign w:val="center"/>
            <w:hideMark/>
          </w:tcPr>
          <w:p w14:paraId="1304CE03" w14:textId="77777777" w:rsidR="001E3807" w:rsidRPr="001E3807" w:rsidRDefault="001E3807" w:rsidP="001E3807">
            <w:pPr>
              <w:spacing w:after="0"/>
              <w:ind w:firstLine="0"/>
              <w:jc w:val="right"/>
              <w:rPr>
                <w:rFonts w:ascii="Arial Narrow" w:hAnsi="Arial Narrow" w:cs="Calibri"/>
                <w:color w:val="000000"/>
              </w:rPr>
            </w:pPr>
            <w:r>
              <w:rPr>
                <w:rFonts w:ascii="Arial Narrow" w:hAnsi="Arial Narrow"/>
                <w:color w:val="000000"/>
              </w:rPr>
              <w:t xml:space="preserve">21.988.562 </w:t>
            </w:r>
          </w:p>
        </w:tc>
        <w:tc>
          <w:tcPr>
            <w:tcW w:w="992" w:type="dxa"/>
            <w:tcBorders>
              <w:top w:val="single" w:sz="4" w:space="0" w:color="auto"/>
              <w:left w:val="nil"/>
              <w:bottom w:val="single" w:sz="2" w:space="0" w:color="auto"/>
              <w:right w:val="nil"/>
            </w:tcBorders>
            <w:shd w:val="clear" w:color="auto" w:fill="auto"/>
            <w:noWrap/>
            <w:vAlign w:val="center"/>
            <w:hideMark/>
          </w:tcPr>
          <w:p w14:paraId="3A6013A5" w14:textId="77777777" w:rsidR="001E3807" w:rsidRPr="001E3807" w:rsidRDefault="001E3807" w:rsidP="001E3807">
            <w:pPr>
              <w:spacing w:after="0"/>
              <w:ind w:firstLine="0"/>
              <w:jc w:val="right"/>
              <w:rPr>
                <w:rFonts w:ascii="Arial Narrow" w:hAnsi="Arial Narrow" w:cs="Calibri"/>
                <w:color w:val="000000"/>
              </w:rPr>
            </w:pPr>
            <w:r>
              <w:rPr>
                <w:rFonts w:ascii="Arial Narrow" w:hAnsi="Arial Narrow"/>
                <w:color w:val="000000"/>
              </w:rPr>
              <w:t>44</w:t>
            </w:r>
          </w:p>
        </w:tc>
      </w:tr>
      <w:tr w:rsidR="001E3807" w:rsidRPr="001E3807" w14:paraId="7C49C26C" w14:textId="77777777" w:rsidTr="005008EB">
        <w:trPr>
          <w:trHeight w:val="284"/>
        </w:trPr>
        <w:tc>
          <w:tcPr>
            <w:tcW w:w="4819" w:type="dxa"/>
            <w:tcBorders>
              <w:top w:val="single" w:sz="2" w:space="0" w:color="auto"/>
              <w:left w:val="nil"/>
              <w:bottom w:val="single" w:sz="2" w:space="0" w:color="auto"/>
              <w:right w:val="nil"/>
            </w:tcBorders>
            <w:shd w:val="clear" w:color="000000" w:fill="FFFFFF"/>
            <w:noWrap/>
            <w:vAlign w:val="center"/>
            <w:hideMark/>
          </w:tcPr>
          <w:p w14:paraId="7A8F4E0B" w14:textId="77777777" w:rsidR="001E3807" w:rsidRPr="001E3807" w:rsidRDefault="001E3807" w:rsidP="001E3807">
            <w:pPr>
              <w:spacing w:after="0"/>
              <w:ind w:firstLine="0"/>
              <w:jc w:val="left"/>
              <w:rPr>
                <w:rFonts w:ascii="Arial Narrow" w:hAnsi="Arial Narrow" w:cs="Calibri"/>
                <w:color w:val="000000"/>
              </w:rPr>
            </w:pPr>
            <w:r>
              <w:rPr>
                <w:rFonts w:ascii="Arial Narrow" w:hAnsi="Arial Narrow"/>
                <w:color w:val="000000"/>
              </w:rPr>
              <w:t>Nekazaritza- eta ingurumen-neurriak eta ingurumen-konpentsazioko ordaina FEADER funtsak</w:t>
            </w:r>
          </w:p>
        </w:tc>
        <w:tc>
          <w:tcPr>
            <w:tcW w:w="2977" w:type="dxa"/>
            <w:tcBorders>
              <w:top w:val="single" w:sz="2" w:space="0" w:color="auto"/>
              <w:left w:val="nil"/>
              <w:bottom w:val="single" w:sz="2" w:space="0" w:color="auto"/>
              <w:right w:val="nil"/>
            </w:tcBorders>
            <w:shd w:val="clear" w:color="000000" w:fill="FFFFFF"/>
            <w:noWrap/>
            <w:vAlign w:val="center"/>
            <w:hideMark/>
          </w:tcPr>
          <w:p w14:paraId="66B1F0E2" w14:textId="77777777" w:rsidR="001E3807" w:rsidRPr="001E3807" w:rsidRDefault="001E3807" w:rsidP="001E3807">
            <w:pPr>
              <w:spacing w:after="0"/>
              <w:ind w:firstLine="0"/>
              <w:jc w:val="right"/>
              <w:rPr>
                <w:rFonts w:ascii="Arial Narrow" w:hAnsi="Arial Narrow" w:cs="Calibri"/>
                <w:color w:val="000000"/>
              </w:rPr>
            </w:pPr>
            <w:r>
              <w:rPr>
                <w:rFonts w:ascii="Arial Narrow" w:hAnsi="Arial Narrow"/>
                <w:color w:val="000000"/>
              </w:rPr>
              <w:t xml:space="preserve">12.691.587 </w:t>
            </w:r>
          </w:p>
        </w:tc>
        <w:tc>
          <w:tcPr>
            <w:tcW w:w="992" w:type="dxa"/>
            <w:tcBorders>
              <w:top w:val="single" w:sz="2" w:space="0" w:color="auto"/>
              <w:left w:val="nil"/>
              <w:bottom w:val="single" w:sz="2" w:space="0" w:color="auto"/>
              <w:right w:val="nil"/>
            </w:tcBorders>
            <w:shd w:val="clear" w:color="auto" w:fill="auto"/>
            <w:noWrap/>
            <w:vAlign w:val="center"/>
            <w:hideMark/>
          </w:tcPr>
          <w:p w14:paraId="5372F5BA" w14:textId="77777777" w:rsidR="001E3807" w:rsidRPr="001E3807" w:rsidRDefault="001E3807" w:rsidP="001E3807">
            <w:pPr>
              <w:spacing w:after="0"/>
              <w:ind w:firstLine="0"/>
              <w:jc w:val="right"/>
              <w:rPr>
                <w:rFonts w:ascii="Arial Narrow" w:hAnsi="Arial Narrow" w:cs="Calibri"/>
                <w:color w:val="000000"/>
              </w:rPr>
            </w:pPr>
            <w:r>
              <w:rPr>
                <w:rFonts w:ascii="Arial Narrow" w:hAnsi="Arial Narrow"/>
                <w:color w:val="000000"/>
              </w:rPr>
              <w:t>25</w:t>
            </w:r>
          </w:p>
        </w:tc>
      </w:tr>
      <w:tr w:rsidR="001E3807" w:rsidRPr="001E3807" w14:paraId="4FA62BCB" w14:textId="77777777" w:rsidTr="005008EB">
        <w:trPr>
          <w:trHeight w:val="284"/>
        </w:trPr>
        <w:tc>
          <w:tcPr>
            <w:tcW w:w="4819" w:type="dxa"/>
            <w:tcBorders>
              <w:top w:val="single" w:sz="2" w:space="0" w:color="auto"/>
              <w:left w:val="nil"/>
              <w:bottom w:val="single" w:sz="2" w:space="0" w:color="auto"/>
              <w:right w:val="nil"/>
            </w:tcBorders>
            <w:shd w:val="clear" w:color="000000" w:fill="FFFFFF"/>
            <w:noWrap/>
            <w:vAlign w:val="center"/>
            <w:hideMark/>
          </w:tcPr>
          <w:p w14:paraId="34B4B1FB" w14:textId="77777777" w:rsidR="001E3807" w:rsidRPr="001E3807" w:rsidRDefault="001E3807" w:rsidP="001E3807">
            <w:pPr>
              <w:spacing w:after="0"/>
              <w:ind w:firstLine="0"/>
              <w:jc w:val="left"/>
              <w:rPr>
                <w:rFonts w:ascii="Arial Narrow" w:hAnsi="Arial Narrow" w:cs="Calibri"/>
                <w:color w:val="000000"/>
              </w:rPr>
            </w:pPr>
            <w:r>
              <w:rPr>
                <w:rFonts w:ascii="Arial Narrow" w:hAnsi="Arial Narrow"/>
                <w:color w:val="000000"/>
              </w:rPr>
              <w:t>Aseguru primen konpentsazioa Agroseguroren bitartez</w:t>
            </w:r>
          </w:p>
        </w:tc>
        <w:tc>
          <w:tcPr>
            <w:tcW w:w="2977" w:type="dxa"/>
            <w:tcBorders>
              <w:top w:val="single" w:sz="2" w:space="0" w:color="auto"/>
              <w:left w:val="nil"/>
              <w:bottom w:val="single" w:sz="2" w:space="0" w:color="auto"/>
              <w:right w:val="nil"/>
            </w:tcBorders>
            <w:shd w:val="clear" w:color="000000" w:fill="FFFFFF"/>
            <w:noWrap/>
            <w:vAlign w:val="center"/>
            <w:hideMark/>
          </w:tcPr>
          <w:p w14:paraId="131CB0B2" w14:textId="77777777" w:rsidR="001E3807" w:rsidRPr="001E3807" w:rsidRDefault="001E3807" w:rsidP="001E3807">
            <w:pPr>
              <w:spacing w:after="0"/>
              <w:ind w:firstLine="0"/>
              <w:jc w:val="right"/>
              <w:rPr>
                <w:rFonts w:ascii="Arial Narrow" w:hAnsi="Arial Narrow" w:cs="Calibri"/>
                <w:color w:val="000000"/>
              </w:rPr>
            </w:pPr>
            <w:r>
              <w:rPr>
                <w:rFonts w:ascii="Arial Narrow" w:hAnsi="Arial Narrow"/>
                <w:color w:val="000000"/>
              </w:rPr>
              <w:t xml:space="preserve">3.330.842 </w:t>
            </w:r>
          </w:p>
        </w:tc>
        <w:tc>
          <w:tcPr>
            <w:tcW w:w="992" w:type="dxa"/>
            <w:tcBorders>
              <w:top w:val="single" w:sz="2" w:space="0" w:color="auto"/>
              <w:left w:val="nil"/>
              <w:bottom w:val="single" w:sz="2" w:space="0" w:color="auto"/>
              <w:right w:val="nil"/>
            </w:tcBorders>
            <w:shd w:val="clear" w:color="auto" w:fill="auto"/>
            <w:noWrap/>
            <w:vAlign w:val="center"/>
            <w:hideMark/>
          </w:tcPr>
          <w:p w14:paraId="4EB34D38" w14:textId="77777777" w:rsidR="001E3807" w:rsidRPr="001E3807" w:rsidRDefault="001E3807" w:rsidP="001E3807">
            <w:pPr>
              <w:spacing w:after="0"/>
              <w:ind w:firstLine="0"/>
              <w:jc w:val="right"/>
              <w:rPr>
                <w:rFonts w:ascii="Arial Narrow" w:hAnsi="Arial Narrow" w:cs="Calibri"/>
                <w:color w:val="000000"/>
              </w:rPr>
            </w:pPr>
            <w:r>
              <w:rPr>
                <w:rFonts w:ascii="Arial Narrow" w:hAnsi="Arial Narrow"/>
                <w:color w:val="000000"/>
              </w:rPr>
              <w:t>7</w:t>
            </w:r>
          </w:p>
        </w:tc>
      </w:tr>
      <w:tr w:rsidR="001E3807" w:rsidRPr="001E3807" w14:paraId="7D1B64FA" w14:textId="77777777" w:rsidTr="005008EB">
        <w:trPr>
          <w:trHeight w:val="284"/>
        </w:trPr>
        <w:tc>
          <w:tcPr>
            <w:tcW w:w="4819" w:type="dxa"/>
            <w:tcBorders>
              <w:top w:val="single" w:sz="2" w:space="0" w:color="auto"/>
              <w:left w:val="nil"/>
              <w:bottom w:val="single" w:sz="4" w:space="0" w:color="auto"/>
              <w:right w:val="nil"/>
            </w:tcBorders>
            <w:shd w:val="clear" w:color="000000" w:fill="FFFFFF"/>
            <w:noWrap/>
            <w:vAlign w:val="center"/>
            <w:hideMark/>
          </w:tcPr>
          <w:p w14:paraId="34EAEB68" w14:textId="77777777" w:rsidR="001E3807" w:rsidRPr="001E3807" w:rsidRDefault="001E3807" w:rsidP="001E3807">
            <w:pPr>
              <w:spacing w:after="0"/>
              <w:ind w:firstLine="0"/>
              <w:jc w:val="left"/>
              <w:rPr>
                <w:rFonts w:ascii="Arial Narrow" w:hAnsi="Arial Narrow" w:cs="Calibri"/>
                <w:color w:val="000000"/>
              </w:rPr>
            </w:pPr>
            <w:r>
              <w:rPr>
                <w:rFonts w:ascii="Arial Narrow" w:hAnsi="Arial Narrow"/>
                <w:color w:val="000000"/>
              </w:rPr>
              <w:t>Nekazaritza-sektorearentzako laguntzak, COVID-19aren krisia dela eta</w:t>
            </w:r>
          </w:p>
        </w:tc>
        <w:tc>
          <w:tcPr>
            <w:tcW w:w="2977" w:type="dxa"/>
            <w:tcBorders>
              <w:top w:val="single" w:sz="2" w:space="0" w:color="auto"/>
              <w:left w:val="nil"/>
              <w:bottom w:val="single" w:sz="4" w:space="0" w:color="auto"/>
              <w:right w:val="nil"/>
            </w:tcBorders>
            <w:shd w:val="clear" w:color="000000" w:fill="FFFFFF"/>
            <w:noWrap/>
            <w:vAlign w:val="center"/>
            <w:hideMark/>
          </w:tcPr>
          <w:p w14:paraId="3355B465" w14:textId="77777777" w:rsidR="001E3807" w:rsidRPr="001E3807" w:rsidRDefault="001E3807" w:rsidP="001E3807">
            <w:pPr>
              <w:spacing w:after="0"/>
              <w:ind w:firstLine="0"/>
              <w:jc w:val="right"/>
              <w:rPr>
                <w:rFonts w:ascii="Arial Narrow" w:hAnsi="Arial Narrow" w:cs="Calibri"/>
                <w:color w:val="000000"/>
              </w:rPr>
            </w:pPr>
            <w:r>
              <w:rPr>
                <w:rFonts w:ascii="Arial Narrow" w:hAnsi="Arial Narrow"/>
                <w:color w:val="000000"/>
              </w:rPr>
              <w:t xml:space="preserve">2.935.943 </w:t>
            </w:r>
          </w:p>
        </w:tc>
        <w:tc>
          <w:tcPr>
            <w:tcW w:w="992" w:type="dxa"/>
            <w:tcBorders>
              <w:top w:val="single" w:sz="2" w:space="0" w:color="auto"/>
              <w:left w:val="nil"/>
              <w:bottom w:val="single" w:sz="4" w:space="0" w:color="auto"/>
              <w:right w:val="nil"/>
            </w:tcBorders>
            <w:shd w:val="clear" w:color="auto" w:fill="auto"/>
            <w:noWrap/>
            <w:vAlign w:val="center"/>
            <w:hideMark/>
          </w:tcPr>
          <w:p w14:paraId="79F668B2" w14:textId="77777777" w:rsidR="001E3807" w:rsidRPr="001E3807" w:rsidRDefault="001E3807" w:rsidP="001E3807">
            <w:pPr>
              <w:spacing w:after="0"/>
              <w:ind w:firstLine="0"/>
              <w:jc w:val="right"/>
              <w:rPr>
                <w:rFonts w:ascii="Arial Narrow" w:hAnsi="Arial Narrow" w:cs="Calibri"/>
                <w:color w:val="000000"/>
              </w:rPr>
            </w:pPr>
            <w:r>
              <w:rPr>
                <w:rFonts w:ascii="Arial Narrow" w:hAnsi="Arial Narrow"/>
                <w:color w:val="000000"/>
              </w:rPr>
              <w:t>6</w:t>
            </w:r>
          </w:p>
        </w:tc>
      </w:tr>
    </w:tbl>
    <w:p w14:paraId="1EFDD5D1" w14:textId="77777777" w:rsidR="001E3807" w:rsidRDefault="001E3807" w:rsidP="001E3807">
      <w:pPr>
        <w:pStyle w:val="texto"/>
        <w:ind w:firstLine="0"/>
      </w:pPr>
    </w:p>
    <w:p w14:paraId="0B00644F" w14:textId="77777777" w:rsidR="001E3807" w:rsidRDefault="00204F99" w:rsidP="00FB31D8">
      <w:pPr>
        <w:pStyle w:val="texto"/>
      </w:pPr>
      <w:r>
        <w:t>Merkataritza- eta industria-enpresek gastuaren ehuneko 26 egiten dute: 48 milioi. Zenbateko horretatik, ehuneko 96 enpresa pribatuentzako kapital-</w:t>
      </w:r>
      <w:r>
        <w:lastRenderedPageBreak/>
        <w:t xml:space="preserve">transferentziei dagokie. Transferentzia horietatik gehienak Garapen Ekonomikorako Departamentuak ematen ditu. </w:t>
      </w:r>
    </w:p>
    <w:p w14:paraId="2914D2B6" w14:textId="77777777" w:rsidR="008867A2" w:rsidRDefault="008867A2" w:rsidP="00FB31D8">
      <w:pPr>
        <w:pStyle w:val="texto"/>
      </w:pPr>
    </w:p>
    <w:p w14:paraId="1EE469CF" w14:textId="77777777" w:rsidR="001E3807" w:rsidRDefault="00AE1C4B" w:rsidP="008867A2">
      <w:pPr>
        <w:pStyle w:val="texto"/>
        <w:spacing w:after="240"/>
      </w:pPr>
      <w:r>
        <w:t>Honako hau da gastu-kontzeptu nagusien xehakatzea:</w:t>
      </w:r>
    </w:p>
    <w:tbl>
      <w:tblPr>
        <w:tblW w:w="8648" w:type="dxa"/>
        <w:tblCellMar>
          <w:left w:w="70" w:type="dxa"/>
          <w:right w:w="70" w:type="dxa"/>
        </w:tblCellMar>
        <w:tblLook w:val="04A0" w:firstRow="1" w:lastRow="0" w:firstColumn="1" w:lastColumn="0" w:noHBand="0" w:noVBand="1"/>
      </w:tblPr>
      <w:tblGrid>
        <w:gridCol w:w="5812"/>
        <w:gridCol w:w="1843"/>
        <w:gridCol w:w="993"/>
      </w:tblGrid>
      <w:tr w:rsidR="0011440E" w:rsidRPr="00F75A43" w14:paraId="5D5B7302" w14:textId="77777777" w:rsidTr="00F75A43">
        <w:trPr>
          <w:trHeight w:val="284"/>
        </w:trPr>
        <w:tc>
          <w:tcPr>
            <w:tcW w:w="5812" w:type="dxa"/>
            <w:tcBorders>
              <w:top w:val="single" w:sz="4" w:space="0" w:color="auto"/>
              <w:left w:val="nil"/>
              <w:bottom w:val="single" w:sz="4" w:space="0" w:color="auto"/>
              <w:right w:val="nil"/>
            </w:tcBorders>
            <w:shd w:val="clear" w:color="auto" w:fill="B8CCE4" w:themeFill="accent1" w:themeFillTint="66"/>
            <w:vAlign w:val="center"/>
            <w:hideMark/>
          </w:tcPr>
          <w:p w14:paraId="3BBBEDEF" w14:textId="77777777" w:rsidR="0011440E" w:rsidRPr="00F75A43" w:rsidRDefault="0011440E" w:rsidP="00F75A43">
            <w:pPr>
              <w:pStyle w:val="cuadroCabe"/>
              <w:rPr>
                <w:sz w:val="17"/>
                <w:szCs w:val="17"/>
              </w:rPr>
            </w:pPr>
            <w:r>
              <w:rPr>
                <w:sz w:val="17"/>
                <w:szCs w:val="17"/>
              </w:rPr>
              <w:t>Deskribapena</w:t>
            </w:r>
          </w:p>
        </w:tc>
        <w:tc>
          <w:tcPr>
            <w:tcW w:w="1843" w:type="dxa"/>
            <w:tcBorders>
              <w:top w:val="single" w:sz="4" w:space="0" w:color="auto"/>
              <w:left w:val="nil"/>
              <w:bottom w:val="single" w:sz="4" w:space="0" w:color="auto"/>
              <w:right w:val="nil"/>
            </w:tcBorders>
            <w:shd w:val="clear" w:color="auto" w:fill="B8CCE4" w:themeFill="accent1" w:themeFillTint="66"/>
            <w:vAlign w:val="center"/>
            <w:hideMark/>
          </w:tcPr>
          <w:p w14:paraId="33A3CB75" w14:textId="77777777" w:rsidR="00F75A43" w:rsidRDefault="0011440E" w:rsidP="00F75A43">
            <w:pPr>
              <w:pStyle w:val="cuadroCabe"/>
              <w:jc w:val="right"/>
              <w:rPr>
                <w:color w:val="000000"/>
                <w:sz w:val="17"/>
                <w:szCs w:val="17"/>
              </w:rPr>
            </w:pPr>
            <w:r>
              <w:rPr>
                <w:color w:val="000000"/>
                <w:sz w:val="17"/>
                <w:szCs w:val="17"/>
              </w:rPr>
              <w:t xml:space="preserve">Aitortutako betebeharrak, 2020 </w:t>
            </w:r>
          </w:p>
          <w:p w14:paraId="2DC114FB" w14:textId="77777777" w:rsidR="0011440E" w:rsidRPr="00F75A43" w:rsidRDefault="0011440E" w:rsidP="00F75A43">
            <w:pPr>
              <w:pStyle w:val="cuadroCabe"/>
              <w:jc w:val="right"/>
              <w:rPr>
                <w:color w:val="000000"/>
                <w:sz w:val="17"/>
                <w:szCs w:val="17"/>
              </w:rPr>
            </w:pPr>
          </w:p>
        </w:tc>
        <w:tc>
          <w:tcPr>
            <w:tcW w:w="993" w:type="dxa"/>
            <w:tcBorders>
              <w:top w:val="single" w:sz="4" w:space="0" w:color="auto"/>
              <w:left w:val="nil"/>
              <w:bottom w:val="single" w:sz="4" w:space="0" w:color="auto"/>
              <w:right w:val="nil"/>
            </w:tcBorders>
            <w:shd w:val="clear" w:color="auto" w:fill="B8CCE4" w:themeFill="accent1" w:themeFillTint="66"/>
            <w:vAlign w:val="center"/>
            <w:hideMark/>
          </w:tcPr>
          <w:p w14:paraId="634EB3FA" w14:textId="77777777" w:rsidR="0011440E" w:rsidRPr="00F75A43" w:rsidRDefault="0011440E" w:rsidP="00F75A43">
            <w:pPr>
              <w:pStyle w:val="cuadroCabe"/>
              <w:jc w:val="right"/>
              <w:rPr>
                <w:color w:val="000000"/>
                <w:sz w:val="17"/>
                <w:szCs w:val="17"/>
              </w:rPr>
            </w:pPr>
            <w:r>
              <w:rPr>
                <w:color w:val="000000"/>
                <w:sz w:val="17"/>
                <w:szCs w:val="17"/>
              </w:rPr>
              <w:t>%, guztizkoaren gainean</w:t>
            </w:r>
          </w:p>
        </w:tc>
      </w:tr>
      <w:tr w:rsidR="0011440E" w:rsidRPr="0011440E" w14:paraId="2D1EF05B" w14:textId="77777777" w:rsidTr="00F75A43">
        <w:trPr>
          <w:trHeight w:val="284"/>
        </w:trPr>
        <w:tc>
          <w:tcPr>
            <w:tcW w:w="5812" w:type="dxa"/>
            <w:tcBorders>
              <w:top w:val="single" w:sz="4" w:space="0" w:color="auto"/>
              <w:left w:val="nil"/>
              <w:bottom w:val="single" w:sz="2" w:space="0" w:color="auto"/>
              <w:right w:val="nil"/>
            </w:tcBorders>
            <w:shd w:val="clear" w:color="000000" w:fill="FFFFFF"/>
            <w:noWrap/>
            <w:vAlign w:val="center"/>
            <w:hideMark/>
          </w:tcPr>
          <w:p w14:paraId="1857F0DD" w14:textId="77777777" w:rsidR="0011440E" w:rsidRPr="0011440E" w:rsidRDefault="0011440E" w:rsidP="00F75A43">
            <w:pPr>
              <w:pStyle w:val="cuatexto"/>
            </w:pPr>
            <w:r>
              <w:t>I+D proiektuetarako eta FEDER eta FEADER funtsekin finantzatutako inbertsioetarako dirulaguntzak</w:t>
            </w:r>
          </w:p>
        </w:tc>
        <w:tc>
          <w:tcPr>
            <w:tcW w:w="1843" w:type="dxa"/>
            <w:tcBorders>
              <w:top w:val="single" w:sz="4" w:space="0" w:color="auto"/>
              <w:left w:val="nil"/>
              <w:bottom w:val="single" w:sz="2" w:space="0" w:color="auto"/>
              <w:right w:val="nil"/>
            </w:tcBorders>
            <w:shd w:val="clear" w:color="000000" w:fill="FFFFFF"/>
            <w:noWrap/>
            <w:vAlign w:val="center"/>
            <w:hideMark/>
          </w:tcPr>
          <w:p w14:paraId="00C01FA9" w14:textId="77777777" w:rsidR="0011440E" w:rsidRPr="0011440E" w:rsidRDefault="0011440E" w:rsidP="00F75A43">
            <w:pPr>
              <w:pStyle w:val="cuatexto"/>
              <w:jc w:val="right"/>
            </w:pPr>
            <w:r>
              <w:t xml:space="preserve">28.670.495 </w:t>
            </w:r>
          </w:p>
        </w:tc>
        <w:tc>
          <w:tcPr>
            <w:tcW w:w="993" w:type="dxa"/>
            <w:tcBorders>
              <w:top w:val="single" w:sz="4" w:space="0" w:color="auto"/>
              <w:left w:val="nil"/>
              <w:bottom w:val="single" w:sz="2" w:space="0" w:color="auto"/>
              <w:right w:val="nil"/>
            </w:tcBorders>
            <w:shd w:val="clear" w:color="auto" w:fill="auto"/>
            <w:noWrap/>
            <w:vAlign w:val="center"/>
            <w:hideMark/>
          </w:tcPr>
          <w:p w14:paraId="658B53E9" w14:textId="77777777" w:rsidR="0011440E" w:rsidRPr="0011440E" w:rsidRDefault="0011440E" w:rsidP="00F75A43">
            <w:pPr>
              <w:pStyle w:val="cuatexto"/>
              <w:jc w:val="right"/>
            </w:pPr>
            <w:r>
              <w:t>60</w:t>
            </w:r>
          </w:p>
        </w:tc>
      </w:tr>
      <w:tr w:rsidR="0011440E" w:rsidRPr="0011440E" w14:paraId="5C4410F0" w14:textId="77777777" w:rsidTr="00F75A43">
        <w:trPr>
          <w:trHeight w:val="284"/>
        </w:trPr>
        <w:tc>
          <w:tcPr>
            <w:tcW w:w="5812" w:type="dxa"/>
            <w:tcBorders>
              <w:top w:val="single" w:sz="2" w:space="0" w:color="auto"/>
              <w:left w:val="nil"/>
              <w:bottom w:val="single" w:sz="2" w:space="0" w:color="auto"/>
              <w:right w:val="nil"/>
            </w:tcBorders>
            <w:shd w:val="clear" w:color="000000" w:fill="FFFFFF"/>
            <w:noWrap/>
            <w:vAlign w:val="center"/>
            <w:hideMark/>
          </w:tcPr>
          <w:p w14:paraId="16F7A8C8" w14:textId="77777777" w:rsidR="0011440E" w:rsidRPr="0011440E" w:rsidRDefault="0011440E" w:rsidP="00F75A43">
            <w:pPr>
              <w:pStyle w:val="cuatexto"/>
            </w:pPr>
            <w:r>
              <w:t>I+G proiektu estrategikoetarako kapitaleko dirulaguntzak RIS3 Nafarroa</w:t>
            </w:r>
          </w:p>
        </w:tc>
        <w:tc>
          <w:tcPr>
            <w:tcW w:w="1843" w:type="dxa"/>
            <w:tcBorders>
              <w:top w:val="single" w:sz="2" w:space="0" w:color="auto"/>
              <w:left w:val="nil"/>
              <w:bottom w:val="single" w:sz="2" w:space="0" w:color="auto"/>
              <w:right w:val="nil"/>
            </w:tcBorders>
            <w:shd w:val="clear" w:color="000000" w:fill="FFFFFF"/>
            <w:noWrap/>
            <w:vAlign w:val="center"/>
            <w:hideMark/>
          </w:tcPr>
          <w:p w14:paraId="3612AC57" w14:textId="77777777" w:rsidR="0011440E" w:rsidRPr="0011440E" w:rsidRDefault="0011440E" w:rsidP="00F75A43">
            <w:pPr>
              <w:pStyle w:val="cuatexto"/>
              <w:jc w:val="right"/>
            </w:pPr>
            <w:r>
              <w:t xml:space="preserve">13.898.042 </w:t>
            </w:r>
          </w:p>
        </w:tc>
        <w:tc>
          <w:tcPr>
            <w:tcW w:w="993" w:type="dxa"/>
            <w:tcBorders>
              <w:top w:val="single" w:sz="2" w:space="0" w:color="auto"/>
              <w:left w:val="nil"/>
              <w:bottom w:val="single" w:sz="2" w:space="0" w:color="auto"/>
              <w:right w:val="nil"/>
            </w:tcBorders>
            <w:shd w:val="clear" w:color="auto" w:fill="auto"/>
            <w:noWrap/>
            <w:vAlign w:val="center"/>
            <w:hideMark/>
          </w:tcPr>
          <w:p w14:paraId="056A5B7A" w14:textId="77777777" w:rsidR="0011440E" w:rsidRPr="0011440E" w:rsidRDefault="0011440E" w:rsidP="00F75A43">
            <w:pPr>
              <w:pStyle w:val="cuatexto"/>
              <w:jc w:val="right"/>
            </w:pPr>
            <w:r>
              <w:t>29</w:t>
            </w:r>
          </w:p>
        </w:tc>
      </w:tr>
      <w:tr w:rsidR="0011440E" w:rsidRPr="0011440E" w14:paraId="533E2F80" w14:textId="77777777" w:rsidTr="00F75A43">
        <w:trPr>
          <w:trHeight w:val="284"/>
        </w:trPr>
        <w:tc>
          <w:tcPr>
            <w:tcW w:w="5812" w:type="dxa"/>
            <w:tcBorders>
              <w:top w:val="single" w:sz="2" w:space="0" w:color="auto"/>
              <w:left w:val="nil"/>
              <w:bottom w:val="single" w:sz="2" w:space="0" w:color="auto"/>
              <w:right w:val="nil"/>
            </w:tcBorders>
            <w:shd w:val="clear" w:color="000000" w:fill="FFFFFF"/>
            <w:noWrap/>
            <w:vAlign w:val="center"/>
            <w:hideMark/>
          </w:tcPr>
          <w:p w14:paraId="3A4ABB2D" w14:textId="77777777" w:rsidR="0011440E" w:rsidRPr="0011440E" w:rsidRDefault="0011440E" w:rsidP="00F75A43">
            <w:pPr>
              <w:pStyle w:val="cuatexto"/>
            </w:pPr>
            <w:r>
              <w:t>Enpresa handietan inbertitzeagatiko dirulaguntzak</w:t>
            </w:r>
          </w:p>
        </w:tc>
        <w:tc>
          <w:tcPr>
            <w:tcW w:w="1843" w:type="dxa"/>
            <w:tcBorders>
              <w:top w:val="single" w:sz="2" w:space="0" w:color="auto"/>
              <w:left w:val="nil"/>
              <w:bottom w:val="single" w:sz="2" w:space="0" w:color="auto"/>
              <w:right w:val="nil"/>
            </w:tcBorders>
            <w:shd w:val="clear" w:color="000000" w:fill="FFFFFF"/>
            <w:noWrap/>
            <w:vAlign w:val="center"/>
            <w:hideMark/>
          </w:tcPr>
          <w:p w14:paraId="5FFB8E14" w14:textId="77777777" w:rsidR="0011440E" w:rsidRPr="0011440E" w:rsidRDefault="0011440E" w:rsidP="00F75A43">
            <w:pPr>
              <w:pStyle w:val="cuatexto"/>
              <w:jc w:val="right"/>
            </w:pPr>
            <w:r>
              <w:t xml:space="preserve">1.581.959 </w:t>
            </w:r>
          </w:p>
        </w:tc>
        <w:tc>
          <w:tcPr>
            <w:tcW w:w="993" w:type="dxa"/>
            <w:tcBorders>
              <w:top w:val="single" w:sz="2" w:space="0" w:color="auto"/>
              <w:left w:val="nil"/>
              <w:bottom w:val="single" w:sz="2" w:space="0" w:color="auto"/>
              <w:right w:val="nil"/>
            </w:tcBorders>
            <w:shd w:val="clear" w:color="auto" w:fill="auto"/>
            <w:noWrap/>
            <w:vAlign w:val="center"/>
            <w:hideMark/>
          </w:tcPr>
          <w:p w14:paraId="50868236" w14:textId="77777777" w:rsidR="0011440E" w:rsidRPr="0011440E" w:rsidRDefault="0011440E" w:rsidP="00F75A43">
            <w:pPr>
              <w:pStyle w:val="cuatexto"/>
              <w:jc w:val="right"/>
            </w:pPr>
            <w:r>
              <w:t>3</w:t>
            </w:r>
          </w:p>
        </w:tc>
      </w:tr>
      <w:tr w:rsidR="0011440E" w:rsidRPr="0011440E" w14:paraId="209F4A25" w14:textId="77777777" w:rsidTr="00F75A43">
        <w:trPr>
          <w:trHeight w:val="284"/>
        </w:trPr>
        <w:tc>
          <w:tcPr>
            <w:tcW w:w="5812" w:type="dxa"/>
            <w:tcBorders>
              <w:top w:val="single" w:sz="2" w:space="0" w:color="auto"/>
              <w:left w:val="nil"/>
              <w:bottom w:val="single" w:sz="2" w:space="0" w:color="auto"/>
              <w:right w:val="nil"/>
            </w:tcBorders>
            <w:shd w:val="clear" w:color="000000" w:fill="FFFFFF"/>
            <w:noWrap/>
            <w:vAlign w:val="center"/>
            <w:hideMark/>
          </w:tcPr>
          <w:p w14:paraId="13B13232" w14:textId="77777777" w:rsidR="0011440E" w:rsidRPr="0011440E" w:rsidRDefault="0011440E" w:rsidP="00F75A43">
            <w:pPr>
              <w:pStyle w:val="cuatexto"/>
            </w:pPr>
            <w:r>
              <w:t>Ikertzaileak kontratatzeko laguntzak</w:t>
            </w:r>
          </w:p>
        </w:tc>
        <w:tc>
          <w:tcPr>
            <w:tcW w:w="1843" w:type="dxa"/>
            <w:tcBorders>
              <w:top w:val="single" w:sz="2" w:space="0" w:color="auto"/>
              <w:left w:val="nil"/>
              <w:bottom w:val="single" w:sz="2" w:space="0" w:color="auto"/>
              <w:right w:val="nil"/>
            </w:tcBorders>
            <w:shd w:val="clear" w:color="000000" w:fill="FFFFFF"/>
            <w:noWrap/>
            <w:vAlign w:val="center"/>
            <w:hideMark/>
          </w:tcPr>
          <w:p w14:paraId="0FDF62D6" w14:textId="77777777" w:rsidR="0011440E" w:rsidRPr="0011440E" w:rsidRDefault="0011440E" w:rsidP="00F75A43">
            <w:pPr>
              <w:pStyle w:val="cuatexto"/>
              <w:jc w:val="right"/>
            </w:pPr>
            <w:r>
              <w:t xml:space="preserve">558.400 </w:t>
            </w:r>
          </w:p>
        </w:tc>
        <w:tc>
          <w:tcPr>
            <w:tcW w:w="993" w:type="dxa"/>
            <w:tcBorders>
              <w:top w:val="single" w:sz="2" w:space="0" w:color="auto"/>
              <w:left w:val="nil"/>
              <w:bottom w:val="single" w:sz="2" w:space="0" w:color="auto"/>
              <w:right w:val="nil"/>
            </w:tcBorders>
            <w:shd w:val="clear" w:color="auto" w:fill="auto"/>
            <w:noWrap/>
            <w:vAlign w:val="center"/>
            <w:hideMark/>
          </w:tcPr>
          <w:p w14:paraId="07DF67D7" w14:textId="77777777" w:rsidR="0011440E" w:rsidRPr="0011440E" w:rsidRDefault="0011440E" w:rsidP="00F75A43">
            <w:pPr>
              <w:pStyle w:val="cuatexto"/>
              <w:jc w:val="right"/>
            </w:pPr>
            <w:r>
              <w:t>1</w:t>
            </w:r>
          </w:p>
        </w:tc>
      </w:tr>
      <w:tr w:rsidR="0011440E" w:rsidRPr="0011440E" w14:paraId="27144A17" w14:textId="77777777" w:rsidTr="00F75A43">
        <w:trPr>
          <w:trHeight w:val="284"/>
        </w:trPr>
        <w:tc>
          <w:tcPr>
            <w:tcW w:w="5812" w:type="dxa"/>
            <w:tcBorders>
              <w:top w:val="single" w:sz="2" w:space="0" w:color="auto"/>
              <w:left w:val="nil"/>
              <w:bottom w:val="single" w:sz="4" w:space="0" w:color="auto"/>
              <w:right w:val="nil"/>
            </w:tcBorders>
            <w:shd w:val="clear" w:color="000000" w:fill="FFFFFF"/>
            <w:noWrap/>
            <w:vAlign w:val="center"/>
            <w:hideMark/>
          </w:tcPr>
          <w:p w14:paraId="19EC3946" w14:textId="77777777" w:rsidR="0011440E" w:rsidRPr="0011440E" w:rsidRDefault="0011440E" w:rsidP="00F75A43">
            <w:pPr>
              <w:pStyle w:val="cuatexto"/>
            </w:pPr>
            <w:r>
              <w:t xml:space="preserve">Bono teknologikoak </w:t>
            </w:r>
          </w:p>
        </w:tc>
        <w:tc>
          <w:tcPr>
            <w:tcW w:w="1843" w:type="dxa"/>
            <w:tcBorders>
              <w:top w:val="single" w:sz="2" w:space="0" w:color="auto"/>
              <w:left w:val="nil"/>
              <w:bottom w:val="single" w:sz="4" w:space="0" w:color="auto"/>
              <w:right w:val="nil"/>
            </w:tcBorders>
            <w:shd w:val="clear" w:color="000000" w:fill="FFFFFF"/>
            <w:noWrap/>
            <w:vAlign w:val="center"/>
            <w:hideMark/>
          </w:tcPr>
          <w:p w14:paraId="165DDF04" w14:textId="77777777" w:rsidR="0011440E" w:rsidRPr="0011440E" w:rsidRDefault="0011440E" w:rsidP="00F75A43">
            <w:pPr>
              <w:pStyle w:val="cuatexto"/>
              <w:jc w:val="right"/>
            </w:pPr>
            <w:r>
              <w:t xml:space="preserve">345.982 </w:t>
            </w:r>
          </w:p>
        </w:tc>
        <w:tc>
          <w:tcPr>
            <w:tcW w:w="993" w:type="dxa"/>
            <w:tcBorders>
              <w:top w:val="single" w:sz="2" w:space="0" w:color="auto"/>
              <w:left w:val="nil"/>
              <w:bottom w:val="single" w:sz="4" w:space="0" w:color="auto"/>
              <w:right w:val="nil"/>
            </w:tcBorders>
            <w:shd w:val="clear" w:color="auto" w:fill="auto"/>
            <w:noWrap/>
            <w:vAlign w:val="center"/>
            <w:hideMark/>
          </w:tcPr>
          <w:p w14:paraId="2A4152DA" w14:textId="77777777" w:rsidR="0011440E" w:rsidRPr="0011440E" w:rsidRDefault="0011440E" w:rsidP="00F75A43">
            <w:pPr>
              <w:pStyle w:val="cuatexto"/>
              <w:jc w:val="right"/>
            </w:pPr>
            <w:r>
              <w:t>1</w:t>
            </w:r>
          </w:p>
        </w:tc>
      </w:tr>
    </w:tbl>
    <w:p w14:paraId="506B267A" w14:textId="77777777" w:rsidR="00204F99" w:rsidRPr="00644E28" w:rsidRDefault="00204F99" w:rsidP="006014C6">
      <w:pPr>
        <w:pStyle w:val="texto"/>
        <w:spacing w:after="0"/>
        <w:ind w:firstLine="0"/>
      </w:pPr>
    </w:p>
    <w:p w14:paraId="39AFF328" w14:textId="77777777" w:rsidR="0011440E" w:rsidRPr="00176F0F" w:rsidRDefault="00204F99" w:rsidP="00137BC3">
      <w:pPr>
        <w:pStyle w:val="texto"/>
      </w:pPr>
      <w:r>
        <w:t xml:space="preserve">Beste enpresa pribatu batzuek —esate baterako, enplegu zentro bereziek, enpresa txiki eta ertainek, ekonomia sozialeko enpresek edo produkzio eszenikoetako enpresa edo profesionalek— 82 milioi jaso dituzte. Zenbateko horren ehuneko 95 transferentzia arruntei dagokie. Feder funtsek laguntza horietatik 0,4 milioi baizik ez dute finantzatzen. Beste enpresa batzuentzako COVID laguntzak 39.9 milioi egiten dute; horien artean, nabarmentzekoak dira “Turismoaren eta Ostalaritzaren arloko enpresa txiki eta ertainentzako dirulaguntzak”, zeinek 13,5 milioi euroko gastua baitakarte, bai eta “langile autonomoentzako laguntzak” ere, zeinak 24 milioikoak baitira. </w:t>
      </w:r>
    </w:p>
    <w:p w14:paraId="2E102165" w14:textId="77777777" w:rsidR="00DE7A57" w:rsidRDefault="00DE7A57" w:rsidP="006014C6">
      <w:pPr>
        <w:pStyle w:val="texto"/>
        <w:spacing w:after="240"/>
      </w:pPr>
      <w:r>
        <w:t>Honakoak dira gastu horiek osatzen dituzten kontzeptu nagusiak:</w:t>
      </w:r>
    </w:p>
    <w:tbl>
      <w:tblPr>
        <w:tblW w:w="8647" w:type="dxa"/>
        <w:tblCellMar>
          <w:left w:w="70" w:type="dxa"/>
          <w:right w:w="70" w:type="dxa"/>
        </w:tblCellMar>
        <w:tblLook w:val="04A0" w:firstRow="1" w:lastRow="0" w:firstColumn="1" w:lastColumn="0" w:noHBand="0" w:noVBand="1"/>
      </w:tblPr>
      <w:tblGrid>
        <w:gridCol w:w="5245"/>
        <w:gridCol w:w="2410"/>
        <w:gridCol w:w="992"/>
      </w:tblGrid>
      <w:tr w:rsidR="00FE0208" w:rsidRPr="00F75A43" w14:paraId="6DADD293" w14:textId="77777777" w:rsidTr="005008EB">
        <w:trPr>
          <w:trHeight w:val="284"/>
        </w:trPr>
        <w:tc>
          <w:tcPr>
            <w:tcW w:w="5245" w:type="dxa"/>
            <w:tcBorders>
              <w:top w:val="single" w:sz="4" w:space="0" w:color="auto"/>
              <w:left w:val="nil"/>
              <w:bottom w:val="single" w:sz="4" w:space="0" w:color="auto"/>
              <w:right w:val="nil"/>
            </w:tcBorders>
            <w:shd w:val="clear" w:color="auto" w:fill="B8CCE4" w:themeFill="accent1" w:themeFillTint="66"/>
            <w:vAlign w:val="center"/>
            <w:hideMark/>
          </w:tcPr>
          <w:p w14:paraId="3BDDEDB1" w14:textId="77777777" w:rsidR="00FE0208" w:rsidRPr="00F75A43" w:rsidRDefault="00FE0208" w:rsidP="00F75A43">
            <w:pPr>
              <w:pStyle w:val="cuadroCabe"/>
            </w:pPr>
            <w:r>
              <w:t>Deskribapena</w:t>
            </w:r>
          </w:p>
        </w:tc>
        <w:tc>
          <w:tcPr>
            <w:tcW w:w="2410" w:type="dxa"/>
            <w:tcBorders>
              <w:top w:val="single" w:sz="4" w:space="0" w:color="auto"/>
              <w:left w:val="nil"/>
              <w:bottom w:val="single" w:sz="4" w:space="0" w:color="auto"/>
              <w:right w:val="nil"/>
            </w:tcBorders>
            <w:shd w:val="clear" w:color="auto" w:fill="B8CCE4" w:themeFill="accent1" w:themeFillTint="66"/>
            <w:vAlign w:val="center"/>
            <w:hideMark/>
          </w:tcPr>
          <w:p w14:paraId="4BF47C83" w14:textId="77777777" w:rsidR="00F75A43" w:rsidRDefault="00FE0208" w:rsidP="00F75A43">
            <w:pPr>
              <w:pStyle w:val="cuadroCabe"/>
              <w:jc w:val="right"/>
              <w:rPr>
                <w:color w:val="000000"/>
              </w:rPr>
            </w:pPr>
            <w:r>
              <w:rPr>
                <w:color w:val="000000"/>
              </w:rPr>
              <w:t xml:space="preserve">Aitortutako betebeharrak, 2020 </w:t>
            </w:r>
          </w:p>
          <w:p w14:paraId="7D5985ED" w14:textId="77777777" w:rsidR="00FE0208" w:rsidRPr="00F75A43" w:rsidRDefault="00FE0208" w:rsidP="00F75A43">
            <w:pPr>
              <w:pStyle w:val="cuadroCabe"/>
              <w:jc w:val="right"/>
              <w:rPr>
                <w:color w:val="000000"/>
              </w:rPr>
            </w:pPr>
          </w:p>
        </w:tc>
        <w:tc>
          <w:tcPr>
            <w:tcW w:w="992" w:type="dxa"/>
            <w:tcBorders>
              <w:top w:val="single" w:sz="4" w:space="0" w:color="auto"/>
              <w:left w:val="nil"/>
              <w:bottom w:val="single" w:sz="4" w:space="0" w:color="auto"/>
              <w:right w:val="nil"/>
            </w:tcBorders>
            <w:shd w:val="clear" w:color="auto" w:fill="B8CCE4" w:themeFill="accent1" w:themeFillTint="66"/>
            <w:vAlign w:val="center"/>
            <w:hideMark/>
          </w:tcPr>
          <w:p w14:paraId="6E73DB38" w14:textId="77777777" w:rsidR="00FE0208" w:rsidRPr="00F75A43" w:rsidRDefault="00FE0208" w:rsidP="00F75A43">
            <w:pPr>
              <w:pStyle w:val="cuadroCabe"/>
              <w:jc w:val="right"/>
              <w:rPr>
                <w:color w:val="000000"/>
              </w:rPr>
            </w:pPr>
            <w:r>
              <w:rPr>
                <w:color w:val="000000"/>
              </w:rPr>
              <w:t>%, guztizkoaren gainean</w:t>
            </w:r>
          </w:p>
        </w:tc>
      </w:tr>
      <w:tr w:rsidR="00FE0208" w:rsidRPr="00FE0208" w14:paraId="0CF607BC" w14:textId="77777777" w:rsidTr="005008EB">
        <w:trPr>
          <w:trHeight w:val="284"/>
        </w:trPr>
        <w:tc>
          <w:tcPr>
            <w:tcW w:w="5245" w:type="dxa"/>
            <w:tcBorders>
              <w:top w:val="single" w:sz="4" w:space="0" w:color="auto"/>
              <w:left w:val="nil"/>
              <w:bottom w:val="single" w:sz="2" w:space="0" w:color="auto"/>
              <w:right w:val="nil"/>
            </w:tcBorders>
            <w:shd w:val="clear" w:color="000000" w:fill="FFFFFF"/>
            <w:noWrap/>
            <w:vAlign w:val="center"/>
            <w:hideMark/>
          </w:tcPr>
          <w:p w14:paraId="40744C83" w14:textId="77777777" w:rsidR="00FE0208" w:rsidRPr="00FE0208" w:rsidRDefault="00FE0208" w:rsidP="00F75A43">
            <w:pPr>
              <w:pStyle w:val="cuatexto"/>
            </w:pPr>
            <w:r>
              <w:t>Autonomoentzako eta ostalaritzarako laguntzak, COVID-19aren krisia dela eta</w:t>
            </w:r>
          </w:p>
        </w:tc>
        <w:tc>
          <w:tcPr>
            <w:tcW w:w="2410" w:type="dxa"/>
            <w:tcBorders>
              <w:top w:val="single" w:sz="4" w:space="0" w:color="auto"/>
              <w:left w:val="nil"/>
              <w:bottom w:val="single" w:sz="2" w:space="0" w:color="auto"/>
              <w:right w:val="nil"/>
            </w:tcBorders>
            <w:shd w:val="clear" w:color="000000" w:fill="FFFFFF"/>
            <w:noWrap/>
            <w:vAlign w:val="center"/>
            <w:hideMark/>
          </w:tcPr>
          <w:p w14:paraId="48A801D9" w14:textId="77777777" w:rsidR="00FE0208" w:rsidRPr="00FE0208" w:rsidRDefault="00FE0208" w:rsidP="00F75A43">
            <w:pPr>
              <w:pStyle w:val="cuatexto"/>
              <w:jc w:val="right"/>
            </w:pPr>
            <w:r>
              <w:t xml:space="preserve">37.571.112 </w:t>
            </w:r>
          </w:p>
        </w:tc>
        <w:tc>
          <w:tcPr>
            <w:tcW w:w="992" w:type="dxa"/>
            <w:tcBorders>
              <w:top w:val="single" w:sz="4" w:space="0" w:color="auto"/>
              <w:left w:val="nil"/>
              <w:bottom w:val="single" w:sz="2" w:space="0" w:color="auto"/>
              <w:right w:val="nil"/>
            </w:tcBorders>
            <w:shd w:val="clear" w:color="auto" w:fill="auto"/>
            <w:noWrap/>
            <w:vAlign w:val="center"/>
            <w:hideMark/>
          </w:tcPr>
          <w:p w14:paraId="705BCDE0" w14:textId="77777777" w:rsidR="00FE0208" w:rsidRPr="00FE0208" w:rsidRDefault="00FE0208" w:rsidP="00F75A43">
            <w:pPr>
              <w:pStyle w:val="cuatexto"/>
              <w:jc w:val="right"/>
            </w:pPr>
            <w:r>
              <w:t>46</w:t>
            </w:r>
          </w:p>
        </w:tc>
      </w:tr>
      <w:tr w:rsidR="00FE0208" w:rsidRPr="00FE0208" w14:paraId="3760D5B5" w14:textId="77777777" w:rsidTr="005008EB">
        <w:trPr>
          <w:trHeight w:val="284"/>
        </w:trPr>
        <w:tc>
          <w:tcPr>
            <w:tcW w:w="5245" w:type="dxa"/>
            <w:tcBorders>
              <w:top w:val="single" w:sz="2" w:space="0" w:color="auto"/>
              <w:left w:val="nil"/>
              <w:bottom w:val="single" w:sz="2" w:space="0" w:color="auto"/>
              <w:right w:val="nil"/>
            </w:tcBorders>
            <w:shd w:val="clear" w:color="000000" w:fill="FFFFFF"/>
            <w:noWrap/>
            <w:vAlign w:val="center"/>
            <w:hideMark/>
          </w:tcPr>
          <w:p w14:paraId="5593666D" w14:textId="77777777" w:rsidR="00FE0208" w:rsidRPr="00FE0208" w:rsidRDefault="00FE0208" w:rsidP="00F75A43">
            <w:pPr>
              <w:pStyle w:val="cuatexto"/>
            </w:pPr>
            <w:r>
              <w:t>AUDENASA. Merkataritza-politika</w:t>
            </w:r>
          </w:p>
        </w:tc>
        <w:tc>
          <w:tcPr>
            <w:tcW w:w="2410" w:type="dxa"/>
            <w:tcBorders>
              <w:top w:val="single" w:sz="2" w:space="0" w:color="auto"/>
              <w:left w:val="nil"/>
              <w:bottom w:val="single" w:sz="2" w:space="0" w:color="auto"/>
              <w:right w:val="nil"/>
            </w:tcBorders>
            <w:shd w:val="clear" w:color="000000" w:fill="FFFFFF"/>
            <w:noWrap/>
            <w:vAlign w:val="center"/>
            <w:hideMark/>
          </w:tcPr>
          <w:p w14:paraId="12CD471B" w14:textId="77777777" w:rsidR="00FE0208" w:rsidRPr="00FE0208" w:rsidRDefault="00FE0208" w:rsidP="00F75A43">
            <w:pPr>
              <w:pStyle w:val="cuatexto"/>
              <w:jc w:val="right"/>
            </w:pPr>
            <w:r>
              <w:t xml:space="preserve">11.555.996 </w:t>
            </w:r>
          </w:p>
        </w:tc>
        <w:tc>
          <w:tcPr>
            <w:tcW w:w="992" w:type="dxa"/>
            <w:tcBorders>
              <w:top w:val="single" w:sz="2" w:space="0" w:color="auto"/>
              <w:left w:val="nil"/>
              <w:bottom w:val="single" w:sz="2" w:space="0" w:color="auto"/>
              <w:right w:val="nil"/>
            </w:tcBorders>
            <w:shd w:val="clear" w:color="auto" w:fill="auto"/>
            <w:noWrap/>
            <w:vAlign w:val="center"/>
            <w:hideMark/>
          </w:tcPr>
          <w:p w14:paraId="682D92AD" w14:textId="77777777" w:rsidR="00FE0208" w:rsidRPr="00FE0208" w:rsidRDefault="00FE0208" w:rsidP="00F75A43">
            <w:pPr>
              <w:pStyle w:val="cuatexto"/>
              <w:jc w:val="right"/>
            </w:pPr>
            <w:r>
              <w:t>14</w:t>
            </w:r>
          </w:p>
        </w:tc>
      </w:tr>
      <w:tr w:rsidR="00FE0208" w:rsidRPr="00FE0208" w14:paraId="746DDC1B" w14:textId="77777777" w:rsidTr="005008EB">
        <w:trPr>
          <w:trHeight w:val="284"/>
        </w:trPr>
        <w:tc>
          <w:tcPr>
            <w:tcW w:w="5245" w:type="dxa"/>
            <w:tcBorders>
              <w:top w:val="single" w:sz="2" w:space="0" w:color="auto"/>
              <w:left w:val="nil"/>
              <w:bottom w:val="single" w:sz="2" w:space="0" w:color="auto"/>
              <w:right w:val="nil"/>
            </w:tcBorders>
            <w:shd w:val="clear" w:color="000000" w:fill="FFFFFF"/>
            <w:noWrap/>
            <w:vAlign w:val="center"/>
            <w:hideMark/>
          </w:tcPr>
          <w:p w14:paraId="18F358F2" w14:textId="77777777" w:rsidR="00FE0208" w:rsidRPr="00FE0208" w:rsidRDefault="00FE0208" w:rsidP="00F75A43">
            <w:pPr>
              <w:pStyle w:val="cuatexto"/>
            </w:pPr>
            <w:r>
              <w:t>Enplegu-zentro berezietarako laguntzak EGIF</w:t>
            </w:r>
          </w:p>
        </w:tc>
        <w:tc>
          <w:tcPr>
            <w:tcW w:w="2410" w:type="dxa"/>
            <w:tcBorders>
              <w:top w:val="single" w:sz="2" w:space="0" w:color="auto"/>
              <w:left w:val="nil"/>
              <w:bottom w:val="single" w:sz="2" w:space="0" w:color="auto"/>
              <w:right w:val="nil"/>
            </w:tcBorders>
            <w:shd w:val="clear" w:color="000000" w:fill="FFFFFF"/>
            <w:noWrap/>
            <w:vAlign w:val="center"/>
            <w:hideMark/>
          </w:tcPr>
          <w:p w14:paraId="4AA80DBC" w14:textId="77777777" w:rsidR="00FE0208" w:rsidRPr="00FE0208" w:rsidRDefault="00FE0208" w:rsidP="00F75A43">
            <w:pPr>
              <w:pStyle w:val="cuatexto"/>
              <w:jc w:val="right"/>
            </w:pPr>
            <w:r>
              <w:t xml:space="preserve">11.461.321 </w:t>
            </w:r>
          </w:p>
        </w:tc>
        <w:tc>
          <w:tcPr>
            <w:tcW w:w="992" w:type="dxa"/>
            <w:tcBorders>
              <w:top w:val="single" w:sz="2" w:space="0" w:color="auto"/>
              <w:left w:val="nil"/>
              <w:bottom w:val="single" w:sz="2" w:space="0" w:color="auto"/>
              <w:right w:val="nil"/>
            </w:tcBorders>
            <w:shd w:val="clear" w:color="auto" w:fill="auto"/>
            <w:noWrap/>
            <w:vAlign w:val="center"/>
            <w:hideMark/>
          </w:tcPr>
          <w:p w14:paraId="2C23CCA0" w14:textId="77777777" w:rsidR="00FE0208" w:rsidRPr="00FE0208" w:rsidRDefault="00FE0208" w:rsidP="00F75A43">
            <w:pPr>
              <w:pStyle w:val="cuatexto"/>
              <w:jc w:val="right"/>
            </w:pPr>
            <w:r>
              <w:t>14</w:t>
            </w:r>
          </w:p>
        </w:tc>
      </w:tr>
      <w:tr w:rsidR="00FE0208" w:rsidRPr="00FE0208" w14:paraId="1DC91176" w14:textId="77777777" w:rsidTr="005008EB">
        <w:trPr>
          <w:trHeight w:val="284"/>
        </w:trPr>
        <w:tc>
          <w:tcPr>
            <w:tcW w:w="5245" w:type="dxa"/>
            <w:tcBorders>
              <w:top w:val="single" w:sz="2" w:space="0" w:color="auto"/>
              <w:left w:val="nil"/>
              <w:bottom w:val="single" w:sz="2" w:space="0" w:color="auto"/>
              <w:right w:val="nil"/>
            </w:tcBorders>
            <w:shd w:val="clear" w:color="000000" w:fill="FFFFFF"/>
            <w:noWrap/>
            <w:vAlign w:val="center"/>
            <w:hideMark/>
          </w:tcPr>
          <w:p w14:paraId="35A1EAAD" w14:textId="77777777" w:rsidR="00FE0208" w:rsidRPr="00FE0208" w:rsidRDefault="00FE0208" w:rsidP="00F75A43">
            <w:pPr>
              <w:pStyle w:val="cuatexto"/>
            </w:pPr>
            <w:r>
              <w:t>Tasubinsarekiko hitzarmena, desgaitasuna duten pertsonentzat dauden lanerako ikastegietarako</w:t>
            </w:r>
          </w:p>
        </w:tc>
        <w:tc>
          <w:tcPr>
            <w:tcW w:w="2410" w:type="dxa"/>
            <w:tcBorders>
              <w:top w:val="single" w:sz="2" w:space="0" w:color="auto"/>
              <w:left w:val="nil"/>
              <w:bottom w:val="single" w:sz="2" w:space="0" w:color="auto"/>
              <w:right w:val="nil"/>
            </w:tcBorders>
            <w:shd w:val="clear" w:color="000000" w:fill="FFFFFF"/>
            <w:noWrap/>
            <w:vAlign w:val="center"/>
            <w:hideMark/>
          </w:tcPr>
          <w:p w14:paraId="1FB4B3DC" w14:textId="77777777" w:rsidR="00FE0208" w:rsidRPr="00FE0208" w:rsidRDefault="00FE0208" w:rsidP="00F75A43">
            <w:pPr>
              <w:pStyle w:val="cuatexto"/>
              <w:jc w:val="right"/>
            </w:pPr>
            <w:r>
              <w:t xml:space="preserve">3.430.985 </w:t>
            </w:r>
          </w:p>
        </w:tc>
        <w:tc>
          <w:tcPr>
            <w:tcW w:w="992" w:type="dxa"/>
            <w:tcBorders>
              <w:top w:val="single" w:sz="2" w:space="0" w:color="auto"/>
              <w:left w:val="nil"/>
              <w:bottom w:val="single" w:sz="2" w:space="0" w:color="auto"/>
              <w:right w:val="nil"/>
            </w:tcBorders>
            <w:shd w:val="clear" w:color="auto" w:fill="auto"/>
            <w:noWrap/>
            <w:vAlign w:val="center"/>
            <w:hideMark/>
          </w:tcPr>
          <w:p w14:paraId="7264BD8F" w14:textId="77777777" w:rsidR="00FE0208" w:rsidRPr="00FE0208" w:rsidRDefault="00FE0208" w:rsidP="00F75A43">
            <w:pPr>
              <w:pStyle w:val="cuatexto"/>
              <w:jc w:val="right"/>
            </w:pPr>
            <w:r>
              <w:t>4</w:t>
            </w:r>
          </w:p>
        </w:tc>
      </w:tr>
      <w:tr w:rsidR="00FE0208" w:rsidRPr="00FE0208" w14:paraId="05BD46C7" w14:textId="77777777" w:rsidTr="005008EB">
        <w:trPr>
          <w:trHeight w:val="284"/>
        </w:trPr>
        <w:tc>
          <w:tcPr>
            <w:tcW w:w="5245" w:type="dxa"/>
            <w:tcBorders>
              <w:top w:val="single" w:sz="2" w:space="0" w:color="auto"/>
              <w:left w:val="nil"/>
              <w:bottom w:val="single" w:sz="2" w:space="0" w:color="auto"/>
              <w:right w:val="nil"/>
            </w:tcBorders>
            <w:shd w:val="clear" w:color="000000" w:fill="FFFFFF"/>
            <w:noWrap/>
            <w:vAlign w:val="center"/>
            <w:hideMark/>
          </w:tcPr>
          <w:p w14:paraId="45AF8EBE" w14:textId="77777777" w:rsidR="00FE0208" w:rsidRPr="00FE0208" w:rsidRDefault="00FE0208" w:rsidP="00F75A43">
            <w:pPr>
              <w:pStyle w:val="cuatexto"/>
            </w:pPr>
            <w:r>
              <w:t>Enpresek gazteak kontratatzeko pizgarriak</w:t>
            </w:r>
          </w:p>
        </w:tc>
        <w:tc>
          <w:tcPr>
            <w:tcW w:w="2410" w:type="dxa"/>
            <w:tcBorders>
              <w:top w:val="single" w:sz="2" w:space="0" w:color="auto"/>
              <w:left w:val="nil"/>
              <w:bottom w:val="single" w:sz="2" w:space="0" w:color="auto"/>
              <w:right w:val="nil"/>
            </w:tcBorders>
            <w:shd w:val="clear" w:color="000000" w:fill="FFFFFF"/>
            <w:noWrap/>
            <w:vAlign w:val="center"/>
            <w:hideMark/>
          </w:tcPr>
          <w:p w14:paraId="7B03F5AC" w14:textId="77777777" w:rsidR="00FE0208" w:rsidRPr="00FE0208" w:rsidRDefault="00FE0208" w:rsidP="00F75A43">
            <w:pPr>
              <w:pStyle w:val="cuatexto"/>
              <w:jc w:val="right"/>
            </w:pPr>
            <w:r>
              <w:t xml:space="preserve">1.870.770 </w:t>
            </w:r>
          </w:p>
        </w:tc>
        <w:tc>
          <w:tcPr>
            <w:tcW w:w="992" w:type="dxa"/>
            <w:tcBorders>
              <w:top w:val="single" w:sz="2" w:space="0" w:color="auto"/>
              <w:left w:val="nil"/>
              <w:bottom w:val="single" w:sz="2" w:space="0" w:color="auto"/>
              <w:right w:val="nil"/>
            </w:tcBorders>
            <w:shd w:val="clear" w:color="auto" w:fill="auto"/>
            <w:noWrap/>
            <w:vAlign w:val="center"/>
            <w:hideMark/>
          </w:tcPr>
          <w:p w14:paraId="61F4C1D7" w14:textId="77777777" w:rsidR="00FE0208" w:rsidRPr="00FE0208" w:rsidRDefault="00FE0208" w:rsidP="00F75A43">
            <w:pPr>
              <w:pStyle w:val="cuatexto"/>
              <w:jc w:val="right"/>
            </w:pPr>
            <w:r>
              <w:t>2</w:t>
            </w:r>
          </w:p>
        </w:tc>
      </w:tr>
      <w:tr w:rsidR="00FE0208" w:rsidRPr="00FE0208" w14:paraId="30B6879C" w14:textId="77777777" w:rsidTr="005008EB">
        <w:trPr>
          <w:trHeight w:val="284"/>
        </w:trPr>
        <w:tc>
          <w:tcPr>
            <w:tcW w:w="5245" w:type="dxa"/>
            <w:tcBorders>
              <w:top w:val="single" w:sz="2" w:space="0" w:color="auto"/>
              <w:left w:val="nil"/>
              <w:bottom w:val="single" w:sz="2" w:space="0" w:color="auto"/>
              <w:right w:val="nil"/>
            </w:tcBorders>
            <w:shd w:val="clear" w:color="000000" w:fill="FFFFFF"/>
            <w:noWrap/>
            <w:vAlign w:val="center"/>
            <w:hideMark/>
          </w:tcPr>
          <w:p w14:paraId="4950E276" w14:textId="77777777" w:rsidR="00FE0208" w:rsidRPr="00FE0208" w:rsidRDefault="00FE0208" w:rsidP="00F75A43">
            <w:pPr>
              <w:pStyle w:val="cuatexto"/>
            </w:pPr>
            <w:r>
              <w:t>Elkarkiderekiko hitzarmena, desgaitasuna duten pertsonentzat dauden lanerako ikastegietarako</w:t>
            </w:r>
          </w:p>
        </w:tc>
        <w:tc>
          <w:tcPr>
            <w:tcW w:w="2410" w:type="dxa"/>
            <w:tcBorders>
              <w:top w:val="single" w:sz="2" w:space="0" w:color="auto"/>
              <w:left w:val="nil"/>
              <w:bottom w:val="single" w:sz="2" w:space="0" w:color="auto"/>
              <w:right w:val="nil"/>
            </w:tcBorders>
            <w:shd w:val="clear" w:color="000000" w:fill="FFFFFF"/>
            <w:noWrap/>
            <w:vAlign w:val="center"/>
            <w:hideMark/>
          </w:tcPr>
          <w:p w14:paraId="3F0C9C1D" w14:textId="77777777" w:rsidR="00FE0208" w:rsidRPr="00FE0208" w:rsidRDefault="00FE0208" w:rsidP="00F75A43">
            <w:pPr>
              <w:pStyle w:val="cuatexto"/>
              <w:jc w:val="right"/>
            </w:pPr>
            <w:r>
              <w:t xml:space="preserve">1.806.200 </w:t>
            </w:r>
          </w:p>
        </w:tc>
        <w:tc>
          <w:tcPr>
            <w:tcW w:w="992" w:type="dxa"/>
            <w:tcBorders>
              <w:top w:val="single" w:sz="2" w:space="0" w:color="auto"/>
              <w:left w:val="nil"/>
              <w:bottom w:val="single" w:sz="2" w:space="0" w:color="auto"/>
              <w:right w:val="nil"/>
            </w:tcBorders>
            <w:shd w:val="clear" w:color="auto" w:fill="auto"/>
            <w:noWrap/>
            <w:vAlign w:val="center"/>
            <w:hideMark/>
          </w:tcPr>
          <w:p w14:paraId="61CDD6CE" w14:textId="77777777" w:rsidR="00FE0208" w:rsidRPr="00FE0208" w:rsidRDefault="00FE0208" w:rsidP="00F75A43">
            <w:pPr>
              <w:pStyle w:val="cuatexto"/>
              <w:jc w:val="right"/>
            </w:pPr>
            <w:r>
              <w:t>2</w:t>
            </w:r>
          </w:p>
        </w:tc>
      </w:tr>
      <w:tr w:rsidR="00FE0208" w:rsidRPr="00FE0208" w14:paraId="0D28EE55" w14:textId="77777777" w:rsidTr="005008EB">
        <w:trPr>
          <w:trHeight w:val="284"/>
        </w:trPr>
        <w:tc>
          <w:tcPr>
            <w:tcW w:w="5245" w:type="dxa"/>
            <w:tcBorders>
              <w:top w:val="single" w:sz="2" w:space="0" w:color="auto"/>
              <w:left w:val="nil"/>
              <w:bottom w:val="single" w:sz="2" w:space="0" w:color="auto"/>
              <w:right w:val="nil"/>
            </w:tcBorders>
            <w:shd w:val="clear" w:color="000000" w:fill="FFFFFF"/>
            <w:noWrap/>
            <w:vAlign w:val="center"/>
            <w:hideMark/>
          </w:tcPr>
          <w:p w14:paraId="657D3F4A" w14:textId="77777777" w:rsidR="00FE0208" w:rsidRPr="00FE0208" w:rsidRDefault="00FE0208" w:rsidP="00F75A43">
            <w:pPr>
              <w:pStyle w:val="cuatexto"/>
            </w:pPr>
            <w:r>
              <w:t>Bidaiarien garraio-zerbitzuak mantentzeko laguntza</w:t>
            </w:r>
          </w:p>
        </w:tc>
        <w:tc>
          <w:tcPr>
            <w:tcW w:w="2410" w:type="dxa"/>
            <w:tcBorders>
              <w:top w:val="single" w:sz="2" w:space="0" w:color="auto"/>
              <w:left w:val="nil"/>
              <w:bottom w:val="single" w:sz="2" w:space="0" w:color="auto"/>
              <w:right w:val="nil"/>
            </w:tcBorders>
            <w:shd w:val="clear" w:color="000000" w:fill="FFFFFF"/>
            <w:noWrap/>
            <w:vAlign w:val="center"/>
            <w:hideMark/>
          </w:tcPr>
          <w:p w14:paraId="10F1EF00" w14:textId="77777777" w:rsidR="00FE0208" w:rsidRPr="00FE0208" w:rsidRDefault="00FE0208" w:rsidP="00F75A43">
            <w:pPr>
              <w:pStyle w:val="cuatexto"/>
              <w:jc w:val="right"/>
            </w:pPr>
            <w:r>
              <w:t xml:space="preserve">1.779.842 </w:t>
            </w:r>
          </w:p>
        </w:tc>
        <w:tc>
          <w:tcPr>
            <w:tcW w:w="992" w:type="dxa"/>
            <w:tcBorders>
              <w:top w:val="single" w:sz="2" w:space="0" w:color="auto"/>
              <w:left w:val="nil"/>
              <w:bottom w:val="single" w:sz="2" w:space="0" w:color="auto"/>
              <w:right w:val="nil"/>
            </w:tcBorders>
            <w:shd w:val="clear" w:color="auto" w:fill="auto"/>
            <w:noWrap/>
            <w:vAlign w:val="center"/>
            <w:hideMark/>
          </w:tcPr>
          <w:p w14:paraId="2C6A82CE" w14:textId="77777777" w:rsidR="00FE0208" w:rsidRPr="00FE0208" w:rsidRDefault="00FE0208" w:rsidP="00F75A43">
            <w:pPr>
              <w:pStyle w:val="cuatexto"/>
              <w:jc w:val="right"/>
            </w:pPr>
            <w:r>
              <w:t>2</w:t>
            </w:r>
          </w:p>
        </w:tc>
      </w:tr>
      <w:tr w:rsidR="00FE0208" w:rsidRPr="00FE0208" w14:paraId="3C181D68" w14:textId="77777777" w:rsidTr="005008EB">
        <w:trPr>
          <w:trHeight w:val="284"/>
        </w:trPr>
        <w:tc>
          <w:tcPr>
            <w:tcW w:w="5245" w:type="dxa"/>
            <w:tcBorders>
              <w:top w:val="single" w:sz="2" w:space="0" w:color="auto"/>
              <w:left w:val="nil"/>
              <w:bottom w:val="single" w:sz="2" w:space="0" w:color="auto"/>
              <w:right w:val="nil"/>
            </w:tcBorders>
            <w:shd w:val="clear" w:color="000000" w:fill="FFFFFF"/>
            <w:noWrap/>
            <w:vAlign w:val="center"/>
            <w:hideMark/>
          </w:tcPr>
          <w:p w14:paraId="764BF004" w14:textId="77777777" w:rsidR="00FE0208" w:rsidRPr="00FE0208" w:rsidRDefault="00FE0208" w:rsidP="00F75A43">
            <w:pPr>
              <w:pStyle w:val="cuatexto"/>
            </w:pPr>
            <w:r>
              <w:t>Langabetuentzako lanbide heziketarako laguntzak</w:t>
            </w:r>
          </w:p>
        </w:tc>
        <w:tc>
          <w:tcPr>
            <w:tcW w:w="2410" w:type="dxa"/>
            <w:tcBorders>
              <w:top w:val="single" w:sz="2" w:space="0" w:color="auto"/>
              <w:left w:val="nil"/>
              <w:bottom w:val="single" w:sz="2" w:space="0" w:color="auto"/>
              <w:right w:val="nil"/>
            </w:tcBorders>
            <w:shd w:val="clear" w:color="000000" w:fill="FFFFFF"/>
            <w:noWrap/>
            <w:vAlign w:val="center"/>
            <w:hideMark/>
          </w:tcPr>
          <w:p w14:paraId="5A43D20C" w14:textId="77777777" w:rsidR="00FE0208" w:rsidRPr="00FE0208" w:rsidRDefault="00FE0208" w:rsidP="00F75A43">
            <w:pPr>
              <w:pStyle w:val="cuatexto"/>
              <w:jc w:val="right"/>
            </w:pPr>
            <w:r>
              <w:t xml:space="preserve">1.736.101 </w:t>
            </w:r>
          </w:p>
        </w:tc>
        <w:tc>
          <w:tcPr>
            <w:tcW w:w="992" w:type="dxa"/>
            <w:tcBorders>
              <w:top w:val="single" w:sz="2" w:space="0" w:color="auto"/>
              <w:left w:val="nil"/>
              <w:bottom w:val="single" w:sz="2" w:space="0" w:color="auto"/>
              <w:right w:val="nil"/>
            </w:tcBorders>
            <w:shd w:val="clear" w:color="auto" w:fill="auto"/>
            <w:noWrap/>
            <w:vAlign w:val="center"/>
            <w:hideMark/>
          </w:tcPr>
          <w:p w14:paraId="76DDF54A" w14:textId="77777777" w:rsidR="00FE0208" w:rsidRPr="00FE0208" w:rsidRDefault="00FE0208" w:rsidP="00F75A43">
            <w:pPr>
              <w:pStyle w:val="cuatexto"/>
              <w:jc w:val="right"/>
            </w:pPr>
            <w:r>
              <w:t>2</w:t>
            </w:r>
          </w:p>
        </w:tc>
      </w:tr>
      <w:tr w:rsidR="00FE0208" w:rsidRPr="00FE0208" w14:paraId="5CA52E43" w14:textId="77777777" w:rsidTr="005008EB">
        <w:trPr>
          <w:trHeight w:val="284"/>
        </w:trPr>
        <w:tc>
          <w:tcPr>
            <w:tcW w:w="5245" w:type="dxa"/>
            <w:tcBorders>
              <w:top w:val="single" w:sz="2" w:space="0" w:color="auto"/>
              <w:left w:val="nil"/>
              <w:bottom w:val="single" w:sz="2" w:space="0" w:color="auto"/>
              <w:right w:val="nil"/>
            </w:tcBorders>
            <w:shd w:val="clear" w:color="000000" w:fill="FFFFFF"/>
            <w:noWrap/>
            <w:vAlign w:val="center"/>
            <w:hideMark/>
          </w:tcPr>
          <w:p w14:paraId="042CECA3" w14:textId="77777777" w:rsidR="00FE0208" w:rsidRPr="00FE0208" w:rsidRDefault="00FE0208" w:rsidP="00F75A43">
            <w:pPr>
              <w:pStyle w:val="cuatexto"/>
            </w:pPr>
            <w:r>
              <w:t>Bidaiarien garraio-zerbitzuak mantentzeko laguntza, COVID-19aren krisia dela eta</w:t>
            </w:r>
          </w:p>
        </w:tc>
        <w:tc>
          <w:tcPr>
            <w:tcW w:w="2410" w:type="dxa"/>
            <w:tcBorders>
              <w:top w:val="single" w:sz="2" w:space="0" w:color="auto"/>
              <w:left w:val="nil"/>
              <w:bottom w:val="single" w:sz="2" w:space="0" w:color="auto"/>
              <w:right w:val="nil"/>
            </w:tcBorders>
            <w:shd w:val="clear" w:color="000000" w:fill="FFFFFF"/>
            <w:noWrap/>
            <w:vAlign w:val="center"/>
            <w:hideMark/>
          </w:tcPr>
          <w:p w14:paraId="4A7ED220" w14:textId="77777777" w:rsidR="00FE0208" w:rsidRPr="00FE0208" w:rsidRDefault="00FE0208" w:rsidP="00F75A43">
            <w:pPr>
              <w:pStyle w:val="cuatexto"/>
              <w:jc w:val="right"/>
            </w:pPr>
            <w:r>
              <w:t xml:space="preserve">1.363.969 </w:t>
            </w:r>
          </w:p>
        </w:tc>
        <w:tc>
          <w:tcPr>
            <w:tcW w:w="992" w:type="dxa"/>
            <w:tcBorders>
              <w:top w:val="single" w:sz="2" w:space="0" w:color="auto"/>
              <w:left w:val="nil"/>
              <w:bottom w:val="single" w:sz="2" w:space="0" w:color="auto"/>
              <w:right w:val="nil"/>
            </w:tcBorders>
            <w:shd w:val="clear" w:color="auto" w:fill="auto"/>
            <w:noWrap/>
            <w:vAlign w:val="center"/>
            <w:hideMark/>
          </w:tcPr>
          <w:p w14:paraId="7E4FF634" w14:textId="77777777" w:rsidR="00FE0208" w:rsidRPr="00FE0208" w:rsidRDefault="00FE0208" w:rsidP="00F75A43">
            <w:pPr>
              <w:pStyle w:val="cuatexto"/>
              <w:jc w:val="right"/>
            </w:pPr>
            <w:r>
              <w:t>2</w:t>
            </w:r>
          </w:p>
        </w:tc>
      </w:tr>
      <w:tr w:rsidR="00FE0208" w:rsidRPr="00FE0208" w14:paraId="6F0D8FC0" w14:textId="77777777" w:rsidTr="005008EB">
        <w:trPr>
          <w:trHeight w:val="284"/>
        </w:trPr>
        <w:tc>
          <w:tcPr>
            <w:tcW w:w="5245" w:type="dxa"/>
            <w:tcBorders>
              <w:top w:val="single" w:sz="2" w:space="0" w:color="auto"/>
              <w:left w:val="nil"/>
              <w:bottom w:val="single" w:sz="4" w:space="0" w:color="auto"/>
              <w:right w:val="nil"/>
            </w:tcBorders>
            <w:shd w:val="clear" w:color="000000" w:fill="FFFFFF"/>
            <w:noWrap/>
            <w:vAlign w:val="center"/>
            <w:hideMark/>
          </w:tcPr>
          <w:p w14:paraId="47ECA678" w14:textId="77777777" w:rsidR="00FE0208" w:rsidRPr="00FE0208" w:rsidRDefault="00FE0208" w:rsidP="00F75A43">
            <w:pPr>
              <w:pStyle w:val="cuatexto"/>
            </w:pPr>
            <w:r>
              <w:t>Nafarroako ikus-entzunezkoen ekoizpenerako laguntzak</w:t>
            </w:r>
          </w:p>
        </w:tc>
        <w:tc>
          <w:tcPr>
            <w:tcW w:w="2410" w:type="dxa"/>
            <w:tcBorders>
              <w:top w:val="single" w:sz="2" w:space="0" w:color="auto"/>
              <w:left w:val="nil"/>
              <w:bottom w:val="single" w:sz="4" w:space="0" w:color="auto"/>
              <w:right w:val="nil"/>
            </w:tcBorders>
            <w:shd w:val="clear" w:color="000000" w:fill="FFFFFF"/>
            <w:noWrap/>
            <w:vAlign w:val="center"/>
            <w:hideMark/>
          </w:tcPr>
          <w:p w14:paraId="5CBB132C" w14:textId="77777777" w:rsidR="00FE0208" w:rsidRPr="00FE0208" w:rsidRDefault="00FE0208" w:rsidP="00F75A43">
            <w:pPr>
              <w:pStyle w:val="cuatexto"/>
              <w:jc w:val="right"/>
            </w:pPr>
            <w:r>
              <w:t xml:space="preserve">1.081.169 </w:t>
            </w:r>
          </w:p>
        </w:tc>
        <w:tc>
          <w:tcPr>
            <w:tcW w:w="992" w:type="dxa"/>
            <w:tcBorders>
              <w:top w:val="single" w:sz="2" w:space="0" w:color="auto"/>
              <w:left w:val="nil"/>
              <w:bottom w:val="single" w:sz="4" w:space="0" w:color="auto"/>
              <w:right w:val="nil"/>
            </w:tcBorders>
            <w:shd w:val="clear" w:color="auto" w:fill="auto"/>
            <w:noWrap/>
            <w:vAlign w:val="center"/>
            <w:hideMark/>
          </w:tcPr>
          <w:p w14:paraId="0FDB6710" w14:textId="77777777" w:rsidR="00FE0208" w:rsidRPr="00FE0208" w:rsidRDefault="00FE0208" w:rsidP="00F75A43">
            <w:pPr>
              <w:pStyle w:val="cuatexto"/>
              <w:jc w:val="right"/>
            </w:pPr>
            <w:r>
              <w:t>1</w:t>
            </w:r>
          </w:p>
        </w:tc>
      </w:tr>
    </w:tbl>
    <w:p w14:paraId="7650A8C4" w14:textId="77777777" w:rsidR="00DE7A57" w:rsidRDefault="00DE7A57" w:rsidP="00A5744A">
      <w:pPr>
        <w:pStyle w:val="texto"/>
      </w:pPr>
    </w:p>
    <w:p w14:paraId="0F675653" w14:textId="77777777" w:rsidR="00496B22" w:rsidRPr="00496B22" w:rsidRDefault="00496B22" w:rsidP="00496B22">
      <w:pPr>
        <w:pStyle w:val="atitulo3"/>
      </w:pPr>
      <w:r>
        <w:lastRenderedPageBreak/>
        <w:t>Departamentuz departamentuko betetzea</w:t>
      </w:r>
    </w:p>
    <w:p w14:paraId="0A677005" w14:textId="77777777" w:rsidR="00055BC3" w:rsidRDefault="00055BC3" w:rsidP="00A5744A">
      <w:pPr>
        <w:pStyle w:val="texto"/>
      </w:pPr>
      <w:r>
        <w:t xml:space="preserve">Garapen Ekonomiko eta Enpresarialeko Departamentuak gastatu du gehien, 85 milioi, eta ondoren Landa Garapeneko eta Ingurumeneko Departamentuak, 45 milioi, eta Eskubide Sozialetako Departamentuak, 22 milioi. </w:t>
      </w:r>
    </w:p>
    <w:p w14:paraId="3D411654" w14:textId="77777777" w:rsidR="00F75A43" w:rsidRDefault="00F75A43">
      <w:pPr>
        <w:spacing w:after="0"/>
        <w:ind w:firstLine="0"/>
        <w:jc w:val="left"/>
        <w:rPr>
          <w:spacing w:val="6"/>
          <w:sz w:val="26"/>
          <w:szCs w:val="24"/>
        </w:rPr>
      </w:pPr>
      <w:r>
        <w:br w:type="page"/>
      </w:r>
    </w:p>
    <w:p w14:paraId="05027C4C" w14:textId="77777777" w:rsidR="00055BC3" w:rsidRDefault="00055BC3" w:rsidP="00A5744A">
      <w:pPr>
        <w:pStyle w:val="texto"/>
      </w:pPr>
      <w:r>
        <w:lastRenderedPageBreak/>
        <w:t>Departamentu bakoitzak guztizko gastuan hartzen duen ehunekoa honako grafiko honetan ageri da:</w:t>
      </w:r>
    </w:p>
    <w:p w14:paraId="4B6712AD" w14:textId="77777777" w:rsidR="003B7EB1" w:rsidRDefault="003B7EB1" w:rsidP="00A5744A">
      <w:pPr>
        <w:pStyle w:val="texto"/>
      </w:pPr>
    </w:p>
    <w:p w14:paraId="4C4450FC" w14:textId="77777777" w:rsidR="00055BC3" w:rsidRDefault="003B7EB1" w:rsidP="00A5744A">
      <w:pPr>
        <w:pStyle w:val="texto"/>
      </w:pPr>
      <w:r>
        <w:rPr>
          <w:noProof/>
        </w:rPr>
        <w:drawing>
          <wp:inline distT="0" distB="0" distL="0" distR="0" wp14:anchorId="18AC6336" wp14:editId="2866D08E">
            <wp:extent cx="5022215" cy="2864439"/>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5105" cy="2883198"/>
                    </a:xfrm>
                    <a:prstGeom prst="rect">
                      <a:avLst/>
                    </a:prstGeom>
                    <a:noFill/>
                  </pic:spPr>
                </pic:pic>
              </a:graphicData>
            </a:graphic>
          </wp:inline>
        </w:drawing>
      </w:r>
    </w:p>
    <w:p w14:paraId="73E3C117" w14:textId="77777777" w:rsidR="00BA4BBF" w:rsidRDefault="00BA4BBF" w:rsidP="00BA4BBF">
      <w:pPr>
        <w:pStyle w:val="texto"/>
        <w:spacing w:after="0"/>
        <w:ind w:left="502" w:firstLine="0"/>
      </w:pPr>
    </w:p>
    <w:p w14:paraId="03737EA1" w14:textId="77777777" w:rsidR="00AE1C4B" w:rsidRPr="00F4544B" w:rsidRDefault="00AE1C4B" w:rsidP="00F4544B">
      <w:pPr>
        <w:pStyle w:val="texto"/>
        <w:spacing w:after="240"/>
      </w:pPr>
      <w:bookmarkStart w:id="13" w:name="_Toc75857468"/>
      <w:r>
        <w:t>Garapen Ekonomiko eta Enpresarialeko Departamentuaren gastua ehuneko 48 da. Ondotik daude Landa Garapeneko Departamentua (ehuneko 25), Eskubide Sozialetakoa (ehuneko 12) eta Ekonomia eta Ogasunekoa eta Lurralde Kohesiokoa (ehuneko seina). Gainerako departamentuek ez dute gainditzen guztizkoaren ehuneko hiru.</w:t>
      </w:r>
    </w:p>
    <w:p w14:paraId="00CD8FEE" w14:textId="77777777" w:rsidR="00204F99" w:rsidRPr="0087454C" w:rsidRDefault="003020CB" w:rsidP="00F75A43">
      <w:pPr>
        <w:pStyle w:val="atitulo2"/>
      </w:pPr>
      <w:bookmarkStart w:id="14" w:name="_Toc86129296"/>
      <w:r>
        <w:t>II.2. Dirulaguntzen plan estrategikoa</w:t>
      </w:r>
      <w:bookmarkEnd w:id="13"/>
      <w:bookmarkEnd w:id="14"/>
    </w:p>
    <w:p w14:paraId="69173BBB" w14:textId="77777777" w:rsidR="00204F99" w:rsidRDefault="00204F99" w:rsidP="0087454C">
      <w:pPr>
        <w:pStyle w:val="texto"/>
      </w:pPr>
      <w:r>
        <w:t>Dirulaguntza publikoen arlorako plangintza estrategiko bat edukitzeko beharra 2014an ezarri zen, Dirulaguntzei buruzko Foru Legea aldatzeko apirilaren 14ko 5/2014 Foru Legearen bitartez.</w:t>
      </w:r>
    </w:p>
    <w:p w14:paraId="3B5B5D76" w14:textId="77777777" w:rsidR="00204F99" w:rsidRDefault="00204F99" w:rsidP="0087454C">
      <w:pPr>
        <w:pStyle w:val="texto"/>
      </w:pPr>
      <w:r>
        <w:t>Dirulaguntzen plan estrategikoak (DPE, aurrerantzean) politika publikoak planifikatzeko tresna bat dira, helburu gisa dutenak jarduera publiko bat edo interes sozial bat sustatzea izatea, edo xede publikoa bultzatzea. Hiru urterako aurreikuspenak jaso beharko dituzte.</w:t>
      </w:r>
    </w:p>
    <w:p w14:paraId="3B1D45B8" w14:textId="77777777" w:rsidR="00204F99" w:rsidRPr="00A85EC1" w:rsidRDefault="00204F99" w:rsidP="000E6E06">
      <w:pPr>
        <w:pStyle w:val="texto"/>
      </w:pPr>
      <w:r>
        <w:t xml:space="preserve">DPEak Ekonomia eta Ogasuneko kontseilariaren foru agindu baten bidez onesten dira. Lau onetsi dira jada, eta </w:t>
      </w:r>
      <w:hyperlink r:id="rId14" w:history="1">
        <w:r>
          <w:rPr>
            <w:rStyle w:val="Hipervnculo"/>
            <w:color w:val="auto"/>
          </w:rPr>
          <w:t>http://www.navarra.es/home_es/Gobierno+de+Navarra/Presupuesto/Plan+Estrategico+Subvenciones/</w:t>
        </w:r>
      </w:hyperlink>
      <w:r>
        <w:t xml:space="preserve">web-atarian argitaratu dira. Honako hauek: 2018-2020 DPEa, 2019-2021 DPEa, 2020-2022 DPEa eta azkena, 2021-2023 DPEa, 2021eko apirilean. Haien egitea ziklo jarraitu baten barrenean aurreikusten da, eta aukera ematen du aurreko urteko </w:t>
      </w:r>
      <w:r>
        <w:lastRenderedPageBreak/>
        <w:t>deialdiak ebaluatu eta analizatzeko, planaren denbora-aurreikuspenean beste urtealdi bat gehituz.</w:t>
      </w:r>
    </w:p>
    <w:p w14:paraId="6D08731E" w14:textId="77777777" w:rsidR="00204F99" w:rsidRDefault="00204F99" w:rsidP="0087454C">
      <w:pPr>
        <w:pStyle w:val="texto"/>
      </w:pPr>
      <w:r>
        <w:t xml:space="preserve">Planak programa-izaera du. Hori dela eta, haren eraginkortasuna aurrekontu-kontsignazioak baldintzatuta dago. </w:t>
      </w:r>
    </w:p>
    <w:p w14:paraId="7835267A" w14:textId="77777777" w:rsidR="00204F99" w:rsidRDefault="00002C85" w:rsidP="0087454C">
      <w:pPr>
        <w:pStyle w:val="texto"/>
      </w:pPr>
      <w:r>
        <w:t>Gaur egun, 2020-2022 DPEa da indarrean dagoena. Plan horretan, aurrekoetan ez bezala, helburu estrategikoak aurrekontu-programei lotzen zaizkie. COVID-19ak sortutako osasun-krisiak eragina izan du bai izapidetze-epeetan, bai dirulaguntzaren lerroetan beraietan ere, zeinak, askotan, berriz definitu behar izan baitira.</w:t>
      </w:r>
    </w:p>
    <w:p w14:paraId="2A121BC5" w14:textId="77777777" w:rsidR="00204F99" w:rsidRDefault="00204F99" w:rsidP="00CE168E">
      <w:pPr>
        <w:pStyle w:val="texto"/>
      </w:pPr>
      <w:r>
        <w:t xml:space="preserve">DPEak dirulaguntza-lerroak jasotzen ditu, 2020rako Nafarroako Aurrekontu Orokorretan jasotakoak, honako hauek kenduta: </w:t>
      </w:r>
    </w:p>
    <w:p w14:paraId="13C01B60" w14:textId="77777777" w:rsidR="00204F99" w:rsidRPr="00CE168E"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 xml:space="preserve">DFLaren 3. artikuluan aipatutakoak (dirulaguntza-izaera izan bai, baina DFLa aplikatzen ez zaiena). </w:t>
      </w:r>
    </w:p>
    <w:p w14:paraId="4BE6FE4D" w14:textId="77777777" w:rsidR="00204F99" w:rsidRPr="00CE168E"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Osasun-zorroan jasotako prestazio ekonomikoak.</w:t>
      </w:r>
    </w:p>
    <w:p w14:paraId="77B6B44C" w14:textId="77777777" w:rsidR="00204F99" w:rsidRPr="00CE168E"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Garrantzi ekonomiko eskasa dutenak (50.000 euro edo gutxiago).</w:t>
      </w:r>
      <w:r w:rsidRPr="00496B22">
        <w:rPr>
          <w:szCs w:val="26"/>
          <w:vertAlign w:val="superscript"/>
        </w:rPr>
        <w:footnoteReference w:id="1"/>
      </w:r>
    </w:p>
    <w:p w14:paraId="372FD021" w14:textId="77777777" w:rsidR="00204F99" w:rsidRPr="00CE168E"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DFLak ezin ukituko dituen beste batzuk.</w:t>
      </w:r>
    </w:p>
    <w:p w14:paraId="40505A08" w14:textId="77777777" w:rsidR="00204F99" w:rsidRPr="00174ECF" w:rsidRDefault="00204F99" w:rsidP="00CE168E">
      <w:pPr>
        <w:pStyle w:val="texto"/>
      </w:pPr>
      <w:r>
        <w:t>Lehenengo plana 2017an onetsi zenetik, departamentuen arteko lantaldeen bidez dirulaguntzen deialdiarekin lotutako hainbat gai jorratu dira. Kronogramak hobetzeko taldearekin eta helburuak eta adierazleak formulatzeko taldearekin lotutako bi eratu ziren, eta deialdien oinarriak eta justifikatu beharreko dokumentuak homogeneizatzeari buruzko hirugarren lantalde bat sortzea falta da.</w:t>
      </w:r>
    </w:p>
    <w:p w14:paraId="659AA8CA" w14:textId="77777777" w:rsidR="00204F99" w:rsidRDefault="00204F99" w:rsidP="00015946">
      <w:pPr>
        <w:pStyle w:val="texto"/>
        <w:spacing w:after="240"/>
      </w:pPr>
      <w:r>
        <w:t xml:space="preserve">DPEa bere indarraldian (2020-2022) garatzeko aurreikuspena 968 milioikoa da guztira, taula honen arabera: </w:t>
      </w:r>
    </w:p>
    <w:tbl>
      <w:tblPr>
        <w:tblStyle w:val="Tablaconcuadrcula"/>
        <w:tblW w:w="8748" w:type="dxa"/>
        <w:tblBorders>
          <w:left w:val="none" w:sz="0" w:space="0" w:color="auto"/>
          <w:right w:val="none" w:sz="0" w:space="0" w:color="auto"/>
          <w:insideV w:val="none" w:sz="0" w:space="0" w:color="auto"/>
        </w:tblBorders>
        <w:tblLook w:val="04A0" w:firstRow="1" w:lastRow="0" w:firstColumn="1" w:lastColumn="0" w:noHBand="0" w:noVBand="1"/>
      </w:tblPr>
      <w:tblGrid>
        <w:gridCol w:w="2268"/>
        <w:gridCol w:w="1706"/>
        <w:gridCol w:w="1511"/>
        <w:gridCol w:w="1749"/>
        <w:gridCol w:w="1514"/>
      </w:tblGrid>
      <w:tr w:rsidR="002D56EA" w14:paraId="4165EBA4" w14:textId="77777777" w:rsidTr="005008EB">
        <w:trPr>
          <w:trHeight w:val="284"/>
        </w:trPr>
        <w:tc>
          <w:tcPr>
            <w:tcW w:w="2268" w:type="dxa"/>
            <w:shd w:val="clear" w:color="auto" w:fill="B8CCE4" w:themeFill="accent1" w:themeFillTint="66"/>
            <w:vAlign w:val="center"/>
          </w:tcPr>
          <w:p w14:paraId="794A3CF3" w14:textId="77777777" w:rsidR="002D56EA" w:rsidRDefault="002D56EA" w:rsidP="00015946">
            <w:pPr>
              <w:pStyle w:val="cuadroCabe"/>
            </w:pPr>
            <w:r>
              <w:t>Dirulaguntza-mota</w:t>
            </w:r>
          </w:p>
        </w:tc>
        <w:tc>
          <w:tcPr>
            <w:tcW w:w="1706" w:type="dxa"/>
            <w:shd w:val="clear" w:color="auto" w:fill="B8CCE4" w:themeFill="accent1" w:themeFillTint="66"/>
            <w:vAlign w:val="center"/>
          </w:tcPr>
          <w:p w14:paraId="301121E0" w14:textId="77777777" w:rsidR="002D56EA" w:rsidRDefault="002D56EA" w:rsidP="005008EB">
            <w:pPr>
              <w:pStyle w:val="cuadroCabe"/>
              <w:jc w:val="right"/>
            </w:pPr>
            <w:r>
              <w:t>2020ko aurrekontua</w:t>
            </w:r>
          </w:p>
        </w:tc>
        <w:tc>
          <w:tcPr>
            <w:tcW w:w="1511" w:type="dxa"/>
            <w:shd w:val="clear" w:color="auto" w:fill="B8CCE4" w:themeFill="accent1" w:themeFillTint="66"/>
            <w:vAlign w:val="center"/>
          </w:tcPr>
          <w:p w14:paraId="1C4D61EC" w14:textId="77777777" w:rsidR="002D56EA" w:rsidRDefault="002D56EA" w:rsidP="005008EB">
            <w:pPr>
              <w:pStyle w:val="cuadroCabe"/>
              <w:jc w:val="right"/>
            </w:pPr>
            <w:r>
              <w:t>2021eko aurrekontua</w:t>
            </w:r>
          </w:p>
        </w:tc>
        <w:tc>
          <w:tcPr>
            <w:tcW w:w="1749" w:type="dxa"/>
            <w:shd w:val="clear" w:color="auto" w:fill="B8CCE4" w:themeFill="accent1" w:themeFillTint="66"/>
            <w:vAlign w:val="center"/>
          </w:tcPr>
          <w:p w14:paraId="5FB26284" w14:textId="77777777" w:rsidR="002D56EA" w:rsidRDefault="002D56EA" w:rsidP="005008EB">
            <w:pPr>
              <w:pStyle w:val="cuadroCabe"/>
              <w:jc w:val="right"/>
            </w:pPr>
            <w:r>
              <w:t>2022ko aurrekontua</w:t>
            </w:r>
          </w:p>
        </w:tc>
        <w:tc>
          <w:tcPr>
            <w:tcW w:w="1514" w:type="dxa"/>
            <w:shd w:val="clear" w:color="auto" w:fill="B8CCE4" w:themeFill="accent1" w:themeFillTint="66"/>
            <w:vAlign w:val="center"/>
          </w:tcPr>
          <w:p w14:paraId="597A3C3E" w14:textId="77777777" w:rsidR="002D56EA" w:rsidRDefault="002D56EA" w:rsidP="005008EB">
            <w:pPr>
              <w:pStyle w:val="cuadroCabe"/>
              <w:jc w:val="right"/>
            </w:pPr>
            <w:r>
              <w:t>Guztira</w:t>
            </w:r>
          </w:p>
        </w:tc>
      </w:tr>
      <w:tr w:rsidR="002D56EA" w14:paraId="0927D1E6" w14:textId="77777777" w:rsidTr="005008EB">
        <w:trPr>
          <w:trHeight w:val="284"/>
        </w:trPr>
        <w:tc>
          <w:tcPr>
            <w:tcW w:w="2268" w:type="dxa"/>
            <w:tcBorders>
              <w:bottom w:val="single" w:sz="2" w:space="0" w:color="auto"/>
            </w:tcBorders>
            <w:vAlign w:val="center"/>
          </w:tcPr>
          <w:p w14:paraId="7E0DD99A" w14:textId="77777777" w:rsidR="002D56EA" w:rsidRDefault="002D56EA" w:rsidP="00015946">
            <w:pPr>
              <w:pStyle w:val="cuatexto"/>
            </w:pPr>
            <w:r>
              <w:t>Kapitala</w:t>
            </w:r>
          </w:p>
        </w:tc>
        <w:tc>
          <w:tcPr>
            <w:tcW w:w="1706" w:type="dxa"/>
            <w:tcBorders>
              <w:bottom w:val="single" w:sz="2" w:space="0" w:color="auto"/>
            </w:tcBorders>
            <w:vAlign w:val="center"/>
          </w:tcPr>
          <w:p w14:paraId="7461DFC7" w14:textId="77777777" w:rsidR="002D56EA" w:rsidRDefault="002D56EA" w:rsidP="005008EB">
            <w:pPr>
              <w:pStyle w:val="cuatexto"/>
              <w:jc w:val="right"/>
            </w:pPr>
            <w:r>
              <w:t>114.458.117</w:t>
            </w:r>
          </w:p>
        </w:tc>
        <w:tc>
          <w:tcPr>
            <w:tcW w:w="1511" w:type="dxa"/>
            <w:tcBorders>
              <w:bottom w:val="single" w:sz="2" w:space="0" w:color="auto"/>
            </w:tcBorders>
            <w:vAlign w:val="center"/>
          </w:tcPr>
          <w:p w14:paraId="69D2D8CA" w14:textId="77777777" w:rsidR="002D56EA" w:rsidRDefault="002D56EA" w:rsidP="005008EB">
            <w:pPr>
              <w:pStyle w:val="cuatexto"/>
              <w:jc w:val="right"/>
            </w:pPr>
            <w:r>
              <w:t>121.330.607</w:t>
            </w:r>
          </w:p>
        </w:tc>
        <w:tc>
          <w:tcPr>
            <w:tcW w:w="1749" w:type="dxa"/>
            <w:tcBorders>
              <w:bottom w:val="single" w:sz="2" w:space="0" w:color="auto"/>
            </w:tcBorders>
            <w:vAlign w:val="center"/>
          </w:tcPr>
          <w:p w14:paraId="58D3B531" w14:textId="77777777" w:rsidR="002D56EA" w:rsidRDefault="002D56EA" w:rsidP="005008EB">
            <w:pPr>
              <w:pStyle w:val="cuatexto"/>
              <w:jc w:val="right"/>
            </w:pPr>
            <w:r>
              <w:t>124.095.243</w:t>
            </w:r>
          </w:p>
        </w:tc>
        <w:tc>
          <w:tcPr>
            <w:tcW w:w="1514" w:type="dxa"/>
            <w:tcBorders>
              <w:bottom w:val="single" w:sz="2" w:space="0" w:color="auto"/>
            </w:tcBorders>
            <w:vAlign w:val="center"/>
          </w:tcPr>
          <w:p w14:paraId="4CDB03A6" w14:textId="77777777" w:rsidR="002D56EA" w:rsidRDefault="00FE246B" w:rsidP="005008EB">
            <w:pPr>
              <w:pStyle w:val="cuatexto"/>
              <w:jc w:val="right"/>
            </w:pPr>
            <w:r>
              <w:t>359.883.967</w:t>
            </w:r>
          </w:p>
        </w:tc>
      </w:tr>
      <w:tr w:rsidR="002D56EA" w14:paraId="3A39DA2F" w14:textId="77777777" w:rsidTr="005008EB">
        <w:trPr>
          <w:trHeight w:val="284"/>
        </w:trPr>
        <w:tc>
          <w:tcPr>
            <w:tcW w:w="2268" w:type="dxa"/>
            <w:tcBorders>
              <w:top w:val="single" w:sz="2" w:space="0" w:color="auto"/>
            </w:tcBorders>
            <w:vAlign w:val="center"/>
          </w:tcPr>
          <w:p w14:paraId="57AC08D2" w14:textId="77777777" w:rsidR="002D56EA" w:rsidRDefault="002D56EA" w:rsidP="00015946">
            <w:pPr>
              <w:pStyle w:val="cuatexto"/>
            </w:pPr>
            <w:r>
              <w:t>Arrunta</w:t>
            </w:r>
          </w:p>
        </w:tc>
        <w:tc>
          <w:tcPr>
            <w:tcW w:w="1706" w:type="dxa"/>
            <w:tcBorders>
              <w:top w:val="single" w:sz="2" w:space="0" w:color="auto"/>
            </w:tcBorders>
            <w:vAlign w:val="center"/>
          </w:tcPr>
          <w:p w14:paraId="7DDB36D4" w14:textId="77777777" w:rsidR="002D56EA" w:rsidRDefault="002D56EA" w:rsidP="005008EB">
            <w:pPr>
              <w:pStyle w:val="cuatexto"/>
              <w:jc w:val="right"/>
            </w:pPr>
            <w:r>
              <w:t>217.536.433</w:t>
            </w:r>
          </w:p>
        </w:tc>
        <w:tc>
          <w:tcPr>
            <w:tcW w:w="1511" w:type="dxa"/>
            <w:tcBorders>
              <w:top w:val="single" w:sz="2" w:space="0" w:color="auto"/>
            </w:tcBorders>
            <w:vAlign w:val="center"/>
          </w:tcPr>
          <w:p w14:paraId="5DD35B59" w14:textId="77777777" w:rsidR="002D56EA" w:rsidRDefault="002D56EA" w:rsidP="005008EB">
            <w:pPr>
              <w:pStyle w:val="cuatexto"/>
              <w:jc w:val="right"/>
            </w:pPr>
            <w:r>
              <w:t>195.160.841</w:t>
            </w:r>
          </w:p>
        </w:tc>
        <w:tc>
          <w:tcPr>
            <w:tcW w:w="1749" w:type="dxa"/>
            <w:tcBorders>
              <w:top w:val="single" w:sz="2" w:space="0" w:color="auto"/>
            </w:tcBorders>
            <w:vAlign w:val="center"/>
          </w:tcPr>
          <w:p w14:paraId="10645ABF" w14:textId="77777777" w:rsidR="002D56EA" w:rsidRDefault="002D56EA" w:rsidP="005008EB">
            <w:pPr>
              <w:pStyle w:val="cuatexto"/>
              <w:jc w:val="right"/>
            </w:pPr>
            <w:r>
              <w:t>196.160.017</w:t>
            </w:r>
          </w:p>
        </w:tc>
        <w:tc>
          <w:tcPr>
            <w:tcW w:w="1514" w:type="dxa"/>
            <w:tcBorders>
              <w:top w:val="single" w:sz="2" w:space="0" w:color="auto"/>
            </w:tcBorders>
            <w:vAlign w:val="center"/>
          </w:tcPr>
          <w:p w14:paraId="74FA1D10" w14:textId="77777777" w:rsidR="002D56EA" w:rsidRDefault="00FE246B" w:rsidP="005008EB">
            <w:pPr>
              <w:pStyle w:val="cuatexto"/>
              <w:jc w:val="right"/>
            </w:pPr>
            <w:r>
              <w:t>608.857.291</w:t>
            </w:r>
          </w:p>
        </w:tc>
      </w:tr>
      <w:tr w:rsidR="002D56EA" w14:paraId="58E6A17E" w14:textId="77777777" w:rsidTr="005008EB">
        <w:trPr>
          <w:trHeight w:val="284"/>
        </w:trPr>
        <w:tc>
          <w:tcPr>
            <w:tcW w:w="2268" w:type="dxa"/>
            <w:shd w:val="clear" w:color="auto" w:fill="B8CCE4" w:themeFill="accent1" w:themeFillTint="66"/>
            <w:vAlign w:val="center"/>
          </w:tcPr>
          <w:p w14:paraId="58742227" w14:textId="77777777" w:rsidR="002D56EA" w:rsidRDefault="002D56EA" w:rsidP="00015946">
            <w:pPr>
              <w:pStyle w:val="cuadroCabe"/>
            </w:pPr>
            <w:r>
              <w:t>Guztizko orokorra</w:t>
            </w:r>
          </w:p>
        </w:tc>
        <w:tc>
          <w:tcPr>
            <w:tcW w:w="1706" w:type="dxa"/>
            <w:shd w:val="clear" w:color="auto" w:fill="B8CCE4" w:themeFill="accent1" w:themeFillTint="66"/>
            <w:vAlign w:val="center"/>
          </w:tcPr>
          <w:p w14:paraId="7A4F0D47" w14:textId="77777777" w:rsidR="002D56EA" w:rsidRDefault="002D56EA" w:rsidP="00015946">
            <w:pPr>
              <w:pStyle w:val="cuadroCabe"/>
              <w:jc w:val="right"/>
            </w:pPr>
            <w:r>
              <w:t>331.994.550</w:t>
            </w:r>
          </w:p>
        </w:tc>
        <w:tc>
          <w:tcPr>
            <w:tcW w:w="1511" w:type="dxa"/>
            <w:shd w:val="clear" w:color="auto" w:fill="B8CCE4" w:themeFill="accent1" w:themeFillTint="66"/>
            <w:vAlign w:val="center"/>
          </w:tcPr>
          <w:p w14:paraId="45BD5833" w14:textId="77777777" w:rsidR="002D56EA" w:rsidRDefault="002D56EA" w:rsidP="00015946">
            <w:pPr>
              <w:pStyle w:val="cuadroCabe"/>
              <w:jc w:val="right"/>
            </w:pPr>
            <w:r>
              <w:t>316.491.448</w:t>
            </w:r>
          </w:p>
        </w:tc>
        <w:tc>
          <w:tcPr>
            <w:tcW w:w="1749" w:type="dxa"/>
            <w:shd w:val="clear" w:color="auto" w:fill="B8CCE4" w:themeFill="accent1" w:themeFillTint="66"/>
            <w:vAlign w:val="center"/>
          </w:tcPr>
          <w:p w14:paraId="0BED7CAA" w14:textId="77777777" w:rsidR="002D56EA" w:rsidRDefault="002D56EA" w:rsidP="00015946">
            <w:pPr>
              <w:pStyle w:val="cuadroCabe"/>
              <w:jc w:val="right"/>
            </w:pPr>
            <w:r>
              <w:t>320.255.260</w:t>
            </w:r>
          </w:p>
        </w:tc>
        <w:tc>
          <w:tcPr>
            <w:tcW w:w="1514" w:type="dxa"/>
            <w:shd w:val="clear" w:color="auto" w:fill="B8CCE4" w:themeFill="accent1" w:themeFillTint="66"/>
            <w:vAlign w:val="center"/>
          </w:tcPr>
          <w:p w14:paraId="30D43AF5" w14:textId="77777777" w:rsidR="002D56EA" w:rsidRDefault="00FE246B" w:rsidP="00FE246B">
            <w:pPr>
              <w:pStyle w:val="cuadroCabe"/>
              <w:ind w:hanging="114"/>
              <w:jc w:val="right"/>
            </w:pPr>
            <w:r>
              <w:t>968.741.258</w:t>
            </w:r>
          </w:p>
        </w:tc>
      </w:tr>
    </w:tbl>
    <w:p w14:paraId="22CE4C78" w14:textId="77777777" w:rsidR="00042A38" w:rsidRDefault="00042A38" w:rsidP="00F75A43">
      <w:pPr>
        <w:pStyle w:val="texto"/>
        <w:spacing w:after="0"/>
        <w:ind w:firstLine="0"/>
        <w:rPr>
          <w:strike/>
        </w:rPr>
      </w:pPr>
    </w:p>
    <w:p w14:paraId="5F586E6F" w14:textId="77777777" w:rsidR="00042A38" w:rsidRPr="00042A38" w:rsidRDefault="00042A38" w:rsidP="00042A38">
      <w:pPr>
        <w:pStyle w:val="texto"/>
      </w:pPr>
      <w:r>
        <w:t xml:space="preserve">2020ko aurrekontuan, transferentzia arruntak eta kapital-transferentziak 1.838 milioira iristen dira, hau da, aurrekontuan sartutako guztizkoaren ehuneko 40. Kopuru osotik, 2020rako plangintza estrategikoan bil daitezkeen dirulaguntzak 337 milioi dira, hau da, transferentzia-gastu gisa aurrekontuan sartutako guztizkoaren ehuneko 18. Garrantzi ekonomiko txikia dutenak alde batera uzten </w:t>
      </w:r>
      <w:r>
        <w:lastRenderedPageBreak/>
        <w:t xml:space="preserve">baditugu (sei milioi guztira), DPEan sartutako 2020rako dirulaguntzak 331 milioikoak dira. </w:t>
      </w:r>
    </w:p>
    <w:p w14:paraId="5E91862B" w14:textId="77777777" w:rsidR="00204F99" w:rsidRPr="00482FDF" w:rsidRDefault="001B440F" w:rsidP="00015946">
      <w:pPr>
        <w:pStyle w:val="texto"/>
        <w:spacing w:before="240" w:after="240"/>
      </w:pPr>
      <w:r>
        <w:t xml:space="preserve">Enpresa pribatuentzako dirulaguntzei dagokienez, 2020-2022 aldian, guztira 89 dirulaguntza-lerrotarako plangintza 369 milioikoa da (guztizkoaren ehuneko 38), honela banakatuta: </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73"/>
        <w:gridCol w:w="1873"/>
        <w:gridCol w:w="1873"/>
        <w:gridCol w:w="1873"/>
        <w:gridCol w:w="1497"/>
      </w:tblGrid>
      <w:tr w:rsidR="00FE246B" w14:paraId="2986217B" w14:textId="77777777" w:rsidTr="00F75A43">
        <w:trPr>
          <w:trHeight w:val="284"/>
          <w:jc w:val="center"/>
        </w:trPr>
        <w:tc>
          <w:tcPr>
            <w:tcW w:w="1673" w:type="dxa"/>
            <w:shd w:val="clear" w:color="auto" w:fill="B8CCE4" w:themeFill="accent1" w:themeFillTint="66"/>
            <w:vAlign w:val="center"/>
          </w:tcPr>
          <w:p w14:paraId="0FD50467" w14:textId="77777777" w:rsidR="00FE246B" w:rsidRDefault="00FE246B" w:rsidP="00F75A43">
            <w:pPr>
              <w:pStyle w:val="cuadroCabe"/>
            </w:pPr>
            <w:r>
              <w:t>Dirulaguntza-mota</w:t>
            </w:r>
          </w:p>
        </w:tc>
        <w:tc>
          <w:tcPr>
            <w:tcW w:w="1873" w:type="dxa"/>
            <w:shd w:val="clear" w:color="auto" w:fill="B8CCE4" w:themeFill="accent1" w:themeFillTint="66"/>
            <w:vAlign w:val="center"/>
          </w:tcPr>
          <w:p w14:paraId="7A16A2A7" w14:textId="77777777" w:rsidR="00FE246B" w:rsidRDefault="00FE246B" w:rsidP="00FE246B">
            <w:pPr>
              <w:pStyle w:val="cuadroCabe"/>
              <w:jc w:val="center"/>
            </w:pPr>
            <w:r>
              <w:t>2020ko aurrekontua</w:t>
            </w:r>
          </w:p>
        </w:tc>
        <w:tc>
          <w:tcPr>
            <w:tcW w:w="1873" w:type="dxa"/>
            <w:shd w:val="clear" w:color="auto" w:fill="B8CCE4" w:themeFill="accent1" w:themeFillTint="66"/>
            <w:vAlign w:val="center"/>
          </w:tcPr>
          <w:p w14:paraId="516AEC8F" w14:textId="77777777" w:rsidR="00FE246B" w:rsidRDefault="00FE246B" w:rsidP="00FE246B">
            <w:pPr>
              <w:pStyle w:val="cuadroCabe"/>
              <w:jc w:val="center"/>
            </w:pPr>
            <w:r>
              <w:t>2021eko aurrekontua</w:t>
            </w:r>
          </w:p>
        </w:tc>
        <w:tc>
          <w:tcPr>
            <w:tcW w:w="1873" w:type="dxa"/>
            <w:shd w:val="clear" w:color="auto" w:fill="B8CCE4" w:themeFill="accent1" w:themeFillTint="66"/>
            <w:vAlign w:val="center"/>
          </w:tcPr>
          <w:p w14:paraId="0E020896" w14:textId="77777777" w:rsidR="00FE246B" w:rsidRDefault="00FE246B" w:rsidP="00FE246B">
            <w:pPr>
              <w:pStyle w:val="cuadroCabe"/>
              <w:jc w:val="center"/>
            </w:pPr>
            <w:r>
              <w:t>2022ko aurrekontua</w:t>
            </w:r>
          </w:p>
        </w:tc>
        <w:tc>
          <w:tcPr>
            <w:tcW w:w="1497" w:type="dxa"/>
            <w:shd w:val="clear" w:color="auto" w:fill="B8CCE4" w:themeFill="accent1" w:themeFillTint="66"/>
            <w:vAlign w:val="center"/>
          </w:tcPr>
          <w:p w14:paraId="7F1025C6" w14:textId="77777777" w:rsidR="00FE246B" w:rsidRDefault="00FE246B" w:rsidP="00FE246B">
            <w:pPr>
              <w:pStyle w:val="cuadroCabe"/>
              <w:jc w:val="center"/>
            </w:pPr>
            <w:r>
              <w:t>Guztira</w:t>
            </w:r>
          </w:p>
        </w:tc>
      </w:tr>
      <w:tr w:rsidR="00FE246B" w14:paraId="175B4C6F" w14:textId="77777777" w:rsidTr="005008EB">
        <w:trPr>
          <w:trHeight w:val="284"/>
          <w:jc w:val="center"/>
        </w:trPr>
        <w:tc>
          <w:tcPr>
            <w:tcW w:w="1673" w:type="dxa"/>
            <w:tcBorders>
              <w:bottom w:val="single" w:sz="2" w:space="0" w:color="auto"/>
            </w:tcBorders>
            <w:vAlign w:val="center"/>
          </w:tcPr>
          <w:p w14:paraId="19BF2B9A" w14:textId="77777777" w:rsidR="00FE246B" w:rsidRDefault="00FE246B" w:rsidP="00FE246B">
            <w:pPr>
              <w:pStyle w:val="cuatexto"/>
            </w:pPr>
            <w:r>
              <w:t>Kapitala</w:t>
            </w:r>
          </w:p>
        </w:tc>
        <w:tc>
          <w:tcPr>
            <w:tcW w:w="1873" w:type="dxa"/>
            <w:tcBorders>
              <w:bottom w:val="single" w:sz="2" w:space="0" w:color="auto"/>
            </w:tcBorders>
            <w:vAlign w:val="center"/>
          </w:tcPr>
          <w:p w14:paraId="55F86419" w14:textId="77777777" w:rsidR="00FE246B" w:rsidRDefault="00FE246B" w:rsidP="00FE246B">
            <w:pPr>
              <w:pStyle w:val="cuatexto"/>
              <w:jc w:val="right"/>
            </w:pPr>
            <w:r>
              <w:t>50.382.539</w:t>
            </w:r>
          </w:p>
        </w:tc>
        <w:tc>
          <w:tcPr>
            <w:tcW w:w="1873" w:type="dxa"/>
            <w:tcBorders>
              <w:bottom w:val="single" w:sz="2" w:space="0" w:color="auto"/>
            </w:tcBorders>
            <w:vAlign w:val="center"/>
          </w:tcPr>
          <w:p w14:paraId="3524F2EB" w14:textId="77777777" w:rsidR="00FE246B" w:rsidRDefault="00FE246B" w:rsidP="00FE246B">
            <w:pPr>
              <w:pStyle w:val="cuatexto"/>
              <w:jc w:val="right"/>
            </w:pPr>
            <w:r>
              <w:t>53.734.671</w:t>
            </w:r>
          </w:p>
        </w:tc>
        <w:tc>
          <w:tcPr>
            <w:tcW w:w="1873" w:type="dxa"/>
            <w:tcBorders>
              <w:bottom w:val="single" w:sz="2" w:space="0" w:color="auto"/>
            </w:tcBorders>
            <w:vAlign w:val="center"/>
          </w:tcPr>
          <w:p w14:paraId="6587E10F" w14:textId="77777777" w:rsidR="00FE246B" w:rsidRDefault="00FE246B" w:rsidP="00FE246B">
            <w:pPr>
              <w:pStyle w:val="cuatexto"/>
              <w:jc w:val="right"/>
            </w:pPr>
            <w:r>
              <w:t>54.989.542</w:t>
            </w:r>
          </w:p>
        </w:tc>
        <w:tc>
          <w:tcPr>
            <w:tcW w:w="1497" w:type="dxa"/>
            <w:tcBorders>
              <w:bottom w:val="single" w:sz="2" w:space="0" w:color="auto"/>
            </w:tcBorders>
            <w:vAlign w:val="center"/>
          </w:tcPr>
          <w:p w14:paraId="28D1E56D" w14:textId="77777777" w:rsidR="00FE246B" w:rsidRDefault="00FE246B" w:rsidP="00FE246B">
            <w:pPr>
              <w:pStyle w:val="cuatexto"/>
              <w:jc w:val="right"/>
            </w:pPr>
            <w:r>
              <w:t>159.106.752</w:t>
            </w:r>
          </w:p>
        </w:tc>
      </w:tr>
      <w:tr w:rsidR="00FE246B" w14:paraId="2DA609F2" w14:textId="77777777" w:rsidTr="000B41AF">
        <w:trPr>
          <w:trHeight w:val="284"/>
          <w:jc w:val="center"/>
        </w:trPr>
        <w:tc>
          <w:tcPr>
            <w:tcW w:w="1673" w:type="dxa"/>
            <w:tcBorders>
              <w:top w:val="single" w:sz="2" w:space="0" w:color="auto"/>
              <w:bottom w:val="single" w:sz="4" w:space="0" w:color="auto"/>
            </w:tcBorders>
            <w:vAlign w:val="center"/>
          </w:tcPr>
          <w:p w14:paraId="248FFCE4" w14:textId="77777777" w:rsidR="00FE246B" w:rsidRDefault="00FE246B" w:rsidP="00FE246B">
            <w:pPr>
              <w:pStyle w:val="cuatexto"/>
            </w:pPr>
            <w:r>
              <w:t>Arrunta</w:t>
            </w:r>
          </w:p>
        </w:tc>
        <w:tc>
          <w:tcPr>
            <w:tcW w:w="1873" w:type="dxa"/>
            <w:tcBorders>
              <w:top w:val="single" w:sz="2" w:space="0" w:color="auto"/>
              <w:bottom w:val="single" w:sz="4" w:space="0" w:color="auto"/>
            </w:tcBorders>
            <w:vAlign w:val="center"/>
          </w:tcPr>
          <w:p w14:paraId="42E58401" w14:textId="77777777" w:rsidR="00FE246B" w:rsidRDefault="00FE246B" w:rsidP="00FE246B">
            <w:pPr>
              <w:pStyle w:val="cuatexto"/>
              <w:jc w:val="right"/>
            </w:pPr>
            <w:r>
              <w:t>70.818.811</w:t>
            </w:r>
          </w:p>
        </w:tc>
        <w:tc>
          <w:tcPr>
            <w:tcW w:w="1873" w:type="dxa"/>
            <w:tcBorders>
              <w:top w:val="single" w:sz="2" w:space="0" w:color="auto"/>
              <w:bottom w:val="single" w:sz="4" w:space="0" w:color="auto"/>
            </w:tcBorders>
            <w:vAlign w:val="center"/>
          </w:tcPr>
          <w:p w14:paraId="7A05F7A5" w14:textId="77777777" w:rsidR="00FE246B" w:rsidRDefault="00FE246B" w:rsidP="00FE246B">
            <w:pPr>
              <w:pStyle w:val="cuatexto"/>
              <w:jc w:val="right"/>
            </w:pPr>
            <w:r>
              <w:t>68.673.600</w:t>
            </w:r>
          </w:p>
        </w:tc>
        <w:tc>
          <w:tcPr>
            <w:tcW w:w="1873" w:type="dxa"/>
            <w:tcBorders>
              <w:top w:val="single" w:sz="2" w:space="0" w:color="auto"/>
              <w:bottom w:val="single" w:sz="4" w:space="0" w:color="auto"/>
            </w:tcBorders>
            <w:vAlign w:val="center"/>
          </w:tcPr>
          <w:p w14:paraId="51FA7A9D" w14:textId="77777777" w:rsidR="00FE246B" w:rsidRDefault="00FE246B" w:rsidP="00FE246B">
            <w:pPr>
              <w:pStyle w:val="cuatexto"/>
              <w:jc w:val="right"/>
            </w:pPr>
            <w:r>
              <w:t>70.793.016</w:t>
            </w:r>
          </w:p>
        </w:tc>
        <w:tc>
          <w:tcPr>
            <w:tcW w:w="1497" w:type="dxa"/>
            <w:tcBorders>
              <w:top w:val="single" w:sz="2" w:space="0" w:color="auto"/>
              <w:bottom w:val="single" w:sz="4" w:space="0" w:color="auto"/>
            </w:tcBorders>
            <w:vAlign w:val="center"/>
          </w:tcPr>
          <w:p w14:paraId="113EB4AD" w14:textId="77777777" w:rsidR="00FE246B" w:rsidRDefault="00FE246B" w:rsidP="00FE246B">
            <w:pPr>
              <w:pStyle w:val="cuatexto"/>
              <w:jc w:val="right"/>
            </w:pPr>
            <w:r>
              <w:t>210.285.427</w:t>
            </w:r>
          </w:p>
        </w:tc>
      </w:tr>
      <w:tr w:rsidR="00FE246B" w14:paraId="76C02FEF" w14:textId="77777777" w:rsidTr="00F75A43">
        <w:trPr>
          <w:trHeight w:val="284"/>
          <w:jc w:val="center"/>
        </w:trPr>
        <w:tc>
          <w:tcPr>
            <w:tcW w:w="1673" w:type="dxa"/>
            <w:shd w:val="clear" w:color="auto" w:fill="B8CCE4" w:themeFill="accent1" w:themeFillTint="66"/>
            <w:vAlign w:val="center"/>
          </w:tcPr>
          <w:p w14:paraId="55D84C20" w14:textId="77777777" w:rsidR="00FE246B" w:rsidRDefault="00FE246B" w:rsidP="00FE246B">
            <w:pPr>
              <w:pStyle w:val="cuadroCabe"/>
            </w:pPr>
            <w:r>
              <w:t>Guztizko orokorra</w:t>
            </w:r>
          </w:p>
        </w:tc>
        <w:tc>
          <w:tcPr>
            <w:tcW w:w="1873" w:type="dxa"/>
            <w:shd w:val="clear" w:color="auto" w:fill="B8CCE4" w:themeFill="accent1" w:themeFillTint="66"/>
            <w:vAlign w:val="center"/>
          </w:tcPr>
          <w:p w14:paraId="65ED3ED7" w14:textId="77777777" w:rsidR="00FE246B" w:rsidRDefault="00FE246B" w:rsidP="00FE246B">
            <w:pPr>
              <w:pStyle w:val="cuadroCabe"/>
              <w:jc w:val="right"/>
            </w:pPr>
            <w:r>
              <w:t>121.201.350</w:t>
            </w:r>
          </w:p>
        </w:tc>
        <w:tc>
          <w:tcPr>
            <w:tcW w:w="1873" w:type="dxa"/>
            <w:shd w:val="clear" w:color="auto" w:fill="B8CCE4" w:themeFill="accent1" w:themeFillTint="66"/>
            <w:vAlign w:val="center"/>
          </w:tcPr>
          <w:p w14:paraId="5990A86D" w14:textId="77777777" w:rsidR="00FE246B" w:rsidRDefault="00FE246B" w:rsidP="00FE246B">
            <w:pPr>
              <w:pStyle w:val="cuadroCabe"/>
              <w:jc w:val="right"/>
            </w:pPr>
            <w:r>
              <w:t>122.408.271</w:t>
            </w:r>
          </w:p>
        </w:tc>
        <w:tc>
          <w:tcPr>
            <w:tcW w:w="1873" w:type="dxa"/>
            <w:shd w:val="clear" w:color="auto" w:fill="B8CCE4" w:themeFill="accent1" w:themeFillTint="66"/>
            <w:vAlign w:val="center"/>
          </w:tcPr>
          <w:p w14:paraId="1D9A5423" w14:textId="77777777" w:rsidR="00FE246B" w:rsidRDefault="00FE246B" w:rsidP="00FE246B">
            <w:pPr>
              <w:pStyle w:val="cuadroCabe"/>
              <w:jc w:val="right"/>
            </w:pPr>
            <w:r>
              <w:t>125.782.558</w:t>
            </w:r>
          </w:p>
        </w:tc>
        <w:tc>
          <w:tcPr>
            <w:tcW w:w="1497" w:type="dxa"/>
            <w:shd w:val="clear" w:color="auto" w:fill="B8CCE4" w:themeFill="accent1" w:themeFillTint="66"/>
            <w:vAlign w:val="center"/>
          </w:tcPr>
          <w:p w14:paraId="449A83D4" w14:textId="77777777" w:rsidR="00FE246B" w:rsidRDefault="00FE246B" w:rsidP="00FE246B">
            <w:pPr>
              <w:pStyle w:val="cuadroCabe"/>
              <w:jc w:val="right"/>
            </w:pPr>
            <w:r>
              <w:t>369.392.179</w:t>
            </w:r>
          </w:p>
        </w:tc>
      </w:tr>
    </w:tbl>
    <w:p w14:paraId="45FBCE72" w14:textId="77777777" w:rsidR="00204F99" w:rsidRDefault="00204F99" w:rsidP="00204F99">
      <w:pPr>
        <w:spacing w:after="0"/>
        <w:ind w:firstLine="0"/>
        <w:rPr>
          <w:sz w:val="26"/>
          <w:szCs w:val="26"/>
        </w:rPr>
      </w:pPr>
    </w:p>
    <w:p w14:paraId="682BD789" w14:textId="77777777" w:rsidR="00204F99" w:rsidRDefault="00204F99" w:rsidP="00015946">
      <w:pPr>
        <w:pStyle w:val="texto"/>
      </w:pPr>
      <w:r>
        <w:t>89 dirulaguntza-lerroetatik, ehuneko 65 deialdi bidez ematea aurreikusten da, ehuneko 14 dirulaguntza izendunak dira eta ehuneko 21 zuzeneko dirulaguntzak dira, planaren terminologiaren arabera.</w:t>
      </w:r>
    </w:p>
    <w:p w14:paraId="74F880BA" w14:textId="77777777" w:rsidR="00204F99" w:rsidRPr="00CE10DF" w:rsidRDefault="00204F99" w:rsidP="00015946">
      <w:pPr>
        <w:pStyle w:val="texto"/>
        <w:spacing w:after="360"/>
      </w:pPr>
      <w:r>
        <w:t xml:space="preserve">2020-2022 DPEaren berrikuspena Ekonomia eta Ogasuneko kontseilariaren 126/2020 Foru Aginduaren bidez onetsi zen. Departamentu bakoitzak foru agindu bidez onetsi behar ditu 2020ko deialdien ebaluazio-txostenak, eta Nafarroako Foru Komunitateko Kontu-hartzailetza Nagusiari eta ekonomiaren arloan eskumena duen Nafarroako Parlamentuko batzordeari igorri behar dizkie 2021eko apirilaren 30a baino lehen. Txosten horietan honako hauek aztertuko dira: emakida-epeen betetze-maila, planteatutako helburuak, dirulaguntzaren zenbatekoaren betearazpena eta pertsona edo erakunde onuradunengana iristea. </w:t>
      </w:r>
    </w:p>
    <w:p w14:paraId="7C6F573A" w14:textId="77777777" w:rsidR="00204F99" w:rsidRDefault="003020CB" w:rsidP="00204F99">
      <w:pPr>
        <w:pStyle w:val="atitulo2"/>
        <w:spacing w:before="240"/>
      </w:pPr>
      <w:bookmarkStart w:id="15" w:name="_Toc75857469"/>
      <w:bookmarkStart w:id="16" w:name="_Toc86129297"/>
      <w:r>
        <w:t>II.3. Aplikatzekoa den esparru juridikoa</w:t>
      </w:r>
      <w:bookmarkEnd w:id="15"/>
      <w:bookmarkEnd w:id="16"/>
    </w:p>
    <w:p w14:paraId="56724F6B" w14:textId="77777777" w:rsidR="00204F99" w:rsidRDefault="00204F99" w:rsidP="00015946">
      <w:pPr>
        <w:pStyle w:val="texto"/>
      </w:pPr>
      <w:r>
        <w:t xml:space="preserve">Honako hau da NFKAk eta haren erakunde autonomoek 2020an dirulaguntzak kudeatzeko aplikatu beharreko oinarrizko arau-esparrua: </w:t>
      </w:r>
    </w:p>
    <w:p w14:paraId="7A5DA5BE" w14:textId="77777777" w:rsidR="00204F99" w:rsidRPr="00015946"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11/2005 Foru Legea, azaroaren 9koa, Dirulaguntzei buruzkoa.</w:t>
      </w:r>
    </w:p>
    <w:p w14:paraId="75AC5D1C" w14:textId="77777777" w:rsidR="00204F99" w:rsidRPr="00015946"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59/2013 Foru Dekretua, irailaren 11koa, Nafarroako Aurrekontu Orokorren kargurako dirulaguntzen onuradunen gardentasunerako betebeharrak arautzen dituena.</w:t>
      </w:r>
    </w:p>
    <w:p w14:paraId="707CFB5F" w14:textId="77777777" w:rsidR="00204F99" w:rsidRPr="00015946"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5/2018 Foru Legea, maiatzaren 17koa, Gardentasunari, informazio publikoa eskuratzeari eta gobernu onari buruzkoa.</w:t>
      </w:r>
    </w:p>
    <w:p w14:paraId="05C463A0" w14:textId="77777777" w:rsidR="00204F99" w:rsidRPr="00015946"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5/2020 Foru Legea, martxoaren 4koa, 2020ko ekitaldirako Nafarroako Aurrekontu Orokorrei buruzkoa.</w:t>
      </w:r>
    </w:p>
    <w:p w14:paraId="5A2EAB31" w14:textId="77777777" w:rsidR="00204F99" w:rsidRPr="00015946"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39/2015 Legea, urriaren 1ekoa, Herri Administrazioen Administrazio Prozedura Erkideari buruzkoa.</w:t>
      </w:r>
    </w:p>
    <w:p w14:paraId="4B6A6E3C" w14:textId="77777777" w:rsidR="00204F99" w:rsidRPr="00015946"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lastRenderedPageBreak/>
        <w:t>Europako Batzordearen 651/2014 Erregelamendua, 2014ko ekainaren 17koa, zeinaren bidez laguntza-kategoria jakin batzuk barne-merkatuarekiko bateragarritzat jotzen baitira, Europar Batasunaren Funtzionamenduari buruzko Tratatuaren 107. eta 108. artikuluak aplikatuz.</w:t>
      </w:r>
    </w:p>
    <w:p w14:paraId="4D13E22A" w14:textId="77777777" w:rsidR="00E9196E"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Europako Batzordearen 1407/2013 Erregelamendua, 2013ko abenduaren 18koa, minimis laguntzei Europar Batasunaren Funtzionamendu Ituneko 107 eta 108. artikuluak aplikatzeari buruzkoa.</w:t>
      </w:r>
    </w:p>
    <w:p w14:paraId="0ED85474" w14:textId="77777777" w:rsidR="00E9196E" w:rsidRPr="00E9196E" w:rsidRDefault="00E9196E" w:rsidP="00E9196E">
      <w:pPr>
        <w:pStyle w:val="Prrafodelista"/>
        <w:tabs>
          <w:tab w:val="left" w:pos="426"/>
          <w:tab w:val="left" w:pos="567"/>
        </w:tabs>
        <w:ind w:left="284" w:firstLine="0"/>
        <w:contextualSpacing w:val="0"/>
        <w:rPr>
          <w:sz w:val="26"/>
          <w:szCs w:val="26"/>
          <w:lang w:eastAsia="es-ES"/>
        </w:rPr>
      </w:pPr>
    </w:p>
    <w:p w14:paraId="1C2CAEE6" w14:textId="77777777" w:rsidR="00496B22" w:rsidRDefault="00496B22">
      <w:pPr>
        <w:spacing w:after="0"/>
        <w:ind w:firstLine="0"/>
        <w:jc w:val="left"/>
        <w:rPr>
          <w:rFonts w:ascii="Arial" w:hAnsi="Arial"/>
          <w:b/>
          <w:color w:val="000000"/>
          <w:kern w:val="28"/>
          <w:sz w:val="25"/>
          <w:szCs w:val="26"/>
        </w:rPr>
      </w:pPr>
      <w:bookmarkStart w:id="17" w:name="_Toc75857470"/>
      <w:r>
        <w:br w:type="page"/>
      </w:r>
    </w:p>
    <w:p w14:paraId="793E6F57" w14:textId="77777777" w:rsidR="00204F99" w:rsidRPr="00015946" w:rsidRDefault="00204F99" w:rsidP="00015946">
      <w:pPr>
        <w:pStyle w:val="atitulo1"/>
      </w:pPr>
      <w:bookmarkStart w:id="18" w:name="_Toc86129298"/>
      <w:r>
        <w:lastRenderedPageBreak/>
        <w:t>III. Helburuak eta norainokoa</w:t>
      </w:r>
      <w:bookmarkEnd w:id="17"/>
      <w:bookmarkEnd w:id="18"/>
      <w:r>
        <w:t xml:space="preserve"> </w:t>
      </w:r>
    </w:p>
    <w:p w14:paraId="6B4248E0" w14:textId="77777777" w:rsidR="00204F99" w:rsidRPr="00306812" w:rsidRDefault="00204F99" w:rsidP="00306812">
      <w:pPr>
        <w:pStyle w:val="texto"/>
        <w:rPr>
          <w:spacing w:val="0"/>
          <w:szCs w:val="26"/>
        </w:rPr>
      </w:pPr>
      <w:r>
        <w:t>Lanaren helburuak hauexek izan dira:</w:t>
      </w:r>
    </w:p>
    <w:p w14:paraId="68F2A558" w14:textId="77777777" w:rsidR="00204F99" w:rsidRPr="00015946" w:rsidRDefault="00204F99" w:rsidP="00306812">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2020ko ekitaldian legezkotasuna betetzen dela ikuskatzea, iritzi bat emate aldera NFKAk eta haren erakunde autonomoek enpresa pribatuei emandako dirulaguntzak, alderdi aipagarri guztietan, aplikatzekoa den araudiarekin bat etortzeari buruz.</w:t>
      </w:r>
    </w:p>
    <w:p w14:paraId="3FBE176E" w14:textId="77777777" w:rsidR="00204F99" w:rsidRPr="00015946" w:rsidRDefault="00204F99" w:rsidP="00306812">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Fiskalizazio finantzario bat egitea, iritzi bat emate aldera honako honi buruz: ea enpresa pribatuentzako dirulaguntzen gastuak alderdi aipagarri guztietan, jasota ote dauden, aplikatzekoa den informazio finantzario publikoari buruzko lege-esparruari eta, bereziki, bertan jasotako kontabilitateko printzipio eta irizpideei jarraituz.</w:t>
      </w:r>
    </w:p>
    <w:p w14:paraId="7A95B777" w14:textId="77777777" w:rsidR="00204F99" w:rsidRPr="00015946" w:rsidRDefault="00204F99" w:rsidP="00306812">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Aztertutako laginerako, DPEaren edukia eta haren geroko ebaluazioa aztertzea.</w:t>
      </w:r>
    </w:p>
    <w:p w14:paraId="5CAC4EA2" w14:textId="77777777" w:rsidR="00204F99" w:rsidRPr="00306812" w:rsidRDefault="00204F99" w:rsidP="00306812">
      <w:pPr>
        <w:pStyle w:val="texto"/>
        <w:rPr>
          <w:spacing w:val="0"/>
          <w:szCs w:val="26"/>
        </w:rPr>
      </w:pPr>
      <w:r>
        <w:t>Gure lanaren denbora-irismenak funtsean Nafarroako 2020ko ekitaldiko aurrekontu orokorren exekuzioan zentratuta dago, eta honako informazio hau aztertu dugu:</w:t>
      </w:r>
    </w:p>
    <w:p w14:paraId="5951872C" w14:textId="77777777" w:rsidR="00204F99" w:rsidRPr="00015946" w:rsidRDefault="00204F99" w:rsidP="00306812">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NFKAren aurrekontu-partidak, 2020ko ekitaldiko enpresa pribatuentzako transferentzia arruntei eta kapitalekoei buruzkoak.</w:t>
      </w:r>
    </w:p>
    <w:p w14:paraId="27BB9986" w14:textId="77777777" w:rsidR="00204F99" w:rsidRPr="00015946" w:rsidRDefault="00AE44ED" w:rsidP="00306812">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2020-2022 DPEa eta helburu eta adierazleen formulaziorako eta kronogramak hobetzeko sortutako departamentu arteko lantaldeen konklusio nagusiak.</w:t>
      </w:r>
    </w:p>
    <w:p w14:paraId="62FD6ACA" w14:textId="77777777" w:rsidR="00204F99" w:rsidRPr="00015946" w:rsidRDefault="00204F99" w:rsidP="00306812">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Finantza Kontrol Iraunkorrerako eta Auditoretzako Zerbitzuak DPEak egiteko eta haien edukia zehaztu, garatu eta ebaluatzeko aurreikusitako prozedurari buruzko finantza-auditoretzako txostena.</w:t>
      </w:r>
    </w:p>
    <w:p w14:paraId="2EF6C1AB" w14:textId="77777777" w:rsidR="00204F99" w:rsidRPr="00015946"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 xml:space="preserve">Aplikatzekoa den araudia. </w:t>
      </w:r>
    </w:p>
    <w:p w14:paraId="4B708161" w14:textId="77777777" w:rsidR="00204F99" w:rsidRPr="00015946"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 xml:space="preserve">Extr@ espedienteen kudeatzaile elektronikoan eta, kasua bada, laguntzak kudeatzeko aplikazio informatikoetan biltegiratutako informazioa. </w:t>
      </w:r>
    </w:p>
    <w:p w14:paraId="36205249" w14:textId="77777777" w:rsidR="00204F99" w:rsidRDefault="00204F99" w:rsidP="00553841">
      <w:pPr>
        <w:pStyle w:val="texto"/>
        <w:spacing w:after="240"/>
      </w:pPr>
      <w:r>
        <w:t>Lan honen berrikuspenaren xede den gastua 70 milioikoa da, enpresa pribatuentzat 2020ko ekitaldian emandako transferentzien ehuneko 39. Hona hemen xehetasunak:</w:t>
      </w:r>
    </w:p>
    <w:tbl>
      <w:tblPr>
        <w:tblW w:w="8885" w:type="dxa"/>
        <w:tblCellMar>
          <w:left w:w="70" w:type="dxa"/>
          <w:right w:w="70" w:type="dxa"/>
        </w:tblCellMar>
        <w:tblLook w:val="04A0" w:firstRow="1" w:lastRow="0" w:firstColumn="1" w:lastColumn="0" w:noHBand="0" w:noVBand="1"/>
      </w:tblPr>
      <w:tblGrid>
        <w:gridCol w:w="1400"/>
        <w:gridCol w:w="1096"/>
        <w:gridCol w:w="1145"/>
        <w:gridCol w:w="1037"/>
        <w:gridCol w:w="1060"/>
        <w:gridCol w:w="1066"/>
        <w:gridCol w:w="1001"/>
        <w:gridCol w:w="1080"/>
      </w:tblGrid>
      <w:tr w:rsidR="00204F99" w:rsidRPr="00F75A43" w14:paraId="1BD9DFA4" w14:textId="77777777" w:rsidTr="00F75A43">
        <w:trPr>
          <w:trHeight w:val="284"/>
        </w:trPr>
        <w:tc>
          <w:tcPr>
            <w:tcW w:w="1400" w:type="dxa"/>
            <w:tcBorders>
              <w:top w:val="single" w:sz="4" w:space="0" w:color="auto"/>
              <w:left w:val="nil"/>
              <w:bottom w:val="single" w:sz="4" w:space="0" w:color="auto"/>
              <w:right w:val="nil"/>
            </w:tcBorders>
            <w:shd w:val="clear" w:color="auto" w:fill="B8CCE4" w:themeFill="accent1" w:themeFillTint="66"/>
            <w:vAlign w:val="center"/>
            <w:hideMark/>
          </w:tcPr>
          <w:p w14:paraId="11019184" w14:textId="77777777" w:rsidR="00204F99" w:rsidRPr="00F75A43" w:rsidRDefault="00204F99" w:rsidP="00F75A43">
            <w:pPr>
              <w:pStyle w:val="cuadroCabe"/>
              <w:spacing w:line="240" w:lineRule="auto"/>
              <w:rPr>
                <w:sz w:val="16"/>
                <w:szCs w:val="16"/>
              </w:rPr>
            </w:pPr>
            <w:r>
              <w:rPr>
                <w:sz w:val="16"/>
                <w:szCs w:val="16"/>
              </w:rPr>
              <w:t>Enpresentzako transferentziak</w:t>
            </w:r>
          </w:p>
        </w:tc>
        <w:tc>
          <w:tcPr>
            <w:tcW w:w="1096" w:type="dxa"/>
            <w:tcBorders>
              <w:top w:val="single" w:sz="4" w:space="0" w:color="auto"/>
              <w:left w:val="nil"/>
              <w:bottom w:val="single" w:sz="4" w:space="0" w:color="auto"/>
              <w:right w:val="nil"/>
            </w:tcBorders>
            <w:shd w:val="clear" w:color="auto" w:fill="B8CCE4" w:themeFill="accent1" w:themeFillTint="66"/>
            <w:noWrap/>
            <w:vAlign w:val="center"/>
            <w:hideMark/>
          </w:tcPr>
          <w:p w14:paraId="04382403" w14:textId="77777777" w:rsidR="00204F99" w:rsidRPr="00F75A43" w:rsidRDefault="00204F99" w:rsidP="00F75A43">
            <w:pPr>
              <w:pStyle w:val="cuadroCabe"/>
              <w:spacing w:line="240" w:lineRule="auto"/>
              <w:jc w:val="right"/>
              <w:rPr>
                <w:sz w:val="16"/>
                <w:szCs w:val="16"/>
              </w:rPr>
            </w:pPr>
            <w:r>
              <w:rPr>
                <w:sz w:val="16"/>
                <w:szCs w:val="16"/>
              </w:rPr>
              <w:t>2020</w:t>
            </w:r>
          </w:p>
        </w:tc>
        <w:tc>
          <w:tcPr>
            <w:tcW w:w="1145" w:type="dxa"/>
            <w:tcBorders>
              <w:top w:val="single" w:sz="4" w:space="0" w:color="auto"/>
              <w:left w:val="nil"/>
              <w:bottom w:val="single" w:sz="4" w:space="0" w:color="auto"/>
              <w:right w:val="nil"/>
            </w:tcBorders>
            <w:shd w:val="clear" w:color="auto" w:fill="B8CCE4" w:themeFill="accent1" w:themeFillTint="66"/>
            <w:vAlign w:val="center"/>
            <w:hideMark/>
          </w:tcPr>
          <w:p w14:paraId="78CA3D43" w14:textId="77777777" w:rsidR="00204F99" w:rsidRPr="00F75A43" w:rsidRDefault="00204F99" w:rsidP="00F75A43">
            <w:pPr>
              <w:pStyle w:val="cuadroCabe"/>
              <w:spacing w:line="240" w:lineRule="auto"/>
              <w:jc w:val="right"/>
              <w:rPr>
                <w:sz w:val="16"/>
                <w:szCs w:val="16"/>
              </w:rPr>
            </w:pPr>
            <w:r>
              <w:rPr>
                <w:sz w:val="16"/>
                <w:szCs w:val="16"/>
              </w:rPr>
              <w:t>Berrikusitako COVID gastuak a)</w:t>
            </w:r>
          </w:p>
        </w:tc>
        <w:tc>
          <w:tcPr>
            <w:tcW w:w="1037" w:type="dxa"/>
            <w:tcBorders>
              <w:top w:val="single" w:sz="4" w:space="0" w:color="auto"/>
              <w:left w:val="nil"/>
              <w:bottom w:val="single" w:sz="4" w:space="0" w:color="auto"/>
              <w:right w:val="nil"/>
            </w:tcBorders>
            <w:shd w:val="clear" w:color="auto" w:fill="B8CCE4" w:themeFill="accent1" w:themeFillTint="66"/>
            <w:noWrap/>
            <w:vAlign w:val="center"/>
            <w:hideMark/>
          </w:tcPr>
          <w:p w14:paraId="019D19B2" w14:textId="77777777" w:rsidR="00553841" w:rsidRPr="00F75A43" w:rsidRDefault="00204F99" w:rsidP="00F75A43">
            <w:pPr>
              <w:pStyle w:val="cuadroCabe"/>
              <w:spacing w:line="240" w:lineRule="auto"/>
              <w:jc w:val="right"/>
              <w:rPr>
                <w:sz w:val="16"/>
                <w:szCs w:val="16"/>
              </w:rPr>
            </w:pPr>
            <w:r>
              <w:rPr>
                <w:sz w:val="16"/>
                <w:szCs w:val="16"/>
              </w:rPr>
              <w:t>FEADER</w:t>
            </w:r>
          </w:p>
          <w:p w14:paraId="02EF79F0" w14:textId="77777777" w:rsidR="00204F99" w:rsidRPr="00F75A43" w:rsidRDefault="00204F99" w:rsidP="00F75A43">
            <w:pPr>
              <w:pStyle w:val="cuadroCabe"/>
              <w:spacing w:line="240" w:lineRule="auto"/>
              <w:jc w:val="right"/>
              <w:rPr>
                <w:sz w:val="16"/>
                <w:szCs w:val="16"/>
              </w:rPr>
            </w:pPr>
            <w:r>
              <w:rPr>
                <w:sz w:val="16"/>
                <w:szCs w:val="16"/>
              </w:rPr>
              <w:t xml:space="preserve"> b)</w:t>
            </w:r>
          </w:p>
        </w:tc>
        <w:tc>
          <w:tcPr>
            <w:tcW w:w="1060" w:type="dxa"/>
            <w:tcBorders>
              <w:top w:val="single" w:sz="4" w:space="0" w:color="auto"/>
              <w:left w:val="nil"/>
              <w:bottom w:val="single" w:sz="4" w:space="0" w:color="auto"/>
              <w:right w:val="nil"/>
            </w:tcBorders>
            <w:shd w:val="clear" w:color="auto" w:fill="B8CCE4" w:themeFill="accent1" w:themeFillTint="66"/>
            <w:vAlign w:val="center"/>
            <w:hideMark/>
          </w:tcPr>
          <w:p w14:paraId="3825AF7A" w14:textId="77777777" w:rsidR="00553841" w:rsidRPr="00F75A43" w:rsidRDefault="00204F99" w:rsidP="00F75A43">
            <w:pPr>
              <w:pStyle w:val="cuadroCabe"/>
              <w:spacing w:line="240" w:lineRule="auto"/>
              <w:jc w:val="right"/>
              <w:rPr>
                <w:sz w:val="16"/>
                <w:szCs w:val="16"/>
              </w:rPr>
            </w:pPr>
            <w:r>
              <w:rPr>
                <w:sz w:val="16"/>
                <w:szCs w:val="16"/>
              </w:rPr>
              <w:t xml:space="preserve">FEDER </w:t>
            </w:r>
          </w:p>
          <w:p w14:paraId="18C99EA5" w14:textId="77777777" w:rsidR="00204F99" w:rsidRPr="00F75A43" w:rsidRDefault="00204F99" w:rsidP="00F75A43">
            <w:pPr>
              <w:pStyle w:val="cuadroCabe"/>
              <w:spacing w:line="240" w:lineRule="auto"/>
              <w:jc w:val="right"/>
              <w:rPr>
                <w:sz w:val="16"/>
                <w:szCs w:val="16"/>
              </w:rPr>
            </w:pPr>
            <w:r>
              <w:rPr>
                <w:sz w:val="16"/>
                <w:szCs w:val="16"/>
              </w:rPr>
              <w:t>c)</w:t>
            </w:r>
          </w:p>
        </w:tc>
        <w:tc>
          <w:tcPr>
            <w:tcW w:w="1066" w:type="dxa"/>
            <w:tcBorders>
              <w:top w:val="single" w:sz="4" w:space="0" w:color="auto"/>
              <w:left w:val="nil"/>
              <w:bottom w:val="single" w:sz="4" w:space="0" w:color="auto"/>
              <w:right w:val="nil"/>
            </w:tcBorders>
            <w:shd w:val="clear" w:color="auto" w:fill="B8CCE4" w:themeFill="accent1" w:themeFillTint="66"/>
            <w:vAlign w:val="center"/>
            <w:hideMark/>
          </w:tcPr>
          <w:p w14:paraId="09D7D778" w14:textId="77777777" w:rsidR="00204F99" w:rsidRPr="00F75A43" w:rsidRDefault="00204F99" w:rsidP="00F75A43">
            <w:pPr>
              <w:pStyle w:val="cuadroCabe"/>
              <w:spacing w:line="240" w:lineRule="auto"/>
              <w:jc w:val="right"/>
              <w:rPr>
                <w:sz w:val="16"/>
                <w:szCs w:val="16"/>
              </w:rPr>
            </w:pPr>
            <w:r>
              <w:rPr>
                <w:sz w:val="16"/>
                <w:szCs w:val="16"/>
              </w:rPr>
              <w:t>Ubideko kanona d)</w:t>
            </w:r>
          </w:p>
        </w:tc>
        <w:tc>
          <w:tcPr>
            <w:tcW w:w="1001" w:type="dxa"/>
            <w:tcBorders>
              <w:top w:val="single" w:sz="4" w:space="0" w:color="auto"/>
              <w:left w:val="nil"/>
              <w:bottom w:val="single" w:sz="4" w:space="0" w:color="auto"/>
              <w:right w:val="nil"/>
            </w:tcBorders>
            <w:shd w:val="clear" w:color="auto" w:fill="B8CCE4" w:themeFill="accent1" w:themeFillTint="66"/>
            <w:vAlign w:val="center"/>
            <w:hideMark/>
          </w:tcPr>
          <w:p w14:paraId="3871BA8F" w14:textId="77777777" w:rsidR="00204F99" w:rsidRPr="00F75A43" w:rsidRDefault="00204F99" w:rsidP="00F75A43">
            <w:pPr>
              <w:pStyle w:val="cuadroCabe"/>
              <w:spacing w:line="240" w:lineRule="auto"/>
              <w:jc w:val="right"/>
              <w:rPr>
                <w:sz w:val="16"/>
                <w:szCs w:val="16"/>
              </w:rPr>
            </w:pPr>
            <w:r>
              <w:rPr>
                <w:sz w:val="16"/>
                <w:szCs w:val="16"/>
              </w:rPr>
              <w:t>Audenasa e)</w:t>
            </w:r>
          </w:p>
        </w:tc>
        <w:tc>
          <w:tcPr>
            <w:tcW w:w="1080" w:type="dxa"/>
            <w:tcBorders>
              <w:top w:val="single" w:sz="4" w:space="0" w:color="auto"/>
              <w:left w:val="nil"/>
              <w:bottom w:val="single" w:sz="4" w:space="0" w:color="auto"/>
              <w:right w:val="nil"/>
            </w:tcBorders>
            <w:shd w:val="clear" w:color="auto" w:fill="B8CCE4" w:themeFill="accent1" w:themeFillTint="66"/>
            <w:vAlign w:val="center"/>
            <w:hideMark/>
          </w:tcPr>
          <w:p w14:paraId="7E0EE0FA" w14:textId="77777777" w:rsidR="00204F99" w:rsidRPr="00F75A43" w:rsidRDefault="00204F99" w:rsidP="00F75A43">
            <w:pPr>
              <w:pStyle w:val="cuadroCabe"/>
              <w:spacing w:line="240" w:lineRule="auto"/>
              <w:jc w:val="right"/>
              <w:rPr>
                <w:sz w:val="16"/>
                <w:szCs w:val="16"/>
              </w:rPr>
            </w:pPr>
            <w:r>
              <w:rPr>
                <w:sz w:val="16"/>
                <w:szCs w:val="16"/>
              </w:rPr>
              <w:t>a-b-c-d-e guztira, 2020an</w:t>
            </w:r>
          </w:p>
        </w:tc>
      </w:tr>
      <w:tr w:rsidR="00204F99" w:rsidRPr="00F75A43" w14:paraId="46ACD913" w14:textId="77777777" w:rsidTr="00F75A43">
        <w:trPr>
          <w:trHeight w:val="284"/>
        </w:trPr>
        <w:tc>
          <w:tcPr>
            <w:tcW w:w="1400" w:type="dxa"/>
            <w:tcBorders>
              <w:top w:val="single" w:sz="4" w:space="0" w:color="auto"/>
              <w:left w:val="nil"/>
              <w:bottom w:val="single" w:sz="2" w:space="0" w:color="auto"/>
              <w:right w:val="nil"/>
            </w:tcBorders>
            <w:shd w:val="clear" w:color="auto" w:fill="auto"/>
            <w:vAlign w:val="center"/>
            <w:hideMark/>
          </w:tcPr>
          <w:p w14:paraId="10656422" w14:textId="77777777" w:rsidR="00204F99" w:rsidRPr="00F75A43" w:rsidRDefault="00204F99" w:rsidP="00553841">
            <w:pPr>
              <w:pStyle w:val="cuatexto"/>
              <w:rPr>
                <w:sz w:val="18"/>
                <w:szCs w:val="18"/>
              </w:rPr>
            </w:pPr>
            <w:r>
              <w:rPr>
                <w:sz w:val="18"/>
                <w:szCs w:val="18"/>
              </w:rPr>
              <w:t xml:space="preserve">Kapitalekoak </w:t>
            </w:r>
          </w:p>
        </w:tc>
        <w:tc>
          <w:tcPr>
            <w:tcW w:w="1096" w:type="dxa"/>
            <w:tcBorders>
              <w:top w:val="single" w:sz="4" w:space="0" w:color="auto"/>
              <w:left w:val="nil"/>
              <w:bottom w:val="single" w:sz="2" w:space="0" w:color="auto"/>
              <w:right w:val="nil"/>
            </w:tcBorders>
            <w:shd w:val="clear" w:color="auto" w:fill="auto"/>
            <w:noWrap/>
            <w:vAlign w:val="center"/>
            <w:hideMark/>
          </w:tcPr>
          <w:p w14:paraId="1CBF1FC1" w14:textId="77777777" w:rsidR="00204F99" w:rsidRPr="00F75A43" w:rsidRDefault="00204F99" w:rsidP="00F75A43">
            <w:pPr>
              <w:pStyle w:val="cuatexto"/>
              <w:jc w:val="right"/>
              <w:rPr>
                <w:sz w:val="18"/>
                <w:szCs w:val="18"/>
              </w:rPr>
            </w:pPr>
            <w:r>
              <w:rPr>
                <w:sz w:val="18"/>
                <w:szCs w:val="18"/>
              </w:rPr>
              <w:t>60.267.455</w:t>
            </w:r>
          </w:p>
        </w:tc>
        <w:tc>
          <w:tcPr>
            <w:tcW w:w="1145" w:type="dxa"/>
            <w:tcBorders>
              <w:top w:val="single" w:sz="4" w:space="0" w:color="auto"/>
              <w:left w:val="nil"/>
              <w:bottom w:val="single" w:sz="2" w:space="0" w:color="auto"/>
              <w:right w:val="nil"/>
            </w:tcBorders>
            <w:shd w:val="clear" w:color="auto" w:fill="auto"/>
            <w:noWrap/>
            <w:vAlign w:val="center"/>
            <w:hideMark/>
          </w:tcPr>
          <w:p w14:paraId="6B31F9D1" w14:textId="77777777" w:rsidR="00204F99" w:rsidRPr="00F75A43" w:rsidRDefault="00204F99" w:rsidP="00F75A43">
            <w:pPr>
              <w:pStyle w:val="cuatexto"/>
              <w:jc w:val="right"/>
              <w:rPr>
                <w:sz w:val="18"/>
                <w:szCs w:val="18"/>
              </w:rPr>
            </w:pPr>
            <w:r>
              <w:rPr>
                <w:sz w:val="18"/>
                <w:szCs w:val="18"/>
              </w:rPr>
              <w:t> </w:t>
            </w:r>
          </w:p>
        </w:tc>
        <w:tc>
          <w:tcPr>
            <w:tcW w:w="1037" w:type="dxa"/>
            <w:tcBorders>
              <w:top w:val="single" w:sz="4" w:space="0" w:color="auto"/>
              <w:left w:val="nil"/>
              <w:bottom w:val="single" w:sz="2" w:space="0" w:color="auto"/>
              <w:right w:val="nil"/>
            </w:tcBorders>
            <w:shd w:val="clear" w:color="auto" w:fill="auto"/>
            <w:noWrap/>
            <w:vAlign w:val="center"/>
            <w:hideMark/>
          </w:tcPr>
          <w:p w14:paraId="7749A46F" w14:textId="77777777" w:rsidR="00204F99" w:rsidRPr="00F75A43" w:rsidRDefault="00204F99" w:rsidP="00F75A43">
            <w:pPr>
              <w:pStyle w:val="cuatexto"/>
              <w:jc w:val="right"/>
              <w:rPr>
                <w:sz w:val="18"/>
                <w:szCs w:val="18"/>
              </w:rPr>
            </w:pPr>
            <w:r>
              <w:rPr>
                <w:sz w:val="18"/>
                <w:szCs w:val="18"/>
              </w:rPr>
              <w:t>15.587.189</w:t>
            </w:r>
          </w:p>
        </w:tc>
        <w:tc>
          <w:tcPr>
            <w:tcW w:w="1060" w:type="dxa"/>
            <w:tcBorders>
              <w:top w:val="single" w:sz="4" w:space="0" w:color="auto"/>
              <w:left w:val="nil"/>
              <w:bottom w:val="single" w:sz="2" w:space="0" w:color="auto"/>
              <w:right w:val="nil"/>
            </w:tcBorders>
            <w:shd w:val="clear" w:color="auto" w:fill="auto"/>
            <w:noWrap/>
            <w:vAlign w:val="center"/>
            <w:hideMark/>
          </w:tcPr>
          <w:p w14:paraId="5F362A89" w14:textId="77777777" w:rsidR="00204F99" w:rsidRPr="00F75A43" w:rsidRDefault="00204F99" w:rsidP="00F75A43">
            <w:pPr>
              <w:pStyle w:val="cuatexto"/>
              <w:jc w:val="right"/>
              <w:rPr>
                <w:sz w:val="18"/>
                <w:szCs w:val="18"/>
              </w:rPr>
            </w:pPr>
            <w:r>
              <w:rPr>
                <w:sz w:val="18"/>
                <w:szCs w:val="18"/>
              </w:rPr>
              <w:t>24.146.121</w:t>
            </w:r>
          </w:p>
        </w:tc>
        <w:tc>
          <w:tcPr>
            <w:tcW w:w="1066" w:type="dxa"/>
            <w:tcBorders>
              <w:top w:val="single" w:sz="4" w:space="0" w:color="auto"/>
              <w:left w:val="nil"/>
              <w:bottom w:val="single" w:sz="2" w:space="0" w:color="auto"/>
              <w:right w:val="nil"/>
            </w:tcBorders>
            <w:shd w:val="clear" w:color="auto" w:fill="auto"/>
            <w:noWrap/>
            <w:vAlign w:val="center"/>
            <w:hideMark/>
          </w:tcPr>
          <w:p w14:paraId="3C0ABF7C" w14:textId="77777777" w:rsidR="00204F99" w:rsidRPr="00F75A43" w:rsidRDefault="00204F99" w:rsidP="00F75A43">
            <w:pPr>
              <w:pStyle w:val="cuatexto"/>
              <w:jc w:val="right"/>
              <w:rPr>
                <w:sz w:val="18"/>
                <w:szCs w:val="18"/>
              </w:rPr>
            </w:pPr>
            <w:r>
              <w:rPr>
                <w:sz w:val="18"/>
                <w:szCs w:val="18"/>
              </w:rPr>
              <w:t> </w:t>
            </w:r>
          </w:p>
        </w:tc>
        <w:tc>
          <w:tcPr>
            <w:tcW w:w="1001" w:type="dxa"/>
            <w:tcBorders>
              <w:top w:val="single" w:sz="4" w:space="0" w:color="auto"/>
              <w:left w:val="nil"/>
              <w:bottom w:val="single" w:sz="2" w:space="0" w:color="auto"/>
              <w:right w:val="nil"/>
            </w:tcBorders>
            <w:shd w:val="clear" w:color="auto" w:fill="auto"/>
            <w:noWrap/>
            <w:vAlign w:val="center"/>
            <w:hideMark/>
          </w:tcPr>
          <w:p w14:paraId="0360B93D" w14:textId="77777777" w:rsidR="00204F99" w:rsidRPr="00F75A43" w:rsidRDefault="00204F99" w:rsidP="00F75A43">
            <w:pPr>
              <w:pStyle w:val="cuatexto"/>
              <w:jc w:val="right"/>
              <w:rPr>
                <w:sz w:val="18"/>
                <w:szCs w:val="18"/>
              </w:rPr>
            </w:pPr>
            <w:r>
              <w:rPr>
                <w:sz w:val="18"/>
                <w:szCs w:val="18"/>
              </w:rPr>
              <w:t> </w:t>
            </w:r>
          </w:p>
        </w:tc>
        <w:tc>
          <w:tcPr>
            <w:tcW w:w="1080" w:type="dxa"/>
            <w:tcBorders>
              <w:top w:val="single" w:sz="4" w:space="0" w:color="auto"/>
              <w:left w:val="nil"/>
              <w:bottom w:val="single" w:sz="2" w:space="0" w:color="auto"/>
              <w:right w:val="nil"/>
            </w:tcBorders>
            <w:shd w:val="clear" w:color="auto" w:fill="auto"/>
            <w:noWrap/>
            <w:vAlign w:val="center"/>
            <w:hideMark/>
          </w:tcPr>
          <w:p w14:paraId="30AF0DB0" w14:textId="77777777" w:rsidR="00204F99" w:rsidRPr="00F75A43" w:rsidRDefault="00204F99" w:rsidP="00F75A43">
            <w:pPr>
              <w:pStyle w:val="cuatexto"/>
              <w:jc w:val="right"/>
              <w:rPr>
                <w:bCs/>
                <w:sz w:val="18"/>
                <w:szCs w:val="18"/>
              </w:rPr>
            </w:pPr>
            <w:r>
              <w:rPr>
                <w:bCs/>
                <w:sz w:val="18"/>
                <w:szCs w:val="18"/>
              </w:rPr>
              <w:t>20.534.146</w:t>
            </w:r>
          </w:p>
        </w:tc>
      </w:tr>
      <w:tr w:rsidR="00204F99" w:rsidRPr="00F75A43" w14:paraId="217AE14B" w14:textId="77777777" w:rsidTr="00F75A43">
        <w:trPr>
          <w:trHeight w:val="284"/>
        </w:trPr>
        <w:tc>
          <w:tcPr>
            <w:tcW w:w="1400" w:type="dxa"/>
            <w:tcBorders>
              <w:top w:val="single" w:sz="2" w:space="0" w:color="auto"/>
              <w:left w:val="nil"/>
              <w:bottom w:val="single" w:sz="4" w:space="0" w:color="auto"/>
              <w:right w:val="nil"/>
            </w:tcBorders>
            <w:shd w:val="clear" w:color="auto" w:fill="auto"/>
            <w:vAlign w:val="center"/>
            <w:hideMark/>
          </w:tcPr>
          <w:p w14:paraId="70109A52" w14:textId="77777777" w:rsidR="00204F99" w:rsidRPr="00F75A43" w:rsidRDefault="00204F99" w:rsidP="00553841">
            <w:pPr>
              <w:pStyle w:val="cuatexto"/>
              <w:rPr>
                <w:sz w:val="18"/>
                <w:szCs w:val="18"/>
              </w:rPr>
            </w:pPr>
            <w:r>
              <w:rPr>
                <w:sz w:val="18"/>
                <w:szCs w:val="18"/>
              </w:rPr>
              <w:t>Arruntak</w:t>
            </w:r>
          </w:p>
        </w:tc>
        <w:tc>
          <w:tcPr>
            <w:tcW w:w="1096" w:type="dxa"/>
            <w:tcBorders>
              <w:top w:val="single" w:sz="2" w:space="0" w:color="auto"/>
              <w:left w:val="nil"/>
              <w:bottom w:val="single" w:sz="4" w:space="0" w:color="auto"/>
              <w:right w:val="nil"/>
            </w:tcBorders>
            <w:shd w:val="clear" w:color="auto" w:fill="auto"/>
            <w:noWrap/>
            <w:vAlign w:val="center"/>
            <w:hideMark/>
          </w:tcPr>
          <w:p w14:paraId="47FD359F" w14:textId="77777777" w:rsidR="00204F99" w:rsidRPr="00F75A43" w:rsidRDefault="00204F99" w:rsidP="00F75A43">
            <w:pPr>
              <w:pStyle w:val="cuatexto"/>
              <w:jc w:val="right"/>
              <w:rPr>
                <w:sz w:val="18"/>
                <w:szCs w:val="18"/>
              </w:rPr>
            </w:pPr>
            <w:r>
              <w:rPr>
                <w:sz w:val="18"/>
                <w:szCs w:val="18"/>
              </w:rPr>
              <w:t>119.864.446</w:t>
            </w:r>
          </w:p>
        </w:tc>
        <w:tc>
          <w:tcPr>
            <w:tcW w:w="1145" w:type="dxa"/>
            <w:tcBorders>
              <w:top w:val="single" w:sz="2" w:space="0" w:color="auto"/>
              <w:left w:val="nil"/>
              <w:bottom w:val="single" w:sz="4" w:space="0" w:color="auto"/>
              <w:right w:val="nil"/>
            </w:tcBorders>
            <w:shd w:val="clear" w:color="auto" w:fill="auto"/>
            <w:noWrap/>
            <w:vAlign w:val="center"/>
            <w:hideMark/>
          </w:tcPr>
          <w:p w14:paraId="57FEFC16" w14:textId="77777777" w:rsidR="00204F99" w:rsidRPr="00F75A43" w:rsidRDefault="00204F99" w:rsidP="00F75A43">
            <w:pPr>
              <w:pStyle w:val="cuatexto"/>
              <w:jc w:val="right"/>
              <w:rPr>
                <w:sz w:val="18"/>
                <w:szCs w:val="18"/>
              </w:rPr>
            </w:pPr>
            <w:r>
              <w:rPr>
                <w:sz w:val="18"/>
                <w:szCs w:val="18"/>
              </w:rPr>
              <w:t>26.377.714</w:t>
            </w:r>
          </w:p>
        </w:tc>
        <w:tc>
          <w:tcPr>
            <w:tcW w:w="1037" w:type="dxa"/>
            <w:tcBorders>
              <w:top w:val="single" w:sz="2" w:space="0" w:color="auto"/>
              <w:left w:val="nil"/>
              <w:bottom w:val="single" w:sz="4" w:space="0" w:color="auto"/>
              <w:right w:val="nil"/>
            </w:tcBorders>
            <w:shd w:val="clear" w:color="auto" w:fill="auto"/>
            <w:noWrap/>
            <w:vAlign w:val="center"/>
            <w:hideMark/>
          </w:tcPr>
          <w:p w14:paraId="6C19C456" w14:textId="77777777" w:rsidR="00204F99" w:rsidRPr="00F75A43" w:rsidRDefault="00204F99" w:rsidP="00F75A43">
            <w:pPr>
              <w:pStyle w:val="cuatexto"/>
              <w:jc w:val="right"/>
              <w:rPr>
                <w:sz w:val="18"/>
                <w:szCs w:val="18"/>
              </w:rPr>
            </w:pPr>
            <w:r>
              <w:rPr>
                <w:sz w:val="18"/>
                <w:szCs w:val="18"/>
              </w:rPr>
              <w:t>9.963.361</w:t>
            </w:r>
          </w:p>
        </w:tc>
        <w:tc>
          <w:tcPr>
            <w:tcW w:w="1060" w:type="dxa"/>
            <w:tcBorders>
              <w:top w:val="single" w:sz="2" w:space="0" w:color="auto"/>
              <w:left w:val="nil"/>
              <w:bottom w:val="single" w:sz="4" w:space="0" w:color="auto"/>
              <w:right w:val="nil"/>
            </w:tcBorders>
            <w:shd w:val="clear" w:color="auto" w:fill="auto"/>
            <w:noWrap/>
            <w:vAlign w:val="center"/>
            <w:hideMark/>
          </w:tcPr>
          <w:p w14:paraId="338E0A1C" w14:textId="77777777" w:rsidR="00204F99" w:rsidRPr="00F75A43" w:rsidRDefault="00204F99" w:rsidP="00F75A43">
            <w:pPr>
              <w:pStyle w:val="cuatexto"/>
              <w:jc w:val="right"/>
              <w:rPr>
                <w:sz w:val="18"/>
                <w:szCs w:val="18"/>
              </w:rPr>
            </w:pPr>
            <w:r>
              <w:rPr>
                <w:sz w:val="18"/>
                <w:szCs w:val="18"/>
              </w:rPr>
              <w:t>408.676</w:t>
            </w:r>
          </w:p>
        </w:tc>
        <w:tc>
          <w:tcPr>
            <w:tcW w:w="1066" w:type="dxa"/>
            <w:tcBorders>
              <w:top w:val="single" w:sz="2" w:space="0" w:color="auto"/>
              <w:left w:val="nil"/>
              <w:bottom w:val="single" w:sz="4" w:space="0" w:color="auto"/>
              <w:right w:val="nil"/>
            </w:tcBorders>
            <w:shd w:val="clear" w:color="auto" w:fill="auto"/>
            <w:noWrap/>
            <w:vAlign w:val="center"/>
            <w:hideMark/>
          </w:tcPr>
          <w:p w14:paraId="6B26992E" w14:textId="77777777" w:rsidR="00204F99" w:rsidRPr="00F75A43" w:rsidRDefault="00204F99" w:rsidP="00F75A43">
            <w:pPr>
              <w:pStyle w:val="cuatexto"/>
              <w:jc w:val="right"/>
              <w:rPr>
                <w:sz w:val="18"/>
                <w:szCs w:val="18"/>
              </w:rPr>
            </w:pPr>
            <w:r>
              <w:rPr>
                <w:sz w:val="18"/>
                <w:szCs w:val="18"/>
              </w:rPr>
              <w:t>21.988.562</w:t>
            </w:r>
          </w:p>
        </w:tc>
        <w:tc>
          <w:tcPr>
            <w:tcW w:w="1001" w:type="dxa"/>
            <w:tcBorders>
              <w:top w:val="single" w:sz="2" w:space="0" w:color="auto"/>
              <w:left w:val="nil"/>
              <w:bottom w:val="single" w:sz="4" w:space="0" w:color="auto"/>
              <w:right w:val="nil"/>
            </w:tcBorders>
            <w:shd w:val="clear" w:color="auto" w:fill="auto"/>
            <w:noWrap/>
            <w:vAlign w:val="center"/>
            <w:hideMark/>
          </w:tcPr>
          <w:p w14:paraId="42CF5EB7" w14:textId="77777777" w:rsidR="00204F99" w:rsidRPr="00F75A43" w:rsidRDefault="00204F99" w:rsidP="00F75A43">
            <w:pPr>
              <w:pStyle w:val="cuatexto"/>
              <w:jc w:val="right"/>
              <w:rPr>
                <w:sz w:val="18"/>
                <w:szCs w:val="18"/>
              </w:rPr>
            </w:pPr>
            <w:r>
              <w:rPr>
                <w:sz w:val="18"/>
                <w:szCs w:val="18"/>
              </w:rPr>
              <w:t>11.581.348</w:t>
            </w:r>
          </w:p>
        </w:tc>
        <w:tc>
          <w:tcPr>
            <w:tcW w:w="1080" w:type="dxa"/>
            <w:tcBorders>
              <w:top w:val="single" w:sz="2" w:space="0" w:color="auto"/>
              <w:left w:val="nil"/>
              <w:bottom w:val="single" w:sz="4" w:space="0" w:color="auto"/>
              <w:right w:val="nil"/>
            </w:tcBorders>
            <w:shd w:val="clear" w:color="auto" w:fill="auto"/>
            <w:noWrap/>
            <w:vAlign w:val="center"/>
            <w:hideMark/>
          </w:tcPr>
          <w:p w14:paraId="287166A0" w14:textId="77777777" w:rsidR="00204F99" w:rsidRPr="00F75A43" w:rsidRDefault="00204F99" w:rsidP="00F75A43">
            <w:pPr>
              <w:pStyle w:val="cuatexto"/>
              <w:jc w:val="right"/>
              <w:rPr>
                <w:bCs/>
                <w:sz w:val="18"/>
                <w:szCs w:val="18"/>
              </w:rPr>
            </w:pPr>
            <w:r>
              <w:rPr>
                <w:bCs/>
                <w:sz w:val="18"/>
                <w:szCs w:val="18"/>
              </w:rPr>
              <w:t>49.544.785</w:t>
            </w:r>
          </w:p>
        </w:tc>
      </w:tr>
      <w:tr w:rsidR="00204F99" w:rsidRPr="00F75A43" w14:paraId="3B141E06" w14:textId="77777777" w:rsidTr="00CE50DD">
        <w:trPr>
          <w:trHeight w:val="284"/>
        </w:trPr>
        <w:tc>
          <w:tcPr>
            <w:tcW w:w="1400" w:type="dxa"/>
            <w:tcBorders>
              <w:top w:val="single" w:sz="4" w:space="0" w:color="auto"/>
              <w:left w:val="nil"/>
              <w:bottom w:val="single" w:sz="4" w:space="0" w:color="auto"/>
              <w:right w:val="nil"/>
            </w:tcBorders>
            <w:shd w:val="clear" w:color="auto" w:fill="B8CCE4" w:themeFill="accent1" w:themeFillTint="66"/>
            <w:noWrap/>
            <w:vAlign w:val="center"/>
            <w:hideMark/>
          </w:tcPr>
          <w:p w14:paraId="0221B392" w14:textId="77777777" w:rsidR="00204F99" w:rsidRPr="00F75A43" w:rsidRDefault="00204F99" w:rsidP="00F75A43">
            <w:pPr>
              <w:pStyle w:val="cuadroCabe"/>
              <w:rPr>
                <w:sz w:val="16"/>
                <w:szCs w:val="16"/>
              </w:rPr>
            </w:pPr>
            <w:r>
              <w:rPr>
                <w:sz w:val="16"/>
                <w:szCs w:val="16"/>
              </w:rPr>
              <w:t> </w:t>
            </w:r>
          </w:p>
        </w:tc>
        <w:tc>
          <w:tcPr>
            <w:tcW w:w="1096" w:type="dxa"/>
            <w:tcBorders>
              <w:top w:val="single" w:sz="4" w:space="0" w:color="auto"/>
              <w:left w:val="nil"/>
              <w:bottom w:val="single" w:sz="4" w:space="0" w:color="auto"/>
              <w:right w:val="nil"/>
            </w:tcBorders>
            <w:shd w:val="clear" w:color="auto" w:fill="B8CCE4" w:themeFill="accent1" w:themeFillTint="66"/>
            <w:noWrap/>
            <w:vAlign w:val="center"/>
            <w:hideMark/>
          </w:tcPr>
          <w:p w14:paraId="61F299CA" w14:textId="77777777" w:rsidR="00204F99" w:rsidRPr="00F75A43" w:rsidRDefault="00204F99" w:rsidP="00F75A43">
            <w:pPr>
              <w:pStyle w:val="cuadroCabe"/>
              <w:jc w:val="right"/>
              <w:rPr>
                <w:sz w:val="16"/>
                <w:szCs w:val="16"/>
              </w:rPr>
            </w:pPr>
            <w:r>
              <w:rPr>
                <w:sz w:val="16"/>
                <w:szCs w:val="16"/>
              </w:rPr>
              <w:t>180.131.902</w:t>
            </w:r>
          </w:p>
        </w:tc>
        <w:tc>
          <w:tcPr>
            <w:tcW w:w="1145" w:type="dxa"/>
            <w:tcBorders>
              <w:top w:val="single" w:sz="4" w:space="0" w:color="auto"/>
              <w:left w:val="nil"/>
              <w:bottom w:val="single" w:sz="4" w:space="0" w:color="auto"/>
              <w:right w:val="nil"/>
            </w:tcBorders>
            <w:shd w:val="clear" w:color="auto" w:fill="B8CCE4" w:themeFill="accent1" w:themeFillTint="66"/>
            <w:noWrap/>
            <w:vAlign w:val="center"/>
            <w:hideMark/>
          </w:tcPr>
          <w:p w14:paraId="3302CB9A" w14:textId="77777777" w:rsidR="00204F99" w:rsidRPr="00F75A43" w:rsidRDefault="00204F99" w:rsidP="00F75A43">
            <w:pPr>
              <w:pStyle w:val="cuadroCabe"/>
              <w:jc w:val="right"/>
              <w:rPr>
                <w:sz w:val="16"/>
                <w:szCs w:val="16"/>
              </w:rPr>
            </w:pPr>
            <w:r>
              <w:rPr>
                <w:sz w:val="16"/>
                <w:szCs w:val="16"/>
              </w:rPr>
              <w:t>26.377.714</w:t>
            </w:r>
          </w:p>
        </w:tc>
        <w:tc>
          <w:tcPr>
            <w:tcW w:w="1037" w:type="dxa"/>
            <w:tcBorders>
              <w:top w:val="single" w:sz="4" w:space="0" w:color="auto"/>
              <w:left w:val="nil"/>
              <w:bottom w:val="single" w:sz="4" w:space="0" w:color="auto"/>
              <w:right w:val="nil"/>
            </w:tcBorders>
            <w:shd w:val="clear" w:color="auto" w:fill="B8CCE4" w:themeFill="accent1" w:themeFillTint="66"/>
            <w:noWrap/>
            <w:vAlign w:val="center"/>
            <w:hideMark/>
          </w:tcPr>
          <w:p w14:paraId="0D49AF09" w14:textId="77777777" w:rsidR="00204F99" w:rsidRPr="00F75A43" w:rsidRDefault="00204F99" w:rsidP="00F75A43">
            <w:pPr>
              <w:pStyle w:val="cuadroCabe"/>
              <w:jc w:val="right"/>
              <w:rPr>
                <w:sz w:val="16"/>
                <w:szCs w:val="16"/>
              </w:rPr>
            </w:pPr>
            <w:r>
              <w:rPr>
                <w:sz w:val="16"/>
                <w:szCs w:val="16"/>
              </w:rPr>
              <w:t>25.550.550</w:t>
            </w:r>
          </w:p>
        </w:tc>
        <w:tc>
          <w:tcPr>
            <w:tcW w:w="1060" w:type="dxa"/>
            <w:tcBorders>
              <w:top w:val="single" w:sz="4" w:space="0" w:color="auto"/>
              <w:left w:val="nil"/>
              <w:bottom w:val="single" w:sz="4" w:space="0" w:color="auto"/>
              <w:right w:val="nil"/>
            </w:tcBorders>
            <w:shd w:val="clear" w:color="auto" w:fill="B8CCE4" w:themeFill="accent1" w:themeFillTint="66"/>
            <w:noWrap/>
            <w:vAlign w:val="center"/>
            <w:hideMark/>
          </w:tcPr>
          <w:p w14:paraId="5ECCA8CF" w14:textId="77777777" w:rsidR="00204F99" w:rsidRPr="00F75A43" w:rsidRDefault="00204F99" w:rsidP="00F75A43">
            <w:pPr>
              <w:pStyle w:val="cuadroCabe"/>
              <w:jc w:val="right"/>
              <w:rPr>
                <w:sz w:val="16"/>
                <w:szCs w:val="16"/>
              </w:rPr>
            </w:pPr>
            <w:r>
              <w:rPr>
                <w:sz w:val="16"/>
                <w:szCs w:val="16"/>
              </w:rPr>
              <w:t>24.554.798</w:t>
            </w:r>
          </w:p>
        </w:tc>
        <w:tc>
          <w:tcPr>
            <w:tcW w:w="1066" w:type="dxa"/>
            <w:tcBorders>
              <w:top w:val="single" w:sz="4" w:space="0" w:color="auto"/>
              <w:left w:val="nil"/>
              <w:bottom w:val="single" w:sz="4" w:space="0" w:color="auto"/>
              <w:right w:val="nil"/>
            </w:tcBorders>
            <w:shd w:val="clear" w:color="auto" w:fill="B8CCE4" w:themeFill="accent1" w:themeFillTint="66"/>
            <w:noWrap/>
            <w:vAlign w:val="center"/>
            <w:hideMark/>
          </w:tcPr>
          <w:p w14:paraId="6C750468" w14:textId="77777777" w:rsidR="00204F99" w:rsidRPr="00F75A43" w:rsidRDefault="00204F99" w:rsidP="00F75A43">
            <w:pPr>
              <w:pStyle w:val="cuadroCabe"/>
              <w:jc w:val="right"/>
              <w:rPr>
                <w:sz w:val="16"/>
                <w:szCs w:val="16"/>
              </w:rPr>
            </w:pPr>
            <w:r>
              <w:rPr>
                <w:sz w:val="16"/>
                <w:szCs w:val="16"/>
              </w:rPr>
              <w:t>21.988.562</w:t>
            </w:r>
          </w:p>
        </w:tc>
        <w:tc>
          <w:tcPr>
            <w:tcW w:w="1001" w:type="dxa"/>
            <w:tcBorders>
              <w:top w:val="single" w:sz="4" w:space="0" w:color="auto"/>
              <w:left w:val="nil"/>
              <w:bottom w:val="single" w:sz="4" w:space="0" w:color="auto"/>
              <w:right w:val="nil"/>
            </w:tcBorders>
            <w:shd w:val="clear" w:color="auto" w:fill="B8CCE4" w:themeFill="accent1" w:themeFillTint="66"/>
            <w:noWrap/>
            <w:vAlign w:val="center"/>
            <w:hideMark/>
          </w:tcPr>
          <w:p w14:paraId="6037099B" w14:textId="77777777" w:rsidR="00204F99" w:rsidRPr="00F75A43" w:rsidRDefault="00204F99" w:rsidP="00F75A43">
            <w:pPr>
              <w:pStyle w:val="cuadroCabe"/>
              <w:jc w:val="right"/>
              <w:rPr>
                <w:sz w:val="16"/>
                <w:szCs w:val="16"/>
              </w:rPr>
            </w:pPr>
            <w:r>
              <w:rPr>
                <w:sz w:val="16"/>
                <w:szCs w:val="16"/>
              </w:rPr>
              <w:t>11.555.996</w:t>
            </w:r>
          </w:p>
        </w:tc>
        <w:tc>
          <w:tcPr>
            <w:tcW w:w="1080" w:type="dxa"/>
            <w:tcBorders>
              <w:top w:val="single" w:sz="4" w:space="0" w:color="auto"/>
              <w:left w:val="nil"/>
              <w:bottom w:val="single" w:sz="4" w:space="0" w:color="auto"/>
              <w:right w:val="nil"/>
            </w:tcBorders>
            <w:shd w:val="clear" w:color="auto" w:fill="B8CCE4" w:themeFill="accent1" w:themeFillTint="66"/>
            <w:noWrap/>
            <w:vAlign w:val="center"/>
            <w:hideMark/>
          </w:tcPr>
          <w:p w14:paraId="3A787B04" w14:textId="77777777" w:rsidR="00204F99" w:rsidRPr="00F75A43" w:rsidRDefault="00204F99" w:rsidP="00F75A43">
            <w:pPr>
              <w:pStyle w:val="cuadroCabe"/>
              <w:jc w:val="right"/>
              <w:rPr>
                <w:bCs/>
                <w:sz w:val="16"/>
                <w:szCs w:val="16"/>
              </w:rPr>
            </w:pPr>
            <w:r>
              <w:rPr>
                <w:bCs/>
                <w:sz w:val="16"/>
                <w:szCs w:val="16"/>
              </w:rPr>
              <w:t>70.078.931</w:t>
            </w:r>
          </w:p>
        </w:tc>
      </w:tr>
    </w:tbl>
    <w:p w14:paraId="0DD0904B" w14:textId="77777777" w:rsidR="00204F99" w:rsidRPr="00001A01" w:rsidRDefault="00204F99" w:rsidP="00553841">
      <w:pPr>
        <w:pStyle w:val="cuadroCabe"/>
      </w:pPr>
    </w:p>
    <w:p w14:paraId="153C44FF" w14:textId="77777777" w:rsidR="00204F99" w:rsidRPr="00553841" w:rsidRDefault="00204F99" w:rsidP="00553841">
      <w:pPr>
        <w:pStyle w:val="texto"/>
      </w:pPr>
      <w:r>
        <w:t xml:space="preserve">2020an betetako gastu osotik, 180 miloi, kanpoan utzi ditugu COVIDaren kudeaketari lotutako gastuak, zeinak jada berrikusi baitira Kontuen Ganbeak </w:t>
      </w:r>
      <w:r>
        <w:lastRenderedPageBreak/>
        <w:t xml:space="preserve">2021eko apirilean argitaratutako txostenean. Txosten horretan, izan ere, 2020ko martxotik abendura doan aldian dirulaguntzak direla-eta egindako gastua, 26 milioikoa, aztertzen zen. Halaber, kanpoan utzi dugu Audensari egindako transferentzia, zeina jada berrikusi baita Kontuen Ganberaren txosten batean, 2021eko ekainean argitaratutakoan. Honako hau da txosten horren izena: “Politika komertzialetik eratorritako deskontuak direla-eta NFKAk Audenasari eginiko konpentsazioa (2020)”. 2020ko aurrekontuari egotzitako gastua, berriz, 11,5 milioikoa da. </w:t>
      </w:r>
    </w:p>
    <w:p w14:paraId="442FA382" w14:textId="77777777" w:rsidR="00204F99" w:rsidRPr="00D220BF" w:rsidRDefault="00204F99" w:rsidP="00553841">
      <w:pPr>
        <w:pStyle w:val="texto"/>
      </w:pPr>
      <w:r>
        <w:t xml:space="preserve">Txosten honen ondorioetarako ez dira kontuan hartzen Europako funtsekin finantzatutako laguntzak, zeren eta haien berrikuspena Nafarroako Gobernuaren Kontu-hartzailetza Nagusiaren urteko txostenean jasota baitago, ez eta Nafarroako Ubidearen ureztaketa-kanona, zeina urtero berrikusi baita NFKAren kontu orokorren txostenean. </w:t>
      </w:r>
    </w:p>
    <w:p w14:paraId="72A086E5" w14:textId="77777777" w:rsidR="00204F99" w:rsidRDefault="00204F99" w:rsidP="00553841">
      <w:pPr>
        <w:pStyle w:val="texto"/>
        <w:spacing w:after="240"/>
      </w:pPr>
      <w:r>
        <w:t>Aztertutako lagina honako aurrekontu-partida hauei dagokie:</w:t>
      </w:r>
    </w:p>
    <w:p w14:paraId="1363E2C6" w14:textId="77777777" w:rsidR="00204F99" w:rsidRDefault="00204F99" w:rsidP="00553841">
      <w:pPr>
        <w:pStyle w:val="atitulo3"/>
      </w:pPr>
      <w:r>
        <w:t>Dirulaguntza arruntak</w:t>
      </w:r>
    </w:p>
    <w:tbl>
      <w:tblPr>
        <w:tblW w:w="8789" w:type="dxa"/>
        <w:tblCellMar>
          <w:left w:w="70" w:type="dxa"/>
          <w:right w:w="70" w:type="dxa"/>
        </w:tblCellMar>
        <w:tblLook w:val="04A0" w:firstRow="1" w:lastRow="0" w:firstColumn="1" w:lastColumn="0" w:noHBand="0" w:noVBand="1"/>
      </w:tblPr>
      <w:tblGrid>
        <w:gridCol w:w="3365"/>
        <w:gridCol w:w="4485"/>
        <w:gridCol w:w="939"/>
      </w:tblGrid>
      <w:tr w:rsidR="00204F99" w:rsidRPr="00B05E7A" w14:paraId="67246466" w14:textId="77777777" w:rsidTr="00A66583">
        <w:trPr>
          <w:trHeight w:val="255"/>
        </w:trPr>
        <w:tc>
          <w:tcPr>
            <w:tcW w:w="3402" w:type="dxa"/>
            <w:tcBorders>
              <w:top w:val="single" w:sz="4" w:space="0" w:color="auto"/>
              <w:left w:val="nil"/>
              <w:bottom w:val="single" w:sz="4" w:space="0" w:color="auto"/>
              <w:right w:val="nil"/>
            </w:tcBorders>
            <w:shd w:val="clear" w:color="auto" w:fill="B8CCE4" w:themeFill="accent1" w:themeFillTint="66"/>
            <w:vAlign w:val="center"/>
            <w:hideMark/>
          </w:tcPr>
          <w:p w14:paraId="79FF88D6" w14:textId="77777777" w:rsidR="00204F99" w:rsidRPr="00B05E7A" w:rsidRDefault="00204F99" w:rsidP="00553841">
            <w:pPr>
              <w:pStyle w:val="cuadroCabe"/>
            </w:pPr>
            <w:r>
              <w:t>Departamentua</w:t>
            </w:r>
          </w:p>
        </w:tc>
        <w:tc>
          <w:tcPr>
            <w:tcW w:w="4536" w:type="dxa"/>
            <w:tcBorders>
              <w:top w:val="single" w:sz="4" w:space="0" w:color="auto"/>
              <w:left w:val="nil"/>
              <w:bottom w:val="single" w:sz="4" w:space="0" w:color="auto"/>
              <w:right w:val="nil"/>
            </w:tcBorders>
            <w:shd w:val="clear" w:color="auto" w:fill="B8CCE4" w:themeFill="accent1" w:themeFillTint="66"/>
            <w:vAlign w:val="center"/>
            <w:hideMark/>
          </w:tcPr>
          <w:p w14:paraId="5B3181D0" w14:textId="77777777" w:rsidR="00204F99" w:rsidRPr="00B05E7A" w:rsidRDefault="00204F99" w:rsidP="00553841">
            <w:pPr>
              <w:pStyle w:val="cuadroCabe"/>
            </w:pPr>
            <w:r>
              <w:t>Kontzeptua</w:t>
            </w:r>
          </w:p>
        </w:tc>
        <w:tc>
          <w:tcPr>
            <w:tcW w:w="851" w:type="dxa"/>
            <w:tcBorders>
              <w:top w:val="single" w:sz="4" w:space="0" w:color="auto"/>
              <w:left w:val="nil"/>
              <w:bottom w:val="single" w:sz="4" w:space="0" w:color="auto"/>
              <w:right w:val="nil"/>
            </w:tcBorders>
            <w:shd w:val="clear" w:color="auto" w:fill="B8CCE4" w:themeFill="accent1" w:themeFillTint="66"/>
            <w:vAlign w:val="center"/>
            <w:hideMark/>
          </w:tcPr>
          <w:p w14:paraId="154DDD02" w14:textId="77777777" w:rsidR="00204F99" w:rsidRPr="00B05E7A" w:rsidRDefault="00204F99" w:rsidP="005008EB">
            <w:pPr>
              <w:pStyle w:val="cuadroCabe"/>
              <w:jc w:val="right"/>
            </w:pPr>
            <w:r>
              <w:t>Zenbatekoa</w:t>
            </w:r>
          </w:p>
        </w:tc>
      </w:tr>
      <w:tr w:rsidR="00204F99" w:rsidRPr="00CE50DD" w14:paraId="74F96118" w14:textId="77777777" w:rsidTr="00553841">
        <w:trPr>
          <w:trHeight w:val="255"/>
        </w:trPr>
        <w:tc>
          <w:tcPr>
            <w:tcW w:w="3402" w:type="dxa"/>
            <w:tcBorders>
              <w:top w:val="single" w:sz="4" w:space="0" w:color="auto"/>
              <w:left w:val="nil"/>
              <w:bottom w:val="single" w:sz="2" w:space="0" w:color="auto"/>
              <w:right w:val="nil"/>
            </w:tcBorders>
            <w:shd w:val="clear" w:color="auto" w:fill="auto"/>
            <w:vAlign w:val="center"/>
            <w:hideMark/>
          </w:tcPr>
          <w:p w14:paraId="7A2C929D" w14:textId="77777777" w:rsidR="00204F99" w:rsidRPr="00CE50DD" w:rsidRDefault="00204F99" w:rsidP="00553841">
            <w:pPr>
              <w:pStyle w:val="cuatexto"/>
              <w:rPr>
                <w:sz w:val="18"/>
                <w:szCs w:val="18"/>
              </w:rPr>
            </w:pPr>
            <w:r>
              <w:rPr>
                <w:sz w:val="18"/>
                <w:szCs w:val="18"/>
              </w:rPr>
              <w:t>Lurralde Kohesioa</w:t>
            </w:r>
          </w:p>
        </w:tc>
        <w:tc>
          <w:tcPr>
            <w:tcW w:w="4536" w:type="dxa"/>
            <w:tcBorders>
              <w:top w:val="single" w:sz="4" w:space="0" w:color="auto"/>
              <w:left w:val="nil"/>
              <w:bottom w:val="single" w:sz="2" w:space="0" w:color="auto"/>
              <w:right w:val="nil"/>
            </w:tcBorders>
            <w:shd w:val="clear" w:color="auto" w:fill="auto"/>
            <w:vAlign w:val="center"/>
            <w:hideMark/>
          </w:tcPr>
          <w:p w14:paraId="1B019104" w14:textId="77777777" w:rsidR="00204F99" w:rsidRPr="00CE50DD" w:rsidRDefault="00204F99" w:rsidP="00553841">
            <w:pPr>
              <w:pStyle w:val="cuatexto"/>
              <w:rPr>
                <w:sz w:val="18"/>
                <w:szCs w:val="18"/>
              </w:rPr>
            </w:pPr>
            <w:r>
              <w:rPr>
                <w:sz w:val="18"/>
                <w:szCs w:val="18"/>
              </w:rPr>
              <w:t>Bidaiarien garraio-zerbitzuak mantentzeko laguntza</w:t>
            </w:r>
          </w:p>
        </w:tc>
        <w:tc>
          <w:tcPr>
            <w:tcW w:w="851" w:type="dxa"/>
            <w:tcBorders>
              <w:top w:val="single" w:sz="4" w:space="0" w:color="auto"/>
              <w:left w:val="nil"/>
              <w:bottom w:val="single" w:sz="2" w:space="0" w:color="auto"/>
              <w:right w:val="nil"/>
            </w:tcBorders>
            <w:shd w:val="clear" w:color="auto" w:fill="auto"/>
            <w:noWrap/>
            <w:vAlign w:val="center"/>
            <w:hideMark/>
          </w:tcPr>
          <w:p w14:paraId="26250339" w14:textId="77777777" w:rsidR="00204F99" w:rsidRPr="00CE50DD" w:rsidRDefault="00204F99" w:rsidP="005008EB">
            <w:pPr>
              <w:pStyle w:val="cuatexto"/>
              <w:jc w:val="right"/>
              <w:rPr>
                <w:sz w:val="18"/>
                <w:szCs w:val="18"/>
              </w:rPr>
            </w:pPr>
            <w:r>
              <w:rPr>
                <w:sz w:val="18"/>
                <w:szCs w:val="18"/>
              </w:rPr>
              <w:t>1.779.841</w:t>
            </w:r>
          </w:p>
        </w:tc>
      </w:tr>
      <w:tr w:rsidR="00204F99" w:rsidRPr="00CE50DD" w14:paraId="22B4F0A2" w14:textId="77777777" w:rsidTr="00553841">
        <w:trPr>
          <w:trHeight w:val="255"/>
        </w:trPr>
        <w:tc>
          <w:tcPr>
            <w:tcW w:w="3402" w:type="dxa"/>
            <w:tcBorders>
              <w:top w:val="single" w:sz="2" w:space="0" w:color="auto"/>
              <w:left w:val="nil"/>
              <w:bottom w:val="single" w:sz="2" w:space="0" w:color="auto"/>
              <w:right w:val="nil"/>
            </w:tcBorders>
            <w:shd w:val="clear" w:color="auto" w:fill="auto"/>
            <w:vAlign w:val="center"/>
            <w:hideMark/>
          </w:tcPr>
          <w:p w14:paraId="1E0EC930" w14:textId="77777777" w:rsidR="00204F99" w:rsidRPr="00CE50DD" w:rsidRDefault="00204F99" w:rsidP="00553841">
            <w:pPr>
              <w:pStyle w:val="cuatexto"/>
              <w:rPr>
                <w:sz w:val="18"/>
                <w:szCs w:val="18"/>
              </w:rPr>
            </w:pPr>
            <w:r>
              <w:rPr>
                <w:sz w:val="18"/>
                <w:szCs w:val="18"/>
              </w:rPr>
              <w:t>Unibertsitatea, Berrikuntza eta Erald. Digitala</w:t>
            </w:r>
          </w:p>
        </w:tc>
        <w:tc>
          <w:tcPr>
            <w:tcW w:w="4536" w:type="dxa"/>
            <w:tcBorders>
              <w:top w:val="single" w:sz="2" w:space="0" w:color="auto"/>
              <w:left w:val="nil"/>
              <w:bottom w:val="single" w:sz="2" w:space="0" w:color="auto"/>
              <w:right w:val="nil"/>
            </w:tcBorders>
            <w:shd w:val="clear" w:color="auto" w:fill="auto"/>
            <w:vAlign w:val="center"/>
            <w:hideMark/>
          </w:tcPr>
          <w:p w14:paraId="3848E678" w14:textId="77777777" w:rsidR="00204F99" w:rsidRPr="00CE50DD" w:rsidRDefault="00204F99" w:rsidP="00553841">
            <w:pPr>
              <w:pStyle w:val="cuatexto"/>
              <w:rPr>
                <w:sz w:val="18"/>
                <w:szCs w:val="18"/>
              </w:rPr>
            </w:pPr>
            <w:r>
              <w:rPr>
                <w:sz w:val="18"/>
                <w:szCs w:val="18"/>
              </w:rPr>
              <w:t>Ikertzaileak eta langile teknologikoak kontratatzeko laguntzak; industriako doktoregoak; ikertzaileen mugigarritasuna</w:t>
            </w:r>
          </w:p>
        </w:tc>
        <w:tc>
          <w:tcPr>
            <w:tcW w:w="851" w:type="dxa"/>
            <w:tcBorders>
              <w:top w:val="single" w:sz="2" w:space="0" w:color="auto"/>
              <w:left w:val="nil"/>
              <w:bottom w:val="single" w:sz="2" w:space="0" w:color="auto"/>
              <w:right w:val="nil"/>
            </w:tcBorders>
            <w:shd w:val="clear" w:color="auto" w:fill="auto"/>
            <w:noWrap/>
            <w:vAlign w:val="center"/>
            <w:hideMark/>
          </w:tcPr>
          <w:p w14:paraId="5FBE4DA1" w14:textId="77777777" w:rsidR="00204F99" w:rsidRPr="00CE50DD" w:rsidRDefault="00204F99" w:rsidP="005008EB">
            <w:pPr>
              <w:pStyle w:val="cuatexto"/>
              <w:jc w:val="right"/>
              <w:rPr>
                <w:sz w:val="18"/>
                <w:szCs w:val="18"/>
              </w:rPr>
            </w:pPr>
            <w:r>
              <w:rPr>
                <w:sz w:val="18"/>
                <w:szCs w:val="18"/>
              </w:rPr>
              <w:t>558.399</w:t>
            </w:r>
          </w:p>
        </w:tc>
      </w:tr>
      <w:tr w:rsidR="00204F99" w:rsidRPr="00CE50DD" w14:paraId="49D778FE" w14:textId="77777777" w:rsidTr="00553841">
        <w:trPr>
          <w:trHeight w:val="255"/>
        </w:trPr>
        <w:tc>
          <w:tcPr>
            <w:tcW w:w="3402" w:type="dxa"/>
            <w:tcBorders>
              <w:top w:val="single" w:sz="2" w:space="0" w:color="auto"/>
              <w:left w:val="nil"/>
              <w:bottom w:val="single" w:sz="2" w:space="0" w:color="auto"/>
              <w:right w:val="nil"/>
            </w:tcBorders>
            <w:shd w:val="clear" w:color="auto" w:fill="auto"/>
            <w:vAlign w:val="center"/>
            <w:hideMark/>
          </w:tcPr>
          <w:p w14:paraId="128033D9" w14:textId="77777777" w:rsidR="00204F99" w:rsidRPr="00CE50DD" w:rsidRDefault="00204F99" w:rsidP="00553841">
            <w:pPr>
              <w:pStyle w:val="cuatexto"/>
              <w:rPr>
                <w:sz w:val="18"/>
                <w:szCs w:val="18"/>
              </w:rPr>
            </w:pPr>
            <w:r>
              <w:rPr>
                <w:sz w:val="18"/>
                <w:szCs w:val="18"/>
              </w:rPr>
              <w:t>Eskubide Sozialak (Nafarroako Enplegu Zerbitzua)</w:t>
            </w:r>
          </w:p>
        </w:tc>
        <w:tc>
          <w:tcPr>
            <w:tcW w:w="4536" w:type="dxa"/>
            <w:tcBorders>
              <w:top w:val="single" w:sz="2" w:space="0" w:color="auto"/>
              <w:left w:val="nil"/>
              <w:bottom w:val="single" w:sz="2" w:space="0" w:color="auto"/>
              <w:right w:val="nil"/>
            </w:tcBorders>
            <w:shd w:val="clear" w:color="auto" w:fill="auto"/>
            <w:vAlign w:val="center"/>
            <w:hideMark/>
          </w:tcPr>
          <w:p w14:paraId="5B51B9C3" w14:textId="77777777" w:rsidR="00204F99" w:rsidRPr="00CE50DD" w:rsidRDefault="00204F99" w:rsidP="00553841">
            <w:pPr>
              <w:pStyle w:val="cuatexto"/>
              <w:rPr>
                <w:sz w:val="18"/>
                <w:szCs w:val="18"/>
              </w:rPr>
            </w:pPr>
            <w:r>
              <w:rPr>
                <w:sz w:val="18"/>
                <w:szCs w:val="18"/>
              </w:rPr>
              <w:t>Enpresek gazteak kontratatzeko pizgarriak</w:t>
            </w:r>
          </w:p>
        </w:tc>
        <w:tc>
          <w:tcPr>
            <w:tcW w:w="851" w:type="dxa"/>
            <w:tcBorders>
              <w:top w:val="single" w:sz="2" w:space="0" w:color="auto"/>
              <w:left w:val="nil"/>
              <w:bottom w:val="single" w:sz="2" w:space="0" w:color="auto"/>
              <w:right w:val="nil"/>
            </w:tcBorders>
            <w:shd w:val="clear" w:color="auto" w:fill="auto"/>
            <w:noWrap/>
            <w:vAlign w:val="center"/>
            <w:hideMark/>
          </w:tcPr>
          <w:p w14:paraId="695054F0" w14:textId="77777777" w:rsidR="00204F99" w:rsidRPr="00CE50DD" w:rsidRDefault="00204F99" w:rsidP="005008EB">
            <w:pPr>
              <w:pStyle w:val="cuatexto"/>
              <w:jc w:val="right"/>
              <w:rPr>
                <w:sz w:val="18"/>
                <w:szCs w:val="18"/>
              </w:rPr>
            </w:pPr>
            <w:r>
              <w:rPr>
                <w:sz w:val="18"/>
                <w:szCs w:val="18"/>
              </w:rPr>
              <w:t>1.870.769</w:t>
            </w:r>
          </w:p>
        </w:tc>
      </w:tr>
      <w:tr w:rsidR="00204F99" w:rsidRPr="00CE50DD" w14:paraId="464A5B88" w14:textId="77777777" w:rsidTr="00553841">
        <w:trPr>
          <w:trHeight w:val="255"/>
        </w:trPr>
        <w:tc>
          <w:tcPr>
            <w:tcW w:w="3402" w:type="dxa"/>
            <w:tcBorders>
              <w:top w:val="single" w:sz="2" w:space="0" w:color="auto"/>
              <w:left w:val="nil"/>
              <w:bottom w:val="single" w:sz="2" w:space="0" w:color="auto"/>
              <w:right w:val="nil"/>
            </w:tcBorders>
            <w:shd w:val="clear" w:color="auto" w:fill="auto"/>
            <w:vAlign w:val="center"/>
            <w:hideMark/>
          </w:tcPr>
          <w:p w14:paraId="6A498123" w14:textId="77777777" w:rsidR="00204F99" w:rsidRPr="00CE50DD" w:rsidRDefault="00204F99" w:rsidP="00553841">
            <w:pPr>
              <w:pStyle w:val="cuatexto"/>
              <w:rPr>
                <w:sz w:val="18"/>
                <w:szCs w:val="18"/>
              </w:rPr>
            </w:pPr>
            <w:r>
              <w:rPr>
                <w:sz w:val="18"/>
                <w:szCs w:val="18"/>
              </w:rPr>
              <w:t>Garapen Ekonomiko eta Enpresariala</w:t>
            </w:r>
          </w:p>
        </w:tc>
        <w:tc>
          <w:tcPr>
            <w:tcW w:w="4536" w:type="dxa"/>
            <w:tcBorders>
              <w:top w:val="single" w:sz="2" w:space="0" w:color="auto"/>
              <w:left w:val="nil"/>
              <w:bottom w:val="single" w:sz="2" w:space="0" w:color="auto"/>
              <w:right w:val="nil"/>
            </w:tcBorders>
            <w:shd w:val="clear" w:color="auto" w:fill="auto"/>
            <w:vAlign w:val="center"/>
            <w:hideMark/>
          </w:tcPr>
          <w:p w14:paraId="20EC05E4" w14:textId="77777777" w:rsidR="00204F99" w:rsidRPr="00CE50DD" w:rsidRDefault="00204F99" w:rsidP="00553841">
            <w:pPr>
              <w:pStyle w:val="cuatexto"/>
              <w:rPr>
                <w:sz w:val="18"/>
                <w:szCs w:val="18"/>
              </w:rPr>
            </w:pPr>
            <w:r>
              <w:rPr>
                <w:sz w:val="18"/>
                <w:szCs w:val="18"/>
              </w:rPr>
              <w:t xml:space="preserve">Enpresak sortzen laguntzeko dirulaguntza </w:t>
            </w:r>
          </w:p>
        </w:tc>
        <w:tc>
          <w:tcPr>
            <w:tcW w:w="851" w:type="dxa"/>
            <w:tcBorders>
              <w:top w:val="single" w:sz="2" w:space="0" w:color="auto"/>
              <w:left w:val="nil"/>
              <w:bottom w:val="single" w:sz="2" w:space="0" w:color="auto"/>
              <w:right w:val="nil"/>
            </w:tcBorders>
            <w:shd w:val="clear" w:color="auto" w:fill="auto"/>
            <w:noWrap/>
            <w:vAlign w:val="center"/>
            <w:hideMark/>
          </w:tcPr>
          <w:p w14:paraId="19AABE11" w14:textId="77777777" w:rsidR="00204F99" w:rsidRPr="00CE50DD" w:rsidRDefault="00204F99" w:rsidP="005008EB">
            <w:pPr>
              <w:pStyle w:val="cuatexto"/>
              <w:jc w:val="right"/>
              <w:rPr>
                <w:sz w:val="18"/>
                <w:szCs w:val="18"/>
              </w:rPr>
            </w:pPr>
            <w:r>
              <w:rPr>
                <w:sz w:val="18"/>
                <w:szCs w:val="18"/>
              </w:rPr>
              <w:t>185.569</w:t>
            </w:r>
          </w:p>
        </w:tc>
      </w:tr>
      <w:tr w:rsidR="00204F99" w:rsidRPr="00CE50DD" w14:paraId="24D304C9" w14:textId="77777777" w:rsidTr="00553841">
        <w:trPr>
          <w:trHeight w:val="255"/>
        </w:trPr>
        <w:tc>
          <w:tcPr>
            <w:tcW w:w="3402" w:type="dxa"/>
            <w:tcBorders>
              <w:top w:val="single" w:sz="2" w:space="0" w:color="auto"/>
              <w:left w:val="nil"/>
              <w:bottom w:val="single" w:sz="4" w:space="0" w:color="auto"/>
              <w:right w:val="nil"/>
            </w:tcBorders>
            <w:shd w:val="clear" w:color="auto" w:fill="auto"/>
            <w:vAlign w:val="center"/>
            <w:hideMark/>
          </w:tcPr>
          <w:p w14:paraId="2DA64394" w14:textId="77777777" w:rsidR="00204F99" w:rsidRPr="00CE50DD" w:rsidRDefault="00204F99" w:rsidP="00553841">
            <w:pPr>
              <w:pStyle w:val="cuatexto"/>
              <w:rPr>
                <w:sz w:val="18"/>
                <w:szCs w:val="18"/>
              </w:rPr>
            </w:pPr>
            <w:r>
              <w:rPr>
                <w:sz w:val="18"/>
                <w:szCs w:val="18"/>
              </w:rPr>
              <w:t>Garapen Ekonomiko eta Enpresariala</w:t>
            </w:r>
          </w:p>
        </w:tc>
        <w:tc>
          <w:tcPr>
            <w:tcW w:w="4536" w:type="dxa"/>
            <w:tcBorders>
              <w:top w:val="single" w:sz="2" w:space="0" w:color="auto"/>
              <w:left w:val="nil"/>
              <w:bottom w:val="single" w:sz="4" w:space="0" w:color="auto"/>
              <w:right w:val="nil"/>
            </w:tcBorders>
            <w:shd w:val="clear" w:color="auto" w:fill="auto"/>
            <w:vAlign w:val="center"/>
            <w:hideMark/>
          </w:tcPr>
          <w:p w14:paraId="5E7B5011" w14:textId="77777777" w:rsidR="00204F99" w:rsidRPr="00CE50DD" w:rsidRDefault="00553841" w:rsidP="00553841">
            <w:pPr>
              <w:pStyle w:val="cuatexto"/>
              <w:rPr>
                <w:sz w:val="18"/>
                <w:szCs w:val="18"/>
              </w:rPr>
            </w:pPr>
            <w:r>
              <w:rPr>
                <w:sz w:val="18"/>
                <w:szCs w:val="18"/>
              </w:rPr>
              <w:t>COVID-19a. Turismoaren eta Ostalaritzaren arloko enpresa txiki eta ertainentzako dirulaguntzak</w:t>
            </w:r>
          </w:p>
        </w:tc>
        <w:tc>
          <w:tcPr>
            <w:tcW w:w="851" w:type="dxa"/>
            <w:tcBorders>
              <w:top w:val="single" w:sz="2" w:space="0" w:color="auto"/>
              <w:left w:val="nil"/>
              <w:bottom w:val="single" w:sz="4" w:space="0" w:color="auto"/>
              <w:right w:val="nil"/>
            </w:tcBorders>
            <w:shd w:val="clear" w:color="auto" w:fill="auto"/>
            <w:noWrap/>
            <w:vAlign w:val="center"/>
            <w:hideMark/>
          </w:tcPr>
          <w:p w14:paraId="3BBB8B12" w14:textId="77777777" w:rsidR="00204F99" w:rsidRPr="00CE50DD" w:rsidRDefault="00204F99" w:rsidP="005008EB">
            <w:pPr>
              <w:pStyle w:val="cuatexto"/>
              <w:jc w:val="right"/>
              <w:rPr>
                <w:sz w:val="18"/>
                <w:szCs w:val="18"/>
              </w:rPr>
            </w:pPr>
            <w:r>
              <w:rPr>
                <w:sz w:val="18"/>
                <w:szCs w:val="18"/>
              </w:rPr>
              <w:t>13.541.412</w:t>
            </w:r>
          </w:p>
        </w:tc>
      </w:tr>
    </w:tbl>
    <w:p w14:paraId="4E6B654A" w14:textId="77777777" w:rsidR="00204F99" w:rsidRPr="00553841" w:rsidRDefault="00204F99" w:rsidP="00553841">
      <w:pPr>
        <w:pStyle w:val="texto"/>
        <w:spacing w:before="240" w:after="240"/>
      </w:pPr>
      <w:r>
        <w:t>Bost partida hauek txosten honen norainokoaren zati bat diren dirulaguntza arrunten guztizkoaren ehuneko 36 dira.</w:t>
      </w:r>
    </w:p>
    <w:p w14:paraId="0919B2A9" w14:textId="77777777" w:rsidR="00204F99" w:rsidRDefault="00204F99" w:rsidP="00553841">
      <w:pPr>
        <w:pStyle w:val="atitulo3"/>
      </w:pPr>
      <w:r>
        <w:t>Kapitaleko dirulaguntzak:</w:t>
      </w:r>
    </w:p>
    <w:tbl>
      <w:tblPr>
        <w:tblW w:w="8789" w:type="dxa"/>
        <w:tblCellMar>
          <w:left w:w="70" w:type="dxa"/>
          <w:right w:w="70" w:type="dxa"/>
        </w:tblCellMar>
        <w:tblLook w:val="04A0" w:firstRow="1" w:lastRow="0" w:firstColumn="1" w:lastColumn="0" w:noHBand="0" w:noVBand="1"/>
      </w:tblPr>
      <w:tblGrid>
        <w:gridCol w:w="3686"/>
        <w:gridCol w:w="3966"/>
        <w:gridCol w:w="1137"/>
      </w:tblGrid>
      <w:tr w:rsidR="00204F99" w:rsidRPr="00553841" w14:paraId="23F0E721" w14:textId="77777777" w:rsidTr="00A66583">
        <w:trPr>
          <w:trHeight w:val="255"/>
        </w:trPr>
        <w:tc>
          <w:tcPr>
            <w:tcW w:w="3686" w:type="dxa"/>
            <w:tcBorders>
              <w:top w:val="single" w:sz="4" w:space="0" w:color="auto"/>
              <w:left w:val="nil"/>
              <w:bottom w:val="single" w:sz="4" w:space="0" w:color="auto"/>
              <w:right w:val="nil"/>
            </w:tcBorders>
            <w:shd w:val="clear" w:color="auto" w:fill="B8CCE4" w:themeFill="accent1" w:themeFillTint="66"/>
            <w:noWrap/>
            <w:vAlign w:val="center"/>
            <w:hideMark/>
          </w:tcPr>
          <w:p w14:paraId="39E7AAA7" w14:textId="77777777" w:rsidR="00204F99" w:rsidRPr="00AB4C1D" w:rsidRDefault="00204F99" w:rsidP="005008EB">
            <w:pPr>
              <w:pStyle w:val="cuadroCabe"/>
              <w:spacing w:line="240" w:lineRule="auto"/>
            </w:pPr>
            <w:r>
              <w:t>Departamentua</w:t>
            </w:r>
          </w:p>
        </w:tc>
        <w:tc>
          <w:tcPr>
            <w:tcW w:w="3966" w:type="dxa"/>
            <w:tcBorders>
              <w:top w:val="single" w:sz="4" w:space="0" w:color="auto"/>
              <w:left w:val="nil"/>
              <w:bottom w:val="single" w:sz="4" w:space="0" w:color="auto"/>
              <w:right w:val="nil"/>
            </w:tcBorders>
            <w:shd w:val="clear" w:color="auto" w:fill="B8CCE4" w:themeFill="accent1" w:themeFillTint="66"/>
            <w:noWrap/>
            <w:vAlign w:val="center"/>
            <w:hideMark/>
          </w:tcPr>
          <w:p w14:paraId="078A976C" w14:textId="77777777" w:rsidR="00204F99" w:rsidRPr="00AB4C1D" w:rsidRDefault="00204F99" w:rsidP="005008EB">
            <w:pPr>
              <w:pStyle w:val="cuadroCabe"/>
              <w:spacing w:line="240" w:lineRule="auto"/>
            </w:pPr>
            <w:r>
              <w:t>Kontzeptua</w:t>
            </w:r>
          </w:p>
        </w:tc>
        <w:tc>
          <w:tcPr>
            <w:tcW w:w="1137" w:type="dxa"/>
            <w:tcBorders>
              <w:top w:val="single" w:sz="4" w:space="0" w:color="auto"/>
              <w:left w:val="nil"/>
              <w:bottom w:val="single" w:sz="4" w:space="0" w:color="auto"/>
              <w:right w:val="nil"/>
            </w:tcBorders>
            <w:shd w:val="clear" w:color="auto" w:fill="B8CCE4" w:themeFill="accent1" w:themeFillTint="66"/>
            <w:vAlign w:val="center"/>
            <w:hideMark/>
          </w:tcPr>
          <w:p w14:paraId="6ADFBA09" w14:textId="77777777" w:rsidR="00204F99" w:rsidRPr="00AB4C1D" w:rsidRDefault="00204F99" w:rsidP="005008EB">
            <w:pPr>
              <w:pStyle w:val="cuadroCabe"/>
              <w:spacing w:line="240" w:lineRule="auto"/>
              <w:jc w:val="right"/>
            </w:pPr>
            <w:r>
              <w:t>Zenbatekoa</w:t>
            </w:r>
          </w:p>
        </w:tc>
      </w:tr>
      <w:tr w:rsidR="00204F99" w:rsidRPr="00AB4C1D" w14:paraId="6D3DC05B" w14:textId="77777777" w:rsidTr="00553841">
        <w:trPr>
          <w:trHeight w:val="255"/>
        </w:trPr>
        <w:tc>
          <w:tcPr>
            <w:tcW w:w="3686" w:type="dxa"/>
            <w:tcBorders>
              <w:top w:val="single" w:sz="4" w:space="0" w:color="auto"/>
              <w:left w:val="nil"/>
              <w:bottom w:val="single" w:sz="2" w:space="0" w:color="auto"/>
              <w:right w:val="nil"/>
            </w:tcBorders>
            <w:shd w:val="clear" w:color="auto" w:fill="auto"/>
            <w:vAlign w:val="center"/>
            <w:hideMark/>
          </w:tcPr>
          <w:p w14:paraId="6BDF9A34" w14:textId="77777777" w:rsidR="00204F99" w:rsidRPr="00AB4C1D" w:rsidRDefault="00204F99" w:rsidP="005008EB">
            <w:pPr>
              <w:pStyle w:val="cuatexto"/>
              <w:spacing w:line="240" w:lineRule="auto"/>
            </w:pPr>
            <w:r>
              <w:t>Garapen Ekonomiko eta Enpresariala</w:t>
            </w:r>
          </w:p>
        </w:tc>
        <w:tc>
          <w:tcPr>
            <w:tcW w:w="3966" w:type="dxa"/>
            <w:tcBorders>
              <w:top w:val="single" w:sz="4" w:space="0" w:color="auto"/>
              <w:left w:val="nil"/>
              <w:bottom w:val="single" w:sz="2" w:space="0" w:color="auto"/>
              <w:right w:val="nil"/>
            </w:tcBorders>
            <w:shd w:val="clear" w:color="auto" w:fill="auto"/>
            <w:vAlign w:val="center"/>
            <w:hideMark/>
          </w:tcPr>
          <w:p w14:paraId="7C2BA616" w14:textId="77777777" w:rsidR="00204F99" w:rsidRPr="00AB4C1D" w:rsidRDefault="00204F99" w:rsidP="005008EB">
            <w:pPr>
              <w:pStyle w:val="cuatexto"/>
              <w:spacing w:line="240" w:lineRule="auto"/>
            </w:pPr>
            <w:r>
              <w:t>Enpresa handietan inbertitzeagatiko dirulaguntzak</w:t>
            </w:r>
          </w:p>
        </w:tc>
        <w:tc>
          <w:tcPr>
            <w:tcW w:w="1137" w:type="dxa"/>
            <w:tcBorders>
              <w:top w:val="single" w:sz="4" w:space="0" w:color="auto"/>
              <w:left w:val="nil"/>
              <w:bottom w:val="single" w:sz="2" w:space="0" w:color="auto"/>
              <w:right w:val="nil"/>
            </w:tcBorders>
            <w:shd w:val="clear" w:color="auto" w:fill="auto"/>
            <w:noWrap/>
            <w:vAlign w:val="center"/>
            <w:hideMark/>
          </w:tcPr>
          <w:p w14:paraId="318F9B18" w14:textId="77777777" w:rsidR="00204F99" w:rsidRPr="00AB4C1D" w:rsidRDefault="00204F99" w:rsidP="005008EB">
            <w:pPr>
              <w:pStyle w:val="cuatexto"/>
              <w:spacing w:line="240" w:lineRule="auto"/>
              <w:jc w:val="right"/>
            </w:pPr>
            <w:r>
              <w:t>1.581.959</w:t>
            </w:r>
          </w:p>
        </w:tc>
      </w:tr>
      <w:tr w:rsidR="00204F99" w:rsidRPr="00AB4C1D" w14:paraId="7C821B30" w14:textId="77777777" w:rsidTr="00553841">
        <w:trPr>
          <w:trHeight w:val="255"/>
        </w:trPr>
        <w:tc>
          <w:tcPr>
            <w:tcW w:w="3686" w:type="dxa"/>
            <w:tcBorders>
              <w:top w:val="single" w:sz="2" w:space="0" w:color="auto"/>
              <w:left w:val="nil"/>
              <w:bottom w:val="single" w:sz="4" w:space="0" w:color="auto"/>
              <w:right w:val="nil"/>
            </w:tcBorders>
            <w:shd w:val="clear" w:color="auto" w:fill="auto"/>
            <w:vAlign w:val="center"/>
            <w:hideMark/>
          </w:tcPr>
          <w:p w14:paraId="75095EB0" w14:textId="77777777" w:rsidR="00204F99" w:rsidRPr="00AB4C1D" w:rsidRDefault="00204F99" w:rsidP="005008EB">
            <w:pPr>
              <w:pStyle w:val="cuatexto"/>
              <w:spacing w:line="240" w:lineRule="auto"/>
            </w:pPr>
            <w:r>
              <w:t>Garapen Ekonomiko eta Enpresariala</w:t>
            </w:r>
          </w:p>
        </w:tc>
        <w:tc>
          <w:tcPr>
            <w:tcW w:w="3966" w:type="dxa"/>
            <w:tcBorders>
              <w:top w:val="single" w:sz="2" w:space="0" w:color="auto"/>
              <w:left w:val="nil"/>
              <w:bottom w:val="single" w:sz="4" w:space="0" w:color="auto"/>
              <w:right w:val="nil"/>
            </w:tcBorders>
            <w:shd w:val="clear" w:color="auto" w:fill="auto"/>
            <w:vAlign w:val="center"/>
            <w:hideMark/>
          </w:tcPr>
          <w:p w14:paraId="03827B0E" w14:textId="77777777" w:rsidR="00204F99" w:rsidRPr="00AB4C1D" w:rsidRDefault="00204F99" w:rsidP="005008EB">
            <w:pPr>
              <w:pStyle w:val="cuatexto"/>
              <w:spacing w:line="240" w:lineRule="auto"/>
            </w:pPr>
            <w:r>
              <w:t xml:space="preserve">I+G proiektu estrategikoetarako dirulaguntzak RIS3 Nafarroa </w:t>
            </w:r>
          </w:p>
        </w:tc>
        <w:tc>
          <w:tcPr>
            <w:tcW w:w="1137" w:type="dxa"/>
            <w:tcBorders>
              <w:top w:val="single" w:sz="2" w:space="0" w:color="auto"/>
              <w:left w:val="nil"/>
              <w:bottom w:val="single" w:sz="4" w:space="0" w:color="auto"/>
              <w:right w:val="nil"/>
            </w:tcBorders>
            <w:shd w:val="clear" w:color="auto" w:fill="auto"/>
            <w:noWrap/>
            <w:vAlign w:val="center"/>
            <w:hideMark/>
          </w:tcPr>
          <w:p w14:paraId="3FB777F7" w14:textId="77777777" w:rsidR="00204F99" w:rsidRPr="00AB4C1D" w:rsidRDefault="00204F99" w:rsidP="005008EB">
            <w:pPr>
              <w:pStyle w:val="cuatexto"/>
              <w:spacing w:line="240" w:lineRule="auto"/>
              <w:jc w:val="right"/>
            </w:pPr>
            <w:r>
              <w:t>13.873.998</w:t>
            </w:r>
          </w:p>
        </w:tc>
      </w:tr>
    </w:tbl>
    <w:p w14:paraId="265A0630" w14:textId="77777777" w:rsidR="00204F99" w:rsidRDefault="00204F99" w:rsidP="00553841">
      <w:pPr>
        <w:pStyle w:val="texto"/>
        <w:spacing w:before="240"/>
      </w:pPr>
      <w:r>
        <w:t>Bi partida hauek txosten honen norainokoaren zati bat diren dirulaguntza arrunten guztizkoaren ehuneko 75 dira.</w:t>
      </w:r>
    </w:p>
    <w:p w14:paraId="66AC1BC1" w14:textId="77777777" w:rsidR="00496B22" w:rsidRDefault="00204F99" w:rsidP="00CE50DD">
      <w:pPr>
        <w:pStyle w:val="texto"/>
        <w:spacing w:after="240"/>
      </w:pPr>
      <w:r>
        <w:t>Berrikusitako deialdiak zazpi dira guztira. Haien xehetasunak 1. eranskinean kontsulta daitezke. Deialdi batzuek, aurreko ekitaldietatik badatoz ere, abian jarraitu dute eta gastua ekarri dute 2020an.</w:t>
      </w:r>
    </w:p>
    <w:p w14:paraId="73B19D6B" w14:textId="77777777" w:rsidR="00496B22" w:rsidRDefault="00496B22">
      <w:pPr>
        <w:spacing w:after="0"/>
        <w:ind w:firstLine="0"/>
        <w:jc w:val="left"/>
        <w:rPr>
          <w:spacing w:val="6"/>
          <w:sz w:val="26"/>
          <w:szCs w:val="24"/>
        </w:rPr>
      </w:pPr>
      <w:r>
        <w:lastRenderedPageBreak/>
        <w:br w:type="page"/>
      </w:r>
    </w:p>
    <w:p w14:paraId="7FF0F7B2" w14:textId="77777777" w:rsidR="00204F99" w:rsidRPr="00553841" w:rsidRDefault="00204F99" w:rsidP="00553841">
      <w:pPr>
        <w:pStyle w:val="atitulo1"/>
      </w:pPr>
      <w:bookmarkStart w:id="19" w:name="_Toc423419507"/>
      <w:bookmarkStart w:id="20" w:name="_Toc75857471"/>
      <w:bookmarkStart w:id="21" w:name="_Toc86129299"/>
      <w:r>
        <w:lastRenderedPageBreak/>
        <w:t xml:space="preserve">IV. </w:t>
      </w:r>
      <w:bookmarkEnd w:id="19"/>
      <w:r>
        <w:t>Konklusioak eta gomendioak</w:t>
      </w:r>
      <w:bookmarkEnd w:id="20"/>
      <w:bookmarkEnd w:id="21"/>
    </w:p>
    <w:p w14:paraId="5A5B622C" w14:textId="77777777" w:rsidR="00204F99" w:rsidRPr="00667DFF" w:rsidRDefault="00204F99" w:rsidP="00553841">
      <w:pPr>
        <w:pStyle w:val="atitulo3"/>
      </w:pPr>
      <w:r>
        <w:t>Nafarroako Foru Komunitateko Administrazioaren erantzukizuna</w:t>
      </w:r>
    </w:p>
    <w:p w14:paraId="7ED20B38" w14:textId="77777777" w:rsidR="00204F99" w:rsidRDefault="00204F99" w:rsidP="00553841">
      <w:pPr>
        <w:pStyle w:val="texto"/>
      </w:pPr>
      <w:r>
        <w:t>NFKAko departamentuen eginbeharra da gastuak zuzen esleitzea aurrekontuko partidei; eta bermatzea aplikatu beharreko araudiarekin bat datozela ematen diren dirulaguntza guztiak.</w:t>
      </w:r>
    </w:p>
    <w:p w14:paraId="5B05705C" w14:textId="77777777" w:rsidR="00204F99" w:rsidRPr="00667DFF" w:rsidRDefault="00204F99" w:rsidP="00306812">
      <w:pPr>
        <w:pStyle w:val="texto"/>
        <w:spacing w:after="240"/>
      </w:pPr>
      <w:r>
        <w:t>Ekonomia eta Ogasun Departamentua da, Kontu-hartzailetza Nagusiaren bidez, beharrezkotzat jotzen dituen barne kontroleko sistemak ezartzeko erantzukizuna duena, departamentuek aurreko paragrafoan ezarritakoa betetzen dutela egiaztatzeko.</w:t>
      </w:r>
    </w:p>
    <w:p w14:paraId="7AB44D90" w14:textId="77777777" w:rsidR="00204F99" w:rsidRPr="00667DFF" w:rsidRDefault="00204F99" w:rsidP="00553841">
      <w:pPr>
        <w:pStyle w:val="atitulo3"/>
      </w:pPr>
      <w:r>
        <w:t>Nafarroako Kontuen Ganberaren erantzukizuna</w:t>
      </w:r>
    </w:p>
    <w:p w14:paraId="72108CD6" w14:textId="77777777" w:rsidR="00204F99" w:rsidRPr="00225357" w:rsidRDefault="00204F99" w:rsidP="00553841">
      <w:pPr>
        <w:pStyle w:val="texto"/>
      </w:pPr>
      <w:r>
        <w:t xml:space="preserve">Gure erantzukizuna da iritzi bat adieraztea dirulaguntzekin zerikusia duten jarduketak legezkotasunaren araberakoak izateari buruz eta informazio finantzarioa aplikatzekoa den araudiaren araberakoa izateari buruz, bai eta DPEa aztertzea ere. </w:t>
      </w:r>
    </w:p>
    <w:p w14:paraId="7FF7F3EF" w14:textId="77777777" w:rsidR="00204F99" w:rsidRPr="00667DFF" w:rsidRDefault="00204F99" w:rsidP="00553841">
      <w:pPr>
        <w:pStyle w:val="texto"/>
        <w:rPr>
          <w:szCs w:val="26"/>
        </w:rPr>
      </w:pPr>
      <w:r>
        <w:t>Horretarako, hura egin dugu Kanpo Kontroleko Erakunde Publikoek erabakitako funtsezko fiskalizazio-printzipioen arabera, eta, zehazki, finantza-fiskalizazioari buruz ISSAI-ES 200 delakoan ezarritakoen arabera, bai eta legezkotasuna betetzearen fiskalizazioari buruzkoa den ISSAI-ES 400 delakoan ezarritakoen arabera ere; halaber, kanpo kontroleko organoen fiskalizazioari buruzko gida praktikoak erabili ditugu. Printzipio horiek eskatzen dute etikaren arloko eskakizunak bete ditzagula, bai eta fiskalizazioaren plangintza eta betearaztea egin dezagula ere, honako helburu honekin: arrazoizko segurtasun bat izatea ekitaldian egindako jarduerak zein finantzen egoera-orrietan islatutako informazioa, alderdi adierazgarri guztietan, arau indardunen araberakoak izateari buruz.</w:t>
      </w:r>
    </w:p>
    <w:p w14:paraId="66562450" w14:textId="77777777" w:rsidR="00204F99" w:rsidRDefault="00204F99" w:rsidP="00553841">
      <w:pPr>
        <w:pStyle w:val="texto"/>
      </w:pPr>
      <w:r>
        <w:t>Fiskalizazio batek eskatzen du prozedura batzuk aplika ditzagula auditoria-ebidentzia bat lortzeko urteko kontuetan adierazitako zenbatekoei eta informazioari buruz, bai eta eragiketen legezkotasunari buruz ere. Hautatutako prozedurak auditorearen irizpidearen araberakoak dira, horren barne dela kontu orokorren akats materialei buruzko arriskuen balorazioa, akats hori iruzurraren nahiz akatsaren ondoriozkoa denean eta legezkotasunaren ez-betetze aipagarrien ondoriozkoa denean. Arriskuari buruzko balorazio horiek egiterakoan, auditoreak barne kontrola hartzen du kontuan —entitateak kontu orokorrak egin ditzan garrantzitsua baita— inguruabarren araberako auditoretza-prozedura egokiak diseinatze aldera, eta ez entitatearen barne kontrolaren eraginkortasunari buruzko iritzia emateko xedez.</w:t>
      </w:r>
    </w:p>
    <w:p w14:paraId="11BC0115" w14:textId="77777777" w:rsidR="00204F99" w:rsidRPr="00667DFF" w:rsidRDefault="00204F99" w:rsidP="00553841">
      <w:pPr>
        <w:pStyle w:val="texto"/>
      </w:pPr>
      <w:r>
        <w:t>Auditoria batek barne biltzen du, era berean, aplikatutako kontabilitate-politiken egokitasuna eta arduradunek egindako kontabilitate-estimazioen arrazoizkotasuna, bai eta aztertutako aurrekontu-partiden aurkezpena ere, oro har.</w:t>
      </w:r>
    </w:p>
    <w:p w14:paraId="74824B4E" w14:textId="77777777" w:rsidR="00204F99" w:rsidRDefault="00204F99" w:rsidP="00CE50DD">
      <w:pPr>
        <w:tabs>
          <w:tab w:val="center" w:pos="2835"/>
          <w:tab w:val="center" w:pos="3969"/>
          <w:tab w:val="center" w:pos="5103"/>
          <w:tab w:val="center" w:pos="6237"/>
          <w:tab w:val="center" w:pos="7371"/>
        </w:tabs>
        <w:spacing w:after="360"/>
        <w:ind w:firstLine="284"/>
        <w:rPr>
          <w:spacing w:val="6"/>
          <w:sz w:val="26"/>
          <w:szCs w:val="24"/>
        </w:rPr>
      </w:pPr>
      <w:r>
        <w:rPr>
          <w:sz w:val="26"/>
          <w:szCs w:val="24"/>
        </w:rPr>
        <w:lastRenderedPageBreak/>
        <w:t>Gure ustez, lortu dugun auditoretza-ebidentziak oinarri nahikoa eta egokia eskaintzen du finantzen eta betetzearen gaineko gure fiskalizazio-iritzia funtsatzeko.</w:t>
      </w:r>
    </w:p>
    <w:p w14:paraId="458FF6E2" w14:textId="77777777" w:rsidR="00204F99" w:rsidRPr="00553841" w:rsidRDefault="00204F99" w:rsidP="00553841">
      <w:pPr>
        <w:pStyle w:val="atitulo2"/>
      </w:pPr>
      <w:bookmarkStart w:id="22" w:name="_Toc75857472"/>
      <w:bookmarkStart w:id="23" w:name="_Toc86129300"/>
      <w:r>
        <w:t>IV.1. Legediaren betetzearen fiskalizazio-iritzia</w:t>
      </w:r>
      <w:bookmarkEnd w:id="22"/>
      <w:bookmarkEnd w:id="23"/>
    </w:p>
    <w:p w14:paraId="3EFF0635" w14:textId="77777777" w:rsidR="00204F99" w:rsidRDefault="00204F99" w:rsidP="00553841">
      <w:pPr>
        <w:pStyle w:val="atitulo3"/>
      </w:pPr>
      <w:r>
        <w:t>IV.1.1. Legediaren betetzeari buruzko iritzia</w:t>
      </w:r>
    </w:p>
    <w:p w14:paraId="589DEB61" w14:textId="77777777" w:rsidR="00204F99" w:rsidRDefault="00204F99" w:rsidP="00204F99">
      <w:pPr>
        <w:pStyle w:val="texto"/>
        <w:spacing w:after="180"/>
        <w:rPr>
          <w:szCs w:val="26"/>
        </w:rPr>
      </w:pPr>
      <w:r>
        <w:t>Gure iritziz, NFKAk enpresa pribatuei 2020an emandako dirulaguntzak bat datoz, alderdi esanguratsu guztietan, aplikatzekoa den araudiarekin.</w:t>
      </w:r>
    </w:p>
    <w:p w14:paraId="3D5BD70F" w14:textId="77777777" w:rsidR="00204F99" w:rsidRDefault="00204F99" w:rsidP="00CA2985">
      <w:pPr>
        <w:pStyle w:val="atitulo3"/>
      </w:pPr>
      <w:r>
        <w:t xml:space="preserve">IV.1.2. Beste oharpen batzuk, emandako iritzian eraginik ez dutenak </w:t>
      </w:r>
    </w:p>
    <w:p w14:paraId="075626BB" w14:textId="77777777" w:rsidR="00204F99" w:rsidRPr="00E86C71" w:rsidRDefault="00204F99" w:rsidP="00204F99">
      <w:pPr>
        <w:tabs>
          <w:tab w:val="center" w:pos="2835"/>
          <w:tab w:val="center" w:pos="3969"/>
          <w:tab w:val="center" w:pos="5103"/>
          <w:tab w:val="center" w:pos="6237"/>
          <w:tab w:val="center" w:pos="7371"/>
        </w:tabs>
        <w:ind w:firstLine="0"/>
        <w:rPr>
          <w:rFonts w:ascii="Arial" w:hAnsi="Arial"/>
          <w:bCs/>
          <w:i/>
          <w:iCs/>
          <w:color w:val="000000"/>
          <w:spacing w:val="10"/>
          <w:kern w:val="28"/>
          <w:sz w:val="25"/>
          <w:szCs w:val="26"/>
        </w:rPr>
      </w:pPr>
      <w:r>
        <w:rPr>
          <w:rFonts w:ascii="Arial" w:hAnsi="Arial"/>
          <w:bCs/>
          <w:i/>
          <w:iCs/>
          <w:color w:val="000000"/>
          <w:sz w:val="25"/>
          <w:szCs w:val="26"/>
        </w:rPr>
        <w:t xml:space="preserve">Ondorio orokorrak </w:t>
      </w:r>
    </w:p>
    <w:p w14:paraId="0F1883F7" w14:textId="77777777" w:rsidR="00204F99" w:rsidRPr="00CA2985"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bookmarkStart w:id="24" w:name="_Toc305415950"/>
      <w:bookmarkStart w:id="25" w:name="_Toc305480468"/>
      <w:bookmarkStart w:id="26" w:name="_Toc402180175"/>
      <w:bookmarkStart w:id="27" w:name="_Toc188167196"/>
      <w:bookmarkStart w:id="28" w:name="_Toc303592533"/>
      <w:bookmarkStart w:id="29" w:name="_Toc309383716"/>
      <w:bookmarkStart w:id="30" w:name="_Toc339016605"/>
      <w:r>
        <w:t xml:space="preserve">Administrazioa sinplifikatzearen printzipioak, Administrazio Publikoen Administrazio Prozedura Erkidearen 39/2015 Legean jasotakoak, helburu gisa du prozedurak dimentsio ezin hobeetara jaistea. Berrikusitako deialdietatik batzuetan, aurrera egin da prozeduren diseinuan, aplikazioak eta informazio-sistemak garatuta; adibidez, SUMA, Nafarroako Enplegu Zerbitzuan, eta GESTAM, Garapen Ekonomikoko Departamentuan. Horrela, erraztasunak eman dira prozedurak sinplifikatzeko eta gardentasuna lortzeko.  </w:t>
      </w:r>
    </w:p>
    <w:p w14:paraId="3A8B5EC4" w14:textId="77777777" w:rsidR="00204F99" w:rsidRPr="00B468EC"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“Nafarroako Gobernuak entitate eta elkarte batzuei emandako dirulaguntzei buruzko txostena (2014)” txostenean eta “Nafarroako 2019ko Kontu Orokorrak” txostenan Kontuen Ganberak adierazi bezala, “Ikusi da oinarri arautzaileak oso exhaustiboak direla betekizunei dagokienez, eta izapide administratibo ugari eskatzen dituztela, arduraldi eta zeregin bereziak eragiten dizkietenak bai organo emaileari, bai onuradunari ere; halaber, ikusi dugu nolabaiteko exigentzia bat badagoela, murriztapen eta muga batzuk ezari baitira zenbait gastu-kontzeptu justifikatzeko.</w:t>
      </w:r>
    </w:p>
    <w:p w14:paraId="0FBF5C59" w14:textId="77777777" w:rsidR="00204F99" w:rsidRPr="00CA2985"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 xml:space="preserve">Batzordearen 2013ko abenduaren 18ko 1407/2013 (EB) Erregelamenduan araututako zenbateko txikiko laguntzak, minimis izenekoak, hiru zerga-ekitalditan enpresa bakoitzeko 200.000 euro gainditzen ez dituztenak dira. Deialdi guztiek jasota uzten dute laguntzek minimis araudi hori bete behar dutela, eta dirulaguntzaren eskabidearekin batera, azken hiru ekitaldietan jasotako minimis laguntzak egiaztatzen dituen erantzukizunpeko adierazpena aurkeztu behar dela. Ez da inongo kontrol gehigarririk egiten. </w:t>
      </w:r>
    </w:p>
    <w:p w14:paraId="3B467F53" w14:textId="77777777" w:rsidR="00204F99" w:rsidRPr="00CA2985"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spacing w:after="360"/>
        <w:ind w:left="0" w:firstLine="289"/>
        <w:rPr>
          <w:szCs w:val="26"/>
        </w:rPr>
      </w:pPr>
      <w:r>
        <w:t xml:space="preserve">Objektibotasunaren printzipioak, Dirulaguntzei buruzko Foru Legearen 5. artikuluan araututa dagoenak, behartzen du deialdietan eskabideak baloratzeko irizpideak sartzera, bai eta irizpide horien araberako ebaluazioa egitera ere. Ikusi dugunez, bai doktoregaiei bai proiektu estrategikoei emandako laguntzetan, eskabideak baloratzeko irizpideak ez daude behar bezala garatuta oinarri arautzaileetan, eta horrek zaildu egin du egindako balorazioaren justifikazioa kontrolatzea. </w:t>
      </w:r>
    </w:p>
    <w:p w14:paraId="1A8F6773" w14:textId="77777777" w:rsidR="00C91A1D" w:rsidRPr="00E86C71" w:rsidRDefault="00C91A1D" w:rsidP="00C91A1D">
      <w:pPr>
        <w:pStyle w:val="atitulo3"/>
      </w:pPr>
      <w:r>
        <w:lastRenderedPageBreak/>
        <w:t xml:space="preserve">Enpresa industrial handientzako inbertsiorako laguntzak. </w:t>
      </w:r>
    </w:p>
    <w:p w14:paraId="0A806785" w14:textId="77777777" w:rsidR="00204F99" w:rsidRPr="00CA2985" w:rsidRDefault="00204F99" w:rsidP="00CA2985">
      <w:pPr>
        <w:pStyle w:val="texto"/>
        <w:rPr>
          <w:spacing w:val="-2"/>
        </w:rPr>
      </w:pPr>
      <w:r>
        <w:tab/>
        <w:t>Eskaera guztietatik 26 ukatu dira, eta horietatik 21 baztertu egin dira, aurrekonturik ez dagoelako. Emakidak kreditu erabilgarria agortzen du, 2,5 milioi guztira, baina organo emaileak, azkenean, laguntzen eta ordainketen zenbatekoa 1,5 milioitan finkatzen du. Emakidaren onuradun izan diren 14 enpresetatik zazpik ez dute azkenean inolako laguntzarik jasotzen, epearen barruan justifikaziori aurkeztu ez dutelako (0,7 milioi euro). Emakidaren eta oinarrietan ezarritako justifikazioaren arteko epea hiru hilabetekoa bazen ere, bi hilabetera murriztu zen, emakida atzeratzeagatik.</w:t>
      </w:r>
    </w:p>
    <w:p w14:paraId="7B100A64" w14:textId="77777777" w:rsidR="00204F99" w:rsidRPr="00CA2985" w:rsidRDefault="00204F99" w:rsidP="00CA2985">
      <w:pPr>
        <w:pStyle w:val="texto"/>
      </w:pPr>
      <w:r>
        <w:t>Halaber, ikusten da atzerapena egon dela justifikatzeko epea amaitzen denetik dirulaguntza ordaindu arte, hau da, oinarrietan aurreikusitako gehienezko epea (sei hilabetekoa) baino hamar hilabete gehiago.</w:t>
      </w:r>
    </w:p>
    <w:p w14:paraId="316B9D8F" w14:textId="77777777" w:rsidR="00204F99" w:rsidRPr="00CA2985" w:rsidRDefault="00204F99" w:rsidP="00CE50DD">
      <w:pPr>
        <w:pStyle w:val="texto"/>
        <w:spacing w:after="240"/>
      </w:pPr>
      <w:r>
        <w:tab/>
        <w:t>Deialdia Ogasuneko eta Administrazio Publikoetako Ministerioaren Dirulaguntzen Oinarri Nazionalean argitaratzen da; ematea, ordea, ez da argitaratzen.</w:t>
      </w:r>
    </w:p>
    <w:p w14:paraId="08883AEA" w14:textId="77777777" w:rsidR="00204F99" w:rsidRPr="00E86C71" w:rsidRDefault="00204F99" w:rsidP="00CA2985">
      <w:pPr>
        <w:pStyle w:val="atitulo3"/>
      </w:pPr>
      <w:r>
        <w:t>Garraiorako laguntzak</w:t>
      </w:r>
    </w:p>
    <w:p w14:paraId="6D48CCD1" w14:textId="77777777" w:rsidR="00204F99" w:rsidRPr="00CA2985" w:rsidRDefault="00204F99" w:rsidP="00CA2985">
      <w:pPr>
        <w:pStyle w:val="texto"/>
      </w:pPr>
      <w:r>
        <w:t xml:space="preserve">Lurralde Kohesiorako Departamentuak bidaiarien garraio publiko erregularraren zerbitzuaren enpresa emakidadunei emandako laguntzak, NFKAren titulartasunekoak, konpentsazio ekonomikoko araubide berezi baten menpe daude, emakidaren bideragarritasun ekonomikoa bermatzeko. 2020ko gastua 1,3 milioikoa izan zen. </w:t>
      </w:r>
    </w:p>
    <w:p w14:paraId="1CE65567" w14:textId="77777777" w:rsidR="00204F99" w:rsidRPr="00CA2985" w:rsidRDefault="00EC3733" w:rsidP="00CA2985">
      <w:pPr>
        <w:pStyle w:val="texto"/>
      </w:pPr>
      <w:r>
        <w:t xml:space="preserve">Laguntza hori "zerbitzuaren prestazioan ustiapen-defizita duten linea erregularren enpresa emakidadunentzako laguntza” delako DPEan sartuta dago. </w:t>
      </w:r>
    </w:p>
    <w:p w14:paraId="4B67246A" w14:textId="77777777" w:rsidR="00204F99" w:rsidRPr="00CA2985" w:rsidRDefault="00EC3733" w:rsidP="00CA2985">
      <w:pPr>
        <w:pStyle w:val="texto"/>
      </w:pPr>
      <w:r>
        <w:t>Emakida-kontratuetan araututa dago. Kontratu horiek 2009an aldarazi ziren, xedetzat harturik 2009an eta hurrengo urteetan ustiapen defizitarioa izandako enpresa emakida-hartzaileentzako laguntza horien araubidea ezartzea; horrenbestez, ez dauka dirulaguntza-aintzatespenik, ez dago DFLri loturik, eta halaber ez zen DPEn jaso beharko.</w:t>
      </w:r>
    </w:p>
    <w:p w14:paraId="4EECC1BC" w14:textId="77777777" w:rsidR="00204F99" w:rsidRPr="00CA2985" w:rsidRDefault="00204F99" w:rsidP="00CA2985">
      <w:pPr>
        <w:pStyle w:val="texto"/>
      </w:pPr>
      <w:r>
        <w:t>Laguntza horren berrikuspenean oker bat detektatu da ustiapen defizitarioagatiko diruzko konpentsazioan, hain zuzen 2019. urtekoa izanik 2020an ordaindu zen horretan. Departamentuak berrikusi egin ditu aurreko urte preskribitugabeetako kalkuluak, erregularizazioa egin du eta 2017-2019 urte-tartean eginiko gainordainketen itzulketa eskatu du, zeinek 19.555 euro egiten baitute.</w:t>
      </w:r>
    </w:p>
    <w:p w14:paraId="6BD13138" w14:textId="77777777" w:rsidR="00204F99" w:rsidRPr="00CA2985" w:rsidRDefault="00204F99" w:rsidP="00CA2985">
      <w:pPr>
        <w:pStyle w:val="texto"/>
      </w:pPr>
      <w:r>
        <w:t>Interes ekonomiko orokorreko zerbitzu-emate horretan aritzeko emakidak 2014an bukatu ziren, eta ez da emakida-berritzerik egin.</w:t>
      </w:r>
    </w:p>
    <w:p w14:paraId="535A2F13" w14:textId="77777777" w:rsidR="00204F99" w:rsidRPr="002663CF" w:rsidRDefault="00662164" w:rsidP="00CE50DD">
      <w:pPr>
        <w:pStyle w:val="texto"/>
        <w:spacing w:after="240"/>
      </w:pPr>
      <w:r>
        <w:t xml:space="preserve">Zerbitzu-emateak aurrera segitu du, eta enpresa emakida-hartzaileentzako diruzko konpentsazioak ordaindu dira 2015-2019 epeari aberaste bidegabearen doktrina aplikatuz, 5,8 milioiko guztizko zenbatekoarekin. </w:t>
      </w:r>
      <w:r>
        <w:tab/>
        <w:t xml:space="preserve"> </w:t>
      </w:r>
    </w:p>
    <w:p w14:paraId="45CCBDF3" w14:textId="77777777" w:rsidR="00204F99" w:rsidRPr="00E86C71" w:rsidRDefault="00204F99" w:rsidP="00CA2985">
      <w:pPr>
        <w:pStyle w:val="atitulo3"/>
      </w:pPr>
      <w:r>
        <w:lastRenderedPageBreak/>
        <w:t>Ostalaritzarentzako laguntzak</w:t>
      </w:r>
    </w:p>
    <w:p w14:paraId="5A9FE925" w14:textId="77777777" w:rsidR="00204F99" w:rsidRPr="00CA2985" w:rsidRDefault="00204F99" w:rsidP="00CA2985">
      <w:pPr>
        <w:pStyle w:val="texto"/>
      </w:pPr>
      <w:r>
        <w:t xml:space="preserve">Turismoaren eta ostalaritzaren sektoreei COVID-19ak ekarritako ondorio ekonomikoengatik kalte-ordaina emateko laguntzen deialdiak 13,5 milioiko gastua izan du 2020an. </w:t>
      </w:r>
    </w:p>
    <w:p w14:paraId="43C0106D" w14:textId="77777777" w:rsidR="00204F99" w:rsidRPr="00CA2985" w:rsidRDefault="00204F99" w:rsidP="00CA2985">
      <w:pPr>
        <w:pStyle w:val="texto"/>
      </w:pPr>
      <w:r>
        <w:t>Departamentuak laguntzen kudeaketarako sistema automatizatu bat ezarri zuen, GESTAM aplikazio informatikoaren bitartezkoa, hala baldintza-egiaztapeneko prozeduretarako nola laguntzaren zenbatekoaren kalkulu automatizaturako eta, kasua izatenez gero, horien itzulketarako.</w:t>
      </w:r>
    </w:p>
    <w:p w14:paraId="3A42F339" w14:textId="77777777" w:rsidR="00204F99" w:rsidRPr="003A0EDD" w:rsidRDefault="00204F99" w:rsidP="00CE50DD">
      <w:pPr>
        <w:pStyle w:val="texto"/>
        <w:spacing w:after="240"/>
        <w:rPr>
          <w:i/>
        </w:rPr>
      </w:pPr>
      <w:r>
        <w:t xml:space="preserve">Dirulaguntza horren kudeaketarekin zerikusia izandako informazio-sistemen gaineko hiru kontrol berrikusi ditugu eta hiru proba substantibo egin dizkiegu, eta emandako dirulaguntza guztiak aztertu ditugu (2.074 onuradun eta 13 milioi). Lorturiko emaitza honakoa izan da: </w:t>
      </w:r>
    </w:p>
    <w:tbl>
      <w:tblPr>
        <w:tblStyle w:val="Tablaconcuadrcula"/>
        <w:tblW w:w="8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34"/>
        <w:gridCol w:w="1843"/>
        <w:gridCol w:w="1414"/>
        <w:gridCol w:w="992"/>
      </w:tblGrid>
      <w:tr w:rsidR="00204F99" w14:paraId="2D00D351" w14:textId="77777777" w:rsidTr="005008EB">
        <w:trPr>
          <w:trHeight w:val="284"/>
        </w:trPr>
        <w:tc>
          <w:tcPr>
            <w:tcW w:w="3402" w:type="dxa"/>
            <w:tcBorders>
              <w:top w:val="single" w:sz="4" w:space="0" w:color="auto"/>
              <w:bottom w:val="single" w:sz="4" w:space="0" w:color="auto"/>
            </w:tcBorders>
            <w:shd w:val="clear" w:color="auto" w:fill="B8CCE4" w:themeFill="accent1" w:themeFillTint="66"/>
            <w:vAlign w:val="center"/>
          </w:tcPr>
          <w:p w14:paraId="3579B271" w14:textId="77777777" w:rsidR="00204F99" w:rsidRPr="00C90D88" w:rsidRDefault="00204F99" w:rsidP="00CA2985">
            <w:pPr>
              <w:pStyle w:val="cuadroCabe"/>
              <w:rPr>
                <w:lang w:val="es-ES"/>
              </w:rPr>
            </w:pPr>
          </w:p>
        </w:tc>
        <w:tc>
          <w:tcPr>
            <w:tcW w:w="1134" w:type="dxa"/>
            <w:tcBorders>
              <w:top w:val="single" w:sz="4" w:space="0" w:color="auto"/>
              <w:bottom w:val="single" w:sz="4" w:space="0" w:color="auto"/>
            </w:tcBorders>
            <w:shd w:val="clear" w:color="auto" w:fill="B8CCE4" w:themeFill="accent1" w:themeFillTint="66"/>
            <w:vAlign w:val="center"/>
          </w:tcPr>
          <w:p w14:paraId="18BF5FA3" w14:textId="77777777" w:rsidR="00204F99" w:rsidRPr="00C90D88" w:rsidRDefault="00204F99" w:rsidP="005008EB">
            <w:pPr>
              <w:pStyle w:val="cuadroCabe"/>
              <w:jc w:val="right"/>
            </w:pPr>
            <w:r>
              <w:t xml:space="preserve">Eraginkorrak </w:t>
            </w:r>
          </w:p>
        </w:tc>
        <w:tc>
          <w:tcPr>
            <w:tcW w:w="1843" w:type="dxa"/>
            <w:tcBorders>
              <w:top w:val="single" w:sz="4" w:space="0" w:color="auto"/>
              <w:bottom w:val="single" w:sz="4" w:space="0" w:color="auto"/>
            </w:tcBorders>
            <w:shd w:val="clear" w:color="auto" w:fill="B8CCE4" w:themeFill="accent1" w:themeFillTint="66"/>
            <w:vAlign w:val="center"/>
          </w:tcPr>
          <w:p w14:paraId="00C4A7BE" w14:textId="77777777" w:rsidR="005008EB" w:rsidRDefault="00204F99" w:rsidP="005008EB">
            <w:pPr>
              <w:pStyle w:val="cuadroCabe"/>
              <w:jc w:val="right"/>
            </w:pPr>
            <w:r>
              <w:t xml:space="preserve">Eraginkorrak, gomendioekin </w:t>
            </w:r>
          </w:p>
          <w:p w14:paraId="1363C7FE" w14:textId="77777777" w:rsidR="00204F99" w:rsidRDefault="00204F99" w:rsidP="005008EB">
            <w:pPr>
              <w:pStyle w:val="cuadroCabe"/>
              <w:jc w:val="right"/>
            </w:pPr>
          </w:p>
        </w:tc>
        <w:tc>
          <w:tcPr>
            <w:tcW w:w="1414" w:type="dxa"/>
            <w:tcBorders>
              <w:top w:val="single" w:sz="4" w:space="0" w:color="auto"/>
              <w:bottom w:val="single" w:sz="4" w:space="0" w:color="auto"/>
            </w:tcBorders>
            <w:shd w:val="clear" w:color="auto" w:fill="B8CCE4" w:themeFill="accent1" w:themeFillTint="66"/>
            <w:vAlign w:val="center"/>
          </w:tcPr>
          <w:p w14:paraId="75FC15F1" w14:textId="77777777" w:rsidR="00204F99" w:rsidRPr="00C90D88" w:rsidRDefault="00204F99" w:rsidP="005008EB">
            <w:pPr>
              <w:pStyle w:val="cuadroCabe"/>
              <w:jc w:val="right"/>
            </w:pPr>
            <w:r>
              <w:t>Ez-eraginkorrak</w:t>
            </w:r>
          </w:p>
        </w:tc>
        <w:tc>
          <w:tcPr>
            <w:tcW w:w="992" w:type="dxa"/>
            <w:tcBorders>
              <w:top w:val="single" w:sz="4" w:space="0" w:color="auto"/>
              <w:bottom w:val="single" w:sz="4" w:space="0" w:color="auto"/>
            </w:tcBorders>
            <w:shd w:val="clear" w:color="auto" w:fill="B8CCE4" w:themeFill="accent1" w:themeFillTint="66"/>
            <w:vAlign w:val="center"/>
          </w:tcPr>
          <w:p w14:paraId="62E2AC82" w14:textId="77777777" w:rsidR="00204F99" w:rsidRPr="00C90D88" w:rsidRDefault="00204F99" w:rsidP="005008EB">
            <w:pPr>
              <w:pStyle w:val="cuadroCabe"/>
              <w:jc w:val="right"/>
            </w:pPr>
            <w:r>
              <w:t>Guztira</w:t>
            </w:r>
          </w:p>
        </w:tc>
      </w:tr>
      <w:tr w:rsidR="00204F99" w14:paraId="547B3FD6" w14:textId="77777777" w:rsidTr="005008EB">
        <w:trPr>
          <w:trHeight w:val="284"/>
        </w:trPr>
        <w:tc>
          <w:tcPr>
            <w:tcW w:w="3402" w:type="dxa"/>
            <w:tcBorders>
              <w:top w:val="single" w:sz="4" w:space="0" w:color="auto"/>
              <w:bottom w:val="single" w:sz="2" w:space="0" w:color="auto"/>
            </w:tcBorders>
          </w:tcPr>
          <w:p w14:paraId="13B786F9" w14:textId="77777777" w:rsidR="00204F99" w:rsidRPr="00C90D88" w:rsidRDefault="00204F99" w:rsidP="00CA2985">
            <w:pPr>
              <w:pStyle w:val="cuatexto"/>
            </w:pPr>
            <w:r>
              <w:t xml:space="preserve">Kontrol kopurua </w:t>
            </w:r>
          </w:p>
        </w:tc>
        <w:tc>
          <w:tcPr>
            <w:tcW w:w="1134" w:type="dxa"/>
            <w:tcBorders>
              <w:top w:val="single" w:sz="4" w:space="0" w:color="auto"/>
              <w:bottom w:val="single" w:sz="2" w:space="0" w:color="auto"/>
            </w:tcBorders>
          </w:tcPr>
          <w:p w14:paraId="02C1A8F2" w14:textId="77777777" w:rsidR="00204F99" w:rsidRPr="00C90D88" w:rsidRDefault="002E4BB4" w:rsidP="005008EB">
            <w:pPr>
              <w:pStyle w:val="cuatexto"/>
              <w:jc w:val="right"/>
            </w:pPr>
            <w:r>
              <w:t>-</w:t>
            </w:r>
          </w:p>
        </w:tc>
        <w:tc>
          <w:tcPr>
            <w:tcW w:w="1843" w:type="dxa"/>
            <w:tcBorders>
              <w:top w:val="single" w:sz="4" w:space="0" w:color="auto"/>
              <w:bottom w:val="single" w:sz="2" w:space="0" w:color="auto"/>
            </w:tcBorders>
          </w:tcPr>
          <w:p w14:paraId="5A7AFF04" w14:textId="77777777" w:rsidR="00204F99" w:rsidRDefault="00204F99" w:rsidP="005008EB">
            <w:pPr>
              <w:pStyle w:val="cuatexto"/>
              <w:jc w:val="right"/>
            </w:pPr>
            <w:r>
              <w:t>2</w:t>
            </w:r>
          </w:p>
        </w:tc>
        <w:tc>
          <w:tcPr>
            <w:tcW w:w="1414" w:type="dxa"/>
            <w:tcBorders>
              <w:top w:val="single" w:sz="4" w:space="0" w:color="auto"/>
              <w:bottom w:val="single" w:sz="2" w:space="0" w:color="auto"/>
            </w:tcBorders>
          </w:tcPr>
          <w:p w14:paraId="3B9611A6" w14:textId="77777777" w:rsidR="00204F99" w:rsidRPr="00C90D88" w:rsidRDefault="00204F99" w:rsidP="005008EB">
            <w:pPr>
              <w:pStyle w:val="cuatexto"/>
              <w:jc w:val="right"/>
            </w:pPr>
            <w:r>
              <w:t>1</w:t>
            </w:r>
          </w:p>
        </w:tc>
        <w:tc>
          <w:tcPr>
            <w:tcW w:w="992" w:type="dxa"/>
            <w:tcBorders>
              <w:top w:val="single" w:sz="4" w:space="0" w:color="auto"/>
              <w:bottom w:val="single" w:sz="2" w:space="0" w:color="auto"/>
            </w:tcBorders>
          </w:tcPr>
          <w:p w14:paraId="072FEBF1" w14:textId="77777777" w:rsidR="00204F99" w:rsidRPr="00C90D88" w:rsidRDefault="00204F99" w:rsidP="005008EB">
            <w:pPr>
              <w:pStyle w:val="cuatexto"/>
              <w:jc w:val="right"/>
            </w:pPr>
            <w:r>
              <w:t>3</w:t>
            </w:r>
          </w:p>
        </w:tc>
      </w:tr>
      <w:tr w:rsidR="00204F99" w14:paraId="6AE43368" w14:textId="77777777" w:rsidTr="005008EB">
        <w:trPr>
          <w:trHeight w:val="284"/>
        </w:trPr>
        <w:tc>
          <w:tcPr>
            <w:tcW w:w="3402" w:type="dxa"/>
            <w:tcBorders>
              <w:top w:val="single" w:sz="2" w:space="0" w:color="auto"/>
              <w:bottom w:val="single" w:sz="4" w:space="0" w:color="auto"/>
            </w:tcBorders>
          </w:tcPr>
          <w:p w14:paraId="174CD2EE" w14:textId="77777777" w:rsidR="00204F99" w:rsidRDefault="00204F99" w:rsidP="00CA2985">
            <w:pPr>
              <w:pStyle w:val="cuatexto"/>
            </w:pPr>
            <w:r>
              <w:t>Proba substantiboak</w:t>
            </w:r>
          </w:p>
        </w:tc>
        <w:tc>
          <w:tcPr>
            <w:tcW w:w="1134" w:type="dxa"/>
            <w:tcBorders>
              <w:top w:val="single" w:sz="2" w:space="0" w:color="auto"/>
              <w:bottom w:val="single" w:sz="4" w:space="0" w:color="auto"/>
            </w:tcBorders>
          </w:tcPr>
          <w:p w14:paraId="7944B44C" w14:textId="77777777" w:rsidR="00204F99" w:rsidRDefault="00204F99" w:rsidP="005008EB">
            <w:pPr>
              <w:pStyle w:val="cuatexto"/>
              <w:jc w:val="right"/>
            </w:pPr>
            <w:r>
              <w:t>3</w:t>
            </w:r>
          </w:p>
        </w:tc>
        <w:tc>
          <w:tcPr>
            <w:tcW w:w="1843" w:type="dxa"/>
            <w:tcBorders>
              <w:top w:val="single" w:sz="2" w:space="0" w:color="auto"/>
              <w:bottom w:val="single" w:sz="4" w:space="0" w:color="auto"/>
            </w:tcBorders>
          </w:tcPr>
          <w:p w14:paraId="5BC5BE85" w14:textId="77777777" w:rsidR="00204F99" w:rsidRDefault="002E4BB4" w:rsidP="005008EB">
            <w:pPr>
              <w:pStyle w:val="cuatexto"/>
              <w:jc w:val="right"/>
            </w:pPr>
            <w:r>
              <w:t>-</w:t>
            </w:r>
          </w:p>
        </w:tc>
        <w:tc>
          <w:tcPr>
            <w:tcW w:w="1414" w:type="dxa"/>
            <w:tcBorders>
              <w:top w:val="single" w:sz="2" w:space="0" w:color="auto"/>
              <w:bottom w:val="single" w:sz="4" w:space="0" w:color="auto"/>
            </w:tcBorders>
          </w:tcPr>
          <w:p w14:paraId="4C2AD858" w14:textId="77777777" w:rsidR="00204F99" w:rsidRDefault="002E4BB4" w:rsidP="005008EB">
            <w:pPr>
              <w:pStyle w:val="cuatexto"/>
              <w:jc w:val="right"/>
            </w:pPr>
            <w:r>
              <w:t>-</w:t>
            </w:r>
          </w:p>
        </w:tc>
        <w:tc>
          <w:tcPr>
            <w:tcW w:w="992" w:type="dxa"/>
            <w:tcBorders>
              <w:top w:val="single" w:sz="2" w:space="0" w:color="auto"/>
              <w:bottom w:val="single" w:sz="4" w:space="0" w:color="auto"/>
            </w:tcBorders>
          </w:tcPr>
          <w:p w14:paraId="22BA949E" w14:textId="77777777" w:rsidR="00204F99" w:rsidRPr="00C90D88" w:rsidRDefault="00204F99" w:rsidP="005008EB">
            <w:pPr>
              <w:pStyle w:val="cuatexto"/>
              <w:jc w:val="right"/>
            </w:pPr>
            <w:r>
              <w:t>3</w:t>
            </w:r>
          </w:p>
        </w:tc>
      </w:tr>
    </w:tbl>
    <w:p w14:paraId="4F951DF5" w14:textId="77777777" w:rsidR="00204F99" w:rsidRDefault="00204F99" w:rsidP="00CA2985">
      <w:pPr>
        <w:pStyle w:val="texto"/>
        <w:spacing w:before="240"/>
        <w:rPr>
          <w:szCs w:val="26"/>
        </w:rPr>
      </w:pPr>
      <w:r>
        <w:t>Eginiko kontroletatik eratorritako emaitzei buruz, honakoak nabarmentzen ditugu:</w:t>
      </w:r>
    </w:p>
    <w:p w14:paraId="26AB1F8A" w14:textId="77777777" w:rsidR="00204F99" w:rsidRPr="00864DE5" w:rsidRDefault="003A0EDD"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 xml:space="preserve">Administratzaileak eta aplikazio-erabiltzailea ez diren erabiltzaile guztiek daukate irakurbaimena, salbu eta idazbaimena daukan erabiltzaile batek, zeina, aplikazioa garatzeko premiagatik, gaitua izan baitzen horren premia izatearen kasurako. </w:t>
      </w:r>
    </w:p>
    <w:p w14:paraId="0DE5BB51" w14:textId="77777777" w:rsidR="005C68B7" w:rsidRPr="00864DE5" w:rsidRDefault="003A0EDD"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Eskuz egiten da Gestam-eko ordainketen sorkuntza eta SAP GE21en kargatzea.</w:t>
      </w:r>
    </w:p>
    <w:p w14:paraId="414FBF29" w14:textId="77777777" w:rsidR="00204F99" w:rsidRPr="00864DE5" w:rsidRDefault="003A0EDD"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Eginkizun programatuen monitorizazioa gaitu egin da, baina ez da horren aldizkako berrikuspenik egiten. Eginkizun programatuen barruan, tarteko karpeta bat erabili ohi da, eta horretan honako ahulezia hauek detektatu ditugu: fitxategiek ez dute idazbabesik, eta karpetarako idazbaimena daukaten bi erabiltzaile-talde daude, noiz eta baimen horiek irakurtze soilerako izan beharko liratekeenean. Kasu horretan ere, horren zergatia garapen-beharra presakoa izatea da. Ezin izan dugu egiaztatu karpetako aldaketak behar bezala baimenduta ote dauden, auditoretza-erregistroa ez dagoelako gaituta.</w:t>
      </w:r>
    </w:p>
    <w:p w14:paraId="2B654C3B" w14:textId="77777777" w:rsidR="00204F99" w:rsidRPr="00864DE5" w:rsidRDefault="002E4BB4"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 xml:space="preserve">Datu-basean ez da aurkitzen aldaketa-baimenen erregistrorik. </w:t>
      </w:r>
    </w:p>
    <w:p w14:paraId="682A4015" w14:textId="77777777" w:rsidR="00204F99" w:rsidRPr="00CA2985" w:rsidRDefault="00204F99" w:rsidP="00CE50DD">
      <w:pPr>
        <w:pStyle w:val="texto"/>
        <w:spacing w:after="360"/>
      </w:pPr>
      <w:r>
        <w:t xml:space="preserve">Laburbildurik, ondoriozta daiteke ezen ostalaritzarentzako laguntzak kudeatzeko prozeduretan eta horiei euskarria ematen dieten informazio-sistemetan dagoen kontrol-mailak konfiantza-maila egoki bat eskaintzen duela, bermatzeko modukoa haiek ondo betetzen direla, eginiko transakzioak egokiro </w:t>
      </w:r>
      <w:r>
        <w:lastRenderedPageBreak/>
        <w:t xml:space="preserve">kontabilizatzen direla, eta kasuko informazioa balioduna, osoa, zehatza, konfidentziala eta eskuragarria dela. </w:t>
      </w:r>
    </w:p>
    <w:p w14:paraId="37E95EDD" w14:textId="77777777" w:rsidR="00204F99" w:rsidRPr="00CA2985" w:rsidRDefault="00204F99" w:rsidP="00CA2985">
      <w:pPr>
        <w:pStyle w:val="atitulo2"/>
      </w:pPr>
      <w:bookmarkStart w:id="31" w:name="_Toc75857473"/>
      <w:bookmarkStart w:id="32" w:name="_Toc86129301"/>
      <w:r>
        <w:t>IV.2. Fiskalizazio finantzarioko iritzia</w:t>
      </w:r>
      <w:bookmarkEnd w:id="31"/>
      <w:bookmarkEnd w:id="32"/>
    </w:p>
    <w:p w14:paraId="0EE91A15" w14:textId="77777777" w:rsidR="00204F99" w:rsidRDefault="00204F99" w:rsidP="00CA2985">
      <w:pPr>
        <w:pStyle w:val="atitulo3"/>
      </w:pPr>
      <w:r>
        <w:t xml:space="preserve">Finantzei buruzko iritzia </w:t>
      </w:r>
    </w:p>
    <w:p w14:paraId="1F9A4A48" w14:textId="77777777" w:rsidR="00204F99" w:rsidRPr="00CA2985" w:rsidRDefault="00204F99" w:rsidP="00CA2985">
      <w:pPr>
        <w:pStyle w:val="texto"/>
        <w:spacing w:after="240"/>
      </w:pPr>
      <w:r>
        <w:t xml:space="preserve">Gure iritziz, 2020ko aurrekontutik enpresa pribatuetarako transferentzia arruntak eta kapital-transferentziak prestatuak izan dira, alderdi garrantzitsu guztietan, informazio finantzario publikoari buruzko lege-esparru aplikagarriari jarraikiz eta, bereziki, bertan jasotako kontabilitate-printzipio eta -irizpideei jarraikiz. </w:t>
      </w:r>
    </w:p>
    <w:p w14:paraId="7D207DE6" w14:textId="77777777" w:rsidR="00204F99" w:rsidRPr="00CA2985" w:rsidRDefault="00204F99" w:rsidP="00CA2985">
      <w:pPr>
        <w:pStyle w:val="atitulo3"/>
      </w:pPr>
      <w:r>
        <w:t>Beste oharpen batzuk, emandako iritzian eraginik ez dutenak</w:t>
      </w:r>
    </w:p>
    <w:p w14:paraId="628AE746" w14:textId="77777777" w:rsidR="00D64336" w:rsidRPr="00864DE5" w:rsidRDefault="00D64336"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Ikusi dugu aurrerakin edo konturako ordainketa guztiak ez direla ezeztatzen onuradunak baldintzak bete eta aurreratutako funtsen aplikazioa justifikatu ondoren. Doktoregaientzako laguntzen deialdian, aurrerakinengatiko zordunen 2021eko ekaineko saldoa, espedientea jada amaiturik egonda, 288.314 eurokoa da.</w:t>
      </w:r>
    </w:p>
    <w:p w14:paraId="05D7590D" w14:textId="77777777" w:rsidR="00204F99"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t>47. eta 77. aurrekontu-artikuluek, "enpresa pribatuentzako transferentzia arruntak eta kapital-transferentziak" direlakoei buruzkoek, ez dituzte soilik enpresentzako transferentziak jasotzen; halaber jasotzen dituzte ikerketa-erakundeentzakoak eta ezagutza-hedapeneko erakundeentzakoak. I+G estrategikoen (RIS3) deialdian, nahiz eta enpresa pribatuei dagokiena ordaindutako guztiaren ehuneko 20 baino ez izan, aurrekontuari egozten zaio enpresa pribatuentzako transferentzia gisa.</w:t>
      </w:r>
    </w:p>
    <w:p w14:paraId="317FFB6D" w14:textId="77777777" w:rsidR="00204F99" w:rsidRDefault="00204F99" w:rsidP="00204F99">
      <w:pPr>
        <w:pStyle w:val="atitulo2"/>
        <w:spacing w:before="240"/>
      </w:pPr>
      <w:bookmarkStart w:id="33" w:name="_Toc86129302"/>
      <w:r>
        <w:t xml:space="preserve">IV.3. </w:t>
      </w:r>
      <w:bookmarkStart w:id="34" w:name="_Toc75857474"/>
      <w:r>
        <w:t>Dirulaguntzei buruzko plan estrategikoaren</w:t>
      </w:r>
      <w:bookmarkEnd w:id="34"/>
      <w:r>
        <w:t xml:space="preserve"> analisia.</w:t>
      </w:r>
      <w:bookmarkEnd w:id="33"/>
    </w:p>
    <w:p w14:paraId="15DD44D0" w14:textId="77777777" w:rsidR="00204F99" w:rsidRDefault="00204F99" w:rsidP="00204F99">
      <w:pPr>
        <w:pStyle w:val="texto"/>
        <w:rPr>
          <w:szCs w:val="26"/>
        </w:rPr>
      </w:pPr>
      <w:r>
        <w:t xml:space="preserve">Nafarroako Gobernuak 2018ko azaroan onetsitako DPEaren helburuak eta adierazleak formulatzeko gida bat du definituta. Dirulaguntza ildo bakoitzerako adierazle multzo bat zehazten da, helburuari lotuak, egoera eta helburuak betetzean lortutako aurrerapenak ezagutzeko. </w:t>
      </w:r>
    </w:p>
    <w:p w14:paraId="64A5AC96" w14:textId="77777777" w:rsidR="00204F99" w:rsidRPr="00070EA4" w:rsidRDefault="00204F99" w:rsidP="00204F99">
      <w:pPr>
        <w:pStyle w:val="texto"/>
        <w:rPr>
          <w:szCs w:val="26"/>
        </w:rPr>
      </w:pPr>
      <w:r>
        <w:t xml:space="preserve">Honako alderdi hauek azpimarratu behar ditugu DPEan enpresa pribatuentzako dirulaguntza-ildoei buruz egiten den analisia dela eta: </w:t>
      </w:r>
    </w:p>
    <w:bookmarkEnd w:id="24"/>
    <w:bookmarkEnd w:id="25"/>
    <w:bookmarkEnd w:id="26"/>
    <w:bookmarkEnd w:id="27"/>
    <w:bookmarkEnd w:id="28"/>
    <w:bookmarkEnd w:id="29"/>
    <w:bookmarkEnd w:id="30"/>
    <w:p w14:paraId="42DAEC34" w14:textId="77777777" w:rsidR="003912E5" w:rsidRPr="003912E5" w:rsidRDefault="003912E5" w:rsidP="00864DE5">
      <w:pPr>
        <w:pStyle w:val="texto"/>
        <w:numPr>
          <w:ilvl w:val="0"/>
          <w:numId w:val="22"/>
        </w:numPr>
        <w:tabs>
          <w:tab w:val="clear" w:pos="2835"/>
          <w:tab w:val="clear" w:pos="3969"/>
          <w:tab w:val="clear" w:pos="5103"/>
          <w:tab w:val="clear" w:pos="6237"/>
          <w:tab w:val="clear" w:pos="7371"/>
          <w:tab w:val="left" w:pos="480"/>
          <w:tab w:val="num" w:pos="720"/>
          <w:tab w:val="num" w:pos="6597"/>
        </w:tabs>
        <w:ind w:left="0" w:firstLine="289"/>
        <w:rPr>
          <w:szCs w:val="26"/>
        </w:rPr>
      </w:pPr>
      <w:r>
        <w:t xml:space="preserve">DPEa osatzen dute txosten global batek eta, departamentu bakoitzeko, zenbat dirulaguntza-lerro, hainbeste fitxak. Dirulaguntzak emateko prozedurari dagokionez, ez da bereizketarik egiten norgehiagokaren eta banakako ebaluazioaren artean. Zuzeneko dirulaguntza-emateetan, ez ditu bereizten dirulaguntza izendunak eta lege-mailako arau batek aginduta eman beharrekoak diren edo lege horrek agindutako zenbatekoa duten dirulaguntzak. </w:t>
      </w:r>
    </w:p>
    <w:p w14:paraId="63A46E71" w14:textId="77777777" w:rsidR="00204F99" w:rsidRPr="00CE50DD" w:rsidRDefault="00204F99" w:rsidP="00864DE5">
      <w:pPr>
        <w:pStyle w:val="texto"/>
        <w:numPr>
          <w:ilvl w:val="0"/>
          <w:numId w:val="22"/>
        </w:numPr>
        <w:tabs>
          <w:tab w:val="clear" w:pos="2835"/>
          <w:tab w:val="clear" w:pos="3969"/>
          <w:tab w:val="clear" w:pos="5103"/>
          <w:tab w:val="clear" w:pos="6237"/>
          <w:tab w:val="clear" w:pos="7371"/>
          <w:tab w:val="left" w:pos="480"/>
          <w:tab w:val="num" w:pos="720"/>
          <w:tab w:val="num" w:pos="6597"/>
        </w:tabs>
        <w:ind w:left="0" w:firstLine="289"/>
        <w:rPr>
          <w:szCs w:val="26"/>
        </w:rPr>
      </w:pPr>
      <w:r>
        <w:lastRenderedPageBreak/>
        <w:t xml:space="preserve">Dirulaguntza-lerro bakoitzerako adierazle bat gutxienez definitzen da nahitaez, eta adierazle horietako bakoitzerako abiaburu-datu bat eta helburu bat definitzen dira. Nagusi dira deialdiaren datu estatistikoei buruzko kudeaketa-adierazleak, eta ez dira barne hartzen kasuko sektore ekonomikoarekin eta ezarritako neurrien inpaktuarekin zerikusia daukaten bestelako adierazle batzuk.  89 dirulaguntza-fitxetatik, guztiek daukate bederen adierazle bat, helburu operatiboa neurtzekoa; 41ek gutxienez ere bi adierazle dauzkate, eta 9k, hiru adierazle. </w:t>
      </w:r>
    </w:p>
    <w:p w14:paraId="362DBFF1" w14:textId="77777777" w:rsidR="00CA572E" w:rsidRPr="00CA572E" w:rsidRDefault="00651A9A" w:rsidP="00864DE5">
      <w:pPr>
        <w:pStyle w:val="texto"/>
        <w:numPr>
          <w:ilvl w:val="0"/>
          <w:numId w:val="22"/>
        </w:numPr>
        <w:tabs>
          <w:tab w:val="clear" w:pos="2835"/>
          <w:tab w:val="clear" w:pos="3969"/>
          <w:tab w:val="clear" w:pos="5103"/>
          <w:tab w:val="clear" w:pos="6237"/>
          <w:tab w:val="clear" w:pos="7371"/>
          <w:tab w:val="left" w:pos="480"/>
          <w:tab w:val="num" w:pos="720"/>
          <w:tab w:val="num" w:pos="6597"/>
        </w:tabs>
        <w:ind w:left="0" w:firstLine="289"/>
        <w:rPr>
          <w:szCs w:val="26"/>
        </w:rPr>
      </w:pPr>
      <w:r>
        <w:t xml:space="preserve">13 departamentuetatik, zazpik bidali diete Parlamentuko Kontu-hartzailetzari eta ekonomia batzordeari foru agindu bitartezko ebaluazio-onespena. Eranskin gisa gehitzen dira lerro bakoitzaren ebaluazio-fitxak, pdf formatuan.  </w:t>
      </w:r>
    </w:p>
    <w:p w14:paraId="142940B1" w14:textId="77777777" w:rsidR="00204F99" w:rsidRPr="00B72D3D" w:rsidRDefault="00204F99" w:rsidP="00864DE5">
      <w:pPr>
        <w:pStyle w:val="texto"/>
        <w:numPr>
          <w:ilvl w:val="0"/>
          <w:numId w:val="22"/>
        </w:numPr>
        <w:tabs>
          <w:tab w:val="clear" w:pos="2835"/>
          <w:tab w:val="clear" w:pos="3969"/>
          <w:tab w:val="clear" w:pos="5103"/>
          <w:tab w:val="clear" w:pos="6237"/>
          <w:tab w:val="clear" w:pos="7371"/>
          <w:tab w:val="left" w:pos="480"/>
          <w:tab w:val="num" w:pos="720"/>
          <w:tab w:val="num" w:pos="6597"/>
        </w:tabs>
        <w:ind w:left="0" w:firstLine="289"/>
        <w:rPr>
          <w:szCs w:val="26"/>
        </w:rPr>
      </w:pPr>
      <w:r>
        <w:t xml:space="preserve">DFLk DPErako ezartzen duen egutegia ez dator bat dirulaguntza askorekin, dirulaguntza horien egutegia bat ez etortzeagatik urte naturalarekin. Hori dela-eta, askotan gertatzen da ebaluazio-txostenak deialdia oraindik irekita dagoelarik onesten direla. </w:t>
      </w:r>
    </w:p>
    <w:p w14:paraId="0DA38C5D" w14:textId="77777777" w:rsidR="00204F99" w:rsidRPr="002D2E53" w:rsidRDefault="00204F99" w:rsidP="00864DE5">
      <w:pPr>
        <w:pStyle w:val="texto"/>
        <w:numPr>
          <w:ilvl w:val="0"/>
          <w:numId w:val="22"/>
        </w:numPr>
        <w:tabs>
          <w:tab w:val="clear" w:pos="2835"/>
          <w:tab w:val="clear" w:pos="3969"/>
          <w:tab w:val="clear" w:pos="5103"/>
          <w:tab w:val="clear" w:pos="6237"/>
          <w:tab w:val="clear" w:pos="7371"/>
          <w:tab w:val="left" w:pos="480"/>
          <w:tab w:val="num" w:pos="720"/>
          <w:tab w:val="num" w:pos="6597"/>
        </w:tabs>
        <w:ind w:left="0" w:firstLine="289"/>
        <w:rPr>
          <w:szCs w:val="26"/>
        </w:rPr>
      </w:pPr>
      <w:r>
        <w:t xml:space="preserve">Urte anitzeko deialdien kasuan, dirulaguntza-lerroen informazioak eragiten du partida berean deialdi ireki bat baino gehiago egotea. Dirulaguntza-lerro batek betetze-fase ezberdinetan dauden zenbait deialdi ireki dauzkanean, aurrekontu-datuek eta adierazleenek ez dute informaziorik eskaintzen haietako bakoitzaz, baizik eta deialdi guztien datu agregatuak edo, zehazki, azken deialdiarenak eskaintzen dituzte. </w:t>
      </w:r>
    </w:p>
    <w:p w14:paraId="564C78E4" w14:textId="77777777" w:rsidR="00204F99" w:rsidRPr="00CA2985" w:rsidRDefault="00204F99" w:rsidP="00D0511B">
      <w:pPr>
        <w:pStyle w:val="texto"/>
        <w:numPr>
          <w:ilvl w:val="0"/>
          <w:numId w:val="22"/>
        </w:numPr>
        <w:tabs>
          <w:tab w:val="clear" w:pos="2835"/>
          <w:tab w:val="clear" w:pos="3969"/>
          <w:tab w:val="clear" w:pos="5103"/>
          <w:tab w:val="clear" w:pos="6237"/>
          <w:tab w:val="clear" w:pos="7371"/>
          <w:tab w:val="left" w:pos="480"/>
          <w:tab w:val="num" w:pos="720"/>
          <w:tab w:val="num" w:pos="6597"/>
        </w:tabs>
        <w:spacing w:after="360"/>
        <w:ind w:left="0" w:firstLine="289"/>
        <w:rPr>
          <w:szCs w:val="26"/>
        </w:rPr>
      </w:pPr>
      <w:r>
        <w:t>Dirulaguntza-lerro bakoitzeko ebaluazio-fitxa indibidualen eredua pdf formatuan definitzen da, eta horrek eragiten du informazioa ezin azkar eta eraginkortasunez analizatzea.</w:t>
      </w:r>
    </w:p>
    <w:p w14:paraId="4EC6AA01" w14:textId="77777777" w:rsidR="00652A89" w:rsidRDefault="00652A89">
      <w:pPr>
        <w:spacing w:after="0"/>
        <w:ind w:firstLine="0"/>
        <w:jc w:val="left"/>
        <w:rPr>
          <w:rFonts w:ascii="Arial" w:hAnsi="Arial"/>
          <w:bCs/>
          <w:iCs/>
          <w:color w:val="000000"/>
          <w:spacing w:val="10"/>
          <w:kern w:val="28"/>
          <w:sz w:val="25"/>
          <w:szCs w:val="26"/>
        </w:rPr>
      </w:pPr>
      <w:bookmarkStart w:id="35" w:name="_Toc75857475"/>
      <w:r>
        <w:br w:type="page"/>
      </w:r>
    </w:p>
    <w:p w14:paraId="3674C6C6" w14:textId="77777777" w:rsidR="00204F99" w:rsidRDefault="00204F99" w:rsidP="00204F99">
      <w:pPr>
        <w:pStyle w:val="atitulo2"/>
        <w:spacing w:before="240"/>
      </w:pPr>
      <w:bookmarkStart w:id="36" w:name="_Toc86129303"/>
      <w:r>
        <w:lastRenderedPageBreak/>
        <w:t>IV.4. Amaierako konklusioa eta gomendioak</w:t>
      </w:r>
      <w:bookmarkEnd w:id="35"/>
      <w:bookmarkEnd w:id="36"/>
      <w:r>
        <w:t xml:space="preserve"> </w:t>
      </w:r>
    </w:p>
    <w:p w14:paraId="38FA6EAD" w14:textId="77777777" w:rsidR="00204F99" w:rsidRPr="00CA2985" w:rsidRDefault="00204F99" w:rsidP="00CA2985">
      <w:pPr>
        <w:pStyle w:val="texto"/>
      </w:pPr>
      <w:r>
        <w:t>2020an enpresa pribatuei egindako transferentziek, arruntek zein kapitalekoek, 180 milioi egin zuten. Transferentziengatik aitortutako betebeharren guztizkoaren ehuneko 9,7 egin zuten.</w:t>
      </w:r>
    </w:p>
    <w:p w14:paraId="7A74A707" w14:textId="77777777" w:rsidR="00204F99" w:rsidRPr="007A00BA" w:rsidRDefault="00204F99" w:rsidP="00CA2985">
      <w:pPr>
        <w:pStyle w:val="texto"/>
      </w:pPr>
      <w:r>
        <w:t xml:space="preserve">Guztira 29,6 milioiko zenbatekoa egiten duten emandako dirulaguntzen lagin bati buruz, izapidetzearen legezkotasuna aztertu dugu. Konklusioa da prozedurak, oro har, aplikatzekoa den araudia beterik egin direla. COVID-19aren krisiagatiko ostalaritzarentzako laguntzen informazio-sistemek moduzko konfiantza-maila eskaintzen dute.  </w:t>
      </w:r>
    </w:p>
    <w:p w14:paraId="6838C2FB" w14:textId="77777777" w:rsidR="00204F99" w:rsidRPr="007A00BA" w:rsidRDefault="00204F99" w:rsidP="00CA2985">
      <w:pPr>
        <w:pStyle w:val="texto"/>
      </w:pPr>
      <w:r>
        <w:t>Enpresa pribatuei onetsiriko transferentzien kudeaketa ekonomiko eta finantzarioa oro har ondo islatu da NFKAren egoera-orri finantzarioetan, aplikatzekoak diren kontabilitate-printzipio eta -irizpideei jarraikiz.</w:t>
      </w:r>
    </w:p>
    <w:p w14:paraId="649D18BC" w14:textId="77777777" w:rsidR="00204F99" w:rsidRPr="007A00BA" w:rsidRDefault="00CA2985" w:rsidP="00CA2985">
      <w:pPr>
        <w:pStyle w:val="texto"/>
      </w:pPr>
      <w:r>
        <w:tab/>
        <w:t xml:space="preserve">DPEa egin da eta urtero eguneratu da araudiari jarraikiz, nahiz eta egin den lanak agerian utzi duen mugatua dela etengabeko hobekuntza eta ebaluazioaren ezarpena dirulaguntza-politikaren kudeaketan. </w:t>
      </w:r>
    </w:p>
    <w:p w14:paraId="79CAC04E" w14:textId="77777777" w:rsidR="00204F99" w:rsidRPr="007A00BA" w:rsidRDefault="00204F99" w:rsidP="0013731F">
      <w:pPr>
        <w:pStyle w:val="texto"/>
      </w:pPr>
      <w:r>
        <w:t xml:space="preserve">Iritsitako konklusioak kontuan harturik, honakoak gomendatzen ditugu gure lanaren ondorioz detektaturiko okerrei buruz: </w:t>
      </w:r>
    </w:p>
    <w:p w14:paraId="724072A2" w14:textId="77777777" w:rsidR="00204F99" w:rsidRPr="007A00BA" w:rsidRDefault="00187CE8" w:rsidP="00012F5D">
      <w:pPr>
        <w:pStyle w:val="Prrafodelista"/>
        <w:numPr>
          <w:ilvl w:val="0"/>
          <w:numId w:val="22"/>
        </w:numPr>
        <w:tabs>
          <w:tab w:val="left" w:pos="426"/>
          <w:tab w:val="left" w:pos="567"/>
        </w:tabs>
        <w:ind w:left="0" w:firstLine="142"/>
        <w:contextualSpacing w:val="0"/>
        <w:rPr>
          <w:i/>
          <w:spacing w:val="6"/>
          <w:sz w:val="26"/>
          <w:szCs w:val="26"/>
        </w:rPr>
      </w:pPr>
      <w:r>
        <w:rPr>
          <w:i/>
          <w:sz w:val="26"/>
          <w:szCs w:val="26"/>
        </w:rPr>
        <w:t>Dirulaguntza-deialdiak sinpletzea, aintzat harturik kudeatze-organoarentzako eta onuradunarentzako eraginkortasunaren eta arrazoizkotasunaren printzipioak, eta oreka bat bilatuz jarraipen zein kontrolaren eta baldintza zein betekizun dokumentalen artean.</w:t>
      </w:r>
    </w:p>
    <w:p w14:paraId="2D7AAC43" w14:textId="77777777" w:rsidR="00B02332" w:rsidRPr="007A00BA" w:rsidRDefault="002F2877" w:rsidP="00B02332">
      <w:pPr>
        <w:pStyle w:val="Prrafodelista"/>
        <w:numPr>
          <w:ilvl w:val="0"/>
          <w:numId w:val="22"/>
        </w:numPr>
        <w:tabs>
          <w:tab w:val="left" w:pos="426"/>
          <w:tab w:val="left" w:pos="567"/>
        </w:tabs>
        <w:ind w:left="0" w:firstLine="142"/>
        <w:contextualSpacing w:val="0"/>
        <w:rPr>
          <w:i/>
          <w:spacing w:val="6"/>
          <w:sz w:val="26"/>
          <w:szCs w:val="26"/>
        </w:rPr>
      </w:pPr>
      <w:r>
        <w:rPr>
          <w:i/>
          <w:sz w:val="26"/>
          <w:szCs w:val="26"/>
        </w:rPr>
        <w:t xml:space="preserve">Gastu-kontzeptu ezberdinen justifikazioan mugak malgutzea, bereziki inbertsioentzat. </w:t>
      </w:r>
    </w:p>
    <w:p w14:paraId="562F401C" w14:textId="77777777" w:rsidR="00204F99" w:rsidRPr="007A00BA" w:rsidRDefault="00204F99" w:rsidP="00012F5D">
      <w:pPr>
        <w:pStyle w:val="Prrafodelista"/>
        <w:numPr>
          <w:ilvl w:val="0"/>
          <w:numId w:val="22"/>
        </w:numPr>
        <w:tabs>
          <w:tab w:val="left" w:pos="426"/>
          <w:tab w:val="left" w:pos="567"/>
        </w:tabs>
        <w:ind w:left="0" w:firstLine="142"/>
        <w:contextualSpacing w:val="0"/>
        <w:rPr>
          <w:i/>
          <w:spacing w:val="6"/>
          <w:sz w:val="26"/>
          <w:szCs w:val="26"/>
        </w:rPr>
      </w:pPr>
      <w:r>
        <w:rPr>
          <w:i/>
          <w:sz w:val="26"/>
          <w:szCs w:val="26"/>
        </w:rPr>
        <w:t xml:space="preserve">Laguntzen digitalizazioan aurrerapausoak ematea, kudeaketaren eta baldintza-egiaztapenaren administrazio-kostu handia jaisteko. </w:t>
      </w:r>
    </w:p>
    <w:p w14:paraId="6DBB4DBB" w14:textId="77777777" w:rsidR="00BA64DF" w:rsidRDefault="00204F99" w:rsidP="00BA64DF">
      <w:pPr>
        <w:pStyle w:val="Prrafodelista"/>
        <w:numPr>
          <w:ilvl w:val="0"/>
          <w:numId w:val="22"/>
        </w:numPr>
        <w:tabs>
          <w:tab w:val="left" w:pos="426"/>
          <w:tab w:val="left" w:pos="567"/>
        </w:tabs>
        <w:ind w:left="0" w:firstLine="142"/>
        <w:contextualSpacing w:val="0"/>
        <w:rPr>
          <w:i/>
          <w:spacing w:val="6"/>
          <w:sz w:val="26"/>
          <w:szCs w:val="26"/>
        </w:rPr>
      </w:pPr>
      <w:r>
        <w:rPr>
          <w:i/>
          <w:sz w:val="26"/>
          <w:szCs w:val="26"/>
        </w:rPr>
        <w:t xml:space="preserve">Dirulaguntzen oinarri arau-emaileetan ezarritako justifikazio-epeak malgutzea, halako moduz non errealistak izanen baitira eta enpresei modua emanen baitiete beren inbertsioa epe aurreikusian egin eta justifikatzeko. </w:t>
      </w:r>
    </w:p>
    <w:p w14:paraId="45A1FDCA" w14:textId="77777777" w:rsidR="00BA64DF" w:rsidRPr="00C4135D" w:rsidRDefault="00CC0CF7" w:rsidP="00BA64DF">
      <w:pPr>
        <w:pStyle w:val="Prrafodelista"/>
        <w:numPr>
          <w:ilvl w:val="0"/>
          <w:numId w:val="22"/>
        </w:numPr>
        <w:tabs>
          <w:tab w:val="left" w:pos="426"/>
          <w:tab w:val="left" w:pos="567"/>
        </w:tabs>
        <w:ind w:left="0" w:firstLine="142"/>
        <w:contextualSpacing w:val="0"/>
        <w:rPr>
          <w:i/>
          <w:spacing w:val="6"/>
          <w:sz w:val="26"/>
          <w:szCs w:val="26"/>
        </w:rPr>
      </w:pPr>
      <w:r>
        <w:rPr>
          <w:i/>
          <w:sz w:val="26"/>
          <w:szCs w:val="26"/>
        </w:rPr>
        <w:t>Justifikazio-betebeharren urraketa partzialak aztertzea, proportzionaltasun-irizpideak aplikatuz.</w:t>
      </w:r>
    </w:p>
    <w:p w14:paraId="7291F5C9" w14:textId="77777777"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rPr>
      </w:pPr>
      <w:r>
        <w:rPr>
          <w:i/>
          <w:sz w:val="26"/>
          <w:szCs w:val="26"/>
        </w:rPr>
        <w:t>Deialdian zehaztea bai irizpide objektiboak bai horien aplikaziorako baremoak, eta motibazio argia eta xehakatua ematea, espedientean jasota utzirik zer balorazio lortu duten eskatzaileek oinarrietan ezarrita dauden onespen-irizpideen arabera.</w:t>
      </w:r>
    </w:p>
    <w:p w14:paraId="648F2431" w14:textId="77777777"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rPr>
      </w:pPr>
      <w:r>
        <w:rPr>
          <w:i/>
          <w:sz w:val="26"/>
          <w:szCs w:val="26"/>
        </w:rPr>
        <w:t>Deialdiaren zenbatekoaren aurrekontu-egozpena egitea onuradunen multzoan muntarik handienekoa den jasotzaile-taldearen aurrekontu-artikuluari.</w:t>
      </w:r>
    </w:p>
    <w:p w14:paraId="626C5586" w14:textId="77777777" w:rsidR="00204F99" w:rsidRPr="0044512D" w:rsidRDefault="00204F99" w:rsidP="00012F5D">
      <w:pPr>
        <w:pStyle w:val="Prrafodelista"/>
        <w:numPr>
          <w:ilvl w:val="0"/>
          <w:numId w:val="22"/>
        </w:numPr>
        <w:tabs>
          <w:tab w:val="left" w:pos="426"/>
          <w:tab w:val="left" w:pos="567"/>
        </w:tabs>
        <w:ind w:left="0" w:firstLine="142"/>
        <w:contextualSpacing w:val="0"/>
        <w:rPr>
          <w:i/>
          <w:spacing w:val="6"/>
          <w:sz w:val="26"/>
          <w:szCs w:val="26"/>
        </w:rPr>
      </w:pPr>
      <w:r>
        <w:rPr>
          <w:i/>
          <w:sz w:val="26"/>
          <w:szCs w:val="26"/>
        </w:rPr>
        <w:t xml:space="preserve">Onespena Dirulaguntza Base Nazionalean argitaratzea. </w:t>
      </w:r>
    </w:p>
    <w:p w14:paraId="7119DAD5" w14:textId="77777777"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rPr>
      </w:pPr>
      <w:r>
        <w:rPr>
          <w:i/>
          <w:sz w:val="26"/>
          <w:szCs w:val="26"/>
        </w:rPr>
        <w:lastRenderedPageBreak/>
        <w:t xml:space="preserve">Gutxienez ere lagin batean berrikustea enpresa berari emandako minimi laguntzei buruzko erantzukizunpeko adierazpenen errealitatea, horien laguntza-mugaren gaineko kontrola handiagoa izan dadin. </w:t>
      </w:r>
    </w:p>
    <w:p w14:paraId="07ECFF77" w14:textId="77777777" w:rsidR="00204F99" w:rsidRPr="00012F5D" w:rsidRDefault="00CC0CF7" w:rsidP="00012F5D">
      <w:pPr>
        <w:pStyle w:val="Prrafodelista"/>
        <w:numPr>
          <w:ilvl w:val="0"/>
          <w:numId w:val="22"/>
        </w:numPr>
        <w:tabs>
          <w:tab w:val="left" w:pos="426"/>
          <w:tab w:val="left" w:pos="567"/>
        </w:tabs>
        <w:ind w:left="0" w:firstLine="142"/>
        <w:contextualSpacing w:val="0"/>
        <w:rPr>
          <w:i/>
          <w:spacing w:val="6"/>
          <w:sz w:val="26"/>
          <w:szCs w:val="26"/>
        </w:rPr>
      </w:pPr>
      <w:r>
        <w:rPr>
          <w:i/>
          <w:sz w:val="26"/>
          <w:szCs w:val="26"/>
        </w:rPr>
        <w:t xml:space="preserve">Zerbitzuetarako emakida-kontratu mugaeguneratuak izapidetzea. </w:t>
      </w:r>
    </w:p>
    <w:p w14:paraId="2A1122DE" w14:textId="77777777"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rPr>
      </w:pPr>
      <w:r>
        <w:rPr>
          <w:i/>
          <w:sz w:val="26"/>
          <w:szCs w:val="26"/>
        </w:rPr>
        <w:t xml:space="preserve">Bidaiari-garraio erregularraren emakida-hartzaileen defizitaren diruzko konpentsazioagatiko laguntzak egoztea ondasun eta zerbitzuetako gastu arrunten kapituluari. </w:t>
      </w:r>
    </w:p>
    <w:p w14:paraId="6E735FAF" w14:textId="77777777" w:rsidR="00204F99" w:rsidRPr="00B80ABF" w:rsidRDefault="00204F99" w:rsidP="00B80ABF">
      <w:pPr>
        <w:pStyle w:val="atitulo3"/>
        <w:spacing w:before="360"/>
      </w:pPr>
      <w:r>
        <w:t xml:space="preserve">Ostalaritzarentzako laguntzei dagokienez </w:t>
      </w:r>
    </w:p>
    <w:p w14:paraId="5B2AAFE3" w14:textId="77777777" w:rsidR="00204F99" w:rsidRPr="00012F5D" w:rsidRDefault="00AB0B90" w:rsidP="00012F5D">
      <w:pPr>
        <w:pStyle w:val="Prrafodelista"/>
        <w:numPr>
          <w:ilvl w:val="0"/>
          <w:numId w:val="22"/>
        </w:numPr>
        <w:tabs>
          <w:tab w:val="left" w:pos="426"/>
          <w:tab w:val="left" w:pos="567"/>
        </w:tabs>
        <w:ind w:left="0" w:firstLine="142"/>
        <w:contextualSpacing w:val="0"/>
        <w:rPr>
          <w:i/>
          <w:spacing w:val="6"/>
          <w:sz w:val="26"/>
          <w:szCs w:val="26"/>
        </w:rPr>
      </w:pPr>
      <w:r>
        <w:rPr>
          <w:i/>
          <w:sz w:val="26"/>
          <w:szCs w:val="26"/>
        </w:rPr>
        <w:t>Aldizka berrikustea Ogasunaren datu-eskurapeneko prozesuaren jarraipena egiten dela, eta berrikuspen horren erregistro bat gordetzea.</w:t>
      </w:r>
    </w:p>
    <w:p w14:paraId="0FAA8649" w14:textId="77777777"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rPr>
      </w:pPr>
      <w:r>
        <w:rPr>
          <w:i/>
          <w:sz w:val="26"/>
          <w:szCs w:val="26"/>
        </w:rPr>
        <w:t>Tarteko karpeten segurtasuna hobetzea (haietan biltegiratzen dira Ogasunaren datuak), fitxategiak idazketaren aurka babestuz eta edozein erabiltzailek eginiko aldaketa guztien auditoretza-erregistroak aktibatuz.</w:t>
      </w:r>
    </w:p>
    <w:p w14:paraId="1BEE6ACD" w14:textId="77777777" w:rsidR="00204F99" w:rsidRDefault="00204F99" w:rsidP="00012F5D">
      <w:pPr>
        <w:pStyle w:val="Prrafodelista"/>
        <w:numPr>
          <w:ilvl w:val="0"/>
          <w:numId w:val="22"/>
        </w:numPr>
        <w:tabs>
          <w:tab w:val="left" w:pos="426"/>
          <w:tab w:val="left" w:pos="567"/>
        </w:tabs>
        <w:ind w:left="0" w:firstLine="142"/>
        <w:contextualSpacing w:val="0"/>
        <w:rPr>
          <w:i/>
          <w:spacing w:val="6"/>
          <w:sz w:val="26"/>
          <w:szCs w:val="26"/>
        </w:rPr>
      </w:pPr>
      <w:r>
        <w:rPr>
          <w:i/>
          <w:sz w:val="26"/>
          <w:szCs w:val="26"/>
        </w:rPr>
        <w:t xml:space="preserve">Erabiltzaileek datu-basean eginiko aldaketa ez-aplikagarrien erregistro bat aktibatzea. </w:t>
      </w:r>
    </w:p>
    <w:p w14:paraId="2483EA81" w14:textId="77777777" w:rsidR="00F241C4" w:rsidRPr="00306812" w:rsidRDefault="00F241C4" w:rsidP="00012F5D">
      <w:pPr>
        <w:pStyle w:val="Prrafodelista"/>
        <w:numPr>
          <w:ilvl w:val="0"/>
          <w:numId w:val="22"/>
        </w:numPr>
        <w:tabs>
          <w:tab w:val="left" w:pos="426"/>
          <w:tab w:val="left" w:pos="567"/>
        </w:tabs>
        <w:ind w:left="0" w:firstLine="142"/>
        <w:contextualSpacing w:val="0"/>
        <w:rPr>
          <w:i/>
          <w:spacing w:val="6"/>
          <w:sz w:val="26"/>
          <w:szCs w:val="26"/>
        </w:rPr>
      </w:pPr>
      <w:r>
        <w:rPr>
          <w:i/>
          <w:sz w:val="26"/>
          <w:szCs w:val="26"/>
        </w:rPr>
        <w:t>Ordainketen eta SAP GE21en kargatzekoak diren fitxategien sorkuntza automatizatzea.</w:t>
      </w:r>
    </w:p>
    <w:p w14:paraId="73C81AE5" w14:textId="77777777" w:rsidR="00204F99" w:rsidRPr="001366D7" w:rsidRDefault="00204F99" w:rsidP="00012F5D">
      <w:pPr>
        <w:pStyle w:val="atitulo3"/>
        <w:spacing w:before="360"/>
      </w:pPr>
      <w:r>
        <w:t>Dirulaguntzei buruzko plan estrategikoari dagokionez</w:t>
      </w:r>
    </w:p>
    <w:p w14:paraId="5EBCC0B2" w14:textId="77777777"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rPr>
      </w:pPr>
      <w:r>
        <w:rPr>
          <w:i/>
          <w:sz w:val="26"/>
          <w:szCs w:val="26"/>
        </w:rPr>
        <w:t xml:space="preserve">Dirulaguntzen inpaktua ebaluatzea, helburu-jarraipenerako adierazleen definizio xehakatuaren bidez eta izandako desbideraketen analisiaren bidez, horiek oinarri hartuz etengabeko hobekuntzarako erabakiak hartu ahal izateko. </w:t>
      </w:r>
    </w:p>
    <w:p w14:paraId="0A395019" w14:textId="77777777" w:rsidR="00204F99" w:rsidRPr="00D0511B" w:rsidRDefault="00204F99" w:rsidP="00012F5D">
      <w:pPr>
        <w:pStyle w:val="Prrafodelista"/>
        <w:numPr>
          <w:ilvl w:val="0"/>
          <w:numId w:val="22"/>
        </w:numPr>
        <w:tabs>
          <w:tab w:val="left" w:pos="426"/>
          <w:tab w:val="left" w:pos="567"/>
        </w:tabs>
        <w:ind w:left="0" w:firstLine="142"/>
        <w:contextualSpacing w:val="0"/>
        <w:rPr>
          <w:i/>
          <w:spacing w:val="4"/>
          <w:sz w:val="26"/>
          <w:szCs w:val="26"/>
        </w:rPr>
      </w:pPr>
      <w:r>
        <w:rPr>
          <w:i/>
          <w:sz w:val="26"/>
          <w:szCs w:val="26"/>
        </w:rPr>
        <w:t xml:space="preserve">DPEaren fitxetan bereiztea, deialdi publiko bitartezko onespen-prozedurari dagokionez, ea norgehiagoka den ala banakako ebaluazioa; eta, zuzenean emanikoa bada, izenduna ala ohiz kanpokoa den. </w:t>
      </w:r>
    </w:p>
    <w:p w14:paraId="53C283FB" w14:textId="77777777"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rPr>
      </w:pPr>
      <w:r>
        <w:rPr>
          <w:i/>
          <w:sz w:val="26"/>
          <w:szCs w:val="26"/>
        </w:rPr>
        <w:t xml:space="preserve">Dirulaguntza-fitxak betetzeko jarraibide argiak prestatzea, lerro bererako irekitako deialdi bat baino gehiago dagoenean aurrekontu-ekitaldi berean. </w:t>
      </w:r>
    </w:p>
    <w:p w14:paraId="684E1729" w14:textId="77777777"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rPr>
      </w:pPr>
      <w:r>
        <w:rPr>
          <w:i/>
          <w:sz w:val="26"/>
          <w:szCs w:val="26"/>
        </w:rPr>
        <w:t xml:space="preserve">Ebaluazio-txostenen formatua aldatzea, datuak ustiagarriak izan daitezen eta modua eman dezaten departamentuek analisia eta jarraipena egin ahal izateko. </w:t>
      </w:r>
    </w:p>
    <w:p w14:paraId="16DB7E14" w14:textId="77777777"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rPr>
      </w:pPr>
      <w:r>
        <w:rPr>
          <w:i/>
          <w:sz w:val="26"/>
          <w:szCs w:val="26"/>
        </w:rPr>
        <w:t>Espedientea amaitu ondoren, ebaluazio-txostenak egitea urte anitzeko deialdien kasurako edo egutegia urte naturalarekin bat ez datorren horietarako.</w:t>
      </w:r>
    </w:p>
    <w:p w14:paraId="7D80743E" w14:textId="77777777" w:rsidR="00204F99" w:rsidRDefault="00204F99" w:rsidP="00012F5D">
      <w:pPr>
        <w:pStyle w:val="Prrafodelista"/>
        <w:numPr>
          <w:ilvl w:val="0"/>
          <w:numId w:val="22"/>
        </w:numPr>
        <w:tabs>
          <w:tab w:val="left" w:pos="426"/>
          <w:tab w:val="left" w:pos="567"/>
        </w:tabs>
        <w:spacing w:after="0"/>
        <w:ind w:left="0" w:firstLine="142"/>
        <w:contextualSpacing w:val="0"/>
        <w:rPr>
          <w:i/>
          <w:spacing w:val="6"/>
          <w:sz w:val="26"/>
          <w:szCs w:val="26"/>
        </w:rPr>
      </w:pPr>
      <w:r>
        <w:rPr>
          <w:i/>
          <w:sz w:val="26"/>
          <w:szCs w:val="26"/>
        </w:rPr>
        <w:t xml:space="preserve">Hasiera baterako planteaturiko departamentuarteko lantaldea eratzea, deialdi-oinarrien eta DPEren esparruan justifikatu beharreko dokumentuen homogeneizazioari buruzkoa. </w:t>
      </w:r>
    </w:p>
    <w:p w14:paraId="43F86A74" w14:textId="77777777" w:rsidR="007A0634" w:rsidRDefault="007A0634" w:rsidP="007A0634">
      <w:pPr>
        <w:tabs>
          <w:tab w:val="left" w:pos="426"/>
          <w:tab w:val="left" w:pos="567"/>
        </w:tabs>
        <w:spacing w:after="0"/>
        <w:rPr>
          <w:i/>
          <w:spacing w:val="6"/>
          <w:sz w:val="26"/>
          <w:szCs w:val="26"/>
          <w:lang w:eastAsia="es-ES"/>
        </w:rPr>
      </w:pPr>
    </w:p>
    <w:p w14:paraId="2C18CEC4" w14:textId="77777777" w:rsidR="007A0634" w:rsidRPr="007A0634" w:rsidRDefault="007A0634" w:rsidP="007A0634">
      <w:pPr>
        <w:tabs>
          <w:tab w:val="left" w:pos="426"/>
          <w:tab w:val="left" w:pos="567"/>
        </w:tabs>
        <w:spacing w:after="0"/>
        <w:rPr>
          <w:spacing w:val="6"/>
          <w:sz w:val="26"/>
          <w:szCs w:val="26"/>
        </w:rPr>
      </w:pPr>
      <w:r>
        <w:rPr>
          <w:sz w:val="26"/>
          <w:szCs w:val="26"/>
        </w:rPr>
        <w:lastRenderedPageBreak/>
        <w:t>Txosten hau, araudi indardunak ezarritako izapideak bete ondoren, auditore Begoña Herrera Isasi andreak proposatuta egin da, bera izan baita lan honen arduraduna.</w:t>
      </w:r>
    </w:p>
    <w:p w14:paraId="4EC0FAE3" w14:textId="77777777" w:rsidR="00204F99" w:rsidRDefault="00204F99" w:rsidP="00012F5D">
      <w:pPr>
        <w:pStyle w:val="texto"/>
        <w:spacing w:before="120" w:after="0"/>
        <w:jc w:val="center"/>
      </w:pPr>
      <w:r>
        <w:t>Iruñean, 2021eko irailaren 15ean</w:t>
      </w:r>
    </w:p>
    <w:p w14:paraId="5C65AD75" w14:textId="77777777" w:rsidR="00CE50DD" w:rsidRDefault="007A0634" w:rsidP="00012F5D">
      <w:pPr>
        <w:pStyle w:val="texto"/>
        <w:spacing w:after="0"/>
        <w:jc w:val="center"/>
      </w:pPr>
      <w:r>
        <w:t xml:space="preserve">Lehendakaria, </w:t>
      </w:r>
      <w:bookmarkStart w:id="37" w:name="_Toc75857477"/>
      <w:bookmarkEnd w:id="5"/>
      <w:bookmarkEnd w:id="6"/>
      <w:bookmarkEnd w:id="7"/>
      <w:bookmarkEnd w:id="8"/>
    </w:p>
    <w:p w14:paraId="43BC36EC" w14:textId="77777777" w:rsidR="00012F5D" w:rsidRDefault="007A0634" w:rsidP="00012F5D">
      <w:pPr>
        <w:pStyle w:val="texto"/>
        <w:spacing w:after="0"/>
        <w:jc w:val="center"/>
        <w:sectPr w:rsidR="00012F5D" w:rsidSect="00D2472C">
          <w:headerReference w:type="even" r:id="rId15"/>
          <w:footerReference w:type="default" r:id="rId16"/>
          <w:type w:val="oddPage"/>
          <w:pgSz w:w="11907" w:h="16840" w:code="9"/>
          <w:pgMar w:top="2109" w:right="1559" w:bottom="1644" w:left="1559" w:header="369" w:footer="136" w:gutter="0"/>
          <w:pgNumType w:start="3"/>
          <w:cols w:space="720"/>
          <w:docGrid w:linePitch="360"/>
        </w:sectPr>
      </w:pPr>
      <w:r>
        <w:t>Asunción Olaechea Estanga</w:t>
      </w:r>
    </w:p>
    <w:p w14:paraId="2693D846" w14:textId="77777777" w:rsidR="00012F5D" w:rsidRDefault="00012F5D" w:rsidP="00012F5D">
      <w:pPr>
        <w:pStyle w:val="texto"/>
        <w:spacing w:after="0"/>
        <w:jc w:val="center"/>
      </w:pPr>
    </w:p>
    <w:p w14:paraId="10DCB56C" w14:textId="77777777" w:rsidR="00102D31" w:rsidRDefault="00102D31" w:rsidP="00102D31">
      <w:pPr>
        <w:pStyle w:val="atitulo1"/>
      </w:pPr>
      <w:bookmarkStart w:id="38" w:name="_Toc86129304"/>
      <w:bookmarkEnd w:id="37"/>
      <w:r>
        <w:t>1. eranskina.- Berrikusitako deialdien xehakapena</w:t>
      </w:r>
      <w:bookmarkEnd w:id="38"/>
    </w:p>
    <w:tbl>
      <w:tblPr>
        <w:tblStyle w:val="Tablaconcuadrcula"/>
        <w:tblW w:w="15315" w:type="dxa"/>
        <w:tblInd w:w="-856" w:type="dxa"/>
        <w:tblBorders>
          <w:left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0"/>
        <w:gridCol w:w="1201"/>
        <w:gridCol w:w="875"/>
        <w:gridCol w:w="1073"/>
        <w:gridCol w:w="789"/>
        <w:gridCol w:w="819"/>
        <w:gridCol w:w="1044"/>
        <w:gridCol w:w="1003"/>
        <w:gridCol w:w="992"/>
        <w:gridCol w:w="1016"/>
        <w:gridCol w:w="669"/>
        <w:gridCol w:w="1094"/>
        <w:gridCol w:w="693"/>
        <w:gridCol w:w="614"/>
        <w:gridCol w:w="1027"/>
        <w:gridCol w:w="846"/>
      </w:tblGrid>
      <w:tr w:rsidR="00CE50DD" w:rsidRPr="006E0B8C" w14:paraId="5955540F" w14:textId="77777777" w:rsidTr="006C1E66">
        <w:trPr>
          <w:trHeight w:val="227"/>
        </w:trPr>
        <w:tc>
          <w:tcPr>
            <w:tcW w:w="1560" w:type="dxa"/>
            <w:shd w:val="clear" w:color="auto" w:fill="B8CCE4" w:themeFill="accent1" w:themeFillTint="66"/>
            <w:vAlign w:val="center"/>
          </w:tcPr>
          <w:p w14:paraId="7E28A85A" w14:textId="77777777" w:rsidR="00102D31" w:rsidRPr="006E0B8C" w:rsidRDefault="00102D31" w:rsidP="00FD6651">
            <w:pPr>
              <w:pStyle w:val="texto"/>
              <w:spacing w:after="0"/>
              <w:ind w:firstLine="0"/>
              <w:rPr>
                <w:rFonts w:ascii="Arial" w:hAnsi="Arial" w:cs="Arial"/>
                <w:sz w:val="15"/>
                <w:szCs w:val="15"/>
              </w:rPr>
            </w:pPr>
            <w:r>
              <w:rPr>
                <w:rFonts w:ascii="Arial" w:hAnsi="Arial"/>
                <w:sz w:val="15"/>
                <w:szCs w:val="15"/>
              </w:rPr>
              <w:t>Kontzeptua</w:t>
            </w:r>
          </w:p>
        </w:tc>
        <w:tc>
          <w:tcPr>
            <w:tcW w:w="1201" w:type="dxa"/>
            <w:shd w:val="clear" w:color="auto" w:fill="B8CCE4" w:themeFill="accent1" w:themeFillTint="66"/>
            <w:vAlign w:val="center"/>
          </w:tcPr>
          <w:p w14:paraId="78CF86C5" w14:textId="77777777" w:rsidR="00102D31" w:rsidRPr="006E0B8C" w:rsidRDefault="00102D31" w:rsidP="00FD6651">
            <w:pPr>
              <w:spacing w:after="0"/>
              <w:ind w:firstLine="0"/>
              <w:jc w:val="left"/>
              <w:rPr>
                <w:rFonts w:ascii="Arial" w:hAnsi="Arial" w:cs="Arial"/>
                <w:sz w:val="15"/>
                <w:szCs w:val="15"/>
              </w:rPr>
            </w:pPr>
            <w:r>
              <w:rPr>
                <w:rFonts w:ascii="Arial" w:hAnsi="Arial"/>
                <w:sz w:val="15"/>
                <w:szCs w:val="15"/>
              </w:rPr>
              <w:t>Prozedura</w:t>
            </w:r>
          </w:p>
        </w:tc>
        <w:tc>
          <w:tcPr>
            <w:tcW w:w="875" w:type="dxa"/>
            <w:shd w:val="clear" w:color="auto" w:fill="B8CCE4" w:themeFill="accent1" w:themeFillTint="66"/>
            <w:vAlign w:val="center"/>
          </w:tcPr>
          <w:p w14:paraId="4C7219FE" w14:textId="77777777" w:rsidR="00102D31" w:rsidRPr="006E0B8C" w:rsidRDefault="00102D31" w:rsidP="009845D6">
            <w:pPr>
              <w:tabs>
                <w:tab w:val="left" w:pos="361"/>
              </w:tabs>
              <w:spacing w:after="0"/>
              <w:ind w:firstLine="0"/>
              <w:jc w:val="right"/>
              <w:rPr>
                <w:rFonts w:ascii="Arial" w:hAnsi="Arial" w:cs="Arial"/>
                <w:sz w:val="15"/>
                <w:szCs w:val="15"/>
              </w:rPr>
            </w:pPr>
            <w:r>
              <w:rPr>
                <w:rFonts w:ascii="Arial" w:hAnsi="Arial"/>
                <w:sz w:val="15"/>
                <w:szCs w:val="15"/>
              </w:rPr>
              <w:t>Period.</w:t>
            </w:r>
          </w:p>
        </w:tc>
        <w:tc>
          <w:tcPr>
            <w:tcW w:w="1073" w:type="dxa"/>
            <w:shd w:val="clear" w:color="auto" w:fill="B8CCE4" w:themeFill="accent1" w:themeFillTint="66"/>
            <w:vAlign w:val="center"/>
          </w:tcPr>
          <w:p w14:paraId="505C0ACD" w14:textId="77777777" w:rsidR="00102D31" w:rsidRPr="006E0B8C" w:rsidRDefault="00102D31" w:rsidP="00CE50DD">
            <w:pPr>
              <w:spacing w:after="0"/>
              <w:ind w:firstLine="0"/>
              <w:jc w:val="right"/>
              <w:rPr>
                <w:rFonts w:ascii="Arial" w:hAnsi="Arial" w:cs="Arial"/>
                <w:sz w:val="15"/>
                <w:szCs w:val="15"/>
              </w:rPr>
            </w:pPr>
            <w:r>
              <w:rPr>
                <w:rFonts w:ascii="Arial" w:hAnsi="Arial"/>
                <w:sz w:val="15"/>
                <w:szCs w:val="15"/>
              </w:rPr>
              <w:t>Deiald. aurrekontua</w:t>
            </w:r>
          </w:p>
        </w:tc>
        <w:tc>
          <w:tcPr>
            <w:tcW w:w="789" w:type="dxa"/>
            <w:shd w:val="clear" w:color="auto" w:fill="B8CCE4" w:themeFill="accent1" w:themeFillTint="66"/>
            <w:vAlign w:val="center"/>
          </w:tcPr>
          <w:p w14:paraId="76173907" w14:textId="77777777" w:rsidR="00102D31" w:rsidRPr="006E0B8C" w:rsidRDefault="00102D31" w:rsidP="00FD6651">
            <w:pPr>
              <w:spacing w:after="0"/>
              <w:ind w:firstLine="0"/>
              <w:jc w:val="right"/>
              <w:rPr>
                <w:rFonts w:ascii="Arial" w:hAnsi="Arial" w:cs="Arial"/>
                <w:sz w:val="15"/>
                <w:szCs w:val="15"/>
              </w:rPr>
            </w:pPr>
            <w:r>
              <w:rPr>
                <w:rFonts w:ascii="Arial" w:hAnsi="Arial"/>
                <w:sz w:val="15"/>
                <w:szCs w:val="15"/>
              </w:rPr>
              <w:t>Eskatzaile-kop.</w:t>
            </w:r>
          </w:p>
        </w:tc>
        <w:tc>
          <w:tcPr>
            <w:tcW w:w="819" w:type="dxa"/>
            <w:shd w:val="clear" w:color="auto" w:fill="B8CCE4" w:themeFill="accent1" w:themeFillTint="66"/>
            <w:vAlign w:val="center"/>
          </w:tcPr>
          <w:p w14:paraId="73F3CA95" w14:textId="77777777" w:rsidR="00102D31" w:rsidRPr="006E0B8C" w:rsidRDefault="00102D31" w:rsidP="00E80CB3">
            <w:pPr>
              <w:spacing w:after="0"/>
              <w:ind w:firstLine="0"/>
              <w:jc w:val="right"/>
              <w:rPr>
                <w:rFonts w:ascii="Arial" w:hAnsi="Arial" w:cs="Arial"/>
                <w:sz w:val="15"/>
                <w:szCs w:val="15"/>
              </w:rPr>
            </w:pPr>
            <w:r>
              <w:rPr>
                <w:rFonts w:ascii="Arial" w:hAnsi="Arial"/>
                <w:sz w:val="15"/>
                <w:szCs w:val="15"/>
              </w:rPr>
              <w:t>Onespen-kop.</w:t>
            </w:r>
          </w:p>
        </w:tc>
        <w:tc>
          <w:tcPr>
            <w:tcW w:w="1044" w:type="dxa"/>
            <w:shd w:val="clear" w:color="auto" w:fill="B8CCE4" w:themeFill="accent1" w:themeFillTint="66"/>
            <w:vAlign w:val="center"/>
          </w:tcPr>
          <w:p w14:paraId="6AAFBEDF" w14:textId="77777777" w:rsidR="00CE50DD" w:rsidRDefault="00102D31" w:rsidP="00FD6651">
            <w:pPr>
              <w:spacing w:after="0"/>
              <w:ind w:firstLine="0"/>
              <w:jc w:val="right"/>
              <w:rPr>
                <w:rFonts w:ascii="Arial" w:hAnsi="Arial" w:cs="Arial"/>
                <w:sz w:val="15"/>
                <w:szCs w:val="15"/>
              </w:rPr>
            </w:pPr>
            <w:r>
              <w:rPr>
                <w:rFonts w:ascii="Arial" w:hAnsi="Arial"/>
                <w:sz w:val="15"/>
                <w:szCs w:val="15"/>
              </w:rPr>
              <w:t xml:space="preserve">Ukazio-kop. </w:t>
            </w:r>
          </w:p>
          <w:p w14:paraId="733A5DE1" w14:textId="77777777" w:rsidR="00102D31" w:rsidRPr="006E0B8C" w:rsidRDefault="002852E9" w:rsidP="00FD6651">
            <w:pPr>
              <w:spacing w:after="0"/>
              <w:ind w:firstLine="0"/>
              <w:jc w:val="right"/>
              <w:rPr>
                <w:rFonts w:ascii="Arial" w:hAnsi="Arial" w:cs="Arial"/>
                <w:sz w:val="15"/>
                <w:szCs w:val="15"/>
              </w:rPr>
            </w:pPr>
            <w:r>
              <w:rPr>
                <w:rFonts w:ascii="Arial" w:hAnsi="Arial"/>
                <w:sz w:val="15"/>
                <w:szCs w:val="15"/>
              </w:rPr>
              <w:t>Izapidetzeko baztertuak</w:t>
            </w:r>
          </w:p>
        </w:tc>
        <w:tc>
          <w:tcPr>
            <w:tcW w:w="1003" w:type="dxa"/>
            <w:shd w:val="clear" w:color="auto" w:fill="B8CCE4" w:themeFill="accent1" w:themeFillTint="66"/>
            <w:vAlign w:val="center"/>
          </w:tcPr>
          <w:p w14:paraId="21307E05" w14:textId="77777777" w:rsidR="00102D31" w:rsidRPr="006E0B8C" w:rsidRDefault="00102D31" w:rsidP="006C1E66">
            <w:pPr>
              <w:spacing w:after="0"/>
              <w:ind w:firstLine="0"/>
              <w:jc w:val="right"/>
              <w:rPr>
                <w:rFonts w:ascii="Arial" w:hAnsi="Arial" w:cs="Arial"/>
                <w:sz w:val="15"/>
                <w:szCs w:val="15"/>
              </w:rPr>
            </w:pPr>
            <w:r>
              <w:rPr>
                <w:rFonts w:ascii="Arial" w:hAnsi="Arial"/>
                <w:sz w:val="15"/>
                <w:szCs w:val="15"/>
              </w:rPr>
              <w:t>Aurrek. ezagatiko ukazio kop.</w:t>
            </w:r>
          </w:p>
        </w:tc>
        <w:tc>
          <w:tcPr>
            <w:tcW w:w="992" w:type="dxa"/>
            <w:shd w:val="clear" w:color="auto" w:fill="B8CCE4" w:themeFill="accent1" w:themeFillTint="66"/>
            <w:vAlign w:val="center"/>
          </w:tcPr>
          <w:p w14:paraId="5C5F5444" w14:textId="77777777" w:rsidR="00102D31" w:rsidRPr="006E0B8C" w:rsidRDefault="00102D31" w:rsidP="006C1E66">
            <w:pPr>
              <w:spacing w:after="0"/>
              <w:ind w:firstLine="0"/>
              <w:jc w:val="right"/>
              <w:rPr>
                <w:rFonts w:ascii="Arial" w:hAnsi="Arial" w:cs="Arial"/>
                <w:sz w:val="15"/>
                <w:szCs w:val="15"/>
              </w:rPr>
            </w:pPr>
            <w:r>
              <w:rPr>
                <w:rFonts w:ascii="Arial" w:hAnsi="Arial"/>
                <w:sz w:val="15"/>
                <w:szCs w:val="15"/>
              </w:rPr>
              <w:t>Ukazio / eskabide %</w:t>
            </w:r>
          </w:p>
        </w:tc>
        <w:tc>
          <w:tcPr>
            <w:tcW w:w="1016" w:type="dxa"/>
            <w:shd w:val="clear" w:color="auto" w:fill="B8CCE4" w:themeFill="accent1" w:themeFillTint="66"/>
            <w:vAlign w:val="center"/>
          </w:tcPr>
          <w:p w14:paraId="5030955C" w14:textId="77777777" w:rsidR="00CE50DD" w:rsidRDefault="00102D31" w:rsidP="00FD6651">
            <w:pPr>
              <w:spacing w:after="0"/>
              <w:ind w:firstLine="0"/>
              <w:jc w:val="right"/>
              <w:rPr>
                <w:rFonts w:ascii="Arial" w:hAnsi="Arial" w:cs="Arial"/>
                <w:sz w:val="15"/>
                <w:szCs w:val="15"/>
              </w:rPr>
            </w:pPr>
            <w:r>
              <w:rPr>
                <w:rFonts w:ascii="Arial" w:hAnsi="Arial"/>
                <w:sz w:val="15"/>
                <w:szCs w:val="15"/>
              </w:rPr>
              <w:t xml:space="preserve">Onetsiaren zenbatekoa  </w:t>
            </w:r>
          </w:p>
          <w:p w14:paraId="72DED066" w14:textId="77777777" w:rsidR="00102D31" w:rsidRPr="006E0B8C" w:rsidRDefault="00102D31" w:rsidP="00FD6651">
            <w:pPr>
              <w:spacing w:after="0"/>
              <w:ind w:firstLine="0"/>
              <w:jc w:val="right"/>
              <w:rPr>
                <w:rFonts w:ascii="Arial" w:hAnsi="Arial" w:cs="Arial"/>
                <w:sz w:val="15"/>
                <w:szCs w:val="15"/>
              </w:rPr>
            </w:pPr>
          </w:p>
        </w:tc>
        <w:tc>
          <w:tcPr>
            <w:tcW w:w="669" w:type="dxa"/>
            <w:shd w:val="clear" w:color="auto" w:fill="B8CCE4" w:themeFill="accent1" w:themeFillTint="66"/>
            <w:vAlign w:val="center"/>
          </w:tcPr>
          <w:p w14:paraId="68EDBB0F" w14:textId="77777777" w:rsidR="00102D31" w:rsidRPr="006E0B8C" w:rsidRDefault="00102D31" w:rsidP="00FD6651">
            <w:pPr>
              <w:spacing w:after="0"/>
              <w:ind w:firstLine="0"/>
              <w:rPr>
                <w:rFonts w:ascii="Arial" w:hAnsi="Arial" w:cs="Arial"/>
                <w:sz w:val="15"/>
                <w:szCs w:val="15"/>
              </w:rPr>
            </w:pPr>
            <w:r>
              <w:rPr>
                <w:rFonts w:ascii="Arial" w:hAnsi="Arial"/>
                <w:sz w:val="15"/>
                <w:szCs w:val="15"/>
              </w:rPr>
              <w:t>Onetsia / aurrek.</w:t>
            </w:r>
          </w:p>
        </w:tc>
        <w:tc>
          <w:tcPr>
            <w:tcW w:w="1094" w:type="dxa"/>
            <w:shd w:val="clear" w:color="auto" w:fill="B8CCE4" w:themeFill="accent1" w:themeFillTint="66"/>
            <w:vAlign w:val="center"/>
          </w:tcPr>
          <w:p w14:paraId="032E1EC5" w14:textId="77777777" w:rsidR="00102D31" w:rsidRPr="006E0B8C" w:rsidRDefault="00102D31" w:rsidP="00FD6651">
            <w:pPr>
              <w:spacing w:after="0"/>
              <w:ind w:firstLine="0"/>
              <w:jc w:val="right"/>
              <w:rPr>
                <w:rFonts w:ascii="Arial" w:hAnsi="Arial" w:cs="Arial"/>
                <w:sz w:val="15"/>
                <w:szCs w:val="15"/>
              </w:rPr>
            </w:pPr>
            <w:r>
              <w:rPr>
                <w:rFonts w:ascii="Arial" w:hAnsi="Arial"/>
                <w:sz w:val="15"/>
                <w:szCs w:val="15"/>
              </w:rPr>
              <w:t>Pagaturiko zenbatekoak</w:t>
            </w:r>
          </w:p>
        </w:tc>
        <w:tc>
          <w:tcPr>
            <w:tcW w:w="693" w:type="dxa"/>
            <w:shd w:val="clear" w:color="auto" w:fill="B8CCE4" w:themeFill="accent1" w:themeFillTint="66"/>
            <w:vAlign w:val="center"/>
          </w:tcPr>
          <w:p w14:paraId="1B5F29C2" w14:textId="77777777" w:rsidR="00102D31" w:rsidRPr="006E0B8C" w:rsidRDefault="00102D31" w:rsidP="00FD6651">
            <w:pPr>
              <w:spacing w:after="0"/>
              <w:ind w:firstLine="0"/>
              <w:rPr>
                <w:rFonts w:ascii="Arial" w:hAnsi="Arial" w:cs="Arial"/>
                <w:sz w:val="15"/>
                <w:szCs w:val="15"/>
              </w:rPr>
            </w:pPr>
            <w:r>
              <w:rPr>
                <w:rFonts w:ascii="Arial" w:hAnsi="Arial"/>
                <w:sz w:val="15"/>
                <w:szCs w:val="15"/>
              </w:rPr>
              <w:t>Pagatua / onetsia, %</w:t>
            </w:r>
          </w:p>
        </w:tc>
        <w:tc>
          <w:tcPr>
            <w:tcW w:w="614" w:type="dxa"/>
            <w:shd w:val="clear" w:color="auto" w:fill="B8CCE4" w:themeFill="accent1" w:themeFillTint="66"/>
            <w:vAlign w:val="center"/>
          </w:tcPr>
          <w:p w14:paraId="2CD1C82E" w14:textId="77777777" w:rsidR="00102D31" w:rsidRPr="006E0B8C" w:rsidRDefault="00102D31" w:rsidP="00FD6651">
            <w:pPr>
              <w:spacing w:after="0"/>
              <w:ind w:firstLine="0"/>
              <w:jc w:val="right"/>
              <w:rPr>
                <w:rFonts w:ascii="Arial" w:hAnsi="Arial" w:cs="Arial"/>
                <w:sz w:val="15"/>
                <w:szCs w:val="15"/>
              </w:rPr>
            </w:pPr>
            <w:r>
              <w:rPr>
                <w:rFonts w:ascii="Arial" w:hAnsi="Arial"/>
                <w:sz w:val="15"/>
                <w:szCs w:val="15"/>
              </w:rPr>
              <w:t>Pagatua / aurrek., %</w:t>
            </w:r>
          </w:p>
        </w:tc>
        <w:tc>
          <w:tcPr>
            <w:tcW w:w="1027" w:type="dxa"/>
            <w:shd w:val="clear" w:color="auto" w:fill="B8CCE4" w:themeFill="accent1" w:themeFillTint="66"/>
            <w:vAlign w:val="center"/>
          </w:tcPr>
          <w:p w14:paraId="06F948E2" w14:textId="77777777" w:rsidR="00102D31" w:rsidRDefault="00102D31" w:rsidP="00FD6651">
            <w:pPr>
              <w:spacing w:after="0"/>
              <w:ind w:firstLine="0"/>
              <w:jc w:val="right"/>
              <w:rPr>
                <w:rFonts w:ascii="Arial" w:hAnsi="Arial" w:cs="Arial"/>
                <w:sz w:val="15"/>
                <w:szCs w:val="15"/>
              </w:rPr>
            </w:pPr>
            <w:r>
              <w:rPr>
                <w:rFonts w:ascii="Arial" w:hAnsi="Arial"/>
                <w:sz w:val="15"/>
                <w:szCs w:val="15"/>
              </w:rPr>
              <w:t>Guztira</w:t>
            </w:r>
          </w:p>
          <w:p w14:paraId="246DB41C" w14:textId="77777777" w:rsidR="00102D31" w:rsidRPr="006E0B8C" w:rsidRDefault="002A51C9" w:rsidP="00FD6651">
            <w:pPr>
              <w:spacing w:after="0"/>
              <w:ind w:firstLine="0"/>
              <w:jc w:val="right"/>
              <w:rPr>
                <w:rFonts w:ascii="Arial" w:hAnsi="Arial" w:cs="Arial"/>
                <w:sz w:val="15"/>
                <w:szCs w:val="15"/>
              </w:rPr>
            </w:pPr>
            <w:r>
              <w:rPr>
                <w:rFonts w:ascii="Arial" w:hAnsi="Arial"/>
                <w:sz w:val="15"/>
                <w:szCs w:val="15"/>
              </w:rPr>
              <w:t>Enpresak eta autonomoak</w:t>
            </w:r>
          </w:p>
        </w:tc>
        <w:tc>
          <w:tcPr>
            <w:tcW w:w="846" w:type="dxa"/>
            <w:shd w:val="clear" w:color="auto" w:fill="B8CCE4" w:themeFill="accent1" w:themeFillTint="66"/>
            <w:vAlign w:val="center"/>
          </w:tcPr>
          <w:p w14:paraId="1FA35DE1" w14:textId="77777777" w:rsidR="00102D31" w:rsidRPr="006E0B8C" w:rsidRDefault="00CC2BE2" w:rsidP="00FD6651">
            <w:pPr>
              <w:spacing w:after="0"/>
              <w:ind w:firstLine="0"/>
              <w:jc w:val="right"/>
              <w:rPr>
                <w:rFonts w:ascii="Arial" w:hAnsi="Arial" w:cs="Arial"/>
                <w:sz w:val="15"/>
                <w:szCs w:val="15"/>
              </w:rPr>
            </w:pPr>
            <w:r>
              <w:rPr>
                <w:rFonts w:ascii="Arial" w:hAnsi="Arial"/>
                <w:sz w:val="15"/>
                <w:szCs w:val="15"/>
              </w:rPr>
              <w:t>Enpresak / onets. guztizkoa, %</w:t>
            </w:r>
          </w:p>
        </w:tc>
      </w:tr>
      <w:tr w:rsidR="00102D31" w:rsidRPr="00CE50DD" w14:paraId="14F40B78" w14:textId="77777777" w:rsidTr="006C1E66">
        <w:trPr>
          <w:trHeight w:val="1201"/>
        </w:trPr>
        <w:tc>
          <w:tcPr>
            <w:tcW w:w="1560" w:type="dxa"/>
            <w:vAlign w:val="center"/>
          </w:tcPr>
          <w:p w14:paraId="39869CB1" w14:textId="77777777" w:rsidR="00102D31" w:rsidRPr="00CE50DD" w:rsidRDefault="00102D31" w:rsidP="00FD6651">
            <w:pPr>
              <w:spacing w:after="0"/>
              <w:ind w:firstLine="0"/>
              <w:jc w:val="left"/>
              <w:rPr>
                <w:rFonts w:ascii="Arial Narrow" w:hAnsi="Arial Narrow" w:cs="Calibri"/>
                <w:color w:val="000000"/>
                <w:sz w:val="16"/>
                <w:szCs w:val="16"/>
              </w:rPr>
            </w:pPr>
            <w:r>
              <w:rPr>
                <w:rFonts w:ascii="Arial Narrow" w:hAnsi="Arial Narrow"/>
                <w:color w:val="000000"/>
                <w:sz w:val="16"/>
                <w:szCs w:val="16"/>
              </w:rPr>
              <w:t>Laguntzak, enpresek eta ikerketaren eta ezagutza-dibulgazioaren alorreko erakundeek doktoregaiak kontratatzekoak</w:t>
            </w:r>
          </w:p>
        </w:tc>
        <w:tc>
          <w:tcPr>
            <w:tcW w:w="1201" w:type="dxa"/>
            <w:vAlign w:val="center"/>
          </w:tcPr>
          <w:p w14:paraId="7C35F296" w14:textId="77777777" w:rsidR="00102D31" w:rsidRPr="00CE50DD" w:rsidRDefault="00102D31" w:rsidP="00FD6651">
            <w:pPr>
              <w:spacing w:after="0"/>
              <w:ind w:firstLine="0"/>
              <w:jc w:val="left"/>
              <w:rPr>
                <w:rFonts w:ascii="Arial Narrow" w:hAnsi="Arial Narrow" w:cs="Calibri"/>
                <w:color w:val="000000"/>
                <w:sz w:val="16"/>
                <w:szCs w:val="16"/>
              </w:rPr>
            </w:pPr>
            <w:r>
              <w:rPr>
                <w:rFonts w:ascii="Arial Narrow" w:hAnsi="Arial Narrow"/>
                <w:color w:val="000000"/>
                <w:sz w:val="16"/>
                <w:szCs w:val="16"/>
              </w:rPr>
              <w:t>Norgehiagoka</w:t>
            </w:r>
          </w:p>
        </w:tc>
        <w:tc>
          <w:tcPr>
            <w:tcW w:w="875" w:type="dxa"/>
            <w:vAlign w:val="center"/>
          </w:tcPr>
          <w:p w14:paraId="3CA85EDA"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Urte anitzekoa</w:t>
            </w:r>
          </w:p>
          <w:p w14:paraId="224B9C80"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3 urte</w:t>
            </w:r>
          </w:p>
        </w:tc>
        <w:tc>
          <w:tcPr>
            <w:tcW w:w="1073" w:type="dxa"/>
            <w:vAlign w:val="center"/>
          </w:tcPr>
          <w:p w14:paraId="49BFA308"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1.500.000</w:t>
            </w:r>
          </w:p>
        </w:tc>
        <w:tc>
          <w:tcPr>
            <w:tcW w:w="789" w:type="dxa"/>
            <w:vAlign w:val="center"/>
          </w:tcPr>
          <w:p w14:paraId="57DE3D27"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32</w:t>
            </w:r>
          </w:p>
        </w:tc>
        <w:tc>
          <w:tcPr>
            <w:tcW w:w="819" w:type="dxa"/>
            <w:vAlign w:val="center"/>
          </w:tcPr>
          <w:p w14:paraId="03DCD371"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17</w:t>
            </w:r>
          </w:p>
        </w:tc>
        <w:tc>
          <w:tcPr>
            <w:tcW w:w="1044" w:type="dxa"/>
            <w:vAlign w:val="center"/>
          </w:tcPr>
          <w:p w14:paraId="49A85A76"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15</w:t>
            </w:r>
          </w:p>
        </w:tc>
        <w:tc>
          <w:tcPr>
            <w:tcW w:w="1003" w:type="dxa"/>
            <w:vAlign w:val="center"/>
          </w:tcPr>
          <w:p w14:paraId="5AA3347C"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13</w:t>
            </w:r>
          </w:p>
        </w:tc>
        <w:tc>
          <w:tcPr>
            <w:tcW w:w="992" w:type="dxa"/>
            <w:vAlign w:val="center"/>
          </w:tcPr>
          <w:p w14:paraId="42216E29"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 47</w:t>
            </w:r>
          </w:p>
        </w:tc>
        <w:tc>
          <w:tcPr>
            <w:tcW w:w="1016" w:type="dxa"/>
            <w:vAlign w:val="center"/>
          </w:tcPr>
          <w:p w14:paraId="178BF111"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1.455.262</w:t>
            </w:r>
          </w:p>
        </w:tc>
        <w:tc>
          <w:tcPr>
            <w:tcW w:w="669" w:type="dxa"/>
            <w:vAlign w:val="center"/>
          </w:tcPr>
          <w:p w14:paraId="6EABC84E" w14:textId="77777777" w:rsidR="00102D31" w:rsidRPr="00CE50DD" w:rsidRDefault="003B50A5"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97</w:t>
            </w:r>
          </w:p>
        </w:tc>
        <w:tc>
          <w:tcPr>
            <w:tcW w:w="1094" w:type="dxa"/>
            <w:vAlign w:val="center"/>
          </w:tcPr>
          <w:p w14:paraId="4F303BD7"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1.029.561</w:t>
            </w:r>
          </w:p>
        </w:tc>
        <w:tc>
          <w:tcPr>
            <w:tcW w:w="693" w:type="dxa"/>
            <w:vAlign w:val="center"/>
          </w:tcPr>
          <w:p w14:paraId="08748957"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71</w:t>
            </w:r>
          </w:p>
        </w:tc>
        <w:tc>
          <w:tcPr>
            <w:tcW w:w="614" w:type="dxa"/>
            <w:vAlign w:val="center"/>
          </w:tcPr>
          <w:p w14:paraId="79C58719" w14:textId="77777777" w:rsidR="00102D31" w:rsidRPr="00CE50DD" w:rsidRDefault="003B50A5"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69</w:t>
            </w:r>
          </w:p>
        </w:tc>
        <w:tc>
          <w:tcPr>
            <w:tcW w:w="1027" w:type="dxa"/>
            <w:vAlign w:val="center"/>
          </w:tcPr>
          <w:p w14:paraId="29DCC8A3"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653.148</w:t>
            </w:r>
          </w:p>
        </w:tc>
        <w:tc>
          <w:tcPr>
            <w:tcW w:w="846" w:type="dxa"/>
            <w:vAlign w:val="center"/>
          </w:tcPr>
          <w:p w14:paraId="1609E71D"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63</w:t>
            </w:r>
          </w:p>
        </w:tc>
      </w:tr>
      <w:tr w:rsidR="00102D31" w:rsidRPr="00CE50DD" w14:paraId="367E822B" w14:textId="77777777" w:rsidTr="006C1E66">
        <w:trPr>
          <w:trHeight w:val="694"/>
        </w:trPr>
        <w:tc>
          <w:tcPr>
            <w:tcW w:w="1560" w:type="dxa"/>
            <w:vAlign w:val="center"/>
          </w:tcPr>
          <w:p w14:paraId="7168BC74" w14:textId="77777777" w:rsidR="00102D31" w:rsidRPr="00CE50DD" w:rsidRDefault="00102D31" w:rsidP="00FD6651">
            <w:pPr>
              <w:spacing w:after="0"/>
              <w:ind w:firstLine="0"/>
              <w:rPr>
                <w:rFonts w:ascii="Arial Narrow" w:hAnsi="Arial Narrow" w:cs="Calibri"/>
                <w:color w:val="000000"/>
                <w:sz w:val="16"/>
                <w:szCs w:val="16"/>
              </w:rPr>
            </w:pPr>
            <w:r>
              <w:rPr>
                <w:rFonts w:ascii="Arial Narrow" w:hAnsi="Arial Narrow"/>
                <w:color w:val="000000"/>
                <w:sz w:val="16"/>
                <w:szCs w:val="16"/>
              </w:rPr>
              <w:t>Enpresek gazteak kontratatzeko pizgarriak</w:t>
            </w:r>
          </w:p>
        </w:tc>
        <w:tc>
          <w:tcPr>
            <w:tcW w:w="1201" w:type="dxa"/>
            <w:vAlign w:val="center"/>
          </w:tcPr>
          <w:p w14:paraId="5A12A161" w14:textId="77777777" w:rsidR="00102D31" w:rsidRPr="00CE50DD" w:rsidRDefault="00102D31" w:rsidP="00FD6651">
            <w:pPr>
              <w:spacing w:after="0"/>
              <w:ind w:firstLine="0"/>
              <w:jc w:val="left"/>
              <w:rPr>
                <w:rFonts w:ascii="Arial Narrow" w:hAnsi="Arial Narrow" w:cs="Calibri"/>
                <w:color w:val="000000"/>
                <w:sz w:val="16"/>
                <w:szCs w:val="16"/>
              </w:rPr>
            </w:pPr>
            <w:r>
              <w:rPr>
                <w:rFonts w:ascii="Arial Narrow" w:hAnsi="Arial Narrow"/>
                <w:color w:val="000000"/>
                <w:sz w:val="16"/>
                <w:szCs w:val="16"/>
              </w:rPr>
              <w:t>Banakako ebaluazioa</w:t>
            </w:r>
          </w:p>
        </w:tc>
        <w:tc>
          <w:tcPr>
            <w:tcW w:w="875" w:type="dxa"/>
            <w:vAlign w:val="center"/>
          </w:tcPr>
          <w:p w14:paraId="17C5EE2B"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Urte anitzekoa</w:t>
            </w:r>
          </w:p>
        </w:tc>
        <w:tc>
          <w:tcPr>
            <w:tcW w:w="1073" w:type="dxa"/>
            <w:vAlign w:val="center"/>
          </w:tcPr>
          <w:p w14:paraId="1F4E98A0"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1.480.000</w:t>
            </w:r>
          </w:p>
        </w:tc>
        <w:tc>
          <w:tcPr>
            <w:tcW w:w="789" w:type="dxa"/>
            <w:vAlign w:val="center"/>
          </w:tcPr>
          <w:p w14:paraId="25420406"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368</w:t>
            </w:r>
          </w:p>
        </w:tc>
        <w:tc>
          <w:tcPr>
            <w:tcW w:w="819" w:type="dxa"/>
            <w:vAlign w:val="center"/>
          </w:tcPr>
          <w:p w14:paraId="70A1221C" w14:textId="77777777" w:rsidR="00102D31" w:rsidRPr="00CE50DD" w:rsidRDefault="00E80CB3"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318</w:t>
            </w:r>
          </w:p>
        </w:tc>
        <w:tc>
          <w:tcPr>
            <w:tcW w:w="1044" w:type="dxa"/>
            <w:vAlign w:val="center"/>
          </w:tcPr>
          <w:p w14:paraId="70A67465" w14:textId="77777777" w:rsidR="00102D31" w:rsidRPr="00CE50DD" w:rsidRDefault="00FD665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50</w:t>
            </w:r>
          </w:p>
        </w:tc>
        <w:tc>
          <w:tcPr>
            <w:tcW w:w="1003" w:type="dxa"/>
            <w:vAlign w:val="center"/>
          </w:tcPr>
          <w:p w14:paraId="3CCC3A02"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992" w:type="dxa"/>
            <w:vAlign w:val="center"/>
          </w:tcPr>
          <w:p w14:paraId="01DA2730"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sz w:val="16"/>
                <w:szCs w:val="16"/>
              </w:rPr>
              <w:t>% 8</w:t>
            </w:r>
          </w:p>
        </w:tc>
        <w:tc>
          <w:tcPr>
            <w:tcW w:w="1016" w:type="dxa"/>
            <w:vAlign w:val="center"/>
          </w:tcPr>
          <w:p w14:paraId="291E025A"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1.465.860</w:t>
            </w:r>
          </w:p>
        </w:tc>
        <w:tc>
          <w:tcPr>
            <w:tcW w:w="669" w:type="dxa"/>
            <w:vAlign w:val="center"/>
          </w:tcPr>
          <w:p w14:paraId="7F4D0D16" w14:textId="77777777" w:rsidR="00102D31" w:rsidRPr="00CE50DD" w:rsidRDefault="003B50A5"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99</w:t>
            </w:r>
          </w:p>
        </w:tc>
        <w:tc>
          <w:tcPr>
            <w:tcW w:w="1094" w:type="dxa"/>
            <w:vAlign w:val="center"/>
          </w:tcPr>
          <w:p w14:paraId="49FC0665"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1.465.860</w:t>
            </w:r>
          </w:p>
        </w:tc>
        <w:tc>
          <w:tcPr>
            <w:tcW w:w="693" w:type="dxa"/>
            <w:vAlign w:val="center"/>
          </w:tcPr>
          <w:p w14:paraId="648E1ED7" w14:textId="77777777" w:rsidR="00102D31" w:rsidRPr="00CE50DD" w:rsidRDefault="003B50A5"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100</w:t>
            </w:r>
          </w:p>
        </w:tc>
        <w:tc>
          <w:tcPr>
            <w:tcW w:w="614" w:type="dxa"/>
            <w:vAlign w:val="center"/>
          </w:tcPr>
          <w:p w14:paraId="3B420941" w14:textId="77777777" w:rsidR="00102D31" w:rsidRPr="00CE50DD" w:rsidRDefault="003B50A5"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99</w:t>
            </w:r>
          </w:p>
        </w:tc>
        <w:tc>
          <w:tcPr>
            <w:tcW w:w="1027" w:type="dxa"/>
            <w:vAlign w:val="center"/>
          </w:tcPr>
          <w:p w14:paraId="6F69D2B6"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1.465.860</w:t>
            </w:r>
          </w:p>
        </w:tc>
        <w:tc>
          <w:tcPr>
            <w:tcW w:w="846" w:type="dxa"/>
            <w:vAlign w:val="center"/>
          </w:tcPr>
          <w:p w14:paraId="49C570A0" w14:textId="77777777" w:rsidR="00102D31" w:rsidRPr="00CE50DD" w:rsidRDefault="00CC2BE2"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100</w:t>
            </w:r>
          </w:p>
        </w:tc>
      </w:tr>
      <w:tr w:rsidR="00102D31" w:rsidRPr="00CE50DD" w14:paraId="47FBD1A6" w14:textId="77777777" w:rsidTr="006C1E66">
        <w:trPr>
          <w:trHeight w:val="562"/>
        </w:trPr>
        <w:tc>
          <w:tcPr>
            <w:tcW w:w="1560" w:type="dxa"/>
            <w:vAlign w:val="center"/>
          </w:tcPr>
          <w:p w14:paraId="2E546F82" w14:textId="77777777" w:rsidR="00102D31" w:rsidRPr="00CE50DD" w:rsidRDefault="00102D31" w:rsidP="00FD6651">
            <w:pPr>
              <w:spacing w:after="0"/>
              <w:ind w:firstLine="0"/>
              <w:rPr>
                <w:rFonts w:ascii="Arial Narrow" w:hAnsi="Arial Narrow" w:cs="Calibri"/>
                <w:color w:val="000000"/>
                <w:sz w:val="16"/>
                <w:szCs w:val="16"/>
              </w:rPr>
            </w:pPr>
            <w:r>
              <w:rPr>
                <w:rFonts w:ascii="Arial Narrow" w:hAnsi="Arial Narrow"/>
                <w:color w:val="000000"/>
                <w:sz w:val="16"/>
                <w:szCs w:val="16"/>
              </w:rPr>
              <w:t>Inbertsiorako laguntzak, enpresa handientzakoak</w:t>
            </w:r>
          </w:p>
        </w:tc>
        <w:tc>
          <w:tcPr>
            <w:tcW w:w="1201" w:type="dxa"/>
            <w:vAlign w:val="center"/>
          </w:tcPr>
          <w:p w14:paraId="7846976E" w14:textId="77777777" w:rsidR="00102D31" w:rsidRPr="00CE50DD" w:rsidRDefault="00102D31" w:rsidP="00FD6651">
            <w:pPr>
              <w:spacing w:after="0"/>
              <w:ind w:firstLine="0"/>
              <w:jc w:val="left"/>
              <w:rPr>
                <w:rFonts w:ascii="Arial Narrow" w:hAnsi="Arial Narrow" w:cs="Calibri"/>
                <w:color w:val="000000"/>
                <w:sz w:val="16"/>
                <w:szCs w:val="16"/>
              </w:rPr>
            </w:pPr>
            <w:r>
              <w:rPr>
                <w:rFonts w:ascii="Arial Narrow" w:hAnsi="Arial Narrow"/>
                <w:color w:val="000000"/>
                <w:sz w:val="16"/>
                <w:szCs w:val="16"/>
              </w:rPr>
              <w:t>Norgehiagoka</w:t>
            </w:r>
          </w:p>
        </w:tc>
        <w:tc>
          <w:tcPr>
            <w:tcW w:w="875" w:type="dxa"/>
            <w:vAlign w:val="center"/>
          </w:tcPr>
          <w:p w14:paraId="472C428F"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Urtero</w:t>
            </w:r>
          </w:p>
        </w:tc>
        <w:tc>
          <w:tcPr>
            <w:tcW w:w="1073" w:type="dxa"/>
            <w:vAlign w:val="center"/>
          </w:tcPr>
          <w:p w14:paraId="08023B7F"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2.500.000</w:t>
            </w:r>
          </w:p>
        </w:tc>
        <w:tc>
          <w:tcPr>
            <w:tcW w:w="789" w:type="dxa"/>
            <w:vAlign w:val="center"/>
          </w:tcPr>
          <w:p w14:paraId="58B13EEB"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40</w:t>
            </w:r>
          </w:p>
        </w:tc>
        <w:tc>
          <w:tcPr>
            <w:tcW w:w="819" w:type="dxa"/>
            <w:vAlign w:val="center"/>
          </w:tcPr>
          <w:p w14:paraId="22C797A9"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14</w:t>
            </w:r>
          </w:p>
        </w:tc>
        <w:tc>
          <w:tcPr>
            <w:tcW w:w="1044" w:type="dxa"/>
            <w:vAlign w:val="center"/>
          </w:tcPr>
          <w:p w14:paraId="5E120383"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26</w:t>
            </w:r>
          </w:p>
        </w:tc>
        <w:tc>
          <w:tcPr>
            <w:tcW w:w="1003" w:type="dxa"/>
            <w:vAlign w:val="center"/>
          </w:tcPr>
          <w:p w14:paraId="741D9F9D"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21</w:t>
            </w:r>
          </w:p>
        </w:tc>
        <w:tc>
          <w:tcPr>
            <w:tcW w:w="992" w:type="dxa"/>
            <w:vAlign w:val="center"/>
          </w:tcPr>
          <w:p w14:paraId="2F8140DF"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 65</w:t>
            </w:r>
          </w:p>
        </w:tc>
        <w:tc>
          <w:tcPr>
            <w:tcW w:w="1016" w:type="dxa"/>
            <w:vAlign w:val="center"/>
          </w:tcPr>
          <w:p w14:paraId="0CA28827"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2.500.000</w:t>
            </w:r>
          </w:p>
        </w:tc>
        <w:tc>
          <w:tcPr>
            <w:tcW w:w="669" w:type="dxa"/>
            <w:vAlign w:val="center"/>
          </w:tcPr>
          <w:p w14:paraId="524DEB2D" w14:textId="77777777" w:rsidR="00102D31" w:rsidRPr="00CE50DD" w:rsidRDefault="00102D31" w:rsidP="00FD6651">
            <w:pPr>
              <w:spacing w:after="0"/>
              <w:ind w:firstLine="0"/>
              <w:jc w:val="right"/>
              <w:rPr>
                <w:rFonts w:ascii="Arial Narrow" w:hAnsi="Arial Narrow" w:cs="Calibri"/>
                <w:sz w:val="16"/>
                <w:szCs w:val="16"/>
              </w:rPr>
            </w:pPr>
            <w:r>
              <w:rPr>
                <w:rFonts w:ascii="Arial Narrow" w:hAnsi="Arial Narrow"/>
                <w:sz w:val="16"/>
                <w:szCs w:val="16"/>
              </w:rPr>
              <w:t>% 100</w:t>
            </w:r>
          </w:p>
        </w:tc>
        <w:tc>
          <w:tcPr>
            <w:tcW w:w="1094" w:type="dxa"/>
            <w:vAlign w:val="center"/>
          </w:tcPr>
          <w:p w14:paraId="1244013B"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1.581.959</w:t>
            </w:r>
          </w:p>
        </w:tc>
        <w:tc>
          <w:tcPr>
            <w:tcW w:w="693" w:type="dxa"/>
            <w:vAlign w:val="center"/>
          </w:tcPr>
          <w:p w14:paraId="55EFECC7"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63</w:t>
            </w:r>
          </w:p>
        </w:tc>
        <w:tc>
          <w:tcPr>
            <w:tcW w:w="614" w:type="dxa"/>
            <w:vAlign w:val="center"/>
          </w:tcPr>
          <w:p w14:paraId="705B7EE8" w14:textId="77777777" w:rsidR="00102D31" w:rsidRPr="00CE50DD" w:rsidRDefault="003B50A5"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63</w:t>
            </w:r>
          </w:p>
        </w:tc>
        <w:tc>
          <w:tcPr>
            <w:tcW w:w="1027" w:type="dxa"/>
            <w:vAlign w:val="center"/>
          </w:tcPr>
          <w:p w14:paraId="01208AB6"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1.581.959</w:t>
            </w:r>
          </w:p>
        </w:tc>
        <w:tc>
          <w:tcPr>
            <w:tcW w:w="846" w:type="dxa"/>
            <w:vAlign w:val="center"/>
          </w:tcPr>
          <w:p w14:paraId="5876287B" w14:textId="77777777" w:rsidR="00102D31" w:rsidRPr="00CE50DD" w:rsidRDefault="00225357"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100</w:t>
            </w:r>
          </w:p>
        </w:tc>
      </w:tr>
      <w:tr w:rsidR="00102D31" w:rsidRPr="00CE50DD" w14:paraId="71ED996B" w14:textId="77777777" w:rsidTr="006C1E66">
        <w:trPr>
          <w:trHeight w:val="712"/>
        </w:trPr>
        <w:tc>
          <w:tcPr>
            <w:tcW w:w="1560" w:type="dxa"/>
            <w:vAlign w:val="center"/>
          </w:tcPr>
          <w:p w14:paraId="22A69FE1" w14:textId="77777777" w:rsidR="00102D31" w:rsidRPr="00CE50DD" w:rsidRDefault="00102D31" w:rsidP="00FD6651">
            <w:pPr>
              <w:spacing w:after="0"/>
              <w:ind w:firstLine="0"/>
              <w:rPr>
                <w:rFonts w:ascii="Arial Narrow" w:hAnsi="Arial Narrow" w:cs="Calibri"/>
                <w:color w:val="000000"/>
                <w:sz w:val="16"/>
                <w:szCs w:val="16"/>
              </w:rPr>
            </w:pPr>
            <w:r>
              <w:rPr>
                <w:rFonts w:ascii="Arial Narrow" w:hAnsi="Arial Narrow"/>
                <w:color w:val="000000"/>
                <w:sz w:val="16"/>
                <w:szCs w:val="16"/>
              </w:rPr>
              <w:t>I+G proiektu estrategikoetan inbertitzeko laguntzak</w:t>
            </w:r>
          </w:p>
        </w:tc>
        <w:tc>
          <w:tcPr>
            <w:tcW w:w="1201" w:type="dxa"/>
            <w:vAlign w:val="center"/>
          </w:tcPr>
          <w:p w14:paraId="6D5034A8" w14:textId="77777777" w:rsidR="00102D31" w:rsidRPr="00CE50DD" w:rsidRDefault="00102D31" w:rsidP="00FD6651">
            <w:pPr>
              <w:spacing w:after="0"/>
              <w:ind w:firstLine="0"/>
              <w:jc w:val="left"/>
              <w:rPr>
                <w:rFonts w:ascii="Arial Narrow" w:hAnsi="Arial Narrow" w:cs="Calibri"/>
                <w:color w:val="000000"/>
                <w:sz w:val="16"/>
                <w:szCs w:val="16"/>
              </w:rPr>
            </w:pPr>
            <w:r>
              <w:rPr>
                <w:rFonts w:ascii="Arial Narrow" w:hAnsi="Arial Narrow"/>
                <w:color w:val="000000"/>
                <w:sz w:val="16"/>
                <w:szCs w:val="16"/>
              </w:rPr>
              <w:t>Norgehiagoka</w:t>
            </w:r>
          </w:p>
        </w:tc>
        <w:tc>
          <w:tcPr>
            <w:tcW w:w="875" w:type="dxa"/>
            <w:vAlign w:val="center"/>
          </w:tcPr>
          <w:p w14:paraId="3900FA88"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Urteanitzetakoa</w:t>
            </w:r>
          </w:p>
        </w:tc>
        <w:tc>
          <w:tcPr>
            <w:tcW w:w="1073" w:type="dxa"/>
            <w:vAlign w:val="center"/>
          </w:tcPr>
          <w:p w14:paraId="759803A7"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12.000.000</w:t>
            </w:r>
          </w:p>
        </w:tc>
        <w:tc>
          <w:tcPr>
            <w:tcW w:w="789" w:type="dxa"/>
            <w:vAlign w:val="center"/>
          </w:tcPr>
          <w:p w14:paraId="63D10C1C"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60</w:t>
            </w:r>
          </w:p>
        </w:tc>
        <w:tc>
          <w:tcPr>
            <w:tcW w:w="819" w:type="dxa"/>
            <w:vAlign w:val="center"/>
          </w:tcPr>
          <w:p w14:paraId="65CA847B"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46</w:t>
            </w:r>
          </w:p>
        </w:tc>
        <w:tc>
          <w:tcPr>
            <w:tcW w:w="1044" w:type="dxa"/>
            <w:vAlign w:val="center"/>
          </w:tcPr>
          <w:p w14:paraId="25495B9F"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14</w:t>
            </w:r>
          </w:p>
        </w:tc>
        <w:tc>
          <w:tcPr>
            <w:tcW w:w="1003" w:type="dxa"/>
            <w:vAlign w:val="center"/>
          </w:tcPr>
          <w:p w14:paraId="0A4C9CAF"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992" w:type="dxa"/>
            <w:vAlign w:val="center"/>
          </w:tcPr>
          <w:p w14:paraId="3823A8B6"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 23</w:t>
            </w:r>
          </w:p>
        </w:tc>
        <w:tc>
          <w:tcPr>
            <w:tcW w:w="1016" w:type="dxa"/>
            <w:vAlign w:val="center"/>
          </w:tcPr>
          <w:p w14:paraId="4B0C1E5D"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9.182.407</w:t>
            </w:r>
          </w:p>
        </w:tc>
        <w:tc>
          <w:tcPr>
            <w:tcW w:w="669" w:type="dxa"/>
            <w:vAlign w:val="center"/>
          </w:tcPr>
          <w:p w14:paraId="2AF5C43B" w14:textId="77777777" w:rsidR="00102D31" w:rsidRPr="00CE50DD" w:rsidRDefault="003B50A5"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77</w:t>
            </w:r>
          </w:p>
        </w:tc>
        <w:tc>
          <w:tcPr>
            <w:tcW w:w="1094" w:type="dxa"/>
            <w:vAlign w:val="center"/>
          </w:tcPr>
          <w:p w14:paraId="3175DB3C"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7.765.303</w:t>
            </w:r>
          </w:p>
        </w:tc>
        <w:tc>
          <w:tcPr>
            <w:tcW w:w="693" w:type="dxa"/>
            <w:vAlign w:val="center"/>
          </w:tcPr>
          <w:p w14:paraId="1168516F" w14:textId="77777777" w:rsidR="00102D31" w:rsidRPr="00CE50DD" w:rsidRDefault="003B50A5"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85</w:t>
            </w:r>
          </w:p>
        </w:tc>
        <w:tc>
          <w:tcPr>
            <w:tcW w:w="614" w:type="dxa"/>
            <w:vAlign w:val="center"/>
          </w:tcPr>
          <w:p w14:paraId="6A08D17C" w14:textId="77777777" w:rsidR="00102D31" w:rsidRPr="00CE50DD" w:rsidRDefault="003B50A5"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65</w:t>
            </w:r>
          </w:p>
        </w:tc>
        <w:tc>
          <w:tcPr>
            <w:tcW w:w="1027" w:type="dxa"/>
            <w:vAlign w:val="center"/>
          </w:tcPr>
          <w:p w14:paraId="6F596ACB"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1.587.277</w:t>
            </w:r>
          </w:p>
        </w:tc>
        <w:tc>
          <w:tcPr>
            <w:tcW w:w="846" w:type="dxa"/>
            <w:vAlign w:val="center"/>
          </w:tcPr>
          <w:p w14:paraId="5462EB66" w14:textId="77777777" w:rsidR="00102D31" w:rsidRPr="00CE50DD" w:rsidRDefault="00225357"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20</w:t>
            </w:r>
          </w:p>
        </w:tc>
      </w:tr>
      <w:tr w:rsidR="00102D31" w:rsidRPr="00CE50DD" w14:paraId="774605A0" w14:textId="77777777" w:rsidTr="006C1E66">
        <w:trPr>
          <w:trHeight w:val="552"/>
        </w:trPr>
        <w:tc>
          <w:tcPr>
            <w:tcW w:w="1560" w:type="dxa"/>
            <w:vAlign w:val="center"/>
          </w:tcPr>
          <w:p w14:paraId="43239741" w14:textId="77777777" w:rsidR="00102D31" w:rsidRPr="00CE50DD" w:rsidRDefault="00102D31" w:rsidP="00FD6651">
            <w:pPr>
              <w:spacing w:after="0"/>
              <w:ind w:firstLine="0"/>
              <w:rPr>
                <w:rFonts w:ascii="Arial Narrow" w:hAnsi="Arial Narrow" w:cs="Calibri"/>
                <w:color w:val="000000"/>
                <w:sz w:val="16"/>
                <w:szCs w:val="16"/>
              </w:rPr>
            </w:pPr>
            <w:r>
              <w:rPr>
                <w:rFonts w:ascii="Arial Narrow" w:hAnsi="Arial Narrow"/>
                <w:color w:val="000000"/>
                <w:sz w:val="16"/>
                <w:szCs w:val="16"/>
              </w:rPr>
              <w:t>Ostalaritza eta turismoarentzako laguntzak</w:t>
            </w:r>
          </w:p>
        </w:tc>
        <w:tc>
          <w:tcPr>
            <w:tcW w:w="1201" w:type="dxa"/>
            <w:vAlign w:val="center"/>
          </w:tcPr>
          <w:p w14:paraId="476E7C58" w14:textId="77777777" w:rsidR="00102D31" w:rsidRPr="00CE50DD" w:rsidRDefault="00102D31" w:rsidP="00FD6651">
            <w:pPr>
              <w:spacing w:after="0"/>
              <w:ind w:firstLine="0"/>
              <w:jc w:val="left"/>
              <w:rPr>
                <w:rFonts w:ascii="Arial Narrow" w:hAnsi="Arial Narrow" w:cs="Calibri"/>
                <w:color w:val="000000"/>
                <w:sz w:val="16"/>
                <w:szCs w:val="16"/>
              </w:rPr>
            </w:pPr>
            <w:r>
              <w:rPr>
                <w:rFonts w:ascii="Arial Narrow" w:hAnsi="Arial Narrow"/>
                <w:color w:val="000000"/>
                <w:sz w:val="16"/>
                <w:szCs w:val="16"/>
              </w:rPr>
              <w:t>Banakako ebaluazioa</w:t>
            </w:r>
          </w:p>
        </w:tc>
        <w:tc>
          <w:tcPr>
            <w:tcW w:w="875" w:type="dxa"/>
            <w:vAlign w:val="center"/>
          </w:tcPr>
          <w:p w14:paraId="74A50CBD"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Urtero</w:t>
            </w:r>
          </w:p>
        </w:tc>
        <w:tc>
          <w:tcPr>
            <w:tcW w:w="1073" w:type="dxa"/>
            <w:vAlign w:val="center"/>
          </w:tcPr>
          <w:p w14:paraId="7AE6A784"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20.000.000</w:t>
            </w:r>
          </w:p>
        </w:tc>
        <w:tc>
          <w:tcPr>
            <w:tcW w:w="789" w:type="dxa"/>
            <w:vAlign w:val="center"/>
          </w:tcPr>
          <w:p w14:paraId="7DB572B4"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2.810</w:t>
            </w:r>
          </w:p>
        </w:tc>
        <w:tc>
          <w:tcPr>
            <w:tcW w:w="819" w:type="dxa"/>
            <w:vAlign w:val="center"/>
          </w:tcPr>
          <w:p w14:paraId="34FE580E" w14:textId="77777777" w:rsidR="00102D31" w:rsidRPr="00CE50DD" w:rsidRDefault="00AA189E"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2.074</w:t>
            </w:r>
          </w:p>
        </w:tc>
        <w:tc>
          <w:tcPr>
            <w:tcW w:w="1044" w:type="dxa"/>
            <w:vAlign w:val="center"/>
          </w:tcPr>
          <w:p w14:paraId="1C84E3E2"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566</w:t>
            </w:r>
          </w:p>
        </w:tc>
        <w:tc>
          <w:tcPr>
            <w:tcW w:w="1003" w:type="dxa"/>
            <w:vAlign w:val="center"/>
          </w:tcPr>
          <w:p w14:paraId="312723ED"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992" w:type="dxa"/>
            <w:vAlign w:val="center"/>
          </w:tcPr>
          <w:p w14:paraId="459A183C"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 20</w:t>
            </w:r>
          </w:p>
        </w:tc>
        <w:tc>
          <w:tcPr>
            <w:tcW w:w="1016" w:type="dxa"/>
            <w:vAlign w:val="center"/>
          </w:tcPr>
          <w:p w14:paraId="43A0872B"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13.538.562</w:t>
            </w:r>
          </w:p>
        </w:tc>
        <w:tc>
          <w:tcPr>
            <w:tcW w:w="669" w:type="dxa"/>
            <w:vAlign w:val="center"/>
          </w:tcPr>
          <w:p w14:paraId="006E6081" w14:textId="77777777" w:rsidR="00102D31" w:rsidRPr="00CE50DD" w:rsidRDefault="003B50A5"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68</w:t>
            </w:r>
          </w:p>
        </w:tc>
        <w:tc>
          <w:tcPr>
            <w:tcW w:w="1094" w:type="dxa"/>
            <w:vAlign w:val="center"/>
          </w:tcPr>
          <w:p w14:paraId="2578ED36"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13.538.562</w:t>
            </w:r>
          </w:p>
        </w:tc>
        <w:tc>
          <w:tcPr>
            <w:tcW w:w="693" w:type="dxa"/>
            <w:vAlign w:val="center"/>
          </w:tcPr>
          <w:p w14:paraId="2B30FAE0" w14:textId="77777777" w:rsidR="00102D31" w:rsidRPr="00CE50DD" w:rsidRDefault="003B50A5"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100</w:t>
            </w:r>
          </w:p>
        </w:tc>
        <w:tc>
          <w:tcPr>
            <w:tcW w:w="614" w:type="dxa"/>
            <w:vAlign w:val="center"/>
          </w:tcPr>
          <w:p w14:paraId="11152295" w14:textId="77777777" w:rsidR="00102D31" w:rsidRPr="00CE50DD" w:rsidRDefault="003B50A5"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68</w:t>
            </w:r>
          </w:p>
        </w:tc>
        <w:tc>
          <w:tcPr>
            <w:tcW w:w="1027" w:type="dxa"/>
            <w:vAlign w:val="center"/>
          </w:tcPr>
          <w:p w14:paraId="72DC56A0"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13.538.562</w:t>
            </w:r>
          </w:p>
        </w:tc>
        <w:tc>
          <w:tcPr>
            <w:tcW w:w="846" w:type="dxa"/>
            <w:vAlign w:val="center"/>
          </w:tcPr>
          <w:p w14:paraId="09F42BEE" w14:textId="77777777" w:rsidR="00102D31" w:rsidRPr="00CE50DD" w:rsidRDefault="00225357"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100</w:t>
            </w:r>
          </w:p>
        </w:tc>
      </w:tr>
      <w:tr w:rsidR="00102D31" w:rsidRPr="00CE50DD" w14:paraId="53B4B42A" w14:textId="77777777" w:rsidTr="006C1E66">
        <w:trPr>
          <w:trHeight w:val="702"/>
        </w:trPr>
        <w:tc>
          <w:tcPr>
            <w:tcW w:w="1560" w:type="dxa"/>
            <w:vAlign w:val="center"/>
          </w:tcPr>
          <w:p w14:paraId="5452C5DB" w14:textId="77777777" w:rsidR="00102D31" w:rsidRPr="00CE50DD" w:rsidRDefault="00102D31" w:rsidP="00FD6651">
            <w:pPr>
              <w:spacing w:after="0"/>
              <w:ind w:firstLine="0"/>
              <w:rPr>
                <w:rFonts w:ascii="Arial Narrow" w:hAnsi="Arial Narrow" w:cs="Calibri"/>
                <w:color w:val="000000"/>
                <w:sz w:val="16"/>
                <w:szCs w:val="16"/>
              </w:rPr>
            </w:pPr>
            <w:r>
              <w:rPr>
                <w:rFonts w:ascii="Arial Narrow" w:hAnsi="Arial Narrow"/>
                <w:color w:val="000000"/>
                <w:sz w:val="16"/>
                <w:szCs w:val="16"/>
              </w:rPr>
              <w:t>Hasierako gastuetarako laguntzak, enpresentzakoak</w:t>
            </w:r>
          </w:p>
        </w:tc>
        <w:tc>
          <w:tcPr>
            <w:tcW w:w="1201" w:type="dxa"/>
            <w:vAlign w:val="center"/>
          </w:tcPr>
          <w:p w14:paraId="067D50C8" w14:textId="77777777" w:rsidR="00102D31" w:rsidRPr="00CE50DD" w:rsidRDefault="00102D31" w:rsidP="00FD6651">
            <w:pPr>
              <w:spacing w:after="0"/>
              <w:ind w:firstLine="0"/>
              <w:jc w:val="left"/>
              <w:rPr>
                <w:rFonts w:ascii="Arial Narrow" w:hAnsi="Arial Narrow" w:cs="Calibri"/>
                <w:color w:val="000000"/>
                <w:sz w:val="16"/>
                <w:szCs w:val="16"/>
              </w:rPr>
            </w:pPr>
            <w:r>
              <w:rPr>
                <w:rFonts w:ascii="Arial Narrow" w:hAnsi="Arial Narrow"/>
                <w:color w:val="000000"/>
                <w:sz w:val="16"/>
                <w:szCs w:val="16"/>
              </w:rPr>
              <w:t>Banakako ebaluazioa</w:t>
            </w:r>
          </w:p>
        </w:tc>
        <w:tc>
          <w:tcPr>
            <w:tcW w:w="875" w:type="dxa"/>
            <w:vAlign w:val="center"/>
          </w:tcPr>
          <w:p w14:paraId="1090C38E"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Urtero</w:t>
            </w:r>
          </w:p>
        </w:tc>
        <w:tc>
          <w:tcPr>
            <w:tcW w:w="1073" w:type="dxa"/>
            <w:vAlign w:val="center"/>
          </w:tcPr>
          <w:p w14:paraId="1CAAC939"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280.000</w:t>
            </w:r>
          </w:p>
        </w:tc>
        <w:tc>
          <w:tcPr>
            <w:tcW w:w="789" w:type="dxa"/>
            <w:vAlign w:val="center"/>
          </w:tcPr>
          <w:p w14:paraId="5EF650BE"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133</w:t>
            </w:r>
          </w:p>
        </w:tc>
        <w:tc>
          <w:tcPr>
            <w:tcW w:w="819" w:type="dxa"/>
            <w:vAlign w:val="center"/>
          </w:tcPr>
          <w:p w14:paraId="2A847C57"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100</w:t>
            </w:r>
          </w:p>
        </w:tc>
        <w:tc>
          <w:tcPr>
            <w:tcW w:w="1044" w:type="dxa"/>
            <w:vAlign w:val="center"/>
          </w:tcPr>
          <w:p w14:paraId="37A2DDFD"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33</w:t>
            </w:r>
          </w:p>
        </w:tc>
        <w:tc>
          <w:tcPr>
            <w:tcW w:w="1003" w:type="dxa"/>
            <w:vAlign w:val="center"/>
          </w:tcPr>
          <w:p w14:paraId="7E2AF837"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992" w:type="dxa"/>
            <w:vAlign w:val="center"/>
          </w:tcPr>
          <w:p w14:paraId="518156DB"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 25</w:t>
            </w:r>
          </w:p>
        </w:tc>
        <w:tc>
          <w:tcPr>
            <w:tcW w:w="1016" w:type="dxa"/>
            <w:vAlign w:val="center"/>
          </w:tcPr>
          <w:p w14:paraId="69EDF994"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185.569</w:t>
            </w:r>
          </w:p>
        </w:tc>
        <w:tc>
          <w:tcPr>
            <w:tcW w:w="669" w:type="dxa"/>
            <w:vAlign w:val="center"/>
          </w:tcPr>
          <w:p w14:paraId="698CA3CA" w14:textId="77777777" w:rsidR="00102D31" w:rsidRPr="00CE50DD" w:rsidRDefault="003B50A5"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66</w:t>
            </w:r>
          </w:p>
        </w:tc>
        <w:tc>
          <w:tcPr>
            <w:tcW w:w="1094" w:type="dxa"/>
            <w:vAlign w:val="center"/>
          </w:tcPr>
          <w:p w14:paraId="53747458"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185.569</w:t>
            </w:r>
          </w:p>
        </w:tc>
        <w:tc>
          <w:tcPr>
            <w:tcW w:w="693" w:type="dxa"/>
            <w:vAlign w:val="center"/>
          </w:tcPr>
          <w:p w14:paraId="35A02664" w14:textId="77777777" w:rsidR="00102D31" w:rsidRPr="00CE50DD" w:rsidRDefault="003B50A5"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100</w:t>
            </w:r>
          </w:p>
        </w:tc>
        <w:tc>
          <w:tcPr>
            <w:tcW w:w="614" w:type="dxa"/>
            <w:vAlign w:val="center"/>
          </w:tcPr>
          <w:p w14:paraId="5BED9CAC" w14:textId="77777777" w:rsidR="00102D31" w:rsidRPr="00CE50DD" w:rsidRDefault="003B50A5"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66</w:t>
            </w:r>
          </w:p>
        </w:tc>
        <w:tc>
          <w:tcPr>
            <w:tcW w:w="1027" w:type="dxa"/>
            <w:vAlign w:val="center"/>
          </w:tcPr>
          <w:p w14:paraId="45A0643A" w14:textId="77777777" w:rsidR="00102D31" w:rsidRPr="00CE50DD" w:rsidRDefault="00A5744A"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185.569</w:t>
            </w:r>
          </w:p>
        </w:tc>
        <w:tc>
          <w:tcPr>
            <w:tcW w:w="846" w:type="dxa"/>
            <w:vAlign w:val="center"/>
          </w:tcPr>
          <w:p w14:paraId="3531D492" w14:textId="77777777" w:rsidR="00102D31" w:rsidRPr="00CE50DD" w:rsidRDefault="00102D31" w:rsidP="00FD6651">
            <w:pPr>
              <w:spacing w:after="0"/>
              <w:ind w:firstLine="0"/>
              <w:jc w:val="right"/>
              <w:rPr>
                <w:rFonts w:ascii="Arial Narrow" w:hAnsi="Arial Narrow" w:cs="Calibri"/>
                <w:color w:val="000000"/>
                <w:sz w:val="16"/>
                <w:szCs w:val="16"/>
              </w:rPr>
            </w:pPr>
            <w:r>
              <w:rPr>
                <w:rFonts w:ascii="Arial Narrow" w:hAnsi="Arial Narrow"/>
                <w:color w:val="000000"/>
                <w:sz w:val="16"/>
                <w:szCs w:val="16"/>
              </w:rPr>
              <w:t>100</w:t>
            </w:r>
          </w:p>
        </w:tc>
      </w:tr>
      <w:tr w:rsidR="006C1E66" w:rsidRPr="00CE50DD" w14:paraId="0256C223" w14:textId="77777777" w:rsidTr="006C1E66">
        <w:trPr>
          <w:trHeight w:val="340"/>
        </w:trPr>
        <w:tc>
          <w:tcPr>
            <w:tcW w:w="1560" w:type="dxa"/>
            <w:shd w:val="clear" w:color="auto" w:fill="B8CCE4" w:themeFill="accent1" w:themeFillTint="66"/>
            <w:vAlign w:val="center"/>
          </w:tcPr>
          <w:p w14:paraId="567081E7" w14:textId="77777777" w:rsidR="00102D31" w:rsidRPr="00CE50DD" w:rsidRDefault="00102D31" w:rsidP="00FD6651">
            <w:pPr>
              <w:pStyle w:val="texto"/>
              <w:spacing w:after="0"/>
              <w:ind w:firstLine="0"/>
              <w:rPr>
                <w:rFonts w:ascii="Arial" w:hAnsi="Arial" w:cs="Arial"/>
                <w:sz w:val="15"/>
                <w:szCs w:val="15"/>
              </w:rPr>
            </w:pPr>
            <w:r>
              <w:rPr>
                <w:rFonts w:ascii="Arial" w:hAnsi="Arial"/>
                <w:sz w:val="15"/>
                <w:szCs w:val="15"/>
              </w:rPr>
              <w:t>Guztira</w:t>
            </w:r>
          </w:p>
        </w:tc>
        <w:tc>
          <w:tcPr>
            <w:tcW w:w="1201" w:type="dxa"/>
            <w:shd w:val="clear" w:color="auto" w:fill="B8CCE4" w:themeFill="accent1" w:themeFillTint="66"/>
            <w:vAlign w:val="center"/>
          </w:tcPr>
          <w:p w14:paraId="3534622C" w14:textId="77777777" w:rsidR="00102D31" w:rsidRPr="00CE50DD" w:rsidRDefault="00102D31" w:rsidP="00FD6651">
            <w:pPr>
              <w:pStyle w:val="texto"/>
              <w:spacing w:after="0"/>
              <w:ind w:firstLine="0"/>
              <w:rPr>
                <w:rFonts w:ascii="Arial" w:hAnsi="Arial" w:cs="Arial"/>
                <w:sz w:val="15"/>
                <w:szCs w:val="15"/>
                <w:lang w:val="es-ES"/>
              </w:rPr>
            </w:pPr>
          </w:p>
        </w:tc>
        <w:tc>
          <w:tcPr>
            <w:tcW w:w="875" w:type="dxa"/>
            <w:shd w:val="clear" w:color="auto" w:fill="B8CCE4" w:themeFill="accent1" w:themeFillTint="66"/>
            <w:vAlign w:val="center"/>
          </w:tcPr>
          <w:p w14:paraId="35A6F100" w14:textId="77777777" w:rsidR="00102D31" w:rsidRPr="00CE50DD" w:rsidRDefault="00102D31" w:rsidP="00FD6651">
            <w:pPr>
              <w:pStyle w:val="texto"/>
              <w:spacing w:after="0"/>
              <w:ind w:firstLine="0"/>
              <w:rPr>
                <w:rFonts w:ascii="Arial" w:hAnsi="Arial" w:cs="Arial"/>
                <w:sz w:val="15"/>
                <w:szCs w:val="15"/>
                <w:lang w:val="es-ES"/>
              </w:rPr>
            </w:pPr>
          </w:p>
        </w:tc>
        <w:tc>
          <w:tcPr>
            <w:tcW w:w="1073" w:type="dxa"/>
            <w:shd w:val="clear" w:color="auto" w:fill="B8CCE4" w:themeFill="accent1" w:themeFillTint="66"/>
            <w:vAlign w:val="center"/>
          </w:tcPr>
          <w:p w14:paraId="60785D9F" w14:textId="77777777" w:rsidR="00102D31" w:rsidRPr="00CE50DD" w:rsidRDefault="00A5744A" w:rsidP="00A5744A">
            <w:pPr>
              <w:spacing w:after="0"/>
              <w:ind w:firstLine="0"/>
              <w:jc w:val="right"/>
              <w:rPr>
                <w:rFonts w:ascii="Arial" w:hAnsi="Arial" w:cs="Arial"/>
                <w:sz w:val="15"/>
                <w:szCs w:val="15"/>
              </w:rPr>
            </w:pPr>
            <w:r>
              <w:rPr>
                <w:rFonts w:ascii="Arial" w:hAnsi="Arial"/>
                <w:color w:val="000000"/>
                <w:sz w:val="15"/>
                <w:szCs w:val="15"/>
              </w:rPr>
              <w:t>37.760.000</w:t>
            </w:r>
          </w:p>
        </w:tc>
        <w:tc>
          <w:tcPr>
            <w:tcW w:w="789" w:type="dxa"/>
            <w:shd w:val="clear" w:color="auto" w:fill="B8CCE4" w:themeFill="accent1" w:themeFillTint="66"/>
            <w:vAlign w:val="center"/>
          </w:tcPr>
          <w:p w14:paraId="04AC87B0" w14:textId="77777777" w:rsidR="00102D31" w:rsidRPr="00CE50DD" w:rsidRDefault="00102D31" w:rsidP="00FD6651">
            <w:pPr>
              <w:pStyle w:val="texto"/>
              <w:spacing w:after="0"/>
              <w:ind w:firstLine="0"/>
              <w:rPr>
                <w:rFonts w:ascii="Arial" w:hAnsi="Arial" w:cs="Arial"/>
                <w:sz w:val="15"/>
                <w:szCs w:val="15"/>
                <w:lang w:val="es-ES"/>
              </w:rPr>
            </w:pPr>
          </w:p>
        </w:tc>
        <w:tc>
          <w:tcPr>
            <w:tcW w:w="819" w:type="dxa"/>
            <w:shd w:val="clear" w:color="auto" w:fill="B8CCE4" w:themeFill="accent1" w:themeFillTint="66"/>
            <w:vAlign w:val="center"/>
          </w:tcPr>
          <w:p w14:paraId="69DE2621" w14:textId="77777777" w:rsidR="00102D31" w:rsidRPr="00CE50DD" w:rsidRDefault="00102D31" w:rsidP="00FD6651">
            <w:pPr>
              <w:pStyle w:val="texto"/>
              <w:spacing w:after="0"/>
              <w:ind w:firstLine="0"/>
              <w:rPr>
                <w:rFonts w:ascii="Arial" w:hAnsi="Arial" w:cs="Arial"/>
                <w:sz w:val="15"/>
                <w:szCs w:val="15"/>
                <w:lang w:val="es-ES"/>
              </w:rPr>
            </w:pPr>
          </w:p>
        </w:tc>
        <w:tc>
          <w:tcPr>
            <w:tcW w:w="1044" w:type="dxa"/>
            <w:shd w:val="clear" w:color="auto" w:fill="B8CCE4" w:themeFill="accent1" w:themeFillTint="66"/>
            <w:vAlign w:val="center"/>
          </w:tcPr>
          <w:p w14:paraId="0A69ACDD" w14:textId="77777777" w:rsidR="00102D31" w:rsidRPr="00CE50DD" w:rsidRDefault="00102D31" w:rsidP="00FD6651">
            <w:pPr>
              <w:pStyle w:val="texto"/>
              <w:spacing w:after="0"/>
              <w:ind w:firstLine="0"/>
              <w:rPr>
                <w:rFonts w:ascii="Arial" w:hAnsi="Arial" w:cs="Arial"/>
                <w:sz w:val="15"/>
                <w:szCs w:val="15"/>
                <w:lang w:val="es-ES"/>
              </w:rPr>
            </w:pPr>
          </w:p>
        </w:tc>
        <w:tc>
          <w:tcPr>
            <w:tcW w:w="1003" w:type="dxa"/>
            <w:shd w:val="clear" w:color="auto" w:fill="B8CCE4" w:themeFill="accent1" w:themeFillTint="66"/>
            <w:vAlign w:val="center"/>
          </w:tcPr>
          <w:p w14:paraId="13194AD7" w14:textId="77777777" w:rsidR="00102D31" w:rsidRPr="00CE50DD" w:rsidRDefault="00102D31" w:rsidP="00FD6651">
            <w:pPr>
              <w:pStyle w:val="texto"/>
              <w:spacing w:after="0"/>
              <w:ind w:firstLine="0"/>
              <w:rPr>
                <w:rFonts w:ascii="Arial" w:hAnsi="Arial" w:cs="Arial"/>
                <w:sz w:val="15"/>
                <w:szCs w:val="15"/>
                <w:lang w:val="es-ES"/>
              </w:rPr>
            </w:pPr>
          </w:p>
        </w:tc>
        <w:tc>
          <w:tcPr>
            <w:tcW w:w="992" w:type="dxa"/>
            <w:shd w:val="clear" w:color="auto" w:fill="B8CCE4" w:themeFill="accent1" w:themeFillTint="66"/>
            <w:vAlign w:val="center"/>
          </w:tcPr>
          <w:p w14:paraId="4C58E88E" w14:textId="77777777" w:rsidR="00102D31" w:rsidRPr="00CE50DD" w:rsidRDefault="00102D31" w:rsidP="00FD6651">
            <w:pPr>
              <w:pStyle w:val="texto"/>
              <w:spacing w:after="0"/>
              <w:ind w:firstLine="0"/>
              <w:rPr>
                <w:rFonts w:ascii="Arial" w:hAnsi="Arial" w:cs="Arial"/>
                <w:sz w:val="15"/>
                <w:szCs w:val="15"/>
                <w:lang w:val="es-ES"/>
              </w:rPr>
            </w:pPr>
          </w:p>
        </w:tc>
        <w:tc>
          <w:tcPr>
            <w:tcW w:w="1016" w:type="dxa"/>
            <w:shd w:val="clear" w:color="auto" w:fill="B8CCE4" w:themeFill="accent1" w:themeFillTint="66"/>
            <w:vAlign w:val="center"/>
          </w:tcPr>
          <w:p w14:paraId="09DE703F" w14:textId="77777777" w:rsidR="00102D31" w:rsidRPr="00CE50DD" w:rsidRDefault="00501978" w:rsidP="00501978">
            <w:pPr>
              <w:spacing w:after="0"/>
              <w:ind w:firstLine="0"/>
              <w:jc w:val="right"/>
              <w:rPr>
                <w:rFonts w:ascii="Arial" w:hAnsi="Arial" w:cs="Arial"/>
                <w:sz w:val="15"/>
                <w:szCs w:val="15"/>
              </w:rPr>
            </w:pPr>
            <w:r>
              <w:rPr>
                <w:rFonts w:ascii="Arial" w:hAnsi="Arial"/>
                <w:color w:val="000000"/>
                <w:sz w:val="15"/>
                <w:szCs w:val="15"/>
              </w:rPr>
              <w:t>28.327.660</w:t>
            </w:r>
          </w:p>
        </w:tc>
        <w:tc>
          <w:tcPr>
            <w:tcW w:w="669" w:type="dxa"/>
            <w:shd w:val="clear" w:color="auto" w:fill="B8CCE4" w:themeFill="accent1" w:themeFillTint="66"/>
            <w:vAlign w:val="center"/>
          </w:tcPr>
          <w:p w14:paraId="3584E080" w14:textId="77777777" w:rsidR="00102D31" w:rsidRPr="00CE50DD" w:rsidRDefault="003B50A5" w:rsidP="00501978">
            <w:pPr>
              <w:pStyle w:val="texto"/>
              <w:spacing w:after="0"/>
              <w:ind w:firstLine="0"/>
              <w:jc w:val="right"/>
              <w:rPr>
                <w:rFonts w:ascii="Arial" w:hAnsi="Arial" w:cs="Arial"/>
                <w:sz w:val="15"/>
                <w:szCs w:val="15"/>
              </w:rPr>
            </w:pPr>
            <w:r>
              <w:rPr>
                <w:rFonts w:ascii="Arial" w:hAnsi="Arial"/>
                <w:sz w:val="15"/>
                <w:szCs w:val="15"/>
              </w:rPr>
              <w:t>75</w:t>
            </w:r>
          </w:p>
        </w:tc>
        <w:tc>
          <w:tcPr>
            <w:tcW w:w="1094" w:type="dxa"/>
            <w:shd w:val="clear" w:color="auto" w:fill="B8CCE4" w:themeFill="accent1" w:themeFillTint="66"/>
            <w:vAlign w:val="center"/>
          </w:tcPr>
          <w:p w14:paraId="45A57082" w14:textId="77777777" w:rsidR="00102D31" w:rsidRPr="00CE50DD" w:rsidRDefault="004F2741" w:rsidP="00501978">
            <w:pPr>
              <w:spacing w:after="0"/>
              <w:ind w:firstLine="0"/>
              <w:jc w:val="right"/>
              <w:rPr>
                <w:rFonts w:ascii="Arial" w:hAnsi="Arial" w:cs="Arial"/>
                <w:color w:val="000000"/>
                <w:sz w:val="15"/>
                <w:szCs w:val="15"/>
              </w:rPr>
            </w:pPr>
            <w:r>
              <w:rPr>
                <w:rFonts w:ascii="Arial" w:hAnsi="Arial"/>
                <w:color w:val="000000"/>
                <w:sz w:val="15"/>
                <w:szCs w:val="15"/>
              </w:rPr>
              <w:t>25.566.814</w:t>
            </w:r>
          </w:p>
        </w:tc>
        <w:tc>
          <w:tcPr>
            <w:tcW w:w="693" w:type="dxa"/>
            <w:shd w:val="clear" w:color="auto" w:fill="B8CCE4" w:themeFill="accent1" w:themeFillTint="66"/>
            <w:vAlign w:val="center"/>
          </w:tcPr>
          <w:p w14:paraId="76D9F52E" w14:textId="77777777" w:rsidR="00102D31" w:rsidRPr="00CE50DD" w:rsidRDefault="003B50A5" w:rsidP="00501978">
            <w:pPr>
              <w:pStyle w:val="texto"/>
              <w:spacing w:after="0"/>
              <w:ind w:firstLine="0"/>
              <w:jc w:val="right"/>
              <w:rPr>
                <w:rFonts w:ascii="Arial" w:hAnsi="Arial" w:cs="Arial"/>
                <w:color w:val="000000"/>
                <w:spacing w:val="0"/>
                <w:sz w:val="15"/>
                <w:szCs w:val="15"/>
              </w:rPr>
            </w:pPr>
            <w:r>
              <w:rPr>
                <w:rFonts w:ascii="Arial" w:hAnsi="Arial"/>
                <w:color w:val="000000"/>
                <w:sz w:val="15"/>
                <w:szCs w:val="15"/>
              </w:rPr>
              <w:t>90,2</w:t>
            </w:r>
          </w:p>
        </w:tc>
        <w:tc>
          <w:tcPr>
            <w:tcW w:w="614" w:type="dxa"/>
            <w:shd w:val="clear" w:color="auto" w:fill="B8CCE4" w:themeFill="accent1" w:themeFillTint="66"/>
            <w:vAlign w:val="center"/>
          </w:tcPr>
          <w:p w14:paraId="229FCA44" w14:textId="77777777" w:rsidR="00102D31" w:rsidRPr="00CE50DD" w:rsidRDefault="003B50A5" w:rsidP="00501978">
            <w:pPr>
              <w:pStyle w:val="texto"/>
              <w:spacing w:after="0"/>
              <w:ind w:firstLine="0"/>
              <w:jc w:val="right"/>
              <w:rPr>
                <w:rFonts w:ascii="Arial" w:hAnsi="Arial" w:cs="Arial"/>
                <w:sz w:val="15"/>
                <w:szCs w:val="15"/>
              </w:rPr>
            </w:pPr>
            <w:r>
              <w:rPr>
                <w:rFonts w:ascii="Arial" w:hAnsi="Arial"/>
                <w:sz w:val="15"/>
                <w:szCs w:val="15"/>
              </w:rPr>
              <w:t>67,7</w:t>
            </w:r>
          </w:p>
        </w:tc>
        <w:tc>
          <w:tcPr>
            <w:tcW w:w="1027" w:type="dxa"/>
            <w:shd w:val="clear" w:color="auto" w:fill="B8CCE4" w:themeFill="accent1" w:themeFillTint="66"/>
            <w:vAlign w:val="center"/>
          </w:tcPr>
          <w:p w14:paraId="671F638C" w14:textId="77777777" w:rsidR="00102D31" w:rsidRPr="00CE50DD" w:rsidRDefault="004F2741" w:rsidP="00501978">
            <w:pPr>
              <w:pStyle w:val="texto"/>
              <w:spacing w:after="0"/>
              <w:ind w:firstLine="0"/>
              <w:jc w:val="right"/>
              <w:rPr>
                <w:rFonts w:ascii="Arial" w:hAnsi="Arial" w:cs="Arial"/>
                <w:sz w:val="15"/>
                <w:szCs w:val="15"/>
              </w:rPr>
            </w:pPr>
            <w:r>
              <w:rPr>
                <w:rFonts w:ascii="Arial" w:hAnsi="Arial"/>
                <w:sz w:val="15"/>
                <w:szCs w:val="15"/>
              </w:rPr>
              <w:t>19.012.375</w:t>
            </w:r>
          </w:p>
        </w:tc>
        <w:tc>
          <w:tcPr>
            <w:tcW w:w="846" w:type="dxa"/>
            <w:shd w:val="clear" w:color="auto" w:fill="B8CCE4" w:themeFill="accent1" w:themeFillTint="66"/>
            <w:vAlign w:val="center"/>
          </w:tcPr>
          <w:p w14:paraId="3A3AF1B0" w14:textId="77777777" w:rsidR="00102D31" w:rsidRPr="00CE50DD" w:rsidRDefault="003B50A5" w:rsidP="00501978">
            <w:pPr>
              <w:pStyle w:val="texto"/>
              <w:spacing w:after="0"/>
              <w:ind w:firstLine="0"/>
              <w:jc w:val="right"/>
              <w:rPr>
                <w:rFonts w:ascii="Arial" w:hAnsi="Arial" w:cs="Arial"/>
                <w:sz w:val="15"/>
                <w:szCs w:val="15"/>
              </w:rPr>
            </w:pPr>
            <w:r>
              <w:rPr>
                <w:rFonts w:ascii="Arial" w:hAnsi="Arial"/>
                <w:sz w:val="15"/>
                <w:szCs w:val="15"/>
              </w:rPr>
              <w:t>74,3</w:t>
            </w:r>
          </w:p>
        </w:tc>
      </w:tr>
    </w:tbl>
    <w:tbl>
      <w:tblPr>
        <w:tblW w:w="11060" w:type="dxa"/>
        <w:tblInd w:w="-851" w:type="dxa"/>
        <w:tblCellMar>
          <w:left w:w="70" w:type="dxa"/>
          <w:right w:w="70" w:type="dxa"/>
        </w:tblCellMar>
        <w:tblLook w:val="04A0" w:firstRow="1" w:lastRow="0" w:firstColumn="1" w:lastColumn="0" w:noHBand="0" w:noVBand="1"/>
      </w:tblPr>
      <w:tblGrid>
        <w:gridCol w:w="9500"/>
        <w:gridCol w:w="1560"/>
      </w:tblGrid>
      <w:tr w:rsidR="00102D31" w:rsidRPr="00DC21F8" w14:paraId="4004F795" w14:textId="77777777" w:rsidTr="009845D6">
        <w:trPr>
          <w:trHeight w:val="1324"/>
        </w:trPr>
        <w:tc>
          <w:tcPr>
            <w:tcW w:w="9500" w:type="dxa"/>
            <w:tcBorders>
              <w:top w:val="nil"/>
              <w:left w:val="nil"/>
              <w:bottom w:val="nil"/>
              <w:right w:val="nil"/>
            </w:tcBorders>
            <w:shd w:val="clear" w:color="auto" w:fill="auto"/>
            <w:noWrap/>
            <w:vAlign w:val="center"/>
            <w:hideMark/>
          </w:tcPr>
          <w:p w14:paraId="556259FB" w14:textId="77777777" w:rsidR="00102D31" w:rsidRDefault="00102D31" w:rsidP="00FD6651">
            <w:pPr>
              <w:spacing w:before="120" w:after="0"/>
              <w:ind w:left="-926" w:firstLine="926"/>
              <w:jc w:val="left"/>
              <w:rPr>
                <w:rFonts w:ascii="Arial" w:hAnsi="Arial" w:cs="Arial"/>
                <w:color w:val="000000"/>
                <w:sz w:val="16"/>
                <w:szCs w:val="16"/>
              </w:rPr>
            </w:pPr>
            <w:r>
              <w:rPr>
                <w:rFonts w:ascii="Arial" w:hAnsi="Arial"/>
                <w:color w:val="000000"/>
                <w:sz w:val="16"/>
                <w:szCs w:val="16"/>
              </w:rPr>
              <w:t>OHARRA: Garraiorako laguntzak kanpo uzten dira, berez ez baitago horretarako deialdirik.</w:t>
            </w:r>
          </w:p>
          <w:p w14:paraId="3922E4E7" w14:textId="77777777" w:rsidR="00FD6651" w:rsidRPr="00DC21F8" w:rsidRDefault="00FD6651" w:rsidP="00FD6651">
            <w:pPr>
              <w:spacing w:before="120" w:after="0"/>
              <w:ind w:left="-926" w:firstLine="926"/>
              <w:jc w:val="left"/>
              <w:rPr>
                <w:rFonts w:ascii="Arial" w:hAnsi="Arial" w:cs="Arial"/>
                <w:color w:val="000000"/>
                <w:sz w:val="16"/>
                <w:szCs w:val="16"/>
                <w:lang w:val="es-ES" w:eastAsia="es-ES"/>
              </w:rPr>
            </w:pPr>
          </w:p>
        </w:tc>
        <w:tc>
          <w:tcPr>
            <w:tcW w:w="1560" w:type="dxa"/>
            <w:tcBorders>
              <w:top w:val="nil"/>
              <w:left w:val="nil"/>
              <w:bottom w:val="nil"/>
              <w:right w:val="nil"/>
            </w:tcBorders>
            <w:shd w:val="clear" w:color="auto" w:fill="auto"/>
            <w:noWrap/>
            <w:vAlign w:val="bottom"/>
            <w:hideMark/>
          </w:tcPr>
          <w:p w14:paraId="0AB43FEC" w14:textId="77777777" w:rsidR="00102D31" w:rsidRPr="00DC21F8" w:rsidRDefault="00102D31" w:rsidP="00FD6651">
            <w:pPr>
              <w:spacing w:before="120" w:after="0"/>
              <w:ind w:firstLine="0"/>
              <w:jc w:val="left"/>
              <w:rPr>
                <w:rFonts w:ascii="Arial" w:hAnsi="Arial" w:cs="Arial"/>
                <w:color w:val="000000"/>
                <w:sz w:val="16"/>
                <w:szCs w:val="16"/>
                <w:lang w:val="es-ES" w:eastAsia="es-ES"/>
              </w:rPr>
            </w:pPr>
          </w:p>
        </w:tc>
      </w:tr>
    </w:tbl>
    <w:p w14:paraId="199AE779" w14:textId="77777777" w:rsidR="00102D31" w:rsidRDefault="00102D31" w:rsidP="00102D31">
      <w:pPr>
        <w:pStyle w:val="texto"/>
        <w:rPr>
          <w:szCs w:val="26"/>
          <w:lang w:val="es-ES"/>
        </w:rPr>
      </w:pPr>
    </w:p>
    <w:p w14:paraId="66AEC65A" w14:textId="77777777" w:rsidR="00102D31" w:rsidRDefault="00102D31" w:rsidP="00102D31">
      <w:pPr>
        <w:spacing w:after="0"/>
        <w:ind w:firstLine="0"/>
        <w:jc w:val="left"/>
        <w:rPr>
          <w:spacing w:val="6"/>
          <w:sz w:val="26"/>
          <w:szCs w:val="26"/>
        </w:rPr>
      </w:pPr>
      <w:r>
        <w:br w:type="page"/>
      </w:r>
    </w:p>
    <w:p w14:paraId="59FC49C7" w14:textId="77777777" w:rsidR="00204F99" w:rsidRDefault="00204F99" w:rsidP="00204F99">
      <w:pPr>
        <w:pStyle w:val="texto"/>
        <w:rPr>
          <w:szCs w:val="26"/>
          <w:lang w:val="es-ES"/>
        </w:rPr>
      </w:pPr>
    </w:p>
    <w:tbl>
      <w:tblPr>
        <w:tblStyle w:val="Tablaconcuadrcula"/>
        <w:tblW w:w="13178" w:type="dxa"/>
        <w:tblLook w:val="04A0" w:firstRow="1" w:lastRow="0" w:firstColumn="1" w:lastColumn="0" w:noHBand="0" w:noVBand="1"/>
      </w:tblPr>
      <w:tblGrid>
        <w:gridCol w:w="2547"/>
        <w:gridCol w:w="1701"/>
        <w:gridCol w:w="2835"/>
        <w:gridCol w:w="1868"/>
        <w:gridCol w:w="2526"/>
        <w:gridCol w:w="1701"/>
      </w:tblGrid>
      <w:tr w:rsidR="009845D6" w:rsidRPr="00DC21F8" w14:paraId="3ED7C627" w14:textId="77777777" w:rsidTr="006C1E66">
        <w:trPr>
          <w:trHeight w:val="284"/>
        </w:trPr>
        <w:tc>
          <w:tcPr>
            <w:tcW w:w="2547" w:type="dxa"/>
            <w:shd w:val="clear" w:color="auto" w:fill="B8CCE4" w:themeFill="accent1" w:themeFillTint="66"/>
            <w:vAlign w:val="center"/>
          </w:tcPr>
          <w:p w14:paraId="3EA74464" w14:textId="77777777" w:rsidR="009845D6" w:rsidRPr="00DC21F8" w:rsidRDefault="009845D6" w:rsidP="00204F99">
            <w:pPr>
              <w:spacing w:after="0"/>
              <w:ind w:firstLine="0"/>
              <w:jc w:val="left"/>
              <w:rPr>
                <w:rFonts w:ascii="Arial" w:hAnsi="Arial" w:cs="Arial"/>
                <w:sz w:val="18"/>
                <w:szCs w:val="18"/>
              </w:rPr>
            </w:pPr>
            <w:r>
              <w:rPr>
                <w:rFonts w:ascii="Arial" w:hAnsi="Arial"/>
                <w:sz w:val="18"/>
                <w:szCs w:val="18"/>
              </w:rPr>
              <w:t>Kontzeptua</w:t>
            </w:r>
          </w:p>
        </w:tc>
        <w:tc>
          <w:tcPr>
            <w:tcW w:w="1701" w:type="dxa"/>
            <w:shd w:val="clear" w:color="auto" w:fill="B8CCE4" w:themeFill="accent1" w:themeFillTint="66"/>
            <w:vAlign w:val="center"/>
          </w:tcPr>
          <w:p w14:paraId="31F775CA" w14:textId="77777777" w:rsidR="009845D6" w:rsidRPr="00DC21F8" w:rsidRDefault="009845D6" w:rsidP="00204F99">
            <w:pPr>
              <w:spacing w:after="0"/>
              <w:ind w:firstLine="0"/>
              <w:rPr>
                <w:rFonts w:ascii="Arial" w:hAnsi="Arial" w:cs="Arial"/>
                <w:sz w:val="18"/>
                <w:szCs w:val="18"/>
              </w:rPr>
            </w:pPr>
            <w:r>
              <w:rPr>
                <w:rFonts w:ascii="Arial" w:hAnsi="Arial"/>
                <w:sz w:val="18"/>
                <w:szCs w:val="18"/>
              </w:rPr>
              <w:t>Departamentua</w:t>
            </w:r>
          </w:p>
        </w:tc>
        <w:tc>
          <w:tcPr>
            <w:tcW w:w="2835" w:type="dxa"/>
            <w:shd w:val="clear" w:color="auto" w:fill="B8CCE4" w:themeFill="accent1" w:themeFillTint="66"/>
            <w:vAlign w:val="center"/>
          </w:tcPr>
          <w:p w14:paraId="7D6E8877" w14:textId="77777777" w:rsidR="009845D6" w:rsidRPr="00DC21F8" w:rsidRDefault="009845D6" w:rsidP="00204F99">
            <w:pPr>
              <w:spacing w:after="0"/>
              <w:ind w:firstLine="0"/>
              <w:rPr>
                <w:rFonts w:ascii="Arial" w:hAnsi="Arial" w:cs="Arial"/>
                <w:sz w:val="18"/>
                <w:szCs w:val="18"/>
              </w:rPr>
            </w:pPr>
            <w:r>
              <w:rPr>
                <w:rFonts w:ascii="Arial" w:hAnsi="Arial"/>
                <w:sz w:val="18"/>
                <w:szCs w:val="18"/>
              </w:rPr>
              <w:t>Helburu estrategikoa</w:t>
            </w:r>
          </w:p>
        </w:tc>
        <w:tc>
          <w:tcPr>
            <w:tcW w:w="1868" w:type="dxa"/>
            <w:shd w:val="clear" w:color="auto" w:fill="B8CCE4" w:themeFill="accent1" w:themeFillTint="66"/>
            <w:vAlign w:val="center"/>
          </w:tcPr>
          <w:p w14:paraId="14764561" w14:textId="77777777" w:rsidR="009845D6" w:rsidRPr="00DC21F8" w:rsidRDefault="009845D6" w:rsidP="00204F99">
            <w:pPr>
              <w:spacing w:after="0"/>
              <w:ind w:firstLine="0"/>
              <w:rPr>
                <w:rFonts w:ascii="Arial" w:hAnsi="Arial" w:cs="Arial"/>
                <w:sz w:val="18"/>
                <w:szCs w:val="18"/>
              </w:rPr>
            </w:pPr>
            <w:r>
              <w:rPr>
                <w:rFonts w:ascii="Arial" w:hAnsi="Arial"/>
                <w:sz w:val="18"/>
                <w:szCs w:val="18"/>
              </w:rPr>
              <w:t>Plan sektoriala</w:t>
            </w:r>
          </w:p>
        </w:tc>
        <w:tc>
          <w:tcPr>
            <w:tcW w:w="2526" w:type="dxa"/>
            <w:shd w:val="clear" w:color="auto" w:fill="B8CCE4" w:themeFill="accent1" w:themeFillTint="66"/>
            <w:vAlign w:val="center"/>
          </w:tcPr>
          <w:p w14:paraId="18504F5D" w14:textId="77777777" w:rsidR="009845D6" w:rsidRPr="00DC21F8" w:rsidRDefault="009845D6" w:rsidP="00204F99">
            <w:pPr>
              <w:spacing w:after="0"/>
              <w:ind w:firstLine="0"/>
              <w:rPr>
                <w:rFonts w:ascii="Arial" w:hAnsi="Arial" w:cs="Arial"/>
                <w:sz w:val="18"/>
                <w:szCs w:val="18"/>
              </w:rPr>
            </w:pPr>
            <w:r>
              <w:rPr>
                <w:rFonts w:ascii="Arial" w:hAnsi="Arial"/>
                <w:sz w:val="18"/>
                <w:szCs w:val="18"/>
              </w:rPr>
              <w:t>Helburu operatiboa</w:t>
            </w:r>
          </w:p>
        </w:tc>
        <w:tc>
          <w:tcPr>
            <w:tcW w:w="1701" w:type="dxa"/>
            <w:shd w:val="clear" w:color="auto" w:fill="B8CCE4" w:themeFill="accent1" w:themeFillTint="66"/>
            <w:vAlign w:val="center"/>
          </w:tcPr>
          <w:p w14:paraId="5C01744E" w14:textId="77777777" w:rsidR="009845D6" w:rsidRPr="00DC21F8" w:rsidRDefault="009845D6" w:rsidP="00204F99">
            <w:pPr>
              <w:spacing w:after="0"/>
              <w:ind w:firstLine="0"/>
              <w:rPr>
                <w:rFonts w:ascii="Arial" w:hAnsi="Arial" w:cs="Arial"/>
                <w:sz w:val="18"/>
                <w:szCs w:val="18"/>
              </w:rPr>
            </w:pPr>
            <w:r>
              <w:rPr>
                <w:rFonts w:ascii="Arial" w:hAnsi="Arial"/>
                <w:sz w:val="18"/>
                <w:szCs w:val="18"/>
              </w:rPr>
              <w:t>Adierazlea</w:t>
            </w:r>
          </w:p>
        </w:tc>
      </w:tr>
      <w:tr w:rsidR="009845D6" w14:paraId="361A58DC" w14:textId="77777777" w:rsidTr="006C1E66">
        <w:trPr>
          <w:trHeight w:val="846"/>
        </w:trPr>
        <w:tc>
          <w:tcPr>
            <w:tcW w:w="2547" w:type="dxa"/>
            <w:vAlign w:val="center"/>
          </w:tcPr>
          <w:p w14:paraId="76D99CA2" w14:textId="77777777" w:rsidR="009845D6" w:rsidRPr="00DC21F8" w:rsidRDefault="009845D6" w:rsidP="00204F99">
            <w:pPr>
              <w:spacing w:after="0"/>
              <w:ind w:firstLine="0"/>
              <w:jc w:val="left"/>
              <w:rPr>
                <w:rFonts w:ascii="Arial Narrow" w:hAnsi="Arial Narrow" w:cs="Calibri"/>
                <w:color w:val="000000"/>
                <w:sz w:val="18"/>
                <w:szCs w:val="18"/>
              </w:rPr>
            </w:pPr>
            <w:r>
              <w:rPr>
                <w:rFonts w:ascii="Arial Narrow" w:hAnsi="Arial Narrow"/>
                <w:color w:val="000000"/>
                <w:sz w:val="18"/>
                <w:szCs w:val="18"/>
              </w:rPr>
              <w:t>Bidaiarien garraio-zerbitzuak mantentzeko laguntzak</w:t>
            </w:r>
          </w:p>
        </w:tc>
        <w:tc>
          <w:tcPr>
            <w:tcW w:w="1701" w:type="dxa"/>
            <w:vAlign w:val="center"/>
          </w:tcPr>
          <w:p w14:paraId="155AE439"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Lurralde-kohesioa</w:t>
            </w:r>
          </w:p>
        </w:tc>
        <w:tc>
          <w:tcPr>
            <w:tcW w:w="2835" w:type="dxa"/>
            <w:vAlign w:val="center"/>
          </w:tcPr>
          <w:p w14:paraId="5AF20B70"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Nafarroako mugikortasun jasangarrirako estrategia bultzatzea</w:t>
            </w:r>
          </w:p>
        </w:tc>
        <w:tc>
          <w:tcPr>
            <w:tcW w:w="1868" w:type="dxa"/>
            <w:vAlign w:val="center"/>
          </w:tcPr>
          <w:p w14:paraId="12ADB263" w14:textId="77777777" w:rsidR="009845D6" w:rsidRPr="00DC21F8" w:rsidRDefault="009845D6" w:rsidP="00204F99">
            <w:pPr>
              <w:spacing w:after="0"/>
              <w:ind w:firstLine="0"/>
              <w:rPr>
                <w:rFonts w:ascii="Arial Narrow" w:hAnsi="Arial Narrow" w:cs="Calibri"/>
                <w:color w:val="000000"/>
                <w:sz w:val="18"/>
                <w:szCs w:val="18"/>
              </w:rPr>
            </w:pPr>
          </w:p>
        </w:tc>
        <w:tc>
          <w:tcPr>
            <w:tcW w:w="2526" w:type="dxa"/>
            <w:vAlign w:val="center"/>
          </w:tcPr>
          <w:p w14:paraId="2CA14C9E"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Hiriarteko garraio publikoaren erabiltzaileen kopurua handitzea</w:t>
            </w:r>
          </w:p>
        </w:tc>
        <w:tc>
          <w:tcPr>
            <w:tcW w:w="1701" w:type="dxa"/>
            <w:vAlign w:val="center"/>
          </w:tcPr>
          <w:p w14:paraId="43051C45"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Urteko bidaiari-kop.</w:t>
            </w:r>
          </w:p>
        </w:tc>
      </w:tr>
      <w:tr w:rsidR="009845D6" w14:paraId="3376EA97" w14:textId="77777777" w:rsidTr="006C1E66">
        <w:trPr>
          <w:trHeight w:val="1113"/>
        </w:trPr>
        <w:tc>
          <w:tcPr>
            <w:tcW w:w="2547" w:type="dxa"/>
            <w:vAlign w:val="center"/>
          </w:tcPr>
          <w:p w14:paraId="2BCFC8F0" w14:textId="77777777" w:rsidR="009845D6" w:rsidRPr="00DC21F8" w:rsidRDefault="009845D6" w:rsidP="00204F99">
            <w:pPr>
              <w:spacing w:after="0"/>
              <w:ind w:firstLine="0"/>
              <w:jc w:val="left"/>
              <w:rPr>
                <w:rFonts w:ascii="Arial Narrow" w:hAnsi="Arial Narrow" w:cs="Calibri"/>
                <w:color w:val="000000"/>
                <w:sz w:val="18"/>
                <w:szCs w:val="18"/>
              </w:rPr>
            </w:pPr>
            <w:r>
              <w:rPr>
                <w:rFonts w:ascii="Arial Narrow" w:hAnsi="Arial Narrow"/>
                <w:color w:val="000000"/>
                <w:sz w:val="18"/>
                <w:szCs w:val="18"/>
              </w:rPr>
              <w:t>Laguntzak, enpresek eta ikerketaren eta ezagutza-dibulgazioaren alorreko erakundeek doktoregaiak kontratatzekoak</w:t>
            </w:r>
          </w:p>
        </w:tc>
        <w:tc>
          <w:tcPr>
            <w:tcW w:w="1701" w:type="dxa"/>
            <w:vAlign w:val="center"/>
          </w:tcPr>
          <w:p w14:paraId="5D5C70EF"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Unibertsitateak</w:t>
            </w:r>
          </w:p>
        </w:tc>
        <w:tc>
          <w:tcPr>
            <w:tcW w:w="2835" w:type="dxa"/>
            <w:vAlign w:val="center"/>
          </w:tcPr>
          <w:p w14:paraId="3E65612F"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Ikertalentua sustatzea</w:t>
            </w:r>
          </w:p>
        </w:tc>
        <w:tc>
          <w:tcPr>
            <w:tcW w:w="1868" w:type="dxa"/>
            <w:vAlign w:val="center"/>
          </w:tcPr>
          <w:p w14:paraId="524E122D"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Zientzia, teknologia eta berrikuntza plana</w:t>
            </w:r>
          </w:p>
        </w:tc>
        <w:tc>
          <w:tcPr>
            <w:tcW w:w="2526" w:type="dxa"/>
            <w:vAlign w:val="center"/>
          </w:tcPr>
          <w:p w14:paraId="181C3AD7"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Goi-mailako ikerketa-langileak enpresetan eta ikerketa-erakundeetan sartzea</w:t>
            </w:r>
          </w:p>
        </w:tc>
        <w:tc>
          <w:tcPr>
            <w:tcW w:w="1701" w:type="dxa"/>
            <w:vAlign w:val="center"/>
          </w:tcPr>
          <w:p w14:paraId="0E0A1291"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Diruz lagundutako kontratuen kopurua</w:t>
            </w:r>
          </w:p>
        </w:tc>
      </w:tr>
      <w:tr w:rsidR="009845D6" w14:paraId="09B14E87" w14:textId="77777777" w:rsidTr="006C1E66">
        <w:trPr>
          <w:trHeight w:val="859"/>
        </w:trPr>
        <w:tc>
          <w:tcPr>
            <w:tcW w:w="2547" w:type="dxa"/>
            <w:vAlign w:val="center"/>
          </w:tcPr>
          <w:p w14:paraId="7412793F"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Enpresek gazteak kontratatzeko pizgarriak</w:t>
            </w:r>
          </w:p>
        </w:tc>
        <w:tc>
          <w:tcPr>
            <w:tcW w:w="1701" w:type="dxa"/>
            <w:vAlign w:val="center"/>
          </w:tcPr>
          <w:p w14:paraId="03C2504A"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Eskubide sozialak (Nafarroako Enplegu Zerbitzua)</w:t>
            </w:r>
          </w:p>
        </w:tc>
        <w:tc>
          <w:tcPr>
            <w:tcW w:w="2835" w:type="dxa"/>
            <w:vAlign w:val="center"/>
          </w:tcPr>
          <w:p w14:paraId="508ED7A9"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Nafarroako kalitatezko enplegu egonkorra areagotzea</w:t>
            </w:r>
          </w:p>
        </w:tc>
        <w:tc>
          <w:tcPr>
            <w:tcW w:w="1868" w:type="dxa"/>
            <w:vAlign w:val="center"/>
          </w:tcPr>
          <w:p w14:paraId="12F451C1"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Enplegu-ñolitika aktiboei buruzko erabakia</w:t>
            </w:r>
          </w:p>
        </w:tc>
        <w:tc>
          <w:tcPr>
            <w:tcW w:w="2526" w:type="dxa"/>
            <w:vAlign w:val="center"/>
          </w:tcPr>
          <w:p w14:paraId="41F1070B"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Enplegu-sustapena, 30 urte baino gutxiagoko langabetuentzat</w:t>
            </w:r>
          </w:p>
        </w:tc>
        <w:tc>
          <w:tcPr>
            <w:tcW w:w="1701" w:type="dxa"/>
            <w:vAlign w:val="center"/>
          </w:tcPr>
          <w:p w14:paraId="56A81819"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Gazte kontratatuen kop.</w:t>
            </w:r>
          </w:p>
        </w:tc>
      </w:tr>
      <w:tr w:rsidR="009845D6" w14:paraId="441FDE98" w14:textId="77777777" w:rsidTr="006C1E66">
        <w:trPr>
          <w:trHeight w:val="1268"/>
        </w:trPr>
        <w:tc>
          <w:tcPr>
            <w:tcW w:w="2547" w:type="dxa"/>
            <w:vAlign w:val="center"/>
          </w:tcPr>
          <w:p w14:paraId="721E438B"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Inbertsiorako laguntzak, enpresa handientzakoak</w:t>
            </w:r>
          </w:p>
        </w:tc>
        <w:tc>
          <w:tcPr>
            <w:tcW w:w="1701" w:type="dxa"/>
            <w:vAlign w:val="center"/>
          </w:tcPr>
          <w:p w14:paraId="0E1215AC"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Garapen ekonomikoa.</w:t>
            </w:r>
          </w:p>
        </w:tc>
        <w:tc>
          <w:tcPr>
            <w:tcW w:w="2835" w:type="dxa"/>
            <w:vAlign w:val="center"/>
          </w:tcPr>
          <w:p w14:paraId="66D629CB"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Nafarroako Espezializazio Adimentsuaren S3 Estrategia garatzeko esparru aproposa sortzea</w:t>
            </w:r>
          </w:p>
        </w:tc>
        <w:tc>
          <w:tcPr>
            <w:tcW w:w="1868" w:type="dxa"/>
            <w:vAlign w:val="center"/>
          </w:tcPr>
          <w:p w14:paraId="410E476F"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Nafarroako industria-plana</w:t>
            </w:r>
          </w:p>
        </w:tc>
        <w:tc>
          <w:tcPr>
            <w:tcW w:w="2526" w:type="dxa"/>
            <w:vAlign w:val="center"/>
          </w:tcPr>
          <w:p w14:paraId="5BD73C5F"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Sustatzea enpresa handiek inbertsio produktiboko proiektuak egin ditzaten, haien lehiakortasun-posizioa hobetze aldera.</w:t>
            </w:r>
          </w:p>
        </w:tc>
        <w:tc>
          <w:tcPr>
            <w:tcW w:w="1701" w:type="dxa"/>
            <w:vAlign w:val="center"/>
          </w:tcPr>
          <w:p w14:paraId="6B33FA8D"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Manufaktura-industriako balio erantsi gordina, %</w:t>
            </w:r>
          </w:p>
        </w:tc>
      </w:tr>
      <w:tr w:rsidR="009845D6" w14:paraId="703CBFE0" w14:textId="77777777" w:rsidTr="006C1E66">
        <w:trPr>
          <w:trHeight w:val="1117"/>
        </w:trPr>
        <w:tc>
          <w:tcPr>
            <w:tcW w:w="2547" w:type="dxa"/>
            <w:vAlign w:val="center"/>
          </w:tcPr>
          <w:p w14:paraId="15AB524D"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I+G proiektu estrategikoetan inbertitzeko laguntzak</w:t>
            </w:r>
          </w:p>
        </w:tc>
        <w:tc>
          <w:tcPr>
            <w:tcW w:w="1701" w:type="dxa"/>
            <w:vAlign w:val="center"/>
          </w:tcPr>
          <w:p w14:paraId="688108B8"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Garapen ekonomikoa</w:t>
            </w:r>
          </w:p>
        </w:tc>
        <w:tc>
          <w:tcPr>
            <w:tcW w:w="2835" w:type="dxa"/>
            <w:vAlign w:val="center"/>
          </w:tcPr>
          <w:p w14:paraId="39387640"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Nafarroarentzat etorkizuna duten sektore ekonomikoen garapena bultzatzea, begirada jarriz Nafarroako Espezializazio Adimentsuaren S3 Estrategian.</w:t>
            </w:r>
          </w:p>
        </w:tc>
        <w:tc>
          <w:tcPr>
            <w:tcW w:w="1868" w:type="dxa"/>
            <w:vAlign w:val="center"/>
          </w:tcPr>
          <w:p w14:paraId="461D554F"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Nafarroako Espezializazio Adimentsuaren S3 Estrategia</w:t>
            </w:r>
          </w:p>
        </w:tc>
        <w:tc>
          <w:tcPr>
            <w:tcW w:w="2526" w:type="dxa"/>
            <w:vAlign w:val="center"/>
          </w:tcPr>
          <w:p w14:paraId="6E5E8C4A"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Nafarroak RIS3 sektore ezberdinetan dituen erronka estrategikoetarako soluziobide berritzaileak proposatzea</w:t>
            </w:r>
          </w:p>
        </w:tc>
        <w:tc>
          <w:tcPr>
            <w:tcW w:w="1701" w:type="dxa"/>
            <w:vAlign w:val="center"/>
          </w:tcPr>
          <w:p w14:paraId="3C38F5DC"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Diruz lagundutako proiektuen kopurua</w:t>
            </w:r>
          </w:p>
        </w:tc>
      </w:tr>
      <w:tr w:rsidR="009845D6" w14:paraId="1DD5F1AC" w14:textId="77777777" w:rsidTr="006C1E66">
        <w:trPr>
          <w:trHeight w:val="284"/>
        </w:trPr>
        <w:tc>
          <w:tcPr>
            <w:tcW w:w="2547" w:type="dxa"/>
            <w:vAlign w:val="center"/>
          </w:tcPr>
          <w:p w14:paraId="6599F51A"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Hasierako gastuetarako laguntzak, enpresentzakoak</w:t>
            </w:r>
          </w:p>
        </w:tc>
        <w:tc>
          <w:tcPr>
            <w:tcW w:w="1701" w:type="dxa"/>
            <w:vAlign w:val="center"/>
          </w:tcPr>
          <w:p w14:paraId="5E5CC2AE"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Garapen ekonomikoa.</w:t>
            </w:r>
          </w:p>
        </w:tc>
        <w:tc>
          <w:tcPr>
            <w:tcW w:w="2835" w:type="dxa"/>
            <w:vAlign w:val="center"/>
          </w:tcPr>
          <w:p w14:paraId="27A57E0E"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Enpresa-ehunduraren eraldaketari eta modernizazioari laguntzea, babesa emanez Nafarroako enpresa txiki eta ertainei eta haien garapen lehiakor eta jasangarriari</w:t>
            </w:r>
          </w:p>
        </w:tc>
        <w:tc>
          <w:tcPr>
            <w:tcW w:w="1868" w:type="dxa"/>
            <w:vAlign w:val="center"/>
          </w:tcPr>
          <w:p w14:paraId="12E1A7B2"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Nafarroako II. Ekintzailetza Plana</w:t>
            </w:r>
          </w:p>
        </w:tc>
        <w:tc>
          <w:tcPr>
            <w:tcW w:w="2526" w:type="dxa"/>
            <w:vAlign w:val="center"/>
          </w:tcPr>
          <w:p w14:paraId="75EB0B83"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Ekintzaileen jarduna sustatzea, kalitatezko enplegua sortze aldera.</w:t>
            </w:r>
          </w:p>
        </w:tc>
        <w:tc>
          <w:tcPr>
            <w:tcW w:w="1701" w:type="dxa"/>
            <w:vAlign w:val="center"/>
          </w:tcPr>
          <w:p w14:paraId="5525951A" w14:textId="77777777" w:rsidR="009845D6" w:rsidRPr="00DC21F8" w:rsidRDefault="009845D6" w:rsidP="00204F99">
            <w:pPr>
              <w:spacing w:after="0"/>
              <w:ind w:firstLine="0"/>
              <w:rPr>
                <w:rFonts w:ascii="Arial Narrow" w:hAnsi="Arial Narrow" w:cs="Calibri"/>
                <w:color w:val="000000"/>
                <w:sz w:val="18"/>
                <w:szCs w:val="18"/>
              </w:rPr>
            </w:pPr>
            <w:r>
              <w:rPr>
                <w:rFonts w:ascii="Arial Narrow" w:hAnsi="Arial Narrow"/>
                <w:color w:val="000000"/>
                <w:sz w:val="18"/>
                <w:szCs w:val="18"/>
              </w:rPr>
              <w:t>Onespen-kopurua</w:t>
            </w:r>
          </w:p>
        </w:tc>
      </w:tr>
    </w:tbl>
    <w:tbl>
      <w:tblPr>
        <w:tblW w:w="7980" w:type="dxa"/>
        <w:tblCellMar>
          <w:left w:w="70" w:type="dxa"/>
          <w:right w:w="70" w:type="dxa"/>
        </w:tblCellMar>
        <w:tblLook w:val="04A0" w:firstRow="1" w:lastRow="0" w:firstColumn="1" w:lastColumn="0" w:noHBand="0" w:noVBand="1"/>
      </w:tblPr>
      <w:tblGrid>
        <w:gridCol w:w="7980"/>
      </w:tblGrid>
      <w:tr w:rsidR="00204F99" w:rsidRPr="00A54153" w14:paraId="5C9E81D3" w14:textId="77777777" w:rsidTr="00204F99">
        <w:trPr>
          <w:trHeight w:val="300"/>
        </w:trPr>
        <w:tc>
          <w:tcPr>
            <w:tcW w:w="7980" w:type="dxa"/>
            <w:tcBorders>
              <w:top w:val="nil"/>
              <w:left w:val="nil"/>
              <w:bottom w:val="nil"/>
              <w:right w:val="nil"/>
            </w:tcBorders>
            <w:shd w:val="clear" w:color="auto" w:fill="auto"/>
            <w:noWrap/>
            <w:vAlign w:val="center"/>
            <w:hideMark/>
          </w:tcPr>
          <w:p w14:paraId="33A50430" w14:textId="77777777" w:rsidR="00204F99" w:rsidRPr="00A54153" w:rsidRDefault="00204F99" w:rsidP="00204F99">
            <w:pPr>
              <w:spacing w:before="120" w:after="0"/>
              <w:ind w:firstLine="0"/>
              <w:jc w:val="left"/>
              <w:rPr>
                <w:rFonts w:ascii="Arial" w:hAnsi="Arial" w:cs="Arial"/>
                <w:color w:val="000000"/>
                <w:sz w:val="18"/>
                <w:szCs w:val="18"/>
              </w:rPr>
            </w:pPr>
            <w:r>
              <w:rPr>
                <w:rFonts w:ascii="Arial" w:hAnsi="Arial"/>
                <w:color w:val="000000"/>
                <w:sz w:val="18"/>
                <w:szCs w:val="18"/>
              </w:rPr>
              <w:t>OHARRA: Kanpoan utzi dira ostalaritzarentzako laguntzak, ez baitaude plan estrategikoan sartuta.</w:t>
            </w:r>
          </w:p>
        </w:tc>
      </w:tr>
    </w:tbl>
    <w:p w14:paraId="47E75411" w14:textId="77777777" w:rsidR="00564F2D" w:rsidRPr="004B2F01" w:rsidRDefault="00564F2D" w:rsidP="00012F5D">
      <w:pPr>
        <w:pStyle w:val="atitulo3"/>
      </w:pPr>
    </w:p>
    <w:sectPr w:rsidR="00564F2D" w:rsidRPr="004B2F01" w:rsidSect="00CE50DD">
      <w:pgSz w:w="16840" w:h="11907" w:orient="landscape" w:code="9"/>
      <w:pgMar w:top="1559" w:right="2109" w:bottom="1559" w:left="1644"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B62A" w14:textId="77777777" w:rsidR="00B3331A" w:rsidRDefault="00B3331A">
      <w:r>
        <w:separator/>
      </w:r>
    </w:p>
    <w:p w14:paraId="5CAC5A67" w14:textId="77777777" w:rsidR="00B3331A" w:rsidRDefault="00B3331A"/>
    <w:p w14:paraId="5B14F689" w14:textId="77777777" w:rsidR="00B3331A" w:rsidRDefault="00B3331A"/>
    <w:p w14:paraId="4E42CCCC" w14:textId="77777777" w:rsidR="00B3331A" w:rsidRDefault="00B3331A"/>
  </w:endnote>
  <w:endnote w:type="continuationSeparator" w:id="0">
    <w:p w14:paraId="617FF71D" w14:textId="77777777" w:rsidR="00B3331A" w:rsidRDefault="00B3331A">
      <w:r>
        <w:continuationSeparator/>
      </w:r>
    </w:p>
    <w:p w14:paraId="0537FD6A" w14:textId="77777777" w:rsidR="00B3331A" w:rsidRDefault="00B3331A"/>
    <w:p w14:paraId="500171DF" w14:textId="77777777" w:rsidR="00B3331A" w:rsidRDefault="00B3331A"/>
    <w:p w14:paraId="627A51D9" w14:textId="77777777" w:rsidR="00B3331A" w:rsidRDefault="00B33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D7AC" w14:textId="77777777" w:rsidR="00B3331A" w:rsidRDefault="00B3331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1BED">
      <w:rPr>
        <w:rStyle w:val="Nmerodepgina"/>
        <w:noProof/>
      </w:rPr>
      <w:t>26</w:t>
    </w:r>
    <w:r>
      <w:rPr>
        <w:rStyle w:val="Nmerodepgina"/>
      </w:rPr>
      <w:fldChar w:fldCharType="end"/>
    </w:r>
  </w:p>
  <w:p w14:paraId="58E1D3D3" w14:textId="77777777" w:rsidR="00B3331A" w:rsidRDefault="00B3331A"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F681" w14:textId="77777777" w:rsidR="00B3331A" w:rsidRPr="00F03814" w:rsidRDefault="00B3331A"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163FAD13" wp14:editId="23DF5F16">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54E777CC" w14:textId="77777777" w:rsidR="00B3331A" w:rsidRDefault="00B3331A" w:rsidP="00F03814">
    <w:pPr>
      <w:pStyle w:val="Piedepgina"/>
      <w:tabs>
        <w:tab w:val="clear" w:pos="4252"/>
        <w:tab w:val="clear" w:pos="8504"/>
        <w:tab w:val="center" w:pos="4560"/>
      </w:tabs>
      <w:ind w:right="360"/>
      <w:jc w:val="left"/>
      <w:rPr>
        <w:rStyle w:val="Nmerodepgina"/>
      </w:rPr>
    </w:pPr>
  </w:p>
  <w:p w14:paraId="4EEBAB25" w14:textId="77777777" w:rsidR="00B3331A" w:rsidRPr="00F74E38" w:rsidRDefault="00B3331A"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7CBF" w14:textId="77777777" w:rsidR="00B3331A" w:rsidRDefault="00B3331A"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E4CA" w14:textId="77777777" w:rsidR="00B3331A" w:rsidRDefault="00B3331A" w:rsidP="00CE50DD">
    <w:pPr>
      <w:pStyle w:val="Piedepgina"/>
      <w:tabs>
        <w:tab w:val="clear" w:pos="2835"/>
        <w:tab w:val="clear" w:pos="3969"/>
        <w:tab w:val="clear" w:pos="4252"/>
        <w:tab w:val="clear" w:pos="5103"/>
        <w:tab w:val="clear" w:pos="6237"/>
        <w:tab w:val="clear" w:pos="7371"/>
        <w:tab w:val="clear" w:pos="8504"/>
        <w:tab w:val="center" w:pos="4440"/>
      </w:tabs>
      <w:spacing w:after="0"/>
      <w:ind w:left="-993" w:right="29"/>
      <w:jc w:val="left"/>
      <w:rPr>
        <w:rFonts w:ascii="GillSans" w:hAnsi="GillSans"/>
      </w:rPr>
    </w:pPr>
    <w:r>
      <w:rPr>
        <w:rFonts w:ascii="GillSans" w:hAnsi="GillSans"/>
        <w:noProof/>
      </w:rPr>
      <w:drawing>
        <wp:inline distT="0" distB="0" distL="0" distR="0" wp14:anchorId="16A6AD77" wp14:editId="13596EE6">
          <wp:extent cx="213100" cy="371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14:paraId="7959F46B" w14:textId="77777777" w:rsidR="00B3331A" w:rsidRDefault="00B3331A" w:rsidP="00CE50DD">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164342">
      <w:rPr>
        <w:rStyle w:val="Nmerodepgina"/>
        <w:szCs w:val="24"/>
      </w:rPr>
      <w:t>24</w:t>
    </w:r>
    <w:r w:rsidRPr="001D4F09">
      <w:rPr>
        <w:rStyle w:val="Nmerodepgina"/>
        <w:szCs w:val="24"/>
      </w:rPr>
      <w:fldChar w:fldCharType="end"/>
    </w:r>
    <w:r>
      <w:rPr>
        <w:rStyle w:val="Nmerodepgina"/>
        <w:szCs w:val="24"/>
      </w:rPr>
      <w:t xml:space="preserve"> -</w:t>
    </w:r>
  </w:p>
  <w:p w14:paraId="0B02A150" w14:textId="77777777" w:rsidR="00B3331A" w:rsidRDefault="00B3331A" w:rsidP="00CE50DD">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p>
  <w:p w14:paraId="7EF33806" w14:textId="77777777" w:rsidR="00B3331A" w:rsidRPr="00F03814" w:rsidRDefault="00B3331A" w:rsidP="00CE50DD">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AB6F" w14:textId="77777777" w:rsidR="00B3331A" w:rsidRDefault="00B3331A" w:rsidP="00015946">
      <w:pPr>
        <w:ind w:firstLine="0"/>
      </w:pPr>
      <w:r>
        <w:separator/>
      </w:r>
    </w:p>
  </w:footnote>
  <w:footnote w:type="continuationSeparator" w:id="0">
    <w:p w14:paraId="7E223D33" w14:textId="77777777" w:rsidR="00B3331A" w:rsidRDefault="00B3331A" w:rsidP="00015946">
      <w:pPr>
        <w:ind w:firstLine="0"/>
      </w:pPr>
      <w:r>
        <w:continuationSeparator/>
      </w:r>
    </w:p>
  </w:footnote>
  <w:footnote w:id="1">
    <w:p w14:paraId="690017AA" w14:textId="77777777" w:rsidR="00B3331A" w:rsidRPr="009609F4" w:rsidRDefault="00B3331A" w:rsidP="00F75A43">
      <w:pPr>
        <w:pStyle w:val="texto"/>
        <w:tabs>
          <w:tab w:val="clear" w:pos="2835"/>
          <w:tab w:val="clear" w:pos="3969"/>
          <w:tab w:val="clear" w:pos="5103"/>
          <w:tab w:val="clear" w:pos="6237"/>
          <w:tab w:val="clear" w:pos="7371"/>
        </w:tabs>
        <w:spacing w:after="100"/>
        <w:ind w:firstLine="0"/>
      </w:pPr>
      <w:r>
        <w:rPr>
          <w:rStyle w:val="Refdenotaalpie"/>
        </w:rPr>
        <w:footnoteRef/>
      </w:r>
      <w:r>
        <w:t xml:space="preserve"> </w:t>
      </w:r>
      <w:r>
        <w:rPr>
          <w:sz w:val="18"/>
          <w:szCs w:val="18"/>
        </w:rPr>
        <w:t>Finantza Kontrol Iraunkorreko eta Auditoretzako Zerbitzuaren DPEak egiteko, garatzeko eta ebaluatzeko aurreikusitako prozedurari buruzko finantza-auditoretzako 2020ko iraileko txostenaren gomendioa betez, 2021-2023 Planean eranskin bat dago, 50.000 euroko edo hortik beherako aurrekontu-zuzkidura duten zenbateko ekonomiko txikiko dirulaguntzen zerrendarekin.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C30A" w14:textId="77777777" w:rsidR="00B3331A" w:rsidRPr="0059650E" w:rsidRDefault="00B3331A" w:rsidP="00204F99">
    <w:pPr>
      <w:pStyle w:val="Encabezado"/>
      <w:pBdr>
        <w:bottom w:val="single" w:sz="4" w:space="1" w:color="auto"/>
      </w:pBdr>
      <w:spacing w:after="40"/>
      <w:ind w:firstLine="0"/>
      <w:jc w:val="left"/>
    </w:pPr>
    <w:r>
      <w:rPr>
        <w:b/>
        <w:noProof/>
      </w:rPr>
      <w:drawing>
        <wp:inline distT="0" distB="0" distL="0" distR="0" wp14:anchorId="1B008B6D" wp14:editId="7EF19DCD">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Fiskalizazio txostena, NFKAk enpresa pribatuei emandako dirulaguntzei buruzkoa,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328C" w14:textId="77777777" w:rsidR="00B3331A" w:rsidRDefault="00B3331A" w:rsidP="006A2D41">
    <w:pPr>
      <w:pStyle w:val="Encabezado"/>
      <w:ind w:firstLine="0"/>
      <w:jc w:val="left"/>
    </w:pPr>
    <w:r>
      <w:rPr>
        <w:noProof/>
      </w:rPr>
      <w:drawing>
        <wp:inline distT="0" distB="0" distL="0" distR="0" wp14:anchorId="4B4F96C6" wp14:editId="47580438">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CEC7" w14:textId="77777777" w:rsidR="00B3331A" w:rsidRDefault="00B3331A"/>
  <w:p w14:paraId="5BBD6FD9" w14:textId="77777777" w:rsidR="00B3331A" w:rsidRDefault="00B3331A"/>
  <w:p w14:paraId="0D78C395" w14:textId="77777777" w:rsidR="00B3331A" w:rsidRDefault="00B333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BAB"/>
    <w:multiLevelType w:val="hybridMultilevel"/>
    <w:tmpl w:val="FBCA25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1968B4"/>
    <w:multiLevelType w:val="hybridMultilevel"/>
    <w:tmpl w:val="FFAAC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15:restartNumberingAfterBreak="0">
    <w:nsid w:val="19951D82"/>
    <w:multiLevelType w:val="hybridMultilevel"/>
    <w:tmpl w:val="8E7835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7A58D9"/>
    <w:multiLevelType w:val="hybridMultilevel"/>
    <w:tmpl w:val="E8000EC6"/>
    <w:lvl w:ilvl="0" w:tplc="E6F6E6E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5F24EF"/>
    <w:multiLevelType w:val="hybridMultilevel"/>
    <w:tmpl w:val="92262A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4F205EB"/>
    <w:multiLevelType w:val="hybridMultilevel"/>
    <w:tmpl w:val="5FFE1A64"/>
    <w:lvl w:ilvl="0" w:tplc="A2D44DEA">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15:restartNumberingAfterBreak="0">
    <w:nsid w:val="259D240F"/>
    <w:multiLevelType w:val="hybridMultilevel"/>
    <w:tmpl w:val="8D849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C86440"/>
    <w:multiLevelType w:val="hybridMultilevel"/>
    <w:tmpl w:val="D4C07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57516C"/>
    <w:multiLevelType w:val="hybridMultilevel"/>
    <w:tmpl w:val="A6440F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A0A596C"/>
    <w:multiLevelType w:val="hybridMultilevel"/>
    <w:tmpl w:val="9BD8487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1" w15:restartNumberingAfterBreak="0">
    <w:nsid w:val="3CFF525F"/>
    <w:multiLevelType w:val="hybridMultilevel"/>
    <w:tmpl w:val="ABC89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4A13718D"/>
    <w:multiLevelType w:val="hybridMultilevel"/>
    <w:tmpl w:val="143CB4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124160C"/>
    <w:multiLevelType w:val="hybridMultilevel"/>
    <w:tmpl w:val="98EACC4A"/>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15"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6"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6DD84E0C"/>
    <w:multiLevelType w:val="hybridMultilevel"/>
    <w:tmpl w:val="B8D0A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E423710"/>
    <w:multiLevelType w:val="hybridMultilevel"/>
    <w:tmpl w:val="2C320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9554AA"/>
    <w:multiLevelType w:val="hybridMultilevel"/>
    <w:tmpl w:val="B87CDFFE"/>
    <w:lvl w:ilvl="0" w:tplc="B80AD65E">
      <w:start w:val="1"/>
      <w:numFmt w:val="bullet"/>
      <w:lvlText w:val=""/>
      <w:lvlJc w:val="left"/>
      <w:pPr>
        <w:ind w:left="502"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1" w15:restartNumberingAfterBreak="0">
    <w:nsid w:val="7CC446CF"/>
    <w:multiLevelType w:val="hybridMultilevel"/>
    <w:tmpl w:val="F72C0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
  </w:num>
  <w:num w:numId="4">
    <w:abstractNumId w:val="12"/>
  </w:num>
  <w:num w:numId="5">
    <w:abstractNumId w:val="16"/>
  </w:num>
  <w:num w:numId="6">
    <w:abstractNumId w:val="2"/>
  </w:num>
  <w:num w:numId="7">
    <w:abstractNumId w:val="2"/>
  </w:num>
  <w:num w:numId="8">
    <w:abstractNumId w:val="2"/>
  </w:num>
  <w:num w:numId="9">
    <w:abstractNumId w:val="14"/>
  </w:num>
  <w:num w:numId="10">
    <w:abstractNumId w:val="8"/>
  </w:num>
  <w:num w:numId="11">
    <w:abstractNumId w:val="9"/>
  </w:num>
  <w:num w:numId="12">
    <w:abstractNumId w:val="13"/>
  </w:num>
  <w:num w:numId="13">
    <w:abstractNumId w:val="10"/>
  </w:num>
  <w:num w:numId="14">
    <w:abstractNumId w:val="11"/>
  </w:num>
  <w:num w:numId="15">
    <w:abstractNumId w:val="17"/>
  </w:num>
  <w:num w:numId="16">
    <w:abstractNumId w:val="21"/>
  </w:num>
  <w:num w:numId="17">
    <w:abstractNumId w:val="4"/>
  </w:num>
  <w:num w:numId="18">
    <w:abstractNumId w:val="1"/>
  </w:num>
  <w:num w:numId="19">
    <w:abstractNumId w:val="0"/>
  </w:num>
  <w:num w:numId="20">
    <w:abstractNumId w:val="3"/>
  </w:num>
  <w:num w:numId="21">
    <w:abstractNumId w:val="7"/>
  </w:num>
  <w:num w:numId="22">
    <w:abstractNumId w:val="19"/>
  </w:num>
  <w:num w:numId="23">
    <w:abstractNumId w:val="6"/>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A1"/>
    <w:rsid w:val="000019D8"/>
    <w:rsid w:val="00002C85"/>
    <w:rsid w:val="00006736"/>
    <w:rsid w:val="00006A97"/>
    <w:rsid w:val="0001123B"/>
    <w:rsid w:val="00012A7F"/>
    <w:rsid w:val="00012F5D"/>
    <w:rsid w:val="00015946"/>
    <w:rsid w:val="00015D9F"/>
    <w:rsid w:val="00017A3A"/>
    <w:rsid w:val="0002313D"/>
    <w:rsid w:val="00026545"/>
    <w:rsid w:val="00031234"/>
    <w:rsid w:val="000333A2"/>
    <w:rsid w:val="00034E3A"/>
    <w:rsid w:val="00036E42"/>
    <w:rsid w:val="00041A72"/>
    <w:rsid w:val="00042A38"/>
    <w:rsid w:val="00042CF0"/>
    <w:rsid w:val="0004373B"/>
    <w:rsid w:val="000448FA"/>
    <w:rsid w:val="00053A42"/>
    <w:rsid w:val="0005517D"/>
    <w:rsid w:val="00055BC3"/>
    <w:rsid w:val="00056A56"/>
    <w:rsid w:val="0006133D"/>
    <w:rsid w:val="00063585"/>
    <w:rsid w:val="00070864"/>
    <w:rsid w:val="00070EA4"/>
    <w:rsid w:val="00071CD0"/>
    <w:rsid w:val="00071D22"/>
    <w:rsid w:val="00075677"/>
    <w:rsid w:val="00075692"/>
    <w:rsid w:val="0008576D"/>
    <w:rsid w:val="00087B8D"/>
    <w:rsid w:val="00093D67"/>
    <w:rsid w:val="00093E60"/>
    <w:rsid w:val="000958EB"/>
    <w:rsid w:val="000A00A4"/>
    <w:rsid w:val="000A18B7"/>
    <w:rsid w:val="000A2C1E"/>
    <w:rsid w:val="000A3EF8"/>
    <w:rsid w:val="000A4697"/>
    <w:rsid w:val="000B02BA"/>
    <w:rsid w:val="000B2728"/>
    <w:rsid w:val="000B3943"/>
    <w:rsid w:val="000B41AF"/>
    <w:rsid w:val="000B4477"/>
    <w:rsid w:val="000C0704"/>
    <w:rsid w:val="000C2398"/>
    <w:rsid w:val="000C2B07"/>
    <w:rsid w:val="000C39CC"/>
    <w:rsid w:val="000C7566"/>
    <w:rsid w:val="000D1399"/>
    <w:rsid w:val="000D188E"/>
    <w:rsid w:val="000D5335"/>
    <w:rsid w:val="000D53D1"/>
    <w:rsid w:val="000D611B"/>
    <w:rsid w:val="000D7C7A"/>
    <w:rsid w:val="000E6E06"/>
    <w:rsid w:val="000E7B86"/>
    <w:rsid w:val="000F103A"/>
    <w:rsid w:val="000F2B66"/>
    <w:rsid w:val="000F3D83"/>
    <w:rsid w:val="000F44C1"/>
    <w:rsid w:val="00100494"/>
    <w:rsid w:val="00100F12"/>
    <w:rsid w:val="00102831"/>
    <w:rsid w:val="00102D31"/>
    <w:rsid w:val="00103589"/>
    <w:rsid w:val="001045C9"/>
    <w:rsid w:val="001051ED"/>
    <w:rsid w:val="00107CC1"/>
    <w:rsid w:val="00111497"/>
    <w:rsid w:val="00111A92"/>
    <w:rsid w:val="0011440E"/>
    <w:rsid w:val="001145C3"/>
    <w:rsid w:val="00115B48"/>
    <w:rsid w:val="001161D2"/>
    <w:rsid w:val="00116CFE"/>
    <w:rsid w:val="001173B6"/>
    <w:rsid w:val="001254FB"/>
    <w:rsid w:val="00125787"/>
    <w:rsid w:val="001300AC"/>
    <w:rsid w:val="00130C43"/>
    <w:rsid w:val="00131399"/>
    <w:rsid w:val="00131DF1"/>
    <w:rsid w:val="00132C38"/>
    <w:rsid w:val="00133984"/>
    <w:rsid w:val="001365C4"/>
    <w:rsid w:val="0013731F"/>
    <w:rsid w:val="00137BC3"/>
    <w:rsid w:val="0014147D"/>
    <w:rsid w:val="00141D29"/>
    <w:rsid w:val="001443E8"/>
    <w:rsid w:val="0014506A"/>
    <w:rsid w:val="0014728F"/>
    <w:rsid w:val="00147491"/>
    <w:rsid w:val="001521A2"/>
    <w:rsid w:val="00152358"/>
    <w:rsid w:val="0015429B"/>
    <w:rsid w:val="00154319"/>
    <w:rsid w:val="00155BFF"/>
    <w:rsid w:val="00160F66"/>
    <w:rsid w:val="001633AF"/>
    <w:rsid w:val="00164342"/>
    <w:rsid w:val="00166A6C"/>
    <w:rsid w:val="001728D0"/>
    <w:rsid w:val="00172D64"/>
    <w:rsid w:val="00173EDD"/>
    <w:rsid w:val="0017402B"/>
    <w:rsid w:val="00174ECF"/>
    <w:rsid w:val="001767F4"/>
    <w:rsid w:val="00176F0F"/>
    <w:rsid w:val="00181D37"/>
    <w:rsid w:val="001835B7"/>
    <w:rsid w:val="00183C1C"/>
    <w:rsid w:val="0018426B"/>
    <w:rsid w:val="001845BE"/>
    <w:rsid w:val="00185A37"/>
    <w:rsid w:val="00187CE8"/>
    <w:rsid w:val="001938C6"/>
    <w:rsid w:val="00194309"/>
    <w:rsid w:val="0019660E"/>
    <w:rsid w:val="00197579"/>
    <w:rsid w:val="00197B46"/>
    <w:rsid w:val="001A2756"/>
    <w:rsid w:val="001A3BFF"/>
    <w:rsid w:val="001A6BC0"/>
    <w:rsid w:val="001A6D29"/>
    <w:rsid w:val="001B39E2"/>
    <w:rsid w:val="001B440F"/>
    <w:rsid w:val="001C13A4"/>
    <w:rsid w:val="001C1F3C"/>
    <w:rsid w:val="001C2B26"/>
    <w:rsid w:val="001C3A32"/>
    <w:rsid w:val="001C741A"/>
    <w:rsid w:val="001D4F09"/>
    <w:rsid w:val="001E17E3"/>
    <w:rsid w:val="001E21BE"/>
    <w:rsid w:val="001E3807"/>
    <w:rsid w:val="001E5C54"/>
    <w:rsid w:val="001E7682"/>
    <w:rsid w:val="001F1482"/>
    <w:rsid w:val="001F20D7"/>
    <w:rsid w:val="001F7744"/>
    <w:rsid w:val="002014EB"/>
    <w:rsid w:val="00202B1A"/>
    <w:rsid w:val="00204979"/>
    <w:rsid w:val="00204F99"/>
    <w:rsid w:val="00207FBB"/>
    <w:rsid w:val="00211D69"/>
    <w:rsid w:val="002179DB"/>
    <w:rsid w:val="00225357"/>
    <w:rsid w:val="002266CF"/>
    <w:rsid w:val="00227E48"/>
    <w:rsid w:val="00230577"/>
    <w:rsid w:val="0023159D"/>
    <w:rsid w:val="002316A1"/>
    <w:rsid w:val="0023209D"/>
    <w:rsid w:val="002333F8"/>
    <w:rsid w:val="00233D79"/>
    <w:rsid w:val="00236E06"/>
    <w:rsid w:val="00237657"/>
    <w:rsid w:val="002408AD"/>
    <w:rsid w:val="00242BA7"/>
    <w:rsid w:val="002437B5"/>
    <w:rsid w:val="00244EF1"/>
    <w:rsid w:val="00246F21"/>
    <w:rsid w:val="00253E78"/>
    <w:rsid w:val="00262C3C"/>
    <w:rsid w:val="00264C88"/>
    <w:rsid w:val="0026532C"/>
    <w:rsid w:val="0026575D"/>
    <w:rsid w:val="002663CF"/>
    <w:rsid w:val="00266D8E"/>
    <w:rsid w:val="002705B0"/>
    <w:rsid w:val="002717A6"/>
    <w:rsid w:val="00272015"/>
    <w:rsid w:val="00273C10"/>
    <w:rsid w:val="00274B4C"/>
    <w:rsid w:val="00275FE9"/>
    <w:rsid w:val="00276264"/>
    <w:rsid w:val="0028152F"/>
    <w:rsid w:val="00281DCA"/>
    <w:rsid w:val="002852E9"/>
    <w:rsid w:val="00297B04"/>
    <w:rsid w:val="002A056C"/>
    <w:rsid w:val="002A1BED"/>
    <w:rsid w:val="002A2408"/>
    <w:rsid w:val="002A4E82"/>
    <w:rsid w:val="002A51C9"/>
    <w:rsid w:val="002A66A5"/>
    <w:rsid w:val="002A6EBB"/>
    <w:rsid w:val="002A7254"/>
    <w:rsid w:val="002B21E9"/>
    <w:rsid w:val="002B2B87"/>
    <w:rsid w:val="002B40D7"/>
    <w:rsid w:val="002B4E0F"/>
    <w:rsid w:val="002B5754"/>
    <w:rsid w:val="002C6939"/>
    <w:rsid w:val="002C7026"/>
    <w:rsid w:val="002C7E08"/>
    <w:rsid w:val="002D089F"/>
    <w:rsid w:val="002D2E53"/>
    <w:rsid w:val="002D5635"/>
    <w:rsid w:val="002D56EA"/>
    <w:rsid w:val="002D65E8"/>
    <w:rsid w:val="002D6CE1"/>
    <w:rsid w:val="002D7D32"/>
    <w:rsid w:val="002E02E5"/>
    <w:rsid w:val="002E0478"/>
    <w:rsid w:val="002E0791"/>
    <w:rsid w:val="002E12C0"/>
    <w:rsid w:val="002E13B0"/>
    <w:rsid w:val="002E1B92"/>
    <w:rsid w:val="002E3E44"/>
    <w:rsid w:val="002E3FDC"/>
    <w:rsid w:val="002E4BB4"/>
    <w:rsid w:val="002E7B81"/>
    <w:rsid w:val="002F09FB"/>
    <w:rsid w:val="002F0FE3"/>
    <w:rsid w:val="002F1AF0"/>
    <w:rsid w:val="002F230C"/>
    <w:rsid w:val="002F2530"/>
    <w:rsid w:val="002F272A"/>
    <w:rsid w:val="002F2877"/>
    <w:rsid w:val="002F3225"/>
    <w:rsid w:val="002F53B4"/>
    <w:rsid w:val="002F6506"/>
    <w:rsid w:val="002F6F43"/>
    <w:rsid w:val="002F76D6"/>
    <w:rsid w:val="003020CB"/>
    <w:rsid w:val="00303506"/>
    <w:rsid w:val="00303DF0"/>
    <w:rsid w:val="0030480C"/>
    <w:rsid w:val="0030583B"/>
    <w:rsid w:val="00306812"/>
    <w:rsid w:val="00307057"/>
    <w:rsid w:val="00312819"/>
    <w:rsid w:val="00312E9C"/>
    <w:rsid w:val="00313875"/>
    <w:rsid w:val="00314800"/>
    <w:rsid w:val="00315134"/>
    <w:rsid w:val="00316E6F"/>
    <w:rsid w:val="003203BF"/>
    <w:rsid w:val="00321369"/>
    <w:rsid w:val="00326780"/>
    <w:rsid w:val="00330787"/>
    <w:rsid w:val="00333202"/>
    <w:rsid w:val="00337493"/>
    <w:rsid w:val="00341424"/>
    <w:rsid w:val="0034285F"/>
    <w:rsid w:val="003464A4"/>
    <w:rsid w:val="00351684"/>
    <w:rsid w:val="00354458"/>
    <w:rsid w:val="003609D9"/>
    <w:rsid w:val="0036185F"/>
    <w:rsid w:val="003625AE"/>
    <w:rsid w:val="00363653"/>
    <w:rsid w:val="0036370C"/>
    <w:rsid w:val="0036509D"/>
    <w:rsid w:val="00370B6A"/>
    <w:rsid w:val="0037228C"/>
    <w:rsid w:val="003738FD"/>
    <w:rsid w:val="003810BE"/>
    <w:rsid w:val="00385045"/>
    <w:rsid w:val="00386F6C"/>
    <w:rsid w:val="00387709"/>
    <w:rsid w:val="00387794"/>
    <w:rsid w:val="003912E5"/>
    <w:rsid w:val="00392046"/>
    <w:rsid w:val="003926D3"/>
    <w:rsid w:val="00397162"/>
    <w:rsid w:val="003975BE"/>
    <w:rsid w:val="003A0EDD"/>
    <w:rsid w:val="003A335E"/>
    <w:rsid w:val="003A3DD2"/>
    <w:rsid w:val="003B3573"/>
    <w:rsid w:val="003B50A5"/>
    <w:rsid w:val="003B5813"/>
    <w:rsid w:val="003B63D1"/>
    <w:rsid w:val="003B750E"/>
    <w:rsid w:val="003B7EB1"/>
    <w:rsid w:val="003B7FF8"/>
    <w:rsid w:val="003C03EA"/>
    <w:rsid w:val="003C196B"/>
    <w:rsid w:val="003C6E1D"/>
    <w:rsid w:val="003D058C"/>
    <w:rsid w:val="003D76B1"/>
    <w:rsid w:val="003E150B"/>
    <w:rsid w:val="003E17A6"/>
    <w:rsid w:val="003E4AA5"/>
    <w:rsid w:val="003E5A12"/>
    <w:rsid w:val="003E7285"/>
    <w:rsid w:val="003F1CEC"/>
    <w:rsid w:val="003F43BF"/>
    <w:rsid w:val="003F490C"/>
    <w:rsid w:val="003F6BE4"/>
    <w:rsid w:val="0040389F"/>
    <w:rsid w:val="00403CF8"/>
    <w:rsid w:val="00407459"/>
    <w:rsid w:val="0040754F"/>
    <w:rsid w:val="00414D01"/>
    <w:rsid w:val="004170FE"/>
    <w:rsid w:val="004209E6"/>
    <w:rsid w:val="0042324B"/>
    <w:rsid w:val="004234E8"/>
    <w:rsid w:val="0042678C"/>
    <w:rsid w:val="00426805"/>
    <w:rsid w:val="00430150"/>
    <w:rsid w:val="004302F9"/>
    <w:rsid w:val="004303DB"/>
    <w:rsid w:val="004308C6"/>
    <w:rsid w:val="0043229B"/>
    <w:rsid w:val="0043249F"/>
    <w:rsid w:val="00435287"/>
    <w:rsid w:val="00440A22"/>
    <w:rsid w:val="00440FE6"/>
    <w:rsid w:val="00443A2A"/>
    <w:rsid w:val="0044512D"/>
    <w:rsid w:val="00454676"/>
    <w:rsid w:val="0045550E"/>
    <w:rsid w:val="00456456"/>
    <w:rsid w:val="00456DC1"/>
    <w:rsid w:val="0046042B"/>
    <w:rsid w:val="00462367"/>
    <w:rsid w:val="004628AA"/>
    <w:rsid w:val="0046490C"/>
    <w:rsid w:val="0046557F"/>
    <w:rsid w:val="00470287"/>
    <w:rsid w:val="00470733"/>
    <w:rsid w:val="00474C37"/>
    <w:rsid w:val="00477C53"/>
    <w:rsid w:val="0048259C"/>
    <w:rsid w:val="00485380"/>
    <w:rsid w:val="00493D87"/>
    <w:rsid w:val="004950D4"/>
    <w:rsid w:val="00496B22"/>
    <w:rsid w:val="004A0506"/>
    <w:rsid w:val="004A2342"/>
    <w:rsid w:val="004A2F62"/>
    <w:rsid w:val="004A73BC"/>
    <w:rsid w:val="004B1A16"/>
    <w:rsid w:val="004B1DB8"/>
    <w:rsid w:val="004B2F01"/>
    <w:rsid w:val="004B4182"/>
    <w:rsid w:val="004B4538"/>
    <w:rsid w:val="004B6FB6"/>
    <w:rsid w:val="004C276A"/>
    <w:rsid w:val="004C3423"/>
    <w:rsid w:val="004C571D"/>
    <w:rsid w:val="004D219A"/>
    <w:rsid w:val="004D2789"/>
    <w:rsid w:val="004D35A2"/>
    <w:rsid w:val="004D5FD1"/>
    <w:rsid w:val="004E4A07"/>
    <w:rsid w:val="004F1676"/>
    <w:rsid w:val="004F2741"/>
    <w:rsid w:val="004F7074"/>
    <w:rsid w:val="004F7C93"/>
    <w:rsid w:val="005008EB"/>
    <w:rsid w:val="00501146"/>
    <w:rsid w:val="00501978"/>
    <w:rsid w:val="00506105"/>
    <w:rsid w:val="00513162"/>
    <w:rsid w:val="005148BD"/>
    <w:rsid w:val="00516DF7"/>
    <w:rsid w:val="005216A8"/>
    <w:rsid w:val="00525809"/>
    <w:rsid w:val="00532512"/>
    <w:rsid w:val="005332E6"/>
    <w:rsid w:val="00533D41"/>
    <w:rsid w:val="00535130"/>
    <w:rsid w:val="00537302"/>
    <w:rsid w:val="00545765"/>
    <w:rsid w:val="00553841"/>
    <w:rsid w:val="00555509"/>
    <w:rsid w:val="00561C5B"/>
    <w:rsid w:val="00562599"/>
    <w:rsid w:val="00564F2D"/>
    <w:rsid w:val="00566CDA"/>
    <w:rsid w:val="0056727E"/>
    <w:rsid w:val="00567BA6"/>
    <w:rsid w:val="00570033"/>
    <w:rsid w:val="00570147"/>
    <w:rsid w:val="0057307E"/>
    <w:rsid w:val="00573A4C"/>
    <w:rsid w:val="00574522"/>
    <w:rsid w:val="00574B79"/>
    <w:rsid w:val="00574D12"/>
    <w:rsid w:val="00574EBF"/>
    <w:rsid w:val="005800B4"/>
    <w:rsid w:val="0058070B"/>
    <w:rsid w:val="0058296F"/>
    <w:rsid w:val="00583E0E"/>
    <w:rsid w:val="00595E80"/>
    <w:rsid w:val="0059650E"/>
    <w:rsid w:val="00596953"/>
    <w:rsid w:val="005A5E78"/>
    <w:rsid w:val="005A6030"/>
    <w:rsid w:val="005B3C7C"/>
    <w:rsid w:val="005B57AD"/>
    <w:rsid w:val="005B722E"/>
    <w:rsid w:val="005C02FE"/>
    <w:rsid w:val="005C4C04"/>
    <w:rsid w:val="005C50AC"/>
    <w:rsid w:val="005C6406"/>
    <w:rsid w:val="005C68B7"/>
    <w:rsid w:val="005D20F2"/>
    <w:rsid w:val="005D3454"/>
    <w:rsid w:val="005D3E18"/>
    <w:rsid w:val="005D69D1"/>
    <w:rsid w:val="005E08CF"/>
    <w:rsid w:val="005E210D"/>
    <w:rsid w:val="005F2425"/>
    <w:rsid w:val="005F29F9"/>
    <w:rsid w:val="005F5EC7"/>
    <w:rsid w:val="005F7207"/>
    <w:rsid w:val="005F7FCF"/>
    <w:rsid w:val="006014C6"/>
    <w:rsid w:val="006049FA"/>
    <w:rsid w:val="00607691"/>
    <w:rsid w:val="00607D39"/>
    <w:rsid w:val="0061047E"/>
    <w:rsid w:val="0061062C"/>
    <w:rsid w:val="00610DA8"/>
    <w:rsid w:val="00613183"/>
    <w:rsid w:val="006133F0"/>
    <w:rsid w:val="00616888"/>
    <w:rsid w:val="006176BE"/>
    <w:rsid w:val="006212CB"/>
    <w:rsid w:val="006279F9"/>
    <w:rsid w:val="0063001F"/>
    <w:rsid w:val="006369EE"/>
    <w:rsid w:val="00644E28"/>
    <w:rsid w:val="0064700E"/>
    <w:rsid w:val="00650183"/>
    <w:rsid w:val="00650677"/>
    <w:rsid w:val="00650747"/>
    <w:rsid w:val="00651A9A"/>
    <w:rsid w:val="00652A89"/>
    <w:rsid w:val="00660544"/>
    <w:rsid w:val="00662164"/>
    <w:rsid w:val="00665D76"/>
    <w:rsid w:val="006679CF"/>
    <w:rsid w:val="006702AB"/>
    <w:rsid w:val="006736A9"/>
    <w:rsid w:val="00673BC7"/>
    <w:rsid w:val="00674975"/>
    <w:rsid w:val="00675D39"/>
    <w:rsid w:val="006763A1"/>
    <w:rsid w:val="00681850"/>
    <w:rsid w:val="00683035"/>
    <w:rsid w:val="0068560B"/>
    <w:rsid w:val="00687EA9"/>
    <w:rsid w:val="00693263"/>
    <w:rsid w:val="006A1277"/>
    <w:rsid w:val="006A2602"/>
    <w:rsid w:val="006A2D41"/>
    <w:rsid w:val="006A67E1"/>
    <w:rsid w:val="006C1E66"/>
    <w:rsid w:val="006C36FB"/>
    <w:rsid w:val="006C7D62"/>
    <w:rsid w:val="006D0B23"/>
    <w:rsid w:val="006D2732"/>
    <w:rsid w:val="006D2ED6"/>
    <w:rsid w:val="006D413E"/>
    <w:rsid w:val="006D5685"/>
    <w:rsid w:val="006E1987"/>
    <w:rsid w:val="006E23B2"/>
    <w:rsid w:val="006E499E"/>
    <w:rsid w:val="006E5207"/>
    <w:rsid w:val="006F5C70"/>
    <w:rsid w:val="006F6A20"/>
    <w:rsid w:val="006F7383"/>
    <w:rsid w:val="007047B2"/>
    <w:rsid w:val="00704DE7"/>
    <w:rsid w:val="00706868"/>
    <w:rsid w:val="007078B8"/>
    <w:rsid w:val="00715E32"/>
    <w:rsid w:val="007162D1"/>
    <w:rsid w:val="00716463"/>
    <w:rsid w:val="0071675C"/>
    <w:rsid w:val="0071706E"/>
    <w:rsid w:val="00720814"/>
    <w:rsid w:val="00727292"/>
    <w:rsid w:val="00731763"/>
    <w:rsid w:val="00735A7E"/>
    <w:rsid w:val="007403CB"/>
    <w:rsid w:val="007412FF"/>
    <w:rsid w:val="00742F6A"/>
    <w:rsid w:val="007446E8"/>
    <w:rsid w:val="00745431"/>
    <w:rsid w:val="007455B4"/>
    <w:rsid w:val="00751553"/>
    <w:rsid w:val="0075165E"/>
    <w:rsid w:val="00753C7F"/>
    <w:rsid w:val="00754E10"/>
    <w:rsid w:val="00760A1C"/>
    <w:rsid w:val="00762A29"/>
    <w:rsid w:val="0076327D"/>
    <w:rsid w:val="00767745"/>
    <w:rsid w:val="00767F65"/>
    <w:rsid w:val="007707FC"/>
    <w:rsid w:val="00770BE3"/>
    <w:rsid w:val="007713EF"/>
    <w:rsid w:val="0077177A"/>
    <w:rsid w:val="007728A8"/>
    <w:rsid w:val="0078163F"/>
    <w:rsid w:val="00785A76"/>
    <w:rsid w:val="00785D89"/>
    <w:rsid w:val="00787852"/>
    <w:rsid w:val="007915BC"/>
    <w:rsid w:val="007967FA"/>
    <w:rsid w:val="00796DBF"/>
    <w:rsid w:val="00797E7A"/>
    <w:rsid w:val="007A00BA"/>
    <w:rsid w:val="007A0634"/>
    <w:rsid w:val="007A0EA6"/>
    <w:rsid w:val="007A1B6C"/>
    <w:rsid w:val="007A2D9E"/>
    <w:rsid w:val="007B0381"/>
    <w:rsid w:val="007B0F3D"/>
    <w:rsid w:val="007B148D"/>
    <w:rsid w:val="007B18AB"/>
    <w:rsid w:val="007B18C8"/>
    <w:rsid w:val="007B28DE"/>
    <w:rsid w:val="007B7A5F"/>
    <w:rsid w:val="007C36BE"/>
    <w:rsid w:val="007C4B03"/>
    <w:rsid w:val="007D22A4"/>
    <w:rsid w:val="007D325C"/>
    <w:rsid w:val="007D34D7"/>
    <w:rsid w:val="007D53ED"/>
    <w:rsid w:val="007D6001"/>
    <w:rsid w:val="007D7B2C"/>
    <w:rsid w:val="007D7F94"/>
    <w:rsid w:val="007E1B76"/>
    <w:rsid w:val="007E219A"/>
    <w:rsid w:val="007E37BF"/>
    <w:rsid w:val="007E6593"/>
    <w:rsid w:val="007E6997"/>
    <w:rsid w:val="007F1101"/>
    <w:rsid w:val="007F2326"/>
    <w:rsid w:val="007F2CB1"/>
    <w:rsid w:val="00802391"/>
    <w:rsid w:val="00803D20"/>
    <w:rsid w:val="0080619F"/>
    <w:rsid w:val="008112A0"/>
    <w:rsid w:val="008123F3"/>
    <w:rsid w:val="0081696D"/>
    <w:rsid w:val="00816E01"/>
    <w:rsid w:val="008173D0"/>
    <w:rsid w:val="00820BF8"/>
    <w:rsid w:val="00823235"/>
    <w:rsid w:val="008249F1"/>
    <w:rsid w:val="00824AF2"/>
    <w:rsid w:val="00825B96"/>
    <w:rsid w:val="00826686"/>
    <w:rsid w:val="00835563"/>
    <w:rsid w:val="00836511"/>
    <w:rsid w:val="00836B02"/>
    <w:rsid w:val="00836EC6"/>
    <w:rsid w:val="0083741E"/>
    <w:rsid w:val="00837985"/>
    <w:rsid w:val="00840E3D"/>
    <w:rsid w:val="00841D8C"/>
    <w:rsid w:val="00842220"/>
    <w:rsid w:val="00843E09"/>
    <w:rsid w:val="00844111"/>
    <w:rsid w:val="00844F74"/>
    <w:rsid w:val="00846382"/>
    <w:rsid w:val="00850F57"/>
    <w:rsid w:val="00851FC6"/>
    <w:rsid w:val="008536C2"/>
    <w:rsid w:val="008574EC"/>
    <w:rsid w:val="008600C7"/>
    <w:rsid w:val="008617D0"/>
    <w:rsid w:val="00861A60"/>
    <w:rsid w:val="00862357"/>
    <w:rsid w:val="00862D02"/>
    <w:rsid w:val="008637B9"/>
    <w:rsid w:val="00864194"/>
    <w:rsid w:val="00864DE5"/>
    <w:rsid w:val="00870399"/>
    <w:rsid w:val="008711EC"/>
    <w:rsid w:val="008718FE"/>
    <w:rsid w:val="00872946"/>
    <w:rsid w:val="0087454C"/>
    <w:rsid w:val="00883928"/>
    <w:rsid w:val="00883DDE"/>
    <w:rsid w:val="00886245"/>
    <w:rsid w:val="008867A2"/>
    <w:rsid w:val="00891D73"/>
    <w:rsid w:val="00892A44"/>
    <w:rsid w:val="0089394E"/>
    <w:rsid w:val="0089777C"/>
    <w:rsid w:val="008A11BA"/>
    <w:rsid w:val="008A2DE8"/>
    <w:rsid w:val="008A312D"/>
    <w:rsid w:val="008A3E09"/>
    <w:rsid w:val="008A3E57"/>
    <w:rsid w:val="008A77A7"/>
    <w:rsid w:val="008B3F34"/>
    <w:rsid w:val="008B750B"/>
    <w:rsid w:val="008C126D"/>
    <w:rsid w:val="008C56B9"/>
    <w:rsid w:val="008D05E0"/>
    <w:rsid w:val="008D2600"/>
    <w:rsid w:val="008D650E"/>
    <w:rsid w:val="008E070A"/>
    <w:rsid w:val="008E0AC0"/>
    <w:rsid w:val="008E1974"/>
    <w:rsid w:val="008E221A"/>
    <w:rsid w:val="008E2785"/>
    <w:rsid w:val="008E3610"/>
    <w:rsid w:val="008E3FFE"/>
    <w:rsid w:val="008E60BE"/>
    <w:rsid w:val="008E6B74"/>
    <w:rsid w:val="008F06E0"/>
    <w:rsid w:val="008F0F0B"/>
    <w:rsid w:val="008F0FAF"/>
    <w:rsid w:val="008F15B9"/>
    <w:rsid w:val="008F15F4"/>
    <w:rsid w:val="008F46CD"/>
    <w:rsid w:val="008F6480"/>
    <w:rsid w:val="008F7740"/>
    <w:rsid w:val="00900CA2"/>
    <w:rsid w:val="00903653"/>
    <w:rsid w:val="00910A52"/>
    <w:rsid w:val="00911479"/>
    <w:rsid w:val="009145E1"/>
    <w:rsid w:val="0091484D"/>
    <w:rsid w:val="00920FBA"/>
    <w:rsid w:val="009221D1"/>
    <w:rsid w:val="00925E71"/>
    <w:rsid w:val="0093329F"/>
    <w:rsid w:val="00937043"/>
    <w:rsid w:val="00940C52"/>
    <w:rsid w:val="009445D3"/>
    <w:rsid w:val="009472B8"/>
    <w:rsid w:val="00951E58"/>
    <w:rsid w:val="00955A8A"/>
    <w:rsid w:val="00957B53"/>
    <w:rsid w:val="0096400D"/>
    <w:rsid w:val="00966600"/>
    <w:rsid w:val="009671D9"/>
    <w:rsid w:val="00971352"/>
    <w:rsid w:val="00975E5B"/>
    <w:rsid w:val="00977C8F"/>
    <w:rsid w:val="00977F94"/>
    <w:rsid w:val="00980283"/>
    <w:rsid w:val="009845D6"/>
    <w:rsid w:val="00985A26"/>
    <w:rsid w:val="009863E9"/>
    <w:rsid w:val="00987CA2"/>
    <w:rsid w:val="00992E20"/>
    <w:rsid w:val="009936FC"/>
    <w:rsid w:val="00993925"/>
    <w:rsid w:val="00993977"/>
    <w:rsid w:val="00993CA6"/>
    <w:rsid w:val="009A05D1"/>
    <w:rsid w:val="009A28AC"/>
    <w:rsid w:val="009A3A5B"/>
    <w:rsid w:val="009A3F2A"/>
    <w:rsid w:val="009B2AAC"/>
    <w:rsid w:val="009B3521"/>
    <w:rsid w:val="009B541C"/>
    <w:rsid w:val="009B7BCC"/>
    <w:rsid w:val="009B7C5E"/>
    <w:rsid w:val="009C039F"/>
    <w:rsid w:val="009C0A09"/>
    <w:rsid w:val="009C4460"/>
    <w:rsid w:val="009C68EC"/>
    <w:rsid w:val="009D7192"/>
    <w:rsid w:val="009E053C"/>
    <w:rsid w:val="009E0E38"/>
    <w:rsid w:val="009E1A35"/>
    <w:rsid w:val="009F09AA"/>
    <w:rsid w:val="009F2C16"/>
    <w:rsid w:val="009F2C1B"/>
    <w:rsid w:val="009F2E9B"/>
    <w:rsid w:val="009F335C"/>
    <w:rsid w:val="00A002B5"/>
    <w:rsid w:val="00A0260C"/>
    <w:rsid w:val="00A029F7"/>
    <w:rsid w:val="00A041B5"/>
    <w:rsid w:val="00A04F8C"/>
    <w:rsid w:val="00A05158"/>
    <w:rsid w:val="00A112A0"/>
    <w:rsid w:val="00A13BF5"/>
    <w:rsid w:val="00A14837"/>
    <w:rsid w:val="00A208E2"/>
    <w:rsid w:val="00A225E3"/>
    <w:rsid w:val="00A23694"/>
    <w:rsid w:val="00A23A26"/>
    <w:rsid w:val="00A24A8F"/>
    <w:rsid w:val="00A25708"/>
    <w:rsid w:val="00A25BF0"/>
    <w:rsid w:val="00A3026E"/>
    <w:rsid w:val="00A32FE4"/>
    <w:rsid w:val="00A3522A"/>
    <w:rsid w:val="00A40CEB"/>
    <w:rsid w:val="00A444EA"/>
    <w:rsid w:val="00A4514C"/>
    <w:rsid w:val="00A4576A"/>
    <w:rsid w:val="00A45AD0"/>
    <w:rsid w:val="00A45EE9"/>
    <w:rsid w:val="00A53C14"/>
    <w:rsid w:val="00A53CA5"/>
    <w:rsid w:val="00A55718"/>
    <w:rsid w:val="00A56822"/>
    <w:rsid w:val="00A5744A"/>
    <w:rsid w:val="00A61410"/>
    <w:rsid w:val="00A6198A"/>
    <w:rsid w:val="00A65108"/>
    <w:rsid w:val="00A66583"/>
    <w:rsid w:val="00A7067F"/>
    <w:rsid w:val="00A707A7"/>
    <w:rsid w:val="00A71164"/>
    <w:rsid w:val="00A718FD"/>
    <w:rsid w:val="00A72341"/>
    <w:rsid w:val="00A7759F"/>
    <w:rsid w:val="00A776ED"/>
    <w:rsid w:val="00A80E50"/>
    <w:rsid w:val="00A8137F"/>
    <w:rsid w:val="00A83663"/>
    <w:rsid w:val="00A83B0F"/>
    <w:rsid w:val="00A84216"/>
    <w:rsid w:val="00A85EC1"/>
    <w:rsid w:val="00A90BFA"/>
    <w:rsid w:val="00A92112"/>
    <w:rsid w:val="00A92BF3"/>
    <w:rsid w:val="00A943C8"/>
    <w:rsid w:val="00A950A4"/>
    <w:rsid w:val="00A9520D"/>
    <w:rsid w:val="00A9747D"/>
    <w:rsid w:val="00AA00A6"/>
    <w:rsid w:val="00AA0680"/>
    <w:rsid w:val="00AA0951"/>
    <w:rsid w:val="00AA189E"/>
    <w:rsid w:val="00AA567B"/>
    <w:rsid w:val="00AA6BA8"/>
    <w:rsid w:val="00AA7F5A"/>
    <w:rsid w:val="00AB0B90"/>
    <w:rsid w:val="00AB2340"/>
    <w:rsid w:val="00AB5FE4"/>
    <w:rsid w:val="00AB659D"/>
    <w:rsid w:val="00AB7FF9"/>
    <w:rsid w:val="00AC229F"/>
    <w:rsid w:val="00AC26EC"/>
    <w:rsid w:val="00AC2990"/>
    <w:rsid w:val="00AC2C31"/>
    <w:rsid w:val="00AC434E"/>
    <w:rsid w:val="00AD1C8D"/>
    <w:rsid w:val="00AD7671"/>
    <w:rsid w:val="00AE1C4B"/>
    <w:rsid w:val="00AE2F9E"/>
    <w:rsid w:val="00AE44ED"/>
    <w:rsid w:val="00AE53E8"/>
    <w:rsid w:val="00AE6FE4"/>
    <w:rsid w:val="00AE7D68"/>
    <w:rsid w:val="00AF2059"/>
    <w:rsid w:val="00AF3D84"/>
    <w:rsid w:val="00AF4161"/>
    <w:rsid w:val="00AF580B"/>
    <w:rsid w:val="00B007C8"/>
    <w:rsid w:val="00B02332"/>
    <w:rsid w:val="00B072B3"/>
    <w:rsid w:val="00B14410"/>
    <w:rsid w:val="00B15C0D"/>
    <w:rsid w:val="00B15E61"/>
    <w:rsid w:val="00B239CA"/>
    <w:rsid w:val="00B24F35"/>
    <w:rsid w:val="00B257B3"/>
    <w:rsid w:val="00B31CFD"/>
    <w:rsid w:val="00B32209"/>
    <w:rsid w:val="00B32C88"/>
    <w:rsid w:val="00B3331A"/>
    <w:rsid w:val="00B34747"/>
    <w:rsid w:val="00B42813"/>
    <w:rsid w:val="00B42E49"/>
    <w:rsid w:val="00B468EC"/>
    <w:rsid w:val="00B50903"/>
    <w:rsid w:val="00B6012E"/>
    <w:rsid w:val="00B60977"/>
    <w:rsid w:val="00B609D5"/>
    <w:rsid w:val="00B609E4"/>
    <w:rsid w:val="00B622B6"/>
    <w:rsid w:val="00B62FFE"/>
    <w:rsid w:val="00B65013"/>
    <w:rsid w:val="00B65291"/>
    <w:rsid w:val="00B70BA3"/>
    <w:rsid w:val="00B7123A"/>
    <w:rsid w:val="00B72D3D"/>
    <w:rsid w:val="00B7435C"/>
    <w:rsid w:val="00B76F38"/>
    <w:rsid w:val="00B8085D"/>
    <w:rsid w:val="00B80ABF"/>
    <w:rsid w:val="00B81EFF"/>
    <w:rsid w:val="00B836BB"/>
    <w:rsid w:val="00B84122"/>
    <w:rsid w:val="00B84A46"/>
    <w:rsid w:val="00B85BF7"/>
    <w:rsid w:val="00B860E6"/>
    <w:rsid w:val="00B86264"/>
    <w:rsid w:val="00B862B0"/>
    <w:rsid w:val="00B90F48"/>
    <w:rsid w:val="00BA05BE"/>
    <w:rsid w:val="00BA0E1B"/>
    <w:rsid w:val="00BA2B7C"/>
    <w:rsid w:val="00BA4BBF"/>
    <w:rsid w:val="00BA6477"/>
    <w:rsid w:val="00BA64DF"/>
    <w:rsid w:val="00BA7EFE"/>
    <w:rsid w:val="00BB142A"/>
    <w:rsid w:val="00BB34B9"/>
    <w:rsid w:val="00BB35C2"/>
    <w:rsid w:val="00BB553B"/>
    <w:rsid w:val="00BC28D7"/>
    <w:rsid w:val="00BC2CE2"/>
    <w:rsid w:val="00BC376C"/>
    <w:rsid w:val="00BC6321"/>
    <w:rsid w:val="00BC7817"/>
    <w:rsid w:val="00BD1ECA"/>
    <w:rsid w:val="00BD3819"/>
    <w:rsid w:val="00BD642D"/>
    <w:rsid w:val="00BD6988"/>
    <w:rsid w:val="00BD79DC"/>
    <w:rsid w:val="00BE1A77"/>
    <w:rsid w:val="00BE4742"/>
    <w:rsid w:val="00BE55CE"/>
    <w:rsid w:val="00BE7383"/>
    <w:rsid w:val="00BE754D"/>
    <w:rsid w:val="00BF1DB9"/>
    <w:rsid w:val="00BF6A9A"/>
    <w:rsid w:val="00BF6D10"/>
    <w:rsid w:val="00BF6E79"/>
    <w:rsid w:val="00C00FB2"/>
    <w:rsid w:val="00C03F6C"/>
    <w:rsid w:val="00C12108"/>
    <w:rsid w:val="00C121D9"/>
    <w:rsid w:val="00C13453"/>
    <w:rsid w:val="00C220F9"/>
    <w:rsid w:val="00C23836"/>
    <w:rsid w:val="00C2541C"/>
    <w:rsid w:val="00C26862"/>
    <w:rsid w:val="00C30458"/>
    <w:rsid w:val="00C31DA6"/>
    <w:rsid w:val="00C33260"/>
    <w:rsid w:val="00C4135D"/>
    <w:rsid w:val="00C4598F"/>
    <w:rsid w:val="00C46603"/>
    <w:rsid w:val="00C50360"/>
    <w:rsid w:val="00C53585"/>
    <w:rsid w:val="00C54E12"/>
    <w:rsid w:val="00C55468"/>
    <w:rsid w:val="00C622C3"/>
    <w:rsid w:val="00C63BD5"/>
    <w:rsid w:val="00C65737"/>
    <w:rsid w:val="00C74906"/>
    <w:rsid w:val="00C758A2"/>
    <w:rsid w:val="00C76158"/>
    <w:rsid w:val="00C77D60"/>
    <w:rsid w:val="00C81B40"/>
    <w:rsid w:val="00C81FEA"/>
    <w:rsid w:val="00C83969"/>
    <w:rsid w:val="00C84C6B"/>
    <w:rsid w:val="00C8502A"/>
    <w:rsid w:val="00C86C95"/>
    <w:rsid w:val="00C91A1D"/>
    <w:rsid w:val="00CA05EB"/>
    <w:rsid w:val="00CA2985"/>
    <w:rsid w:val="00CA3515"/>
    <w:rsid w:val="00CA3A05"/>
    <w:rsid w:val="00CA52E4"/>
    <w:rsid w:val="00CA572E"/>
    <w:rsid w:val="00CA6580"/>
    <w:rsid w:val="00CB0BE8"/>
    <w:rsid w:val="00CB14E9"/>
    <w:rsid w:val="00CB2C31"/>
    <w:rsid w:val="00CB3C6C"/>
    <w:rsid w:val="00CB6D90"/>
    <w:rsid w:val="00CB72C3"/>
    <w:rsid w:val="00CC0CF7"/>
    <w:rsid w:val="00CC16D1"/>
    <w:rsid w:val="00CC2BE2"/>
    <w:rsid w:val="00CC45E4"/>
    <w:rsid w:val="00CC538E"/>
    <w:rsid w:val="00CC6385"/>
    <w:rsid w:val="00CD019F"/>
    <w:rsid w:val="00CD27C5"/>
    <w:rsid w:val="00CE10DF"/>
    <w:rsid w:val="00CE168E"/>
    <w:rsid w:val="00CE4169"/>
    <w:rsid w:val="00CE4616"/>
    <w:rsid w:val="00CE50DD"/>
    <w:rsid w:val="00CE6C55"/>
    <w:rsid w:val="00CE7894"/>
    <w:rsid w:val="00CF06A1"/>
    <w:rsid w:val="00CF1467"/>
    <w:rsid w:val="00CF14BE"/>
    <w:rsid w:val="00CF360B"/>
    <w:rsid w:val="00CF48D6"/>
    <w:rsid w:val="00CF513E"/>
    <w:rsid w:val="00CF57D6"/>
    <w:rsid w:val="00CF61D4"/>
    <w:rsid w:val="00CF6C1B"/>
    <w:rsid w:val="00CF7ACB"/>
    <w:rsid w:val="00D019D5"/>
    <w:rsid w:val="00D040FE"/>
    <w:rsid w:val="00D0511B"/>
    <w:rsid w:val="00D114CB"/>
    <w:rsid w:val="00D16487"/>
    <w:rsid w:val="00D168FD"/>
    <w:rsid w:val="00D16F64"/>
    <w:rsid w:val="00D2472C"/>
    <w:rsid w:val="00D27162"/>
    <w:rsid w:val="00D279BA"/>
    <w:rsid w:val="00D32002"/>
    <w:rsid w:val="00D37E85"/>
    <w:rsid w:val="00D404B5"/>
    <w:rsid w:val="00D41985"/>
    <w:rsid w:val="00D447CB"/>
    <w:rsid w:val="00D44B1E"/>
    <w:rsid w:val="00D4587F"/>
    <w:rsid w:val="00D4698D"/>
    <w:rsid w:val="00D47D16"/>
    <w:rsid w:val="00D505F4"/>
    <w:rsid w:val="00D51CE1"/>
    <w:rsid w:val="00D562F2"/>
    <w:rsid w:val="00D56CC9"/>
    <w:rsid w:val="00D608C9"/>
    <w:rsid w:val="00D61B93"/>
    <w:rsid w:val="00D637C9"/>
    <w:rsid w:val="00D64336"/>
    <w:rsid w:val="00D67865"/>
    <w:rsid w:val="00D67E4A"/>
    <w:rsid w:val="00D70383"/>
    <w:rsid w:val="00D746D1"/>
    <w:rsid w:val="00D763FD"/>
    <w:rsid w:val="00D80737"/>
    <w:rsid w:val="00D85E4F"/>
    <w:rsid w:val="00D90AD1"/>
    <w:rsid w:val="00D941F7"/>
    <w:rsid w:val="00DA4DDF"/>
    <w:rsid w:val="00DB0397"/>
    <w:rsid w:val="00DB0804"/>
    <w:rsid w:val="00DB2FC4"/>
    <w:rsid w:val="00DB75B0"/>
    <w:rsid w:val="00DC046A"/>
    <w:rsid w:val="00DC382A"/>
    <w:rsid w:val="00DC4D01"/>
    <w:rsid w:val="00DC7D97"/>
    <w:rsid w:val="00DE18C0"/>
    <w:rsid w:val="00DE1923"/>
    <w:rsid w:val="00DE2B33"/>
    <w:rsid w:val="00DE638B"/>
    <w:rsid w:val="00DE72EE"/>
    <w:rsid w:val="00DE7A57"/>
    <w:rsid w:val="00DF04EF"/>
    <w:rsid w:val="00DF2D20"/>
    <w:rsid w:val="00DF37E5"/>
    <w:rsid w:val="00DF3A7B"/>
    <w:rsid w:val="00DF57F7"/>
    <w:rsid w:val="00E034FE"/>
    <w:rsid w:val="00E041E5"/>
    <w:rsid w:val="00E04888"/>
    <w:rsid w:val="00E0763B"/>
    <w:rsid w:val="00E10302"/>
    <w:rsid w:val="00E17EC5"/>
    <w:rsid w:val="00E24D94"/>
    <w:rsid w:val="00E26BFD"/>
    <w:rsid w:val="00E27E90"/>
    <w:rsid w:val="00E319D5"/>
    <w:rsid w:val="00E33D02"/>
    <w:rsid w:val="00E34F2C"/>
    <w:rsid w:val="00E35D79"/>
    <w:rsid w:val="00E35EE8"/>
    <w:rsid w:val="00E36872"/>
    <w:rsid w:val="00E4641E"/>
    <w:rsid w:val="00E46B35"/>
    <w:rsid w:val="00E519AE"/>
    <w:rsid w:val="00E57339"/>
    <w:rsid w:val="00E57AF7"/>
    <w:rsid w:val="00E61CBA"/>
    <w:rsid w:val="00E62177"/>
    <w:rsid w:val="00E6241B"/>
    <w:rsid w:val="00E64FCC"/>
    <w:rsid w:val="00E6591B"/>
    <w:rsid w:val="00E703B6"/>
    <w:rsid w:val="00E72200"/>
    <w:rsid w:val="00E72B1B"/>
    <w:rsid w:val="00E75D47"/>
    <w:rsid w:val="00E766F5"/>
    <w:rsid w:val="00E80CB3"/>
    <w:rsid w:val="00E81212"/>
    <w:rsid w:val="00E82948"/>
    <w:rsid w:val="00E87EED"/>
    <w:rsid w:val="00E90218"/>
    <w:rsid w:val="00E90497"/>
    <w:rsid w:val="00E913BB"/>
    <w:rsid w:val="00E918F7"/>
    <w:rsid w:val="00E9196E"/>
    <w:rsid w:val="00E938A1"/>
    <w:rsid w:val="00E95F2E"/>
    <w:rsid w:val="00EA1508"/>
    <w:rsid w:val="00EA1541"/>
    <w:rsid w:val="00EA1666"/>
    <w:rsid w:val="00EA32E4"/>
    <w:rsid w:val="00EA408D"/>
    <w:rsid w:val="00EA7E36"/>
    <w:rsid w:val="00EB0898"/>
    <w:rsid w:val="00EB627B"/>
    <w:rsid w:val="00EB6D94"/>
    <w:rsid w:val="00EB7C1B"/>
    <w:rsid w:val="00EC0DF0"/>
    <w:rsid w:val="00EC23EE"/>
    <w:rsid w:val="00EC3733"/>
    <w:rsid w:val="00EC4183"/>
    <w:rsid w:val="00EC6468"/>
    <w:rsid w:val="00EC6708"/>
    <w:rsid w:val="00ED065E"/>
    <w:rsid w:val="00ED207C"/>
    <w:rsid w:val="00ED325A"/>
    <w:rsid w:val="00ED3F41"/>
    <w:rsid w:val="00ED5615"/>
    <w:rsid w:val="00ED692E"/>
    <w:rsid w:val="00ED69AF"/>
    <w:rsid w:val="00EE1847"/>
    <w:rsid w:val="00EE240E"/>
    <w:rsid w:val="00EE42B1"/>
    <w:rsid w:val="00EE688E"/>
    <w:rsid w:val="00EE6A6D"/>
    <w:rsid w:val="00EF03E2"/>
    <w:rsid w:val="00EF6A45"/>
    <w:rsid w:val="00EF7F8B"/>
    <w:rsid w:val="00F01522"/>
    <w:rsid w:val="00F03664"/>
    <w:rsid w:val="00F03814"/>
    <w:rsid w:val="00F07051"/>
    <w:rsid w:val="00F07A09"/>
    <w:rsid w:val="00F1390C"/>
    <w:rsid w:val="00F14D98"/>
    <w:rsid w:val="00F20C5E"/>
    <w:rsid w:val="00F241C4"/>
    <w:rsid w:val="00F3060E"/>
    <w:rsid w:val="00F355E7"/>
    <w:rsid w:val="00F3632D"/>
    <w:rsid w:val="00F36A1D"/>
    <w:rsid w:val="00F3724F"/>
    <w:rsid w:val="00F43C88"/>
    <w:rsid w:val="00F44278"/>
    <w:rsid w:val="00F45039"/>
    <w:rsid w:val="00F452EE"/>
    <w:rsid w:val="00F4544B"/>
    <w:rsid w:val="00F51B65"/>
    <w:rsid w:val="00F52AAB"/>
    <w:rsid w:val="00F52EB6"/>
    <w:rsid w:val="00F55260"/>
    <w:rsid w:val="00F60B25"/>
    <w:rsid w:val="00F6316B"/>
    <w:rsid w:val="00F63EA4"/>
    <w:rsid w:val="00F65AE0"/>
    <w:rsid w:val="00F71766"/>
    <w:rsid w:val="00F74E38"/>
    <w:rsid w:val="00F75A43"/>
    <w:rsid w:val="00F76D6F"/>
    <w:rsid w:val="00F76FCA"/>
    <w:rsid w:val="00F778B0"/>
    <w:rsid w:val="00F83BC2"/>
    <w:rsid w:val="00F92EC1"/>
    <w:rsid w:val="00F94C47"/>
    <w:rsid w:val="00F978D7"/>
    <w:rsid w:val="00FA0421"/>
    <w:rsid w:val="00FA1666"/>
    <w:rsid w:val="00FA2CE6"/>
    <w:rsid w:val="00FA3389"/>
    <w:rsid w:val="00FA3476"/>
    <w:rsid w:val="00FA495F"/>
    <w:rsid w:val="00FB0C10"/>
    <w:rsid w:val="00FB31D8"/>
    <w:rsid w:val="00FB3A5C"/>
    <w:rsid w:val="00FB3C36"/>
    <w:rsid w:val="00FB4280"/>
    <w:rsid w:val="00FB7CCE"/>
    <w:rsid w:val="00FC01C8"/>
    <w:rsid w:val="00FC1232"/>
    <w:rsid w:val="00FC5027"/>
    <w:rsid w:val="00FC50C7"/>
    <w:rsid w:val="00FC511D"/>
    <w:rsid w:val="00FC68BC"/>
    <w:rsid w:val="00FC6993"/>
    <w:rsid w:val="00FD11D4"/>
    <w:rsid w:val="00FD225D"/>
    <w:rsid w:val="00FD2384"/>
    <w:rsid w:val="00FD551C"/>
    <w:rsid w:val="00FD6651"/>
    <w:rsid w:val="00FD6B34"/>
    <w:rsid w:val="00FE0208"/>
    <w:rsid w:val="00FE16E2"/>
    <w:rsid w:val="00FE246B"/>
    <w:rsid w:val="00FE44A2"/>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92B05A7"/>
  <w15:docId w15:val="{BEEFE6E4-A7CA-4A6C-85A6-601623D8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204F99"/>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204F99"/>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204F99"/>
    <w:rPr>
      <w:b/>
      <w:bCs/>
      <w:sz w:val="28"/>
      <w:szCs w:val="28"/>
      <w:lang w:val="eu-ES" w:eastAsia="en-US"/>
    </w:rPr>
  </w:style>
  <w:style w:type="character" w:customStyle="1" w:styleId="Ttulo7Car">
    <w:name w:val="Título 7 Car"/>
    <w:basedOn w:val="Fuentedeprrafopredeter"/>
    <w:link w:val="Ttulo7"/>
    <w:uiPriority w:val="99"/>
    <w:rsid w:val="00204F99"/>
    <w:rPr>
      <w:sz w:val="52"/>
    </w:rPr>
  </w:style>
  <w:style w:type="character" w:customStyle="1" w:styleId="atitulo2Car">
    <w:name w:val="atitulo2 Car"/>
    <w:link w:val="atitulo2"/>
    <w:uiPriority w:val="99"/>
    <w:rsid w:val="00204F99"/>
    <w:rPr>
      <w:rFonts w:ascii="Arial" w:hAnsi="Arial"/>
      <w:bCs/>
      <w:iCs/>
      <w:color w:val="000000"/>
      <w:spacing w:val="10"/>
      <w:kern w:val="28"/>
      <w:sz w:val="25"/>
      <w:szCs w:val="26"/>
      <w:lang w:val="eu-ES" w:eastAsia="en-US"/>
    </w:rPr>
  </w:style>
  <w:style w:type="paragraph" w:customStyle="1" w:styleId="Estndar">
    <w:name w:val="Estándar"/>
    <w:rsid w:val="00204F99"/>
    <w:pPr>
      <w:snapToGrid w:val="0"/>
    </w:pPr>
    <w:rPr>
      <w:rFonts w:ascii="CG Omega" w:hAnsi="CG Omega"/>
      <w:color w:val="000000"/>
      <w:sz w:val="22"/>
    </w:rPr>
  </w:style>
  <w:style w:type="paragraph" w:customStyle="1" w:styleId="tabla10">
    <w:name w:val="tabla10"/>
    <w:rsid w:val="00204F99"/>
    <w:pPr>
      <w:tabs>
        <w:tab w:val="left" w:pos="567"/>
        <w:tab w:val="left" w:pos="1134"/>
      </w:tabs>
      <w:snapToGrid w:val="0"/>
    </w:pPr>
    <w:rPr>
      <w:rFonts w:ascii="CG Times" w:hAnsi="CG Times"/>
      <w:color w:val="000000"/>
    </w:rPr>
  </w:style>
  <w:style w:type="paragraph" w:styleId="NormalWeb">
    <w:name w:val="Normal (Web)"/>
    <w:basedOn w:val="Normal"/>
    <w:uiPriority w:val="99"/>
    <w:rsid w:val="00204F99"/>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semiHidden/>
    <w:rsid w:val="00204F99"/>
  </w:style>
  <w:style w:type="character" w:customStyle="1" w:styleId="TextocomentarioCar">
    <w:name w:val="Texto comentario Car"/>
    <w:basedOn w:val="Fuentedeprrafopredeter"/>
    <w:link w:val="Textocomentario"/>
    <w:semiHidden/>
    <w:rsid w:val="00204F99"/>
    <w:rPr>
      <w:lang w:val="eu-ES" w:eastAsia="en-US"/>
    </w:rPr>
  </w:style>
  <w:style w:type="paragraph" w:styleId="Asuntodelcomentario">
    <w:name w:val="annotation subject"/>
    <w:basedOn w:val="Textocomentario"/>
    <w:next w:val="Textocomentario"/>
    <w:link w:val="AsuntodelcomentarioCar"/>
    <w:semiHidden/>
    <w:rsid w:val="00204F99"/>
    <w:rPr>
      <w:b/>
      <w:bCs/>
    </w:rPr>
  </w:style>
  <w:style w:type="character" w:customStyle="1" w:styleId="AsuntodelcomentarioCar">
    <w:name w:val="Asunto del comentario Car"/>
    <w:basedOn w:val="TextocomentarioCar"/>
    <w:link w:val="Asuntodelcomentario"/>
    <w:semiHidden/>
    <w:rsid w:val="00204F99"/>
    <w:rPr>
      <w:b/>
      <w:bCs/>
      <w:lang w:val="eu-ES" w:eastAsia="en-US"/>
    </w:rPr>
  </w:style>
  <w:style w:type="paragraph" w:styleId="Mapadeldocumento">
    <w:name w:val="Document Map"/>
    <w:basedOn w:val="Normal"/>
    <w:link w:val="MapadeldocumentoCar"/>
    <w:semiHidden/>
    <w:rsid w:val="00204F99"/>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204F99"/>
    <w:rPr>
      <w:rFonts w:ascii="Tahoma" w:hAnsi="Tahoma" w:cs="Tahoma"/>
      <w:shd w:val="clear" w:color="auto" w:fill="000080"/>
      <w:lang w:val="eu-ES" w:eastAsia="en-US"/>
    </w:rPr>
  </w:style>
  <w:style w:type="paragraph" w:styleId="Textonotapie">
    <w:name w:val="footnote text"/>
    <w:basedOn w:val="Normal"/>
    <w:link w:val="TextonotapieCar"/>
    <w:rsid w:val="00204F99"/>
  </w:style>
  <w:style w:type="character" w:customStyle="1" w:styleId="TextonotapieCar">
    <w:name w:val="Texto nota pie Car"/>
    <w:basedOn w:val="Fuentedeprrafopredeter"/>
    <w:link w:val="Textonotapie"/>
    <w:rsid w:val="00204F99"/>
    <w:rPr>
      <w:lang w:val="eu-ES" w:eastAsia="en-US"/>
    </w:rPr>
  </w:style>
  <w:style w:type="character" w:styleId="Refdenotaalpie">
    <w:name w:val="footnote reference"/>
    <w:rsid w:val="00204F99"/>
    <w:rPr>
      <w:vertAlign w:val="superscript"/>
    </w:rPr>
  </w:style>
  <w:style w:type="paragraph" w:styleId="Prrafodelista">
    <w:name w:val="List Paragraph"/>
    <w:basedOn w:val="Normal"/>
    <w:uiPriority w:val="34"/>
    <w:qFormat/>
    <w:rsid w:val="00204F99"/>
    <w:pPr>
      <w:ind w:left="720"/>
      <w:contextualSpacing/>
    </w:pPr>
  </w:style>
  <w:style w:type="character" w:customStyle="1" w:styleId="PiedepginaCar">
    <w:name w:val="Pie de página Car"/>
    <w:basedOn w:val="Fuentedeprrafopredeter"/>
    <w:link w:val="Piedepgina"/>
    <w:rsid w:val="00204F99"/>
    <w:rPr>
      <w:spacing w:val="6"/>
      <w:lang w:val="eu-ES" w:eastAsia="en-US"/>
    </w:rPr>
  </w:style>
  <w:style w:type="character" w:customStyle="1" w:styleId="atitulo1Car">
    <w:name w:val="atitulo1 Car"/>
    <w:link w:val="atitulo1"/>
    <w:uiPriority w:val="99"/>
    <w:rsid w:val="00204F99"/>
    <w:rPr>
      <w:rFonts w:ascii="Arial" w:hAnsi="Arial"/>
      <w:b/>
      <w:color w:val="000000"/>
      <w:kern w:val="28"/>
      <w:sz w:val="25"/>
      <w:szCs w:val="26"/>
      <w:lang w:val="eu-ES" w:eastAsia="en-US"/>
    </w:rPr>
  </w:style>
  <w:style w:type="paragraph" w:customStyle="1" w:styleId="Default">
    <w:name w:val="Default"/>
    <w:rsid w:val="00204F99"/>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204F99"/>
    <w:rPr>
      <w:color w:val="auto"/>
    </w:rPr>
  </w:style>
  <w:style w:type="paragraph" w:styleId="Textoindependiente">
    <w:name w:val="Body Text"/>
    <w:basedOn w:val="Normal"/>
    <w:link w:val="TextoindependienteCar"/>
    <w:rsid w:val="00204F99"/>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204F99"/>
    <w:rPr>
      <w:rFonts w:ascii="Arial" w:hAnsi="Arial"/>
      <w:sz w:val="24"/>
      <w:lang w:val="eu-ES"/>
    </w:rPr>
  </w:style>
  <w:style w:type="paragraph" w:customStyle="1" w:styleId="Pa7">
    <w:name w:val="Pa7"/>
    <w:basedOn w:val="Default"/>
    <w:next w:val="Default"/>
    <w:uiPriority w:val="99"/>
    <w:rsid w:val="00204F99"/>
    <w:pPr>
      <w:spacing w:line="201" w:lineRule="atLeast"/>
    </w:pPr>
    <w:rPr>
      <w:color w:val="auto"/>
    </w:rPr>
  </w:style>
  <w:style w:type="character" w:customStyle="1" w:styleId="corchete-llamada1">
    <w:name w:val="corchete-llamada1"/>
    <w:basedOn w:val="Fuentedeprrafopredeter"/>
    <w:rsid w:val="00204F99"/>
    <w:rPr>
      <w:vanish/>
      <w:webHidden w:val="0"/>
      <w:specVanish w:val="0"/>
    </w:rPr>
  </w:style>
  <w:style w:type="paragraph" w:customStyle="1" w:styleId="xl1">
    <w:name w:val="xl1"/>
    <w:basedOn w:val="Normal"/>
    <w:rsid w:val="00204F99"/>
    <w:pPr>
      <w:spacing w:after="240"/>
      <w:ind w:left="300" w:right="75" w:hanging="225"/>
    </w:pPr>
    <w:rPr>
      <w:sz w:val="24"/>
      <w:szCs w:val="24"/>
      <w:lang w:eastAsia="es-ES"/>
    </w:rPr>
  </w:style>
  <w:style w:type="paragraph" w:customStyle="1" w:styleId="xl2">
    <w:name w:val="xl2"/>
    <w:basedOn w:val="Normal"/>
    <w:rsid w:val="00204F99"/>
    <w:pPr>
      <w:spacing w:after="240"/>
      <w:ind w:left="525" w:right="75" w:hanging="225"/>
    </w:pPr>
    <w:rPr>
      <w:sz w:val="24"/>
      <w:szCs w:val="24"/>
      <w:lang w:eastAsia="es-ES"/>
    </w:rPr>
  </w:style>
  <w:style w:type="numbering" w:customStyle="1" w:styleId="Sinlista1">
    <w:name w:val="Sin lista1"/>
    <w:next w:val="Sinlista"/>
    <w:uiPriority w:val="99"/>
    <w:semiHidden/>
    <w:unhideWhenUsed/>
    <w:rsid w:val="00204F99"/>
  </w:style>
  <w:style w:type="table" w:styleId="Sombreadoclaro">
    <w:name w:val="Light Shading"/>
    <w:aliases w:val="tabla informe"/>
    <w:basedOn w:val="Tablanormal"/>
    <w:uiPriority w:val="60"/>
    <w:rsid w:val="00204F99"/>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204F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204F99"/>
    <w:rPr>
      <w:rFonts w:ascii="Tahoma" w:hAnsi="Tahoma" w:cs="Tahoma"/>
      <w:sz w:val="16"/>
      <w:szCs w:val="16"/>
      <w:lang w:val="eu-ES" w:eastAsia="en-US"/>
    </w:rPr>
  </w:style>
  <w:style w:type="character" w:customStyle="1" w:styleId="Ttulo1Car">
    <w:name w:val="Título 1 Car"/>
    <w:basedOn w:val="Fuentedeprrafopredeter"/>
    <w:link w:val="Ttulo1"/>
    <w:uiPriority w:val="99"/>
    <w:rsid w:val="00204F99"/>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204F99"/>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204F99"/>
    <w:rPr>
      <w:rFonts w:ascii="Arial" w:hAnsi="Arial" w:cs="Arial"/>
      <w:b/>
      <w:bCs/>
      <w:szCs w:val="26"/>
      <w:lang w:val="eu-ES" w:eastAsia="en-US"/>
    </w:rPr>
  </w:style>
  <w:style w:type="character" w:customStyle="1" w:styleId="Ttulo5Car">
    <w:name w:val="Título 5 Car"/>
    <w:basedOn w:val="Fuentedeprrafopredeter"/>
    <w:link w:val="Ttulo5"/>
    <w:uiPriority w:val="99"/>
    <w:rsid w:val="00204F99"/>
    <w:rPr>
      <w:b/>
      <w:sz w:val="28"/>
      <w:lang w:eastAsia="en-US"/>
    </w:rPr>
  </w:style>
  <w:style w:type="paragraph" w:styleId="Ttulo">
    <w:name w:val="Title"/>
    <w:basedOn w:val="Normal"/>
    <w:next w:val="Normal"/>
    <w:link w:val="TtuloCar"/>
    <w:uiPriority w:val="10"/>
    <w:qFormat/>
    <w:rsid w:val="00204F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04F99"/>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204F9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04F99"/>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99"/>
    <w:qFormat/>
    <w:rsid w:val="00204F99"/>
    <w:rPr>
      <w:rFonts w:cs="Times New Roman"/>
      <w:b/>
    </w:rPr>
  </w:style>
  <w:style w:type="character" w:styleId="nfasis">
    <w:name w:val="Emphasis"/>
    <w:basedOn w:val="Fuentedeprrafopredeter"/>
    <w:uiPriority w:val="99"/>
    <w:qFormat/>
    <w:rsid w:val="00204F99"/>
    <w:rPr>
      <w:rFonts w:cs="Times New Roman"/>
      <w:i/>
      <w:iCs/>
    </w:rPr>
  </w:style>
  <w:style w:type="paragraph" w:styleId="Cita">
    <w:name w:val="Quote"/>
    <w:basedOn w:val="Normal"/>
    <w:next w:val="Normal"/>
    <w:link w:val="CitaCar"/>
    <w:uiPriority w:val="29"/>
    <w:qFormat/>
    <w:rsid w:val="00204F99"/>
    <w:rPr>
      <w:i/>
      <w:iCs/>
      <w:color w:val="000000" w:themeColor="text1"/>
    </w:rPr>
  </w:style>
  <w:style w:type="character" w:customStyle="1" w:styleId="CitaCar">
    <w:name w:val="Cita Car"/>
    <w:basedOn w:val="Fuentedeprrafopredeter"/>
    <w:link w:val="Cita"/>
    <w:uiPriority w:val="29"/>
    <w:rsid w:val="00204F99"/>
    <w:rPr>
      <w:i/>
      <w:iCs/>
      <w:color w:val="000000" w:themeColor="text1"/>
      <w:lang w:val="eu-ES" w:eastAsia="en-US"/>
    </w:rPr>
  </w:style>
  <w:style w:type="character" w:styleId="nfasissutil">
    <w:name w:val="Subtle Emphasis"/>
    <w:basedOn w:val="Fuentedeprrafopredeter"/>
    <w:uiPriority w:val="19"/>
    <w:qFormat/>
    <w:rsid w:val="00204F99"/>
    <w:rPr>
      <w:i/>
      <w:iCs/>
      <w:color w:val="808080" w:themeColor="text1" w:themeTint="7F"/>
    </w:rPr>
  </w:style>
  <w:style w:type="character" w:styleId="nfasisintenso">
    <w:name w:val="Intense Emphasis"/>
    <w:basedOn w:val="Fuentedeprrafopredeter"/>
    <w:uiPriority w:val="21"/>
    <w:qFormat/>
    <w:rsid w:val="00204F99"/>
    <w:rPr>
      <w:b/>
      <w:bCs/>
      <w:i/>
      <w:iCs/>
      <w:color w:val="4F81BD" w:themeColor="accent1"/>
    </w:rPr>
  </w:style>
  <w:style w:type="character" w:styleId="Referenciasutil">
    <w:name w:val="Subtle Reference"/>
    <w:basedOn w:val="Fuentedeprrafopredeter"/>
    <w:uiPriority w:val="31"/>
    <w:qFormat/>
    <w:rsid w:val="00204F99"/>
    <w:rPr>
      <w:smallCaps/>
      <w:color w:val="C0504D" w:themeColor="accent2"/>
      <w:u w:val="single"/>
    </w:rPr>
  </w:style>
  <w:style w:type="character" w:styleId="Referenciaintensa">
    <w:name w:val="Intense Reference"/>
    <w:basedOn w:val="Fuentedeprrafopredeter"/>
    <w:uiPriority w:val="32"/>
    <w:qFormat/>
    <w:rsid w:val="00204F99"/>
    <w:rPr>
      <w:b/>
      <w:bCs/>
      <w:smallCaps/>
      <w:color w:val="C0504D" w:themeColor="accent2"/>
      <w:spacing w:val="5"/>
      <w:u w:val="single"/>
    </w:rPr>
  </w:style>
  <w:style w:type="character" w:customStyle="1" w:styleId="EncabezadoCar">
    <w:name w:val="Encabezado Car"/>
    <w:basedOn w:val="Fuentedeprrafopredeter"/>
    <w:link w:val="Encabezado"/>
    <w:rsid w:val="00204F99"/>
    <w:rPr>
      <w:bCs/>
      <w:caps/>
      <w:sz w:val="14"/>
      <w:szCs w:val="12"/>
      <w:lang w:val="eu-ES" w:eastAsia="en-US"/>
    </w:rPr>
  </w:style>
  <w:style w:type="paragraph" w:styleId="Textonotaalfinal">
    <w:name w:val="endnote text"/>
    <w:basedOn w:val="Normal"/>
    <w:link w:val="TextonotaalfinalCar"/>
    <w:semiHidden/>
    <w:unhideWhenUsed/>
    <w:rsid w:val="00204F99"/>
    <w:pPr>
      <w:spacing w:after="0"/>
    </w:pPr>
  </w:style>
  <w:style w:type="character" w:customStyle="1" w:styleId="TextonotaalfinalCar">
    <w:name w:val="Texto nota al final Car"/>
    <w:basedOn w:val="Fuentedeprrafopredeter"/>
    <w:link w:val="Textonotaalfinal"/>
    <w:semiHidden/>
    <w:rsid w:val="00204F99"/>
    <w:rPr>
      <w:lang w:val="eu-ES" w:eastAsia="en-US"/>
    </w:rPr>
  </w:style>
  <w:style w:type="character" w:styleId="Refdenotaalfinal">
    <w:name w:val="endnote reference"/>
    <w:basedOn w:val="Fuentedeprrafopredeter"/>
    <w:semiHidden/>
    <w:unhideWhenUsed/>
    <w:rsid w:val="00204F99"/>
    <w:rPr>
      <w:vertAlign w:val="superscript"/>
    </w:rPr>
  </w:style>
  <w:style w:type="character" w:styleId="Hipervnculovisitado">
    <w:name w:val="FollowedHyperlink"/>
    <w:basedOn w:val="Fuentedeprrafopredeter"/>
    <w:semiHidden/>
    <w:unhideWhenUsed/>
    <w:rsid w:val="000E6E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90944">
      <w:bodyDiv w:val="1"/>
      <w:marLeft w:val="0"/>
      <w:marRight w:val="0"/>
      <w:marTop w:val="0"/>
      <w:marBottom w:val="0"/>
      <w:divBdr>
        <w:top w:val="none" w:sz="0" w:space="0" w:color="auto"/>
        <w:left w:val="none" w:sz="0" w:space="0" w:color="auto"/>
        <w:bottom w:val="none" w:sz="0" w:space="0" w:color="auto"/>
        <w:right w:val="none" w:sz="0" w:space="0" w:color="auto"/>
      </w:divBdr>
    </w:div>
    <w:div w:id="636450641">
      <w:bodyDiv w:val="1"/>
      <w:marLeft w:val="0"/>
      <w:marRight w:val="0"/>
      <w:marTop w:val="0"/>
      <w:marBottom w:val="0"/>
      <w:divBdr>
        <w:top w:val="none" w:sz="0" w:space="0" w:color="auto"/>
        <w:left w:val="none" w:sz="0" w:space="0" w:color="auto"/>
        <w:bottom w:val="none" w:sz="0" w:space="0" w:color="auto"/>
        <w:right w:val="none" w:sz="0" w:space="0" w:color="auto"/>
      </w:divBdr>
    </w:div>
    <w:div w:id="720597139">
      <w:bodyDiv w:val="1"/>
      <w:marLeft w:val="0"/>
      <w:marRight w:val="0"/>
      <w:marTop w:val="0"/>
      <w:marBottom w:val="0"/>
      <w:divBdr>
        <w:top w:val="none" w:sz="0" w:space="0" w:color="auto"/>
        <w:left w:val="none" w:sz="0" w:space="0" w:color="auto"/>
        <w:bottom w:val="none" w:sz="0" w:space="0" w:color="auto"/>
        <w:right w:val="none" w:sz="0" w:space="0" w:color="auto"/>
      </w:divBdr>
    </w:div>
    <w:div w:id="164050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avarra.es/home_es/Gobierno+de+Navarra/Presupuesto/Plan+Estrategico+Subvencion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D7ACD-D3DD-4486-9C4B-46EC35E8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4500</Words>
  <Characters>37561</Characters>
  <Application>Microsoft Office Word</Application>
  <DocSecurity>0</DocSecurity>
  <Lines>4695</Lines>
  <Paragraphs>1682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d841144</dc:creator>
  <cp:lastModifiedBy>De Santiago, Iñaki</cp:lastModifiedBy>
  <cp:revision>3</cp:revision>
  <cp:lastPrinted>2021-09-06T12:23:00Z</cp:lastPrinted>
  <dcterms:created xsi:type="dcterms:W3CDTF">2021-10-26T06:28:00Z</dcterms:created>
  <dcterms:modified xsi:type="dcterms:W3CDTF">2021-10-26T06:30:00Z</dcterms:modified>
</cp:coreProperties>
</file>