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25ean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Blanca Isabel Regúlez Álvarez andreak aurkeztutako galdera, Espainian dauden Atzerritarren eskubide eta askatasunei eta haien gizarteratzeari buruzko 4/2000 Lege Organikoaren Erregelamenduaren aldaketari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2021eko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Blanca Regúlez Álvarez andreak, Legebiltzarreko Erregelamenduan ezarritakoaren babesean, honako galdera hau aurkezten du, Nafarroako Gobernuko Migrazio Politiketako eta Justiziako kontseilariak Osoko Bilkuran ahoz erantzun dezan: </w:t>
      </w:r>
    </w:p>
    <w:p>
      <w:pPr>
        <w:pStyle w:val="0"/>
        <w:suppressAutoHyphens w:val="false"/>
        <w:rPr>
          <w:rStyle w:val="1"/>
        </w:rPr>
      </w:pPr>
      <w:r>
        <w:rPr>
          <w:rStyle w:val="1"/>
        </w:rPr>
        <w:t xml:space="preserve">Espainian dauden Atzerritarren eskubide eta askatasunei eta haien gizarteratzeari buruzko 4/2000 Lege Organikoaren Erregelamendua aldatzen duen urriaren 19ko 903/2021 Errege Dekretuaren babesean, zeina apirilaren 20ko 557/2011 Errege Dekretuaren bidez onetsi zen 3/2009 Lege Organikoaren bidez aldatu baitzen,</w:t>
      </w:r>
    </w:p>
    <w:p>
      <w:pPr>
        <w:pStyle w:val="0"/>
        <w:suppressAutoHyphens w:val="false"/>
        <w:rPr>
          <w:rStyle w:val="1"/>
        </w:rPr>
      </w:pPr>
      <w:r>
        <w:rPr>
          <w:rStyle w:val="1"/>
        </w:rPr>
        <w:t xml:space="preserve">Gobernuak zer balorazio egiten du erregelamendu bidezko aldaketa horri buruz, Foru Administrazioaren tutoretzapeko adingabe atzerritar bakarrik daudenei egoiliar-baimena adindun bihurtzen direnean emateari –egoiliar-baimenaren titularrak izan ala ez– dagokionez? </w:t>
      </w:r>
    </w:p>
    <w:p>
      <w:pPr>
        <w:pStyle w:val="0"/>
        <w:suppressAutoHyphens w:val="false"/>
        <w:rPr>
          <w:rStyle w:val="1"/>
        </w:rPr>
      </w:pPr>
      <w:r>
        <w:rPr>
          <w:rStyle w:val="1"/>
        </w:rPr>
        <w:t xml:space="preserve">Iruñean, 2021eko urriaren 20an </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